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ind w:firstLine="993"/>
        <w:rPr>
          <w:sz w:val="24"/>
        </w:rPr>
      </w:pPr>
      <w:r>
        <w:rPr>
          <w:sz w:val="24"/>
        </w:rPr>
        <w:t xml:space="preserve">              Департамент имущественных отношений администрации города Перми</w:t>
      </w:r>
      <w:r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t xml:space="preserve">            </w:t>
      </w:r>
      <w:r>
        <w:rPr>
          <w:sz w:val="24"/>
        </w:rPr>
      </w:r>
      <w:r>
        <w:rPr>
          <w:sz w:val="24"/>
        </w:rPr>
      </w:r>
    </w:p>
    <w:p>
      <w:pPr>
        <w:pStyle w:val="664"/>
        <w:spacing w:before="480"/>
        <w:rPr>
          <w:szCs w:val="24"/>
        </w:rPr>
      </w:pPr>
      <w:r>
        <w:rPr>
          <w:szCs w:val="24"/>
        </w:rPr>
        <w:t xml:space="preserve">ОБЩИЙ ПРОТОКОЛ</w:t>
      </w:r>
      <w:r>
        <w:rPr>
          <w:szCs w:val="24"/>
        </w:rPr>
      </w:r>
    </w:p>
    <w:p>
      <w:pPr>
        <w:pStyle w:val="663"/>
        <w:ind w:firstLine="708"/>
        <w:jc w:val="center"/>
        <w:rPr>
          <w:b/>
        </w:rPr>
      </w:pPr>
      <w:r>
        <w:rPr>
          <w:b/>
        </w:rPr>
        <w:t xml:space="preserve">проведения </w:t>
      </w:r>
      <w:r>
        <w:rPr>
          <w:b/>
        </w:rPr>
        <w:t xml:space="preserve">аукциона </w:t>
      </w:r>
      <w:r>
        <w:rPr>
          <w:b/>
        </w:rPr>
        <w:t xml:space="preserve">в электронной форме </w:t>
      </w:r>
      <w:r>
        <w:rPr>
          <w:b/>
        </w:rPr>
        <w:t xml:space="preserve">по продаже </w:t>
      </w:r>
      <w:r>
        <w:rPr>
          <w:b/>
        </w:rPr>
        <w:t xml:space="preserve">муниципального имущества</w:t>
      </w:r>
      <w:r>
        <w:rPr>
          <w:b/>
        </w:rPr>
      </w:r>
      <w:r>
        <w:rPr>
          <w:b/>
        </w:rPr>
      </w:r>
    </w:p>
    <w:p>
      <w:pPr>
        <w:pStyle w:val="664"/>
        <w:jc w:val="both"/>
        <w:spacing w:before="480"/>
        <w:rPr>
          <w:b w:val="0"/>
          <w:iCs/>
          <w:szCs w:val="24"/>
        </w:rPr>
      </w:pPr>
      <w:r>
        <w:rPr>
          <w:b w:val="0"/>
          <w:szCs w:val="24"/>
        </w:rPr>
        <w:t xml:space="preserve">г.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Пермь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                    </w:t>
      </w:r>
      <w:r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                               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          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t xml:space="preserve">            </w:t>
      </w:r>
      <w:r>
        <w:rPr>
          <w:b w:val="0"/>
          <w:szCs w:val="24"/>
        </w:rPr>
        <w:t xml:space="preserve">                    </w:t>
      </w:r>
      <w:r>
        <w:rPr>
          <w:b w:val="0"/>
          <w:szCs w:val="24"/>
        </w:rPr>
        <w:t xml:space="preserve">       </w:t>
      </w:r>
      <w:r>
        <w:rPr>
          <w:b w:val="0"/>
          <w:szCs w:val="24"/>
        </w:rPr>
        <w:t xml:space="preserve">     </w:t>
      </w:r>
      <w:r>
        <w:rPr>
          <w:b w:val="0"/>
          <w:szCs w:val="24"/>
        </w:rPr>
        <w:t xml:space="preserve">15.06.2026</w:t>
      </w:r>
      <w:r>
        <w:rPr>
          <w:b w:val="0"/>
          <w:iCs/>
          <w:szCs w:val="24"/>
        </w:rPr>
      </w:r>
      <w:r>
        <w:rPr>
          <w:b w:val="0"/>
          <w:iCs/>
          <w:szCs w:val="24"/>
        </w:rPr>
      </w:r>
    </w:p>
    <w:p>
      <w:pPr>
        <w:pStyle w:val="663"/>
        <w:ind w:left="2805" w:hanging="2805"/>
        <w:jc w:val="both"/>
      </w:pPr>
      <w:r/>
      <w:r/>
    </w:p>
    <w:p>
      <w:pPr>
        <w:pStyle w:val="673"/>
        <w:ind w:left="0"/>
        <w:jc w:val="both"/>
        <w:tabs>
          <w:tab w:val="left" w:pos="0" w:leader="none"/>
        </w:tabs>
      </w:pPr>
      <w:r>
        <w:t xml:space="preserve">Присутствуют: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Хаткевич А.А., начальник департамента;</w:t>
      </w:r>
      <w:r/>
    </w:p>
    <w:p>
      <w:pPr>
        <w:pStyle w:val="673"/>
        <w:ind w:left="851"/>
        <w:jc w:val="both"/>
        <w:spacing w:after="0"/>
        <w:tabs>
          <w:tab w:val="left" w:pos="851" w:leader="none"/>
        </w:tabs>
      </w:pPr>
      <w:r>
        <w:t xml:space="preserve">Соснин А.В</w:t>
      </w:r>
      <w:r>
        <w:t xml:space="preserve">.</w:t>
      </w:r>
      <w:r>
        <w:t xml:space="preserve">, </w:t>
      </w:r>
      <w:r>
        <w:t xml:space="preserve">заместитель</w:t>
      </w:r>
      <w:r>
        <w:t xml:space="preserve"> начальника департам</w:t>
      </w:r>
      <w:r>
        <w:t xml:space="preserve">ента</w:t>
      </w:r>
      <w:r>
        <w:t xml:space="preserve"> – начальник управления по распоряжению муниципальным имуществом</w:t>
      </w:r>
      <w:r>
        <w:t xml:space="preserve">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Четина Ю.И..,</w:t>
      </w:r>
      <w:r>
        <w:t xml:space="preserve"> и.о. </w:t>
      </w:r>
      <w:r>
        <w:t xml:space="preserve">заместителя</w:t>
      </w:r>
      <w:r>
        <w:t xml:space="preserve"> начальника управления – начальника отдела по распоряжению муниципальным имуществом управления по распоряжению муниципальным имуществом;</w:t>
      </w:r>
      <w:r/>
    </w:p>
    <w:p>
      <w:pPr>
        <w:pStyle w:val="673"/>
        <w:ind w:left="851"/>
        <w:jc w:val="both"/>
        <w:spacing w:after="0"/>
        <w:tabs>
          <w:tab w:val="left" w:pos="708" w:leader="none"/>
        </w:tabs>
      </w:pPr>
      <w:r>
        <w:t xml:space="preserve">Нестерова М.С.</w:t>
      </w:r>
      <w:r>
        <w:t xml:space="preserve"> и.о. </w:t>
      </w:r>
      <w:r>
        <w:t xml:space="preserve">консультанта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t xml:space="preserve">;</w:t>
      </w:r>
      <w:r/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t xml:space="preserve">Селезнева Е.Ю., </w:t>
      </w:r>
      <w:r>
        <w:t xml:space="preserve">консультант</w:t>
      </w:r>
      <w:r>
        <w:t xml:space="preserve"> отдела по распоряжению муниципальным</w:t>
      </w:r>
      <w:r>
        <w:t xml:space="preserve"> </w:t>
      </w:r>
      <w:r>
        <w:t xml:space="preserve">имуществом управления по распоряжению муниципальным имуществом</w:t>
      </w:r>
      <w:r>
        <w:rPr>
          <w:lang w:eastAsia="en-US"/>
        </w:rPr>
        <w:t xml:space="preserve">              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ind w:left="851"/>
        <w:tabs>
          <w:tab w:val="left" w:pos="2805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73"/>
        <w:ind w:left="0" w:firstLine="709"/>
        <w:jc w:val="both"/>
        <w:spacing w:after="0" w:line="280" w:lineRule="exac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63"/>
        <w:jc w:val="both"/>
      </w:pPr>
      <w:r>
        <w:rPr>
          <w:b/>
        </w:rPr>
        <w:t xml:space="preserve">Л</w:t>
      </w:r>
      <w:r>
        <w:rPr>
          <w:b/>
        </w:rPr>
        <w:t xml:space="preserve">от № 1 </w:t>
      </w:r>
      <w:r>
        <w:t xml:space="preserve">– </w:t>
      </w:r>
      <w:r/>
    </w:p>
    <w:p>
      <w:pPr>
        <w:pStyle w:val="663"/>
        <w:jc w:val="both"/>
      </w:pPr>
      <w:r/>
      <w:r/>
    </w:p>
    <w:p>
      <w:pPr>
        <w:pStyle w:val="663"/>
        <w:jc w:val="both"/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Встроенн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нежилые помещения общей площадью 130,3 кв. м (кадастровый номер 59:01:2912530:2247)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/>
      <w:r>
        <w:rPr>
          <w:lang w:eastAsia="en-US"/>
        </w:rPr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1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2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/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94,7 кв. м (кадастровый номер 59:01:2912530:2248)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/>
      <w:r/>
      <w:r>
        <w:rPr>
          <w:b/>
        </w:rPr>
      </w:r>
    </w:p>
    <w:p>
      <w:pPr>
        <w:pStyle w:val="663"/>
        <w:jc w:val="both"/>
      </w:pPr>
      <w:r/>
      <w:r/>
    </w:p>
    <w:p>
      <w:pPr>
        <w:pStyle w:val="663"/>
        <w:jc w:val="both"/>
      </w:pPr>
      <w:r>
        <w:t xml:space="preserve">Аукцион по лоту № 2 признан несостоявшимся в связи с тем, что на участие в торгах по данному лоту не поступило ни одной заявки.</w:t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3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</w:t>
      </w:r>
      <w:r>
        <w:rPr>
          <w:rFonts w:ascii="Times New Roman" w:hAnsi="Times New Roman" w:cs="Times New Roman"/>
          <w:sz w:val="24"/>
          <w:szCs w:val="24"/>
        </w:rPr>
        <w:t xml:space="preserve">енные нежилые помещения общей площадью 14 кв. м (кадастровый номер 59:01:2912530:2250)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/>
      <w:r>
        <w:rPr>
          <w:lang w:eastAsia="en-US"/>
        </w:rPr>
      </w:r>
      <w:r/>
    </w:p>
    <w:p>
      <w:pPr>
        <w:pStyle w:val="663"/>
        <w:jc w:val="both"/>
      </w:pPr>
      <w:r/>
      <w:r/>
    </w:p>
    <w:p>
      <w:pPr>
        <w:pStyle w:val="663"/>
        <w:jc w:val="both"/>
      </w:pPr>
      <w:r>
        <w:t xml:space="preserve">Аукцион по лоту № 3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</w:r>
      <w:r>
        <w:rPr>
          <w:b/>
          <w:shd w:val="clear" w:color="auto" w:fill="ffffff"/>
        </w:rPr>
      </w:r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4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12,3 кв. м (кадастровый номер 59:01:2912530:2249)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4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5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Встроен</w:t>
      </w:r>
      <w:r>
        <w:rPr>
          <w:rFonts w:ascii="Times New Roman" w:hAnsi="Times New Roman" w:cs="Times New Roman"/>
          <w:sz w:val="24"/>
          <w:szCs w:val="24"/>
        </w:rPr>
        <w:t xml:space="preserve">ные нежилые помещения общей площадью 11,5 кв. м (кадастровый номер 59:01:2912530:2251)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/>
      <w:r>
        <w:rPr>
          <w:lang w:eastAsia="en-US"/>
        </w:rPr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5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6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</w:pPr>
      <w:r>
        <w:rPr>
          <w:b/>
        </w:rPr>
      </w:r>
      <w:r/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sz w:val="24"/>
          <w:szCs w:val="24"/>
          <w:lang w:eastAsia="en-US"/>
        </w:rPr>
        <w:t xml:space="preserve">В</w:t>
      </w:r>
      <w:r>
        <w:rPr>
          <w:sz w:val="24"/>
          <w:szCs w:val="24"/>
        </w:rPr>
        <w:t xml:space="preserve">строен</w:t>
      </w:r>
      <w:r>
        <w:rPr>
          <w:sz w:val="24"/>
          <w:szCs w:val="24"/>
        </w:rPr>
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</w:t>
      </w:r>
      <w:r/>
      <w:r>
        <w:rPr>
          <w:lang w:eastAsia="en-US"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6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ind w:firstLine="708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7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Встроенные нежилые помещения общей площадью 116,2 кв. м (кадастровый номер 59:01:1713044:1696) в </w:t>
      </w:r>
      <w:r>
        <w:rPr>
          <w:rFonts w:ascii="Times New Roman" w:hAnsi="Times New Roman" w:cs="Times New Roman"/>
          <w:sz w:val="24"/>
          <w:szCs w:val="24"/>
        </w:rPr>
        <w:t xml:space="preserve">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/>
      <w:r>
        <w:rPr>
          <w:lang w:eastAsia="en-US"/>
        </w:rPr>
      </w:r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7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8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highlight w:val="none"/>
          <w:lang w:eastAsia="en-US"/>
        </w:rPr>
      </w:pPr>
      <w:r>
        <w:rPr>
          <w:lang w:eastAsia="en-US"/>
        </w:rPr>
      </w:r>
      <w:r>
        <w:rPr>
          <w:rFonts w:ascii="Times New Roman" w:hAnsi="Times New Roman" w:cs="Times New Roman"/>
          <w:sz w:val="24"/>
          <w:szCs w:val="24"/>
        </w:rPr>
        <w:t xml:space="preserve">Встрое</w:t>
      </w:r>
      <w:r>
        <w:rPr>
          <w:rFonts w:ascii="Times New Roman" w:hAnsi="Times New Roman" w:cs="Times New Roman"/>
          <w:sz w:val="24"/>
          <w:szCs w:val="24"/>
        </w:rPr>
        <w:t xml:space="preserve">нные нежилые помещения общей площадью 76,1 кв. м (кадастровый номер 59:01:1713044:1694)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</w:t>
      </w:r>
      <w:r/>
      <w:r>
        <w:rPr>
          <w:lang w:eastAsia="en-US"/>
        </w:rPr>
      </w:r>
      <w:r>
        <w:rPr>
          <w:highlight w:val="none"/>
          <w:lang w:eastAsia="en-US"/>
        </w:rPr>
      </w:r>
    </w:p>
    <w:p>
      <w:pPr>
        <w:jc w:val="both"/>
        <w:rPr>
          <w:b/>
          <w:bCs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Style w:val="663"/>
        <w:jc w:val="both"/>
      </w:pPr>
      <w:r>
        <w:t xml:space="preserve">Аукцион по лоту № </w:t>
      </w:r>
      <w:r>
        <w:t xml:space="preserve">8</w:t>
      </w:r>
      <w:r>
        <w:t xml:space="preserve"> признан несостоявшимся в связи с тем, что на участие в торгах </w:t>
        <w:br/>
        <w:t xml:space="preserve">по данному лоту не поступило ни одной заявки.</w:t>
      </w:r>
      <w:r/>
      <w:r/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9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/>
      <w:r>
        <w:rPr>
          <w:rFonts w:ascii="Times New Roman" w:hAnsi="Times New Roman" w:cs="Times New Roman"/>
          <w:sz w:val="24"/>
          <w:szCs w:val="24"/>
        </w:rPr>
        <w:t xml:space="preserve">Встрое</w:t>
      </w:r>
      <w:r>
        <w:rPr>
          <w:rFonts w:ascii="Times New Roman" w:hAnsi="Times New Roman" w:cs="Times New Roman"/>
          <w:sz w:val="24"/>
          <w:szCs w:val="24"/>
        </w:rPr>
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/>
      <w:r/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Аукцион по лоту № 9 признан несостоявшимся в связи с тем, что на участие в торгах </w:t>
        <w:br w:type="textWrapping" w:clear="all"/>
        <w:t xml:space="preserve">по данному лоту не поступило ни одной заявки.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b/>
        </w:rPr>
      </w:pPr>
      <w:r>
        <w:rPr>
          <w:b/>
        </w:rPr>
        <w:t xml:space="preserve">Л</w:t>
      </w:r>
      <w:r>
        <w:rPr>
          <w:b/>
        </w:rPr>
        <w:t xml:space="preserve">от № </w:t>
      </w:r>
      <w:r>
        <w:rPr>
          <w:b/>
        </w:rPr>
        <w:t xml:space="preserve">10</w:t>
      </w:r>
      <w:r>
        <w:rPr>
          <w:b/>
        </w:rPr>
        <w:t xml:space="preserve"> – </w:t>
      </w: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3"/>
        <w:jc w:val="both"/>
        <w:rPr>
          <w:b/>
        </w:rPr>
      </w:pPr>
      <w:r>
        <w:rPr>
          <w:b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Встроенные нежилые помещения общей площадью 36,6 кв. м (кадастровый номер 59:01:4410162:952) на цокольном этаже 9-этажного многоквартирного дома.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Адрес: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Пермский край, г. Пермь, Свердловский район,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en-US"/>
        </w:rPr>
        <w:t xml:space="preserve">ул. Революции, д. 18. Помещения пустуют.</w:t>
      </w:r>
      <w:r/>
      <w:r>
        <w:rPr>
          <w:b/>
        </w:rPr>
      </w:r>
    </w:p>
    <w:p>
      <w:pPr>
        <w:pStyle w:val="663"/>
        <w:jc w:val="both"/>
        <w:rPr>
          <w:b/>
          <w:sz w:val="22"/>
          <w:shd w:val="clear" w:color="auto" w:fill="ffffff"/>
        </w:rPr>
      </w:pPr>
      <w:r>
        <w:rPr>
          <w:b/>
          <w:sz w:val="22"/>
          <w:shd w:val="clear" w:color="auto" w:fill="ffffff"/>
        </w:rPr>
      </w:r>
      <w:r>
        <w:rPr>
          <w:b/>
          <w:sz w:val="22"/>
          <w:shd w:val="clear" w:color="auto" w:fill="ffffff"/>
        </w:rPr>
      </w:r>
    </w:p>
    <w:p>
      <w:pPr>
        <w:pStyle w:val="663"/>
        <w:jc w:val="both"/>
      </w:pPr>
      <w:r>
        <w:t xml:space="preserve">Начальная цена –5</w:t>
      </w:r>
      <w:r>
        <w:t xml:space="preserve">00 000,00 руб.</w:t>
      </w:r>
      <w:r/>
      <w:r/>
    </w:p>
    <w:p>
      <w:pPr>
        <w:pStyle w:val="663"/>
        <w:jc w:val="both"/>
      </w:pPr>
      <w:r>
        <w:t xml:space="preserve">Победитель аукциона(единственный заявитель) –</w:t>
      </w:r>
      <w:r>
        <w:t xml:space="preserve">Мороз Иван Владимирович</w:t>
      </w:r>
      <w:r>
        <w:t xml:space="preserve">. </w:t>
      </w:r>
      <w:r/>
      <w:r/>
    </w:p>
    <w:p>
      <w:pPr>
        <w:pStyle w:val="663"/>
        <w:jc w:val="both"/>
      </w:pPr>
      <w:r>
        <w:t xml:space="preserve">Номер заявки победителя – </w:t>
      </w:r>
      <w:r>
        <w:t xml:space="preserve">2744</w:t>
      </w:r>
      <w:r>
        <w:t xml:space="preserve">.</w:t>
      </w:r>
      <w:r/>
      <w:r/>
    </w:p>
    <w:p>
      <w:pPr>
        <w:pStyle w:val="663"/>
        <w:jc w:val="both"/>
      </w:pPr>
      <w:r>
        <w:t xml:space="preserve">Цена покупки имущества – </w:t>
      </w:r>
      <w:r>
        <w:t xml:space="preserve">500</w:t>
      </w:r>
      <w:r>
        <w:t xml:space="preserve"> 000,00 руб.  </w:t>
      </w:r>
      <w:r/>
      <w:r/>
    </w:p>
    <w:p>
      <w:pPr>
        <w:pStyle w:val="663"/>
        <w:jc w:val="both"/>
      </w:pPr>
      <w:r/>
      <w:r/>
    </w:p>
    <w:p>
      <w:pPr>
        <w:pStyle w:val="663"/>
        <w:jc w:val="both"/>
      </w:pPr>
      <w:r/>
      <w:r/>
    </w:p>
    <w:p>
      <w:pPr>
        <w:pStyle w:val="663"/>
        <w:jc w:val="both"/>
      </w:pPr>
      <w:r/>
      <w:r/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 xml:space="preserve">Члены комиссии:</w:t>
        <w:tab/>
      </w:r>
      <w:r>
        <w:rPr>
          <w:lang w:eastAsia="en-US"/>
        </w:rPr>
        <w:t xml:space="preserve">А.А. Хаткевич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val="en-US" w:eastAsia="en-US"/>
        </w:rPr>
        <w:tab/>
      </w:r>
      <w:r>
        <w:rPr>
          <w:lang w:eastAsia="en-US"/>
        </w:rPr>
        <w:t xml:space="preserve">А.В. Соснин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  <w:t xml:space="preserve">Ю.И. Четина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highlight w:val="none"/>
          <w:lang w:eastAsia="en-US"/>
        </w:rPr>
      </w:pPr>
      <w:r>
        <w:rPr>
          <w:lang w:eastAsia="en-US"/>
        </w:rPr>
        <w:tab/>
      </w:r>
      <w:r>
        <w:rPr>
          <w:bCs/>
          <w:color w:val="000000"/>
        </w:rPr>
        <w:t xml:space="preserve">М.С. Нестерова</w:t>
      </w:r>
      <w:r/>
      <w:r>
        <w:rPr>
          <w:lang w:eastAsia="en-US"/>
        </w:rPr>
      </w:r>
      <w:r>
        <w:rPr>
          <w:highlight w:val="none"/>
          <w:lang w:eastAsia="en-US"/>
        </w:rPr>
      </w:r>
    </w:p>
    <w:p>
      <w:pPr>
        <w:jc w:val="both"/>
        <w:tabs>
          <w:tab w:val="left" w:pos="7797" w:leader="none"/>
        </w:tabs>
        <w:rPr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pStyle w:val="663"/>
        <w:jc w:val="both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  <w:tab/>
        <w:t xml:space="preserve">Е.Ю. Селезнева</w:t>
      </w: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663"/>
        <w:jc w:val="both"/>
        <w:spacing w:line="360" w:lineRule="exact"/>
        <w:tabs>
          <w:tab w:val="left" w:pos="7797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567" w:bottom="1135" w:left="1418" w:header="720" w:footer="25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separate"/>
    </w:r>
    <w:r>
      <w:rPr>
        <w:rStyle w:val="677"/>
      </w:rPr>
      <w:t xml:space="preserve">2</w: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rStyle w:val="677"/>
      </w:rPr>
      <w:framePr w:wrap="around" w:vAnchor="text" w:hAnchor="margin" w:xAlign="right" w:y="1"/>
    </w:pPr>
    <w:r>
      <w:rPr>
        <w:rStyle w:val="677"/>
      </w:rPr>
      <w:fldChar w:fldCharType="begin"/>
    </w:r>
    <w:r>
      <w:rPr>
        <w:rStyle w:val="677"/>
      </w:rPr>
      <w:instrText xml:space="preserve">PAGE  </w:instrText>
    </w:r>
    <w:r>
      <w:rPr>
        <w:rStyle w:val="677"/>
      </w:rPr>
      <w:fldChar w:fldCharType="end"/>
    </w:r>
    <w:r>
      <w:rPr>
        <w:rStyle w:val="677"/>
      </w:rPr>
    </w:r>
    <w:r>
      <w:rPr>
        <w:rStyle w:val="677"/>
      </w:rPr>
    </w:r>
  </w:p>
  <w:p>
    <w:pPr>
      <w:pStyle w:val="67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6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5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05" w:hanging="130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53" w:hanging="1305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84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3"/>
    <w:next w:val="66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3"/>
    <w:next w:val="66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3"/>
    <w:next w:val="66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3"/>
    <w:next w:val="66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3"/>
    <w:next w:val="66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3"/>
    <w:next w:val="66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3"/>
    <w:next w:val="66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3"/>
    <w:next w:val="66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3"/>
    <w:next w:val="66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3"/>
    <w:next w:val="66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63"/>
    <w:next w:val="66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63"/>
    <w:next w:val="66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3"/>
    <w:next w:val="66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6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6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63"/>
    <w:next w:val="66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6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rPr>
      <w:sz w:val="24"/>
      <w:szCs w:val="24"/>
      <w:lang w:val="ru-RU" w:eastAsia="ru-RU" w:bidi="ar-SA"/>
    </w:rPr>
  </w:style>
  <w:style w:type="paragraph" w:styleId="664">
    <w:name w:val="Заголовок 1"/>
    <w:basedOn w:val="663"/>
    <w:next w:val="663"/>
    <w:link w:val="663"/>
    <w:qFormat/>
    <w:pPr>
      <w:jc w:val="center"/>
      <w:keepNext/>
      <w:outlineLvl w:val="0"/>
    </w:pPr>
    <w:rPr>
      <w:b/>
      <w:bCs/>
      <w:szCs w:val="20"/>
    </w:rPr>
  </w:style>
  <w:style w:type="paragraph" w:styleId="665">
    <w:name w:val="Заголовок 3"/>
    <w:basedOn w:val="663"/>
    <w:next w:val="663"/>
    <w:link w:val="66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66">
    <w:name w:val="Основной шрифт абзаца, Знак Знак1"/>
    <w:next w:val="666"/>
    <w:link w:val="663"/>
    <w:semiHidden/>
  </w:style>
  <w:style w:type="table" w:styleId="667">
    <w:name w:val="Обычная таблица"/>
    <w:next w:val="667"/>
    <w:link w:val="663"/>
    <w:semiHidden/>
    <w:tblPr/>
  </w:style>
  <w:style w:type="numbering" w:styleId="668">
    <w:name w:val="Нет списка"/>
    <w:next w:val="668"/>
    <w:link w:val="663"/>
    <w:semiHidden/>
  </w:style>
  <w:style w:type="paragraph" w:styleId="669">
    <w:name w:val="Основной текст с отступом 2"/>
    <w:basedOn w:val="663"/>
    <w:next w:val="669"/>
    <w:link w:val="663"/>
    <w:pPr>
      <w:ind w:left="4962" w:hanging="4395"/>
      <w:jc w:val="both"/>
    </w:pPr>
    <w:rPr>
      <w:szCs w:val="20"/>
    </w:rPr>
  </w:style>
  <w:style w:type="paragraph" w:styleId="670">
    <w:name w:val="Текст"/>
    <w:basedOn w:val="663"/>
    <w:next w:val="670"/>
    <w:link w:val="682"/>
    <w:rPr>
      <w:rFonts w:ascii="Courier New" w:hAnsi="Courier New"/>
      <w:sz w:val="20"/>
      <w:szCs w:val="20"/>
    </w:rPr>
  </w:style>
  <w:style w:type="paragraph" w:styleId="671">
    <w:name w:val="Основной текст с отступом 3"/>
    <w:basedOn w:val="663"/>
    <w:next w:val="671"/>
    <w:link w:val="690"/>
    <w:pPr>
      <w:ind w:left="5610"/>
    </w:pPr>
  </w:style>
  <w:style w:type="paragraph" w:styleId="672">
    <w:name w:val="Нижний колонтитул"/>
    <w:basedOn w:val="663"/>
    <w:next w:val="672"/>
    <w:link w:val="663"/>
    <w:pPr>
      <w:tabs>
        <w:tab w:val="center" w:pos="4677" w:leader="none"/>
        <w:tab w:val="right" w:pos="9355" w:leader="none"/>
      </w:tabs>
    </w:pPr>
  </w:style>
  <w:style w:type="paragraph" w:styleId="673">
    <w:name w:val="Основной текст с отступом"/>
    <w:basedOn w:val="663"/>
    <w:next w:val="673"/>
    <w:link w:val="685"/>
    <w:pPr>
      <w:ind w:left="283"/>
      <w:spacing w:after="120"/>
    </w:pPr>
  </w:style>
  <w:style w:type="paragraph" w:styleId="674">
    <w:name w:val="Основной текст"/>
    <w:basedOn w:val="663"/>
    <w:next w:val="674"/>
    <w:link w:val="689"/>
    <w:pPr>
      <w:jc w:val="right"/>
    </w:pPr>
    <w:rPr>
      <w:sz w:val="28"/>
    </w:rPr>
  </w:style>
  <w:style w:type="paragraph" w:styleId="675">
    <w:name w:val="Основной текст 2"/>
    <w:basedOn w:val="663"/>
    <w:next w:val="675"/>
    <w:link w:val="688"/>
    <w:pPr>
      <w:spacing w:after="120" w:line="480" w:lineRule="auto"/>
    </w:pPr>
  </w:style>
  <w:style w:type="paragraph" w:styleId="676">
    <w:name w:val="Основной текст 3"/>
    <w:basedOn w:val="663"/>
    <w:next w:val="676"/>
    <w:link w:val="663"/>
    <w:pPr>
      <w:spacing w:after="120"/>
    </w:pPr>
    <w:rPr>
      <w:sz w:val="16"/>
      <w:szCs w:val="16"/>
    </w:rPr>
  </w:style>
  <w:style w:type="character" w:styleId="677">
    <w:name w:val="Номер страницы"/>
    <w:basedOn w:val="666"/>
    <w:next w:val="677"/>
    <w:link w:val="663"/>
  </w:style>
  <w:style w:type="paragraph" w:styleId="678">
    <w:name w:val="Верхний колонтитул"/>
    <w:basedOn w:val="663"/>
    <w:next w:val="678"/>
    <w:link w:val="663"/>
    <w:pPr>
      <w:tabs>
        <w:tab w:val="center" w:pos="4677" w:leader="none"/>
        <w:tab w:val="right" w:pos="9355" w:leader="none"/>
      </w:tabs>
    </w:pPr>
  </w:style>
  <w:style w:type="paragraph" w:styleId="679">
    <w:name w:val="Название"/>
    <w:basedOn w:val="663"/>
    <w:next w:val="679"/>
    <w:link w:val="663"/>
    <w:qFormat/>
    <w:pPr>
      <w:jc w:val="center"/>
    </w:pPr>
    <w:rPr>
      <w:sz w:val="28"/>
    </w:rPr>
  </w:style>
  <w:style w:type="paragraph" w:styleId="680">
    <w:name w:val="UserStyle_5"/>
    <w:basedOn w:val="663"/>
    <w:next w:val="680"/>
    <w:link w:val="663"/>
    <w:rPr>
      <w:rFonts w:ascii="Verdana" w:hAnsi="Verdana" w:cs="Verdana"/>
      <w:sz w:val="20"/>
      <w:szCs w:val="20"/>
      <w:lang w:val="en-US" w:eastAsia="en-US"/>
    </w:rPr>
  </w:style>
  <w:style w:type="paragraph" w:styleId="681">
    <w:name w:val="Знак Знак Знак Знак Знак Знак Знак Знак Знак Знак Знак Знак"/>
    <w:basedOn w:val="663"/>
    <w:next w:val="681"/>
    <w:link w:val="663"/>
    <w:rPr>
      <w:rFonts w:ascii="Verdana" w:hAnsi="Verdana" w:cs="Verdana"/>
      <w:sz w:val="20"/>
      <w:szCs w:val="20"/>
      <w:lang w:val="en-US" w:eastAsia="en-US"/>
    </w:rPr>
  </w:style>
  <w:style w:type="character" w:styleId="682">
    <w:name w:val="Текст Знак"/>
    <w:next w:val="682"/>
    <w:link w:val="670"/>
    <w:rPr>
      <w:rFonts w:ascii="Courier New" w:hAnsi="Courier New"/>
      <w:lang w:val="ru-RU" w:eastAsia="ru-RU" w:bidi="ar-SA"/>
    </w:rPr>
  </w:style>
  <w:style w:type="character" w:styleId="683">
    <w:name w:val="Знак Знак"/>
    <w:next w:val="683"/>
    <w:link w:val="663"/>
    <w:rPr>
      <w:rFonts w:ascii="Courier New" w:hAnsi="Courier New" w:cs="Courier New"/>
      <w:lang w:val="ru-RU" w:eastAsia="ru-RU" w:bidi="ar-SA"/>
    </w:rPr>
  </w:style>
  <w:style w:type="paragraph" w:styleId="684">
    <w:name w:val=" Знак Знак Знак Знак Знак Знак Знак Знак Знак Знак Знак Знак"/>
    <w:basedOn w:val="663"/>
    <w:next w:val="684"/>
    <w:link w:val="666"/>
    <w:rPr>
      <w:rFonts w:ascii="Verdana" w:hAnsi="Verdana" w:cs="Verdana"/>
      <w:sz w:val="20"/>
      <w:szCs w:val="20"/>
      <w:lang w:val="en-US" w:eastAsia="en-US"/>
    </w:rPr>
  </w:style>
  <w:style w:type="character" w:styleId="685">
    <w:name w:val="Основной текст с отступом Знак"/>
    <w:next w:val="685"/>
    <w:link w:val="673"/>
    <w:rPr>
      <w:sz w:val="24"/>
      <w:szCs w:val="24"/>
    </w:rPr>
  </w:style>
  <w:style w:type="paragraph" w:styleId="686">
    <w:name w:val="Текст выноски"/>
    <w:basedOn w:val="663"/>
    <w:next w:val="686"/>
    <w:link w:val="687"/>
    <w:rPr>
      <w:rFonts w:ascii="Tahoma" w:hAnsi="Tahoma" w:cs="Tahoma"/>
      <w:sz w:val="16"/>
      <w:szCs w:val="16"/>
    </w:rPr>
  </w:style>
  <w:style w:type="character" w:styleId="687">
    <w:name w:val="Текст выноски Знак"/>
    <w:next w:val="687"/>
    <w:link w:val="686"/>
    <w:rPr>
      <w:rFonts w:ascii="Tahoma" w:hAnsi="Tahoma" w:cs="Tahoma"/>
      <w:sz w:val="16"/>
      <w:szCs w:val="16"/>
    </w:rPr>
  </w:style>
  <w:style w:type="character" w:styleId="688">
    <w:name w:val="Основной текст 2 Знак"/>
    <w:next w:val="688"/>
    <w:link w:val="675"/>
    <w:rPr>
      <w:sz w:val="24"/>
      <w:szCs w:val="24"/>
    </w:rPr>
  </w:style>
  <w:style w:type="character" w:styleId="689">
    <w:name w:val="Основной текст Знак"/>
    <w:next w:val="689"/>
    <w:link w:val="674"/>
    <w:rPr>
      <w:sz w:val="28"/>
      <w:szCs w:val="24"/>
    </w:rPr>
  </w:style>
  <w:style w:type="character" w:styleId="690">
    <w:name w:val="Основной текст с отступом 3 Знак"/>
    <w:next w:val="690"/>
    <w:link w:val="671"/>
    <w:rPr>
      <w:sz w:val="24"/>
      <w:szCs w:val="24"/>
    </w:rPr>
  </w:style>
  <w:style w:type="table" w:styleId="691">
    <w:name w:val="Сетка таблицы"/>
    <w:basedOn w:val="667"/>
    <w:next w:val="691"/>
    <w:link w:val="663"/>
    <w:uiPriority w:val="59"/>
    <w:pPr>
      <w:widowControl w:val="off"/>
    </w:pPr>
    <w:rPr>
      <w:rFonts w:ascii="Courier New" w:hAnsi="Courier New" w:eastAsia="Courier New" w:cs="Courier New"/>
      <w:sz w:val="24"/>
      <w:szCs w:val="24"/>
      <w:lang w:eastAsia="en-US" w:bidi="ru-RU"/>
    </w:rPr>
    <w:tblPr/>
  </w:style>
  <w:style w:type="character" w:styleId="692">
    <w:name w:val="Font Style26"/>
    <w:next w:val="692"/>
    <w:link w:val="663"/>
    <w:rPr>
      <w:rFonts w:ascii="Times New Roman" w:hAnsi="Times New Roman" w:cs="Times New Roman"/>
      <w:b/>
      <w:bCs/>
      <w:sz w:val="18"/>
      <w:szCs w:val="18"/>
    </w:rPr>
  </w:style>
  <w:style w:type="paragraph" w:styleId="693">
    <w:name w:val="Style4"/>
    <w:basedOn w:val="663"/>
    <w:next w:val="693"/>
    <w:link w:val="663"/>
    <w:pPr>
      <w:spacing w:line="230" w:lineRule="exact"/>
      <w:widowControl w:val="off"/>
    </w:pPr>
  </w:style>
  <w:style w:type="character" w:styleId="1250" w:default="1">
    <w:name w:val="Default Paragraph Font"/>
    <w:uiPriority w:val="1"/>
    <w:semiHidden/>
    <w:unhideWhenUsed/>
  </w:style>
  <w:style w:type="numbering" w:styleId="1251" w:default="1">
    <w:name w:val="No List"/>
    <w:uiPriority w:val="99"/>
    <w:semiHidden/>
    <w:unhideWhenUsed/>
  </w:style>
  <w:style w:type="table" w:styleId="12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Департамент имущественных отношений администрации города Перми</dc:title>
  <dc:creator>bna</dc:creator>
  <cp:lastModifiedBy>selezneva-eyu</cp:lastModifiedBy>
  <cp:revision>288</cp:revision>
  <dcterms:created xsi:type="dcterms:W3CDTF">2012-07-09T09:40:00Z</dcterms:created>
  <dcterms:modified xsi:type="dcterms:W3CDTF">2026-06-15T05:12:26Z</dcterms:modified>
  <cp:version>983040</cp:version>
</cp:coreProperties>
</file>