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18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.2026 (процедур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 № SBR012-2605260081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>– 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  <w:t>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о заключения договора аренды земельного участка, государственная собственность на который не разграничена, с кадастровым номером 59:01:3810202:3827 площадью 2594 кв. м, расположенного по адресу: Российская Федерация, Пермский край, городской округ Пермский, город Пермь, улица Генерала Черняховского, з/у 53а, для строительства многоквартирного дома. Разрешенное использование земельного участка – среднеэтажная жилая застройка.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Лот № 2</w:t>
      </w:r>
      <w:r>
        <w:rPr>
          <w:rFonts w:eastAsia="Droid Sans Fallback" w:cs="Lohit Devanagari"/>
          <w:b/>
          <w:color w:val="auto"/>
          <w:lang w:val="ru-RU" w:eastAsia="ru-RU" w:bidi="ar-SA"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раво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59:01:3210341:31 площадью 1062.32 кв. м, расположенного по адресу: Российская Федерация, Пермский край, городской округ Пермский, город Пермь, улица Ново-Гайвинская, з/у 97б, для строительства склада. Разрешенное использование земельного участка – склады.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29"/>
        <w:gridCol w:w="2341"/>
        <w:gridCol w:w="2415"/>
        <w:gridCol w:w="2001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3678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10.06.2026 11:57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180 850,00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3875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11.06.2026 08:46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180 850,00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9351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15.06.2026 12:05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180 850,00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1982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15.06.2026 19:28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180 850,00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1664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16.06.2026 10:56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180 850,00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4180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16.06.2026 11:10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180 850,00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5250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16.06.2026 11:11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180 850,00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6135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16.06.2026 11:52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180 850,00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9705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16.06.2026 11:53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180 850,00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4508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16.06.2026 14:36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180 850,00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4</Pages>
  <Words>500</Words>
  <Characters>3503</Characters>
  <CharactersWithSpaces>4764</CharactersWithSpaces>
  <Paragraphs>78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2026-06-17T09:43:57Z</dcterms:modified>
  <cp:revision>1129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