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18.06.2026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19.06.2026 (про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 № SBR012-2605260020),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</w:rPr>
      </w:pPr>
      <w:r>
        <w:rPr>
          <w:b/>
          <w:sz w:val="28"/>
          <w:szCs w:val="28"/>
        </w:rPr>
        <w:t>Лот № 1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lang w:val="ru-RU" w:eastAsia="ru-RU" w:bidi="ar-SA"/>
        </w:rPr>
        <w:t xml:space="preserve">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заявки не поступали.</w:t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2pt;margin-top:0.05pt;width:6.7pt;height:19.3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2</Pages>
  <Words>290</Words>
  <Characters>2270</Characters>
  <CharactersWithSpaces>2935</CharactersWithSpaces>
  <Paragraphs>22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2026-06-18T09:27:22Z</dcterms:modified>
  <cp:revision>1138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