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0"/>
        <w:ind w:left="284"/>
        <w:jc w:val="right"/>
        <w:spacing w:after="0" w:line="240" w:lineRule="auto"/>
        <w:rPr>
          <w:sz w:val="18"/>
          <w:szCs w:val="18"/>
        </w:rPr>
        <w:outlineLvl w:val="0"/>
      </w:pPr>
      <w:r>
        <w:rPr>
          <w:sz w:val="18"/>
          <w:szCs w:val="18"/>
          <w:lang w:val="en-US"/>
        </w:rPr>
        <w:t xml:space="preserve"> id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82042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7513"/>
        <w:spacing w:after="0" w:line="240" w:lineRule="auto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98"/>
        <w:jc w:val="center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аренды земельного участка, приобретаемого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торгах в форме аукциона, для строительства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jc w:val="center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jc w:val="both"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г. Пермь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«___» 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898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 земельных отношений администрации города Перми, </w:t>
      </w:r>
      <w:r>
        <w:rPr>
          <w:rFonts w:ascii="Times New Roman" w:hAnsi="Times New Roman" w:cs="Times New Roman"/>
          <w:sz w:val="24"/>
          <w:szCs w:val="24"/>
        </w:rPr>
        <w:t xml:space="preserve">именуемый </w:t>
        <w:br/>
        <w:t xml:space="preserve">в дальнейшем Арендодатель, </w:t>
      </w:r>
      <w:r>
        <w:rPr>
          <w:rFonts w:ascii="Times New Roman" w:hAnsi="Times New Roman" w:cs="Times New Roman"/>
          <w:b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 xml:space="preserve">_____________________, действующего на основании _____________________________, с одной стороны, и ___________________, именуемы</w:t>
      </w:r>
      <w:r>
        <w:rPr>
          <w:rFonts w:ascii="Times New Roman" w:hAnsi="Times New Roman" w:cs="Times New Roman"/>
          <w:sz w:val="24"/>
          <w:szCs w:val="24"/>
        </w:rPr>
        <w:t xml:space="preserve">й(</w:t>
      </w:r>
      <w:r>
        <w:rPr>
          <w:rFonts w:ascii="Times New Roman" w:hAnsi="Times New Roman" w:cs="Times New Roman"/>
          <w:sz w:val="24"/>
          <w:szCs w:val="24"/>
        </w:rPr>
        <w:t xml:space="preserve">ая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br/>
        <w:t xml:space="preserve">в дальнейшем Арендатор, в лице ________________, </w:t>
      </w:r>
      <w:r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sz w:val="24"/>
          <w:szCs w:val="24"/>
        </w:rPr>
        <w:t xml:space="preserve"> __________, </w:t>
      </w:r>
      <w:r>
        <w:rPr>
          <w:rFonts w:ascii="Times New Roman" w:hAnsi="Times New Roman" w:cs="Times New Roman"/>
          <w:sz w:val="24"/>
          <w:szCs w:val="24"/>
        </w:rPr>
        <w:t xml:space="preserve">протокола от_________ по лоту №_______ (далее – протокол), совместно именуемые «Стороны»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заключили настоящий договор о следующем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Предмет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ind w:firstLine="540"/>
        <w:jc w:val="both"/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1.1. Во исполнение протокола Арендодатель передает, а Арендатор принимает </w:t>
        <w:br/>
        <w:t xml:space="preserve">во временное пользование на условиях аренды земельный участок, имеющий кадастровый номер </w:t>
      </w:r>
      <w:r>
        <w:rPr>
          <w:rFonts w:ascii="Times New Roman" w:hAnsi="Times New Roman" w:cs="Times New Roman"/>
          <w:b/>
          <w:sz w:val="24"/>
          <w:szCs w:val="24"/>
        </w:rPr>
        <w:t xml:space="preserve">59:01:4413817:162</w:t>
      </w:r>
      <w:r>
        <w:rPr>
          <w:rFonts w:ascii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кв.м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расположенный на землях населенных пунктов и находящийся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Пермский край, городской округ Пермский, город Пермь,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улица 1-я Карьерная, з/у 2а</w:t>
      </w:r>
      <w:r>
        <w:rPr>
          <w:rFonts w:ascii="Times New Roman" w:hAnsi="Times New Roman" w:cs="Times New Roman"/>
          <w:sz w:val="24"/>
          <w:szCs w:val="24"/>
        </w:rPr>
        <w:t xml:space="preserve"> (далее - земельный участок),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, в границах, сведения о которых содержатся </w:t>
        <w:br/>
        <w:t xml:space="preserve">в Едином государственном реестре недвижимости, и в качественном состоянии как он есть согласно приложению к настоящему договору.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98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Земельный участок </w:t>
      </w:r>
      <w:r>
        <w:rPr>
          <w:rFonts w:ascii="Times New Roman" w:hAnsi="Times New Roman" w:cs="Times New Roman"/>
          <w:sz w:val="24"/>
          <w:szCs w:val="24"/>
        </w:rPr>
        <w:t xml:space="preserve">расположен в зонах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особым условием использования территорий: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риаэродромная территория </w:t>
      </w:r>
      <w:r>
        <w:rPr>
          <w:rFonts w:ascii="Times New Roman" w:hAnsi="Times New Roman" w:cs="Times New Roman"/>
          <w:sz w:val="24"/>
          <w:szCs w:val="24"/>
        </w:rPr>
        <w:t xml:space="preserve">аэродрома аэропорта Большое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Савино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Земельный участок </w:t>
      </w:r>
      <w:r>
        <w:rPr>
          <w:rFonts w:ascii="Times New Roman" w:hAnsi="Times New Roman" w:cs="Times New Roman"/>
          <w:sz w:val="24"/>
          <w:szCs w:val="24"/>
        </w:rPr>
        <w:t xml:space="preserve">расположен в зоне санитарной охраны: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numPr>
          <w:ilvl w:val="0"/>
          <w:numId w:val="9"/>
        </w:numPr>
        <w:ind w:left="0" w:right="0" w:firstLine="349"/>
        <w:jc w:val="both"/>
        <w:spacing w:line="240" w:lineRule="auto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III пояс Зоны санитарной охраны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скважины 1 ООО "Нового-Прикамье" 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м/р Парковый г. Перми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/>
    </w:p>
    <w:p>
      <w:pPr>
        <w:pStyle w:val="898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1.2. Разрешенное использование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индивидуального жилищного строительств</w:t>
      </w:r>
      <w:r>
        <w:rPr>
          <w:rFonts w:ascii="Times New Roman" w:hAnsi="Times New Roman" w:cs="Times New Roman"/>
          <w:sz w:val="24"/>
          <w:szCs w:val="24"/>
        </w:rPr>
        <w:t xml:space="preserve">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ind w:firstLine="540"/>
        <w:jc w:val="both"/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/>
          <w:sz w:val="24"/>
          <w:szCs w:val="24"/>
          <w:lang w:val="en-US"/>
        </w:rPr>
        <w:t xml:space="preserve">Проектирование и строительство необходимо вести в соответствии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val="en-US"/>
        </w:rPr>
        <w:t xml:space="preserve">с пунктом 4.5 СП 55.13330.2016 Свода Правил. Дома жилые одноквартирные. СНиП </w:t>
        <w:br/>
        <w:t xml:space="preserve">31-02-2001, утвержденным и введенным </w:t>
      </w:r>
      <w:r>
        <w:rPr>
          <w:rFonts w:ascii="Times New Roman" w:hAnsi="Times New Roman"/>
          <w:sz w:val="24"/>
          <w:szCs w:val="24"/>
          <w:lang w:val="en-US"/>
        </w:rPr>
        <w:t xml:space="preserve">в действие Приказом Министерства строительства </w:t>
        <w:br/>
        <w:t xml:space="preserve">и жилищно-коммунального хозяйства Российской Федерации от 20.10.2016 </w:t>
      </w:r>
      <w:r>
        <w:rPr>
          <w:rFonts w:ascii="Times New Roman" w:hAnsi="Times New Roman"/>
          <w:sz w:val="24"/>
          <w:szCs w:val="24"/>
          <w:lang w:val="en-US"/>
        </w:rPr>
        <w:t xml:space="preserve">№ 725/пр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(ред. </w:t>
        <w:br/>
        <w:t xml:space="preserve">от 17.05.2023)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  <w:lang w:val="en-US"/>
        </w:rPr>
        <w:t xml:space="preserve">ом должен включать жилые комнаты – одну или несколько (общую комнату или гостиную, спальню),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а также вспомогательные помещения: переднюю, кухню (в том числе кухню-столовую и (или) кухню-нишу), ванные комнаты и (или) душевые, туалет (у</w:t>
      </w:r>
      <w:r>
        <w:rPr>
          <w:rFonts w:ascii="Times New Roman" w:hAnsi="Times New Roman"/>
          <w:sz w:val="24"/>
          <w:szCs w:val="24"/>
          <w:lang w:val="en-US"/>
        </w:rPr>
        <w:t xml:space="preserve">борную) или совмещенный санузел</w:t>
      </w:r>
      <w:r>
        <w:rPr>
          <w:rFonts w:ascii="Times New Roman" w:hAnsi="Times New Roman"/>
          <w:sz w:val="24"/>
          <w:szCs w:val="24"/>
        </w:rPr>
        <w:t xml:space="preserve">, переднюю.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98"/>
        <w:ind w:firstLine="540"/>
        <w:jc w:val="both"/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/>
          <w:sz w:val="24"/>
          <w:szCs w:val="24"/>
          <w:lang w:val="en-US"/>
        </w:rPr>
        <w:t xml:space="preserve">Согласно пункту 6.1 СП 55.13330.2016 площади помещений строящихся </w:t>
        <w:br/>
        <w:t xml:space="preserve">и реконструируемых жилых домов должны быть не менее: общей комнаты в однокомнатном доме - 14 м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</w:t>
      </w:r>
      <w:r>
        <w:rPr>
          <w:rFonts w:ascii="Times New Roman" w:hAnsi="Times New Roman"/>
          <w:sz w:val="24"/>
          <w:szCs w:val="24"/>
          <w:lang w:val="en-US"/>
        </w:rPr>
        <w:t xml:space="preserve">, общей комнаты в доме </w:t>
      </w:r>
      <w:r>
        <w:rPr>
          <w:rFonts w:ascii="Times New Roman" w:hAnsi="Times New Roman"/>
          <w:sz w:val="24"/>
          <w:szCs w:val="24"/>
          <w:lang w:val="en-US"/>
        </w:rPr>
        <w:t xml:space="preserve">с числом комнат две и более - 16 м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</w:t>
      </w:r>
      <w:r>
        <w:rPr>
          <w:rFonts w:ascii="Times New Roman" w:hAnsi="Times New Roman"/>
          <w:sz w:val="24"/>
          <w:szCs w:val="24"/>
          <w:lang w:val="en-US"/>
        </w:rPr>
        <w:t xml:space="preserve">, спальни - 8 м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</w:t>
      </w:r>
      <w:r>
        <w:rPr>
          <w:rFonts w:ascii="Times New Roman" w:hAnsi="Times New Roman"/>
          <w:sz w:val="24"/>
          <w:szCs w:val="24"/>
          <w:lang w:val="en-US"/>
        </w:rPr>
        <w:t xml:space="preserve"> (на двух человек - 10 м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</w:t>
      </w:r>
      <w:r>
        <w:rPr>
          <w:rFonts w:ascii="Times New Roman" w:hAnsi="Times New Roman"/>
          <w:sz w:val="24"/>
          <w:szCs w:val="24"/>
          <w:lang w:val="en-US"/>
        </w:rPr>
        <w:t xml:space="preserve">); кухни - 8 м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</w:t>
      </w:r>
      <w:r>
        <w:rPr>
          <w:rFonts w:ascii="Times New Roman" w:hAnsi="Times New Roman"/>
          <w:sz w:val="24"/>
          <w:szCs w:val="24"/>
          <w:lang w:val="en-US"/>
        </w:rPr>
        <w:t xml:space="preserve">; кухонной зоны в кухне-столовой - 6 м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</w:t>
      </w:r>
      <w:r>
        <w:rPr>
          <w:rFonts w:ascii="Times New Roman" w:hAnsi="Times New Roman"/>
          <w:sz w:val="24"/>
          <w:szCs w:val="24"/>
          <w:lang w:val="en-US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В домах </w:t>
      </w:r>
      <w:r>
        <w:rPr>
          <w:rFonts w:ascii="Times New Roman" w:hAnsi="Times New Roman"/>
          <w:sz w:val="24"/>
          <w:szCs w:val="24"/>
          <w:lang w:val="en-US"/>
        </w:rPr>
        <w:t xml:space="preserve">с одной комнатой допускается проектировать кухни или кухни-ниши площадью не менее 5 м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</w:t>
      </w:r>
      <w:r>
        <w:rPr>
          <w:rFonts w:ascii="Times New Roman" w:hAnsi="Times New Roman"/>
          <w:sz w:val="24"/>
          <w:szCs w:val="24"/>
          <w:lang w:val="en-US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Площадь спальни и кухни в мансардном этаже (или этаже с наклонными ограждающими конструкциями) допускается не менее 7 м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</w:t>
      </w:r>
      <w:r>
        <w:rPr>
          <w:rFonts w:ascii="Times New Roman" w:hAnsi="Times New Roman"/>
          <w:sz w:val="24"/>
          <w:szCs w:val="24"/>
          <w:lang w:val="en-US"/>
        </w:rPr>
        <w:t xml:space="preserve"> при условии, что общая жилая комната имеет площадь не менее </w:t>
        <w:br/>
        <w:t xml:space="preserve">16 м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</w:t>
      </w:r>
      <w:r>
        <w:rPr>
          <w:rFonts w:ascii="Times New Roman" w:hAnsi="Times New Roman"/>
          <w:sz w:val="24"/>
          <w:szCs w:val="24"/>
          <w:lang w:val="en-US"/>
        </w:rPr>
        <w:t xml:space="preserve">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98"/>
        <w:ind w:firstLine="540"/>
        <w:jc w:val="both"/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/>
          <w:sz w:val="24"/>
          <w:szCs w:val="24"/>
          <w:lang w:val="en-US"/>
        </w:rPr>
        <w:t xml:space="preserve">Согласно пункту 6.2 СП 55.13330.2016 высота (от пола до потолка) комнат и кухни (кухни-столовой) в климатических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районах строительства IА, IБ, IГ, IД, определяемых по СП 131.13330, должна быть не менее 2,7 м, а в других климатических районах строительства - </w:t>
        <w:br/>
        <w:t xml:space="preserve">не менее 2,5 м. Высота внутридомовых коридоров, холлов, передних, антресолей должна составлять не менее 2,1 м,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а высота пути эвакуации - не менее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2,2 м.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98"/>
        <w:ind w:firstLine="540"/>
        <w:jc w:val="both"/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/>
          <w:sz w:val="24"/>
          <w:szCs w:val="24"/>
          <w:lang w:val="en-US"/>
        </w:rPr>
        <w:t xml:space="preserve">В жилых комнатах и кухнях, расположенных в этажах </w:t>
      </w:r>
      <w:r>
        <w:rPr>
          <w:rFonts w:ascii="Times New Roman" w:hAnsi="Times New Roman"/>
          <w:sz w:val="24"/>
          <w:szCs w:val="24"/>
          <w:lang w:val="en-US"/>
        </w:rPr>
        <w:t xml:space="preserve">с наклонными ограждающими конструкциями или в мансардном этаже, допускается уменьшение высоты помещений (от пола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до потолка), относительно нормируемой на площади, не превышающей 50%.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98"/>
        <w:ind w:firstLine="540"/>
        <w:jc w:val="both"/>
        <w:spacing w:line="240" w:lineRule="auto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/>
          <w:sz w:val="24"/>
          <w:szCs w:val="24"/>
        </w:rPr>
        <w:t xml:space="preserve">Согласно информации, содержащейся в градостроительно</w:t>
      </w:r>
      <w:r>
        <w:rPr>
          <w:rFonts w:ascii="Times New Roman" w:hAnsi="Times New Roman"/>
          <w:sz w:val="24"/>
          <w:szCs w:val="24"/>
        </w:rPr>
        <w:t xml:space="preserve">м плане земельного участка </w:t>
        <w:br/>
        <w:t xml:space="preserve">от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highlight w:val="none"/>
        </w:rPr>
        <w:t xml:space="preserve">10</w:t>
      </w:r>
      <w:r>
        <w:rPr>
          <w:rFonts w:ascii="Times New Roman" w:hAnsi="Times New Roman"/>
          <w:sz w:val="24"/>
          <w:highlight w:val="white"/>
        </w:rPr>
        <w:t xml:space="preserve">.</w:t>
      </w:r>
      <w:r>
        <w:rPr>
          <w:rFonts w:ascii="Times New Roman" w:hAnsi="Times New Roman"/>
          <w:sz w:val="24"/>
          <w:highlight w:val="white"/>
        </w:rPr>
        <w:t xml:space="preserve">12.</w:t>
      </w:r>
      <w:r>
        <w:rPr>
          <w:rFonts w:ascii="Times New Roman" w:hAnsi="Times New Roman"/>
          <w:sz w:val="24"/>
          <w:highlight w:val="white"/>
        </w:rPr>
        <w:t xml:space="preserve">2025 № РФ-59-2-03-0-00-2025</w:t>
      </w:r>
      <w:r>
        <w:rPr>
          <w:rFonts w:ascii="Times New Roman" w:hAnsi="Times New Roman"/>
          <w:sz w:val="24"/>
          <w:highlight w:val="white"/>
        </w:rPr>
        <w:t xml:space="preserve">-</w:t>
      </w:r>
      <w:r>
        <w:rPr>
          <w:rFonts w:ascii="Times New Roman" w:hAnsi="Times New Roman"/>
          <w:sz w:val="24"/>
          <w:highlight w:val="white"/>
        </w:rPr>
        <w:t xml:space="preserve">3022-0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– ГПЗУ), предельная высота з</w:t>
      </w:r>
      <w:r>
        <w:rPr>
          <w:rFonts w:ascii="Times New Roman" w:hAnsi="Times New Roman"/>
          <w:sz w:val="24"/>
          <w:szCs w:val="24"/>
        </w:rPr>
        <w:t xml:space="preserve">даний, строений не более 10,5 м.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pStyle w:val="898"/>
        <w:ind w:firstLine="540"/>
        <w:jc w:val="both"/>
        <w:spacing w:line="240" w:lineRule="auto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Минимальный отступ от границ земельного участка до места допустимого размещени</w:t>
      </w:r>
      <w:r>
        <w:rPr>
          <w:rFonts w:ascii="Times New Roman" w:hAnsi="Times New Roman"/>
          <w:sz w:val="24"/>
          <w:szCs w:val="24"/>
        </w:rPr>
        <w:t xml:space="preserve">я зданий, строений, сооружений </w:t>
      </w:r>
      <w:r>
        <w:rPr>
          <w:rFonts w:ascii="Times New Roman" w:hAnsi="Times New Roman"/>
          <w:sz w:val="24"/>
          <w:szCs w:val="24"/>
        </w:rPr>
        <w:t xml:space="preserve">(за исключе</w:t>
      </w:r>
      <w:r>
        <w:rPr>
          <w:rFonts w:ascii="Times New Roman" w:hAnsi="Times New Roman"/>
          <w:sz w:val="24"/>
          <w:szCs w:val="24"/>
        </w:rPr>
        <w:t xml:space="preserve">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pStyle w:val="898"/>
        <w:ind w:firstLine="540"/>
        <w:jc w:val="both"/>
        <w:spacing w:line="240" w:lineRule="auto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Максимальный выступ за красную линию нависающих частей здания наземных уровней, выступающих из плоскости наружной стены фасада здани</w:t>
      </w:r>
      <w:r>
        <w:rPr>
          <w:rFonts w:ascii="Times New Roman" w:hAnsi="Times New Roman"/>
          <w:sz w:val="24"/>
          <w:szCs w:val="24"/>
        </w:rPr>
        <w:t xml:space="preserve">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 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pStyle w:val="898"/>
        <w:ind w:firstLine="540"/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Максимальный процент застройки в границах Участка – 30%.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8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8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Права и обязанности Арендодателя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8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Арендодатель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осуществлять </w:t>
      </w:r>
      <w:r>
        <w:rPr>
          <w:rFonts w:ascii="Times New Roman" w:hAnsi="Times New Roman" w:cs="Times New Roman"/>
          <w:sz w:val="24"/>
          <w:szCs w:val="24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земельного участка, предоставленного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требовать досрочного расторжени</w:t>
      </w:r>
      <w:r>
        <w:rPr>
          <w:rFonts w:ascii="Times New Roman" w:hAnsi="Times New Roman" w:cs="Times New Roman"/>
          <w:sz w:val="24"/>
          <w:szCs w:val="24"/>
        </w:rPr>
        <w:t xml:space="preserve">я договора в случаях, предусмот</w:t>
      </w:r>
      <w:r>
        <w:rPr>
          <w:rFonts w:ascii="Times New Roman" w:hAnsi="Times New Roman" w:cs="Times New Roman"/>
          <w:sz w:val="24"/>
          <w:szCs w:val="24"/>
        </w:rPr>
        <w:t xml:space="preserve">ренных действующим законодательством и настоящим договором;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осуществлять осмотр арендованног</w:t>
      </w:r>
      <w:r>
        <w:rPr>
          <w:rFonts w:ascii="Times New Roman" w:hAnsi="Times New Roman" w:cs="Times New Roman"/>
          <w:sz w:val="24"/>
          <w:szCs w:val="24"/>
        </w:rPr>
        <w:t xml:space="preserve">о земельного участка без предва</w:t>
      </w:r>
      <w:r>
        <w:rPr>
          <w:rFonts w:ascii="Times New Roman" w:hAnsi="Times New Roman" w:cs="Times New Roman"/>
          <w:sz w:val="24"/>
          <w:szCs w:val="24"/>
        </w:rPr>
        <w:t xml:space="preserve">рительного уведомления Арендатора.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Арендодатель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не вмешиваться в хозяйственную деятельность Арендатора, если она </w:t>
        <w:br/>
        <w:t xml:space="preserve">не противоречит условиям договора и земельному законодательству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Права и обязанности Арендатора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 xml:space="preserve">Арендатор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использовать земельный участок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условиями настоя</w:t>
      </w:r>
      <w:r>
        <w:rPr>
          <w:rFonts w:ascii="Times New Roman" w:hAnsi="Times New Roman" w:cs="Times New Roman"/>
          <w:sz w:val="24"/>
          <w:szCs w:val="24"/>
        </w:rPr>
        <w:t xml:space="preserve">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исключением сооружений, которые могут размещаться на таких земельных участках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основании сервитута, публичного сервитута или в соответствии со статьей 39.36 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 Арендатор обязан: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ind w:firstLine="567"/>
        <w:jc w:val="both"/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3.2.1. своевременно приступить к использованию земельного участка;</w:t>
      </w:r>
      <w:r/>
    </w:p>
    <w:p>
      <w:pPr>
        <w:pStyle w:val="898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sz w:val="24"/>
          <w:szCs w:val="24"/>
        </w:rPr>
        <w:t xml:space="preserve">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использовать земельный участок в границах, сведения о которых содержатся в </w:t>
      </w:r>
      <w:r>
        <w:rPr>
          <w:rFonts w:ascii="Times New Roman" w:hAnsi="Times New Roman" w:cs="Times New Roman"/>
          <w:sz w:val="24"/>
          <w:szCs w:val="24"/>
        </w:rPr>
        <w:t xml:space="preserve">Едином государственном реестре не</w:t>
      </w:r>
      <w:r>
        <w:rPr>
          <w:rFonts w:ascii="Times New Roman" w:hAnsi="Times New Roman" w:cs="Times New Roman"/>
          <w:sz w:val="24"/>
          <w:szCs w:val="24"/>
        </w:rPr>
        <w:t xml:space="preserve">движимости, в соответствии с це</w:t>
      </w:r>
      <w:r>
        <w:rPr>
          <w:rFonts w:ascii="Times New Roman" w:hAnsi="Times New Roman" w:cs="Times New Roman"/>
          <w:sz w:val="24"/>
          <w:szCs w:val="24"/>
        </w:rPr>
        <w:t xml:space="preserve">левым назначением и видом разрешенного использования, </w:t>
      </w:r>
      <w:r>
        <w:rPr>
          <w:rFonts w:ascii="Times New Roman" w:hAnsi="Times New Roman" w:cs="Times New Roman"/>
          <w:sz w:val="24"/>
          <w:szCs w:val="24"/>
        </w:rPr>
        <w:t xml:space="preserve">указанными</w:t>
      </w:r>
      <w:r>
        <w:rPr>
          <w:rFonts w:ascii="Times New Roman" w:hAnsi="Times New Roman" w:cs="Times New Roman"/>
          <w:sz w:val="24"/>
          <w:szCs w:val="24"/>
        </w:rPr>
        <w:t xml:space="preserve"> в пунктах 1.1, 1.2 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3.2.4.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сохранять геодезические пункты государственной геодезической сети, нивелирные пункты государственной нивелирной сети, гравиметрические пункты государственной гравиметрической сети, геодезические пункты геодезических сетей специального назначения, лесохозяй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ственные, лесоустроительные и иные специальные информационные знаки, установленные на земельных участках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3.2.5. своевременно вносить арендную плату;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3.2.6. обеспечивать Арендодателю, пред</w:t>
      </w:r>
      <w:r>
        <w:rPr>
          <w:rFonts w:ascii="Times New Roman" w:hAnsi="Times New Roman" w:cs="Times New Roman"/>
          <w:sz w:val="24"/>
          <w:szCs w:val="24"/>
        </w:rPr>
        <w:t xml:space="preserve">ставителям органов контроля сво</w:t>
      </w:r>
      <w:r>
        <w:rPr>
          <w:rFonts w:ascii="Times New Roman" w:hAnsi="Times New Roman" w:cs="Times New Roman"/>
          <w:sz w:val="24"/>
          <w:szCs w:val="24"/>
        </w:rPr>
        <w:t xml:space="preserve">бодный доступ на земельный участок с целью его осмотра на предмет соблюдения условий договора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требований земельного законодательства;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3.2.7. обеспечивать доступ на земельный </w:t>
      </w:r>
      <w:r>
        <w:rPr>
          <w:rFonts w:ascii="Times New Roman" w:hAnsi="Times New Roman" w:cs="Times New Roman"/>
          <w:sz w:val="24"/>
          <w:szCs w:val="24"/>
        </w:rPr>
        <w:t xml:space="preserve">участок представителей собствен</w:t>
      </w:r>
      <w:r>
        <w:rPr>
          <w:rFonts w:ascii="Times New Roman" w:hAnsi="Times New Roman" w:cs="Times New Roman"/>
          <w:sz w:val="24"/>
          <w:szCs w:val="24"/>
        </w:rPr>
        <w:t xml:space="preserve">ника линейного объекта или представителей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организации, осуществляющей экс</w:t>
      </w:r>
      <w:r>
        <w:rPr>
          <w:rFonts w:ascii="Times New Roman" w:hAnsi="Times New Roman" w:cs="Times New Roman"/>
          <w:sz w:val="24"/>
          <w:szCs w:val="24"/>
        </w:rPr>
        <w:t xml:space="preserve">плуатацию линейного объекта,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целях обеспечения его безопасности в случае, если земельный участок расположен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охранной зоне линейного объекта;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3.2.8. </w:t>
      </w:r>
      <w:r>
        <w:rPr>
          <w:rFonts w:ascii="Times New Roman" w:hAnsi="Times New Roman" w:cs="Times New Roman"/>
          <w:sz w:val="24"/>
          <w:szCs w:val="24"/>
        </w:rPr>
        <w:t xml:space="preserve">не допускать строительства на зем</w:t>
      </w:r>
      <w:r>
        <w:rPr>
          <w:rFonts w:ascii="Times New Roman" w:hAnsi="Times New Roman" w:cs="Times New Roman"/>
          <w:sz w:val="24"/>
          <w:szCs w:val="24"/>
        </w:rPr>
        <w:t xml:space="preserve">ельном участке до получения раз</w:t>
      </w:r>
      <w:r>
        <w:rPr>
          <w:rFonts w:ascii="Times New Roman" w:hAnsi="Times New Roman" w:cs="Times New Roman"/>
          <w:sz w:val="24"/>
          <w:szCs w:val="24"/>
        </w:rPr>
        <w:t xml:space="preserve">решения на строительство в установленном порядке, в случае если получение такого разрешения предусмотрено действующим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 допускать строительства на земельно</w:t>
      </w:r>
      <w:r>
        <w:rPr>
          <w:rFonts w:ascii="Times New Roman" w:hAnsi="Times New Roman" w:cs="Times New Roman"/>
          <w:sz w:val="24"/>
          <w:szCs w:val="24"/>
        </w:rPr>
        <w:t xml:space="preserve">м участке до получения уведомле</w:t>
      </w:r>
      <w:r>
        <w:rPr>
          <w:rFonts w:ascii="Times New Roman" w:hAnsi="Times New Roman" w:cs="Times New Roman"/>
          <w:sz w:val="24"/>
          <w:szCs w:val="24"/>
        </w:rPr>
        <w:t xml:space="preserve">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</w:t>
      </w:r>
      <w:r>
        <w:rPr>
          <w:rStyle w:val="905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Направить Арендодателю копию уведомления в соответствии с абзацем вторым </w:t>
      </w:r>
      <w:r>
        <w:rPr>
          <w:rFonts w:ascii="Times New Roman" w:hAnsi="Times New Roman" w:cs="Times New Roman"/>
          <w:sz w:val="24"/>
          <w:szCs w:val="24"/>
        </w:rPr>
        <w:t xml:space="preserve">настоящего пункта в течение 10 дней со дня его получения;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3.2.9</w:t>
      </w:r>
      <w:r>
        <w:rPr>
          <w:rFonts w:ascii="Times New Roman" w:hAnsi="Times New Roman" w:cs="Times New Roman"/>
          <w:sz w:val="24"/>
          <w:szCs w:val="24"/>
        </w:rPr>
        <w:t xml:space="preserve">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</w:t>
      </w:r>
      <w:r>
        <w:rPr>
          <w:rFonts w:ascii="Times New Roman" w:hAnsi="Times New Roman" w:cs="Times New Roman"/>
          <w:sz w:val="24"/>
          <w:szCs w:val="24"/>
        </w:rPr>
        <w:t xml:space="preserve">ы залога,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договорились, что сделки, сле</w:t>
      </w:r>
      <w:r>
        <w:rPr>
          <w:rFonts w:ascii="Times New Roman" w:hAnsi="Times New Roman" w:cs="Times New Roman"/>
          <w:sz w:val="24"/>
          <w:szCs w:val="24"/>
        </w:rPr>
        <w:t xml:space="preserve">дствием которых является или мо</w:t>
      </w:r>
      <w:r>
        <w:rPr>
          <w:rFonts w:ascii="Times New Roman" w:hAnsi="Times New Roman" w:cs="Times New Roman"/>
          <w:sz w:val="24"/>
          <w:szCs w:val="24"/>
        </w:rPr>
        <w:t xml:space="preserve">жет являться какое-либо обременение предоставленных Арендатору по договору имущественных прав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абзацем первым настоящего 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0. письменно сообщить Арендодателю не </w:t>
      </w:r>
      <w:r>
        <w:rPr>
          <w:rFonts w:ascii="Times New Roman" w:hAnsi="Times New Roman" w:cs="Times New Roman"/>
          <w:sz w:val="24"/>
          <w:szCs w:val="24"/>
        </w:rPr>
        <w:t xml:space="preserve">позднее</w:t>
      </w:r>
      <w:r>
        <w:rPr>
          <w:rFonts w:ascii="Times New Roman" w:hAnsi="Times New Roman" w:cs="Times New Roman"/>
          <w:sz w:val="24"/>
          <w:szCs w:val="24"/>
        </w:rPr>
        <w:t xml:space="preserve">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пунктом 1.1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3.2.11. при расторжении, прекращении настоящего договора вернуть Арендодателю земельный участок в надлежащем состоянии в пятидневный срок с момента расторжения, прекращения настоящего договора по акту приема-передачи земельного участка;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2. в случае изменения адреса или иных реквизитов Арендатора в пятидневный срок направить Арендодателю письменное уведомление;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3.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4.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</w:rPr>
        <w:t xml:space="preserve"> соблюдать требования к параметрам объекта недвижимости, предполагаемого к возведению, указанные в аукционной документации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3.2.16</w:t>
      </w:r>
      <w:r>
        <w:rPr>
          <w:rFonts w:ascii="Times New Roman" w:hAnsi="Times New Roman" w:cs="Times New Roman"/>
          <w:sz w:val="24"/>
          <w:szCs w:val="24"/>
        </w:rPr>
        <w:t xml:space="preserve">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3.2.17.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 строительстве и размещении объектов на земельном участке, предусмотреть: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8"/>
        <w:numPr>
          <w:ilvl w:val="0"/>
          <w:numId w:val="5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/>
          <w:sz w:val="24"/>
          <w:szCs w:val="24"/>
          <w:highlight w:val="white"/>
        </w:rPr>
        <w:t xml:space="preserve">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</w:t>
      </w:r>
      <w:r>
        <w:rPr>
          <w:rFonts w:ascii="Times New Roman" w:hAnsi="Times New Roman"/>
          <w:sz w:val="24"/>
          <w:szCs w:val="24"/>
          <w:highlight w:val="white"/>
        </w:rPr>
        <w:t xml:space="preserve">азанный акт должен быть составлен на основании проектной документации. Остальные деревья сохранить;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8"/>
        <w:numPr>
          <w:ilvl w:val="0"/>
          <w:numId w:val="6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898"/>
        <w:numPr>
          <w:ilvl w:val="0"/>
          <w:numId w:val="7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/>
          <w:sz w:val="24"/>
          <w:szCs w:val="24"/>
          <w:highlight w:val="white"/>
        </w:rPr>
        <w:t xml:space="preserve">бор</w:t>
      </w:r>
      <w:r>
        <w:rPr>
          <w:rFonts w:ascii="Times New Roman" w:hAnsi="Times New Roman"/>
          <w:sz w:val="24"/>
          <w:szCs w:val="24"/>
          <w:highlight w:val="white"/>
        </w:rPr>
        <w:t xml:space="preserve"> и отвод</w:t>
      </w:r>
      <w:r>
        <w:rPr>
          <w:rFonts w:ascii="Times New Roman" w:hAnsi="Times New Roman"/>
          <w:sz w:val="24"/>
          <w:szCs w:val="24"/>
          <w:highlight w:val="white"/>
        </w:rPr>
        <w:t xml:space="preserve"> ливневых вод </w:t>
      </w:r>
      <w:r>
        <w:rPr>
          <w:rFonts w:ascii="Times New Roman" w:hAnsi="Times New Roman"/>
          <w:sz w:val="24"/>
          <w:szCs w:val="24"/>
          <w:highlight w:val="white"/>
        </w:rPr>
        <w:t xml:space="preserve">с использованием вариантов решений в зависимости от </w:t>
      </w:r>
      <w:r>
        <w:rPr>
          <w:rFonts w:ascii="Times New Roman" w:hAnsi="Times New Roman"/>
          <w:sz w:val="24"/>
          <w:szCs w:val="24"/>
          <w:highlight w:val="white"/>
        </w:rPr>
        <w:t xml:space="preserve">наличия централизованной системы ливневой канализации, площади водосбора с учетом транзитных вод с прилегающей территории; угла наклона рельефа, </w:t>
      </w:r>
      <w:r>
        <w:rPr>
          <w:rFonts w:ascii="Times New Roman" w:hAnsi="Times New Roman"/>
          <w:sz w:val="24"/>
          <w:szCs w:val="24"/>
          <w:highlight w:val="white"/>
        </w:rPr>
        <w:t xml:space="preserve">включая</w:t>
      </w:r>
      <w:r>
        <w:rPr>
          <w:rFonts w:ascii="Times New Roman" w:hAnsi="Times New Roman"/>
          <w:sz w:val="24"/>
          <w:szCs w:val="24"/>
          <w:highlight w:val="white"/>
        </w:rPr>
        <w:t xml:space="preserve"> прилегающие территории;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применения иных решений равномерного отвода поверхностного стока земельного участка;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898"/>
        <w:numPr>
          <w:ilvl w:val="0"/>
          <w:numId w:val="7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определение видов образующихся отходов и мест их размещения на период эксплуатации;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8"/>
        <w:numPr>
          <w:ilvl w:val="0"/>
          <w:numId w:val="7"/>
        </w:numPr>
        <w:contextualSpacing/>
        <w:ind w:left="0" w:right="0" w:firstLine="916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расстоянии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определение видов и объемов образующихся отходов и мест их размещения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 систематический вывоз отходов; недоп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ущение загрязнения атмосферы, почвы и подземных вод; предотвращение выноса грязи автотранспортом, выезжающим со строительной площадки;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обустройство проездов по строительной площадки, а также заездов и выездов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 строительной площадки дорожными плитами, исключив щебеночное основание;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pStyle w:val="898"/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3.2.18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примыкания земельного участка к улично-дорожной сети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г. Перми необходимо: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– разработать проект организации дорожного движения и согласовать в установленном порядке с ГКУ «Центр безопасности дорожного движения Пермского края» (ул. Пермская, 164, тел. 236-21-84);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–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получить согласие владельца автомобильной дороги (порядок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сооружениями пересечения автомобил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ь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дороге, а также перечень документов, необходимых для выдачи согласия, утверждены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остановлением администрации города Перми от 31 января 2022 г. № 45 «Об утверждении Порядка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оружениями пересечения автомобильной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дороге»);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u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облюдать при использовании земельных участков требования регламентов использования земель, экологические, санитарно-эпидемиологические и другие требования;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3.2.20.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облюдать при использовании земельного участка санитарные правила и нормативы, утвержденные постановлением Главного государственного врача Российской Федерации от 14.03.2002 № 10 «О введении в действие Санитарных правил и норм «Зоны санитарной охраны источн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иков водоснабжения и водопроводов питьевого назначения. СанПиН 2.1.4.1110-02»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3.2.21.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соблюдать правила охранных зон воздушного пространства, установленные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/>
    </w:p>
    <w:p>
      <w:pPr>
        <w:pStyle w:val="898"/>
        <w:contextualSpacing/>
        <w:ind w:firstLine="567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2. соблюдать Правила благоустройства территории города Перми, утвержденные решение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 Пермской городской Думы от 15.12.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2020 № 277 «Об утверждении Правил благоустр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ойства территории города Перми»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роезда от границ земельного участка до существующей улично-дорожной сети города Перми, а также наружное освещение подъезда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соблюдать иные требования, предусмотренные Земельным кодексом Российской Федерации, федеральными законами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Срок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арендная плата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/>
      <w:bookmarkStart w:id="1" w:name="P53"/>
      <w:r/>
      <w:bookmarkEnd w:id="1"/>
      <w:r>
        <w:rPr>
          <w:rFonts w:ascii="Times New Roman" w:hAnsi="Times New Roman" w:cs="Times New Roman"/>
          <w:sz w:val="24"/>
          <w:szCs w:val="24"/>
        </w:rPr>
        <w:t xml:space="preserve">4.1. Срок аренды земельного участка устанавливается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/>
      <w:bookmarkStart w:id="2" w:name="P51"/>
      <w:r/>
      <w:bookmarkEnd w:id="2"/>
      <w:r>
        <w:rPr>
          <w:rFonts w:ascii="Times New Roman" w:hAnsi="Times New Roman" w:cs="Times New Roman"/>
          <w:sz w:val="24"/>
          <w:szCs w:val="24"/>
        </w:rPr>
        <w:t xml:space="preserve">4.2. Ежегодный размер арендной платы составляет ______________ </w:t>
      </w:r>
      <w:r>
        <w:rPr>
          <w:rFonts w:ascii="Times New Roman" w:hAnsi="Times New Roman" w:cs="Times New Roman"/>
          <w:b/>
          <w:sz w:val="24"/>
          <w:szCs w:val="24"/>
        </w:rPr>
        <w:t xml:space="preserve"> рублей (____________________________________________________________ рублей __</w:t>
      </w:r>
      <w:r>
        <w:rPr>
          <w:rFonts w:ascii="Times New Roman" w:hAnsi="Times New Roman" w:cs="Times New Roman"/>
          <w:b/>
          <w:sz w:val="24"/>
          <w:szCs w:val="24"/>
        </w:rPr>
        <w:t xml:space="preserve"> копеек</w:t>
      </w:r>
      <w:r>
        <w:rPr>
          <w:rFonts w:ascii="Times New Roman" w:hAnsi="Times New Roman" w:cs="Times New Roman"/>
          <w:b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jc w:val="both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Реквизиты платежа: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Получатель:</w:t>
      </w:r>
      <w:r>
        <w:rPr>
          <w:rFonts w:ascii="Times New Roman" w:hAnsi="Times New Roman" w:cs="Times New Roman"/>
          <w:sz w:val="24"/>
          <w:szCs w:val="24"/>
        </w:rPr>
        <w:t xml:space="preserve"> УФК по Пермскому краю (департамент земельных отношений администрации города Перми);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ИНН</w:t>
      </w:r>
      <w:r>
        <w:rPr>
          <w:rFonts w:ascii="Times New Roman" w:hAnsi="Times New Roman" w:cs="Times New Roman"/>
          <w:sz w:val="24"/>
          <w:szCs w:val="24"/>
        </w:rPr>
        <w:t xml:space="preserve"> 5902293379;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БИК</w:t>
      </w:r>
      <w:r>
        <w:rPr>
          <w:rFonts w:ascii="Times New Roman" w:hAnsi="Times New Roman" w:cs="Times New Roman"/>
          <w:sz w:val="24"/>
          <w:szCs w:val="24"/>
        </w:rPr>
        <w:t xml:space="preserve"> 015773997;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КПП</w:t>
      </w:r>
      <w:r>
        <w:rPr>
          <w:rFonts w:ascii="Times New Roman" w:hAnsi="Times New Roman" w:cs="Times New Roman"/>
          <w:sz w:val="24"/>
          <w:szCs w:val="24"/>
        </w:rPr>
        <w:t xml:space="preserve"> 590201001;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Р/с</w:t>
      </w:r>
      <w:r>
        <w:rPr>
          <w:rFonts w:ascii="Times New Roman" w:hAnsi="Times New Roman" w:cs="Times New Roman"/>
          <w:sz w:val="24"/>
          <w:szCs w:val="24"/>
        </w:rPr>
        <w:t xml:space="preserve"> 03100643000000015600 Отделение Пермь г. Пермь;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погашения платежей: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КБК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99211105012041020120</w:t>
      </w:r>
      <w:r>
        <w:rPr>
          <w:rStyle w:val="90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землю;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Назначение платежа: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«Арендная плата за землю по </w:t>
      </w:r>
      <w:r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от __________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jc w:val="both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ОКТМО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57701000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.3. Арендатор обязан до подписания настоящего договора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вносится однократно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первые 3 года.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предоставления земельного участка на условиях аренды для индивидуального жилищного строительства арендатор обязан до подписания настоящего договора уплатить ежегодный размер арендной платы, указанный в пункте 4.2 настоящего договора (за вычетом зад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атка, внесенного для участия в аукционе), за 1 год.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4.4. Арендная плата исчисляется помесячно с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«___» _______ 20__ г.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 вносится в следующем порядке: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 I и II кварталы до 05 февраля, за III квартал до 05 июня, за IV квартал до 05 сентября текущего года.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рендная плата начисляется за весь текущий месяц.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8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 xml:space="preserve">За просрочку исполнения обязательства по внесению арендной платы, нарушение срока возврата земельного участка, установленного в пункте 3.2.1</w:t>
      </w:r>
      <w:r>
        <w:rPr>
          <w:rFonts w:ascii="Times New Roman" w:hAnsi="Times New Roman" w:cs="Times New Roman"/>
          <w:sz w:val="24"/>
          <w:szCs w:val="24"/>
        </w:rPr>
        <w:t xml:space="preserve">1 настоящего договора, Арендатор уплачивает Арендодателю пени в размере 0,03 % от суммы задолженности </w:t>
        <w:br/>
        <w:t xml:space="preserve">по арендной плате за каждый день просрочки.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Если Арендатор не возвратил земельный участок либо </w:t>
      </w:r>
      <w:r>
        <w:rPr>
          <w:rFonts w:ascii="Times New Roman" w:hAnsi="Times New Roman" w:cs="Times New Roman"/>
          <w:sz w:val="24"/>
          <w:szCs w:val="24"/>
        </w:rPr>
        <w:t xml:space="preserve">возвратил его несвоевременно арендная плата начисляется</w:t>
      </w:r>
      <w:r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 и вносится Арендатором за все время просрочки.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Во всем остальном, что не предусмо</w:t>
      </w:r>
      <w:r>
        <w:rPr>
          <w:rFonts w:ascii="Times New Roman" w:hAnsi="Times New Roman" w:cs="Times New Roman"/>
          <w:sz w:val="24"/>
          <w:szCs w:val="24"/>
        </w:rPr>
        <w:t xml:space="preserve">трено настоящим договором, сто</w:t>
      </w:r>
      <w:r>
        <w:rPr>
          <w:rFonts w:ascii="Times New Roman" w:hAnsi="Times New Roman" w:cs="Times New Roman"/>
          <w:sz w:val="24"/>
          <w:szCs w:val="24"/>
        </w:rPr>
        <w:t xml:space="preserve">роны руководствуются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  <w:br/>
        <w:t xml:space="preserve">в настоящем договоре.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заключения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6.1. Арендатор до подписания настоящего договора оплачивает арендную плату в размере и порядке, установленных пунктом 4.3 настоящего договора.</w:t>
      </w:r>
      <w:r/>
    </w:p>
    <w:p>
      <w:pPr>
        <w:pStyle w:val="898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  <w:r/>
    </w:p>
    <w:p>
      <w:pPr>
        <w:pStyle w:val="898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земельного участка.</w:t>
      </w:r>
      <w:r/>
    </w:p>
    <w:p>
      <w:pPr>
        <w:pStyle w:val="898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.4. В случае отсутствия оплаты в размере и порядке, предусмотренных в пункте 4.3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</w:t>
      </w:r>
      <w:r>
        <w:rPr>
          <w:rFonts w:ascii="Times New Roman" w:hAnsi="Times New Roman" w:cs="Times New Roman"/>
          <w:sz w:val="24"/>
          <w:szCs w:val="24"/>
        </w:rPr>
        <w:t xml:space="preserve">и.</w:t>
      </w:r>
      <w:r/>
    </w:p>
    <w:p>
      <w:pPr>
        <w:pStyle w:val="898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нарушения срока, установленного в пункте 6.1 настоящего договора, Арендатор уплачивает Арендодателю неустойку в размере 0,03% от суммы, указанной в пункте 4.2 настоящего договора, за каждый день просрочки.</w:t>
      </w:r>
      <w:r/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Расторжение, прекращение договора и заключение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jc w:val="center"/>
        <w:spacing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договора на новый срок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898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 xml:space="preserve">Настоящий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может быть ра</w:t>
      </w:r>
      <w:r>
        <w:rPr>
          <w:rFonts w:ascii="Times New Roman" w:hAnsi="Times New Roman" w:cs="Times New Roman"/>
          <w:sz w:val="24"/>
          <w:szCs w:val="24"/>
        </w:rPr>
        <w:t xml:space="preserve">сторгнут по письменному соглаше</w:t>
      </w:r>
      <w:r>
        <w:rPr>
          <w:rFonts w:ascii="Times New Roman" w:hAnsi="Times New Roman" w:cs="Times New Roman"/>
          <w:sz w:val="24"/>
          <w:szCs w:val="24"/>
        </w:rPr>
        <w:t xml:space="preserve">нию сторон, </w:t>
        <w:br/>
        <w:t xml:space="preserve">по требованию одной из сторон в судебном порядке в случаях, предусмотренных Гражданским кодексом Российской Федерации, Земельным кодексом Российской Федерации и настоящим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</w:t>
      </w:r>
      <w:r>
        <w:rPr>
          <w:rFonts w:ascii="Times New Roman" w:hAnsi="Times New Roman" w:cs="Times New Roman"/>
          <w:sz w:val="24"/>
          <w:szCs w:val="24"/>
        </w:rPr>
        <w:t xml:space="preserve">нный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договора, независимо от ее последующего внесения;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твом (загрязнение или иное нега</w:t>
      </w:r>
      <w:r>
        <w:rPr>
          <w:rFonts w:ascii="Times New Roman" w:hAnsi="Times New Roman" w:cs="Times New Roman"/>
          <w:sz w:val="24"/>
          <w:szCs w:val="24"/>
        </w:rPr>
        <w:t xml:space="preserve">тивное воздействие на земли </w:t>
        <w:br/>
        <w:t xml:space="preserve">и почву);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 кадастре недвижимости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ind w:firstLine="567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  <w:u w:val="none"/>
        </w:rPr>
        <w:outlineLvl w:val="1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  <w:u w:val="none"/>
        </w:rPr>
        <w:t xml:space="preserve">при непроведении мероприятий по защите земель от распространения опасных видов инвазивных (чужеродных) растений и уничтожению таких растений;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  <w:u w:val="none"/>
        </w:rPr>
      </w:r>
    </w:p>
    <w:p>
      <w:pPr>
        <w:pStyle w:val="898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при неиспользовании земельного участка, предназначенного для строительства, в том числе жилищного, в указанных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трех лет, если более длительный срок </w:t>
        <w:br/>
        <w:t xml:space="preserve">не установлен федеральным за</w:t>
      </w:r>
      <w:r>
        <w:rPr>
          <w:rFonts w:ascii="Times New Roman" w:hAnsi="Times New Roman" w:cs="Times New Roman"/>
          <w:sz w:val="24"/>
          <w:szCs w:val="24"/>
        </w:rPr>
        <w:t xml:space="preserve">ко</w:t>
      </w:r>
      <w:r>
        <w:rPr>
          <w:rFonts w:ascii="Times New Roman" w:hAnsi="Times New Roman" w:cs="Times New Roman"/>
          <w:sz w:val="24"/>
          <w:szCs w:val="24"/>
        </w:rPr>
        <w:t xml:space="preserve">ном;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 xml:space="preserve">неустранении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установленный с</w:t>
      </w:r>
      <w:r>
        <w:rPr>
          <w:rFonts w:ascii="Times New Roman" w:hAnsi="Times New Roman" w:cs="Times New Roman"/>
          <w:sz w:val="24"/>
          <w:szCs w:val="24"/>
        </w:rPr>
        <w:t xml:space="preserve">рок последствий совершенного зе</w:t>
      </w:r>
      <w:r>
        <w:rPr>
          <w:rFonts w:ascii="Times New Roman" w:hAnsi="Times New Roman" w:cs="Times New Roman"/>
          <w:sz w:val="24"/>
          <w:szCs w:val="24"/>
        </w:rPr>
        <w:t xml:space="preserve">мельного правонарушения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u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Расторжение настоящего договора не о</w:t>
      </w:r>
      <w:r>
        <w:rPr>
          <w:rFonts w:ascii="Times New Roman" w:hAnsi="Times New Roman" w:cs="Times New Roman"/>
          <w:sz w:val="24"/>
          <w:szCs w:val="24"/>
        </w:rPr>
        <w:t xml:space="preserve">свобождает Арендатора от необхо</w:t>
      </w:r>
      <w:r>
        <w:rPr>
          <w:rFonts w:ascii="Times New Roman" w:hAnsi="Times New Roman" w:cs="Times New Roman"/>
          <w:sz w:val="24"/>
          <w:szCs w:val="24"/>
        </w:rPr>
        <w:t xml:space="preserve">димости погашения задолженности по арендной плате и уплаты пени, предусмотренной настоящим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пунктом 7.2 настоящего договора, и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7.4. Насто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щий договор прекращается по истечении срока его действия, а также в случае ликвидации Арендатора – юридического лица и смерти Арендатора – физического лица, </w:t>
        <w:br/>
        <w:t xml:space="preserve">за исключением случаев наследования прав и обязанностей по договору в пределах срока его действия.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7.5.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Предоставление земельного участка в субаренду,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соглашения об установлении сервитута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Арендатор вправе передать земельный участок (его часть) в субаренду на срок,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передаче земельного участка (его части)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</w:t>
      </w:r>
      <w:r>
        <w:rPr>
          <w:rFonts w:ascii="Times New Roman" w:hAnsi="Times New Roman" w:cs="Times New Roman"/>
          <w:sz w:val="24"/>
          <w:szCs w:val="24"/>
        </w:rPr>
        <w:t xml:space="preserve"> срок, не превышающий срока дей</w:t>
      </w:r>
      <w:r>
        <w:rPr>
          <w:rFonts w:ascii="Times New Roman" w:hAnsi="Times New Roman" w:cs="Times New Roman"/>
          <w:sz w:val="24"/>
          <w:szCs w:val="24"/>
        </w:rPr>
        <w:t xml:space="preserve">ствия настоящего договора, с письменного согласия Арендодателя, за исключением случаев, установленных законом.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При досрочном прекращении дейст</w:t>
      </w:r>
      <w:r>
        <w:rPr>
          <w:rFonts w:ascii="Times New Roman" w:hAnsi="Times New Roman" w:cs="Times New Roman"/>
          <w:sz w:val="24"/>
          <w:szCs w:val="24"/>
        </w:rPr>
        <w:t xml:space="preserve">вия настоящего договора соглаше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об</w:t>
      </w:r>
      <w:r>
        <w:rPr>
          <w:rFonts w:ascii="Times New Roman" w:hAnsi="Times New Roman" w:cs="Times New Roman"/>
          <w:sz w:val="24"/>
          <w:szCs w:val="24"/>
        </w:rPr>
        <w:t xml:space="preserve">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 договором субаренды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IX. Особые обстоятельства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Под особыми обстоя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</w:t>
        <w:br/>
        <w:t xml:space="preserve">за неисполнение этих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Об этих обс</w:t>
      </w:r>
      <w:r>
        <w:rPr>
          <w:rFonts w:ascii="Times New Roman" w:hAnsi="Times New Roman" w:cs="Times New Roman"/>
          <w:sz w:val="24"/>
          <w:szCs w:val="24"/>
        </w:rPr>
        <w:t xml:space="preserve">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государственным органом.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Несвоевременное извещение о насту</w:t>
      </w:r>
      <w:r>
        <w:rPr>
          <w:rFonts w:ascii="Times New Roman" w:hAnsi="Times New Roman" w:cs="Times New Roman"/>
          <w:sz w:val="24"/>
          <w:szCs w:val="24"/>
        </w:rPr>
        <w:t xml:space="preserve">плении форс-мажора, военных дей</w:t>
      </w:r>
      <w:r>
        <w:rPr>
          <w:rFonts w:ascii="Times New Roman" w:hAnsi="Times New Roman" w:cs="Times New Roman"/>
          <w:sz w:val="24"/>
          <w:szCs w:val="24"/>
        </w:rPr>
        <w:t xml:space="preserve">ствий лишает соответствующую сторону права ссылаться в дальнейшем на ука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анные выше обстоятельства.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708"/>
        <w:jc w:val="bot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При продолжительности особых о</w:t>
      </w:r>
      <w:r>
        <w:rPr>
          <w:rFonts w:ascii="Times New Roman" w:hAnsi="Times New Roman" w:cs="Times New Roman"/>
          <w:sz w:val="24"/>
          <w:szCs w:val="24"/>
        </w:rPr>
        <w:t xml:space="preserve">бстоятельств, делающих невозмож</w:t>
      </w:r>
      <w:r>
        <w:rPr>
          <w:rFonts w:ascii="Times New Roman" w:hAnsi="Times New Roman" w:cs="Times New Roman"/>
          <w:sz w:val="24"/>
          <w:szCs w:val="24"/>
        </w:rPr>
        <w:t xml:space="preserve">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</w:t>
      </w:r>
      <w:r>
        <w:rPr>
          <w:rFonts w:ascii="Times New Roman" w:hAnsi="Times New Roman" w:cs="Times New Roman"/>
          <w:sz w:val="24"/>
          <w:szCs w:val="24"/>
        </w:rPr>
        <w:t xml:space="preserve">Настоящий договор считается заключенным с момента подписания Сторонами.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</w:t>
      </w:r>
      <w:r>
        <w:rPr>
          <w:rFonts w:ascii="Times New Roman" w:hAnsi="Times New Roman" w:cs="Times New Roman"/>
          <w:sz w:val="24"/>
          <w:szCs w:val="24"/>
        </w:rPr>
        <w:t xml:space="preserve">на бумажном носителе, подписанным собственноручной подписью Сторон по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приема-передачи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(приложение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 пункта 4.3 настоящего договора, произведена полностью. Реквизиты документ</w:t>
      </w:r>
      <w:r>
        <w:rPr>
          <w:rFonts w:ascii="Times New Roman" w:hAnsi="Times New Roman" w:cs="Times New Roman"/>
          <w:sz w:val="24"/>
          <w:szCs w:val="24"/>
        </w:rPr>
        <w:t xml:space="preserve">а(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), подтверждающего(их) перечисление денежных средств Арендодателю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</w:t>
      </w:r>
      <w:r>
        <w:rPr>
          <w:rFonts w:ascii="Times New Roman" w:hAnsi="Times New Roman" w:cs="Times New Roman"/>
          <w:b/>
          <w:sz w:val="24"/>
          <w:szCs w:val="24"/>
        </w:rPr>
        <w:t xml:space="preserve">. Адреса,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739"/>
        <w:gridCol w:w="5244"/>
      </w:tblGrid>
      <w:tr>
        <w:tblPrEx/>
        <w:trPr/>
        <w:tc>
          <w:tcPr>
            <w:tcW w:w="4739" w:type="dxa"/>
            <w:textDirection w:val="lrTb"/>
            <w:noWrap w:val="false"/>
          </w:tcPr>
          <w:p>
            <w:pPr>
              <w:pStyle w:val="898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89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898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614000, г. Пермь,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898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Сибирская, 15,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898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тел. 212-31-70, 212-28-92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W w:w="5244" w:type="dxa"/>
            <w:textDirection w:val="lrTb"/>
            <w:noWrap w:val="false"/>
          </w:tcPr>
          <w:p>
            <w:pPr>
              <w:pStyle w:val="898"/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Арендатор: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r>
          </w:p>
          <w:p>
            <w:pPr>
              <w:pStyle w:val="89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898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0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3"/>
      </w:tblGrid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jc w:val="left"/>
              <w:spacing w:line="240" w:lineRule="auto"/>
              <w:widowControl w:val="off"/>
              <w:rPr>
                <w:sz w:val="24"/>
                <w:szCs w:val="24"/>
                <w:lang w:eastAsia="ru-RU"/>
              </w:rPr>
            </w:pPr>
            <w:r/>
            <w:bookmarkStart w:id="4" w:name="P133"/>
            <w:r/>
            <w:bookmarkEnd w:id="4"/>
            <w:r>
              <w:rPr>
                <w:sz w:val="24"/>
                <w:szCs w:val="24"/>
                <w:lang w:eastAsia="ru-RU"/>
              </w:rPr>
              <w:t xml:space="preserve">Арендодатель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spacing w:line="240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spacing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  </w:t>
            </w:r>
            <w:r>
              <w:rPr>
                <w:b/>
                <w:sz w:val="24"/>
                <w:szCs w:val="24"/>
                <w:lang w:eastAsia="ru-RU"/>
              </w:rPr>
            </w:r>
            <w:r>
              <w:rPr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line="240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5243" w:type="dxa"/>
            <w:textDirection w:val="lrTb"/>
            <w:noWrap w:val="false"/>
          </w:tcPr>
          <w:p>
            <w:pPr>
              <w:jc w:val="left"/>
              <w:spacing w:line="240" w:lineRule="auto"/>
              <w:widowControl w:val="off"/>
              <w:rPr>
                <w:sz w:val="24"/>
                <w:szCs w:val="24"/>
                <w:vertAlign w:val="superscript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Арендатор</w:t>
            </w:r>
            <w:r>
              <w:rPr>
                <w:sz w:val="24"/>
                <w:szCs w:val="24"/>
                <w:vertAlign w:val="superscript"/>
                <w:lang w:eastAsia="ru-RU"/>
              </w:rPr>
            </w:r>
            <w:r>
              <w:rPr>
                <w:sz w:val="24"/>
                <w:szCs w:val="24"/>
                <w:vertAlign w:val="superscript"/>
                <w:lang w:eastAsia="ru-RU"/>
              </w:rPr>
            </w:r>
          </w:p>
          <w:p>
            <w:pPr>
              <w:jc w:val="both"/>
              <w:spacing w:line="240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spacing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  </w:t>
            </w:r>
            <w:r>
              <w:rPr>
                <w:b/>
                <w:sz w:val="24"/>
                <w:szCs w:val="24"/>
                <w:lang w:eastAsia="ru-RU"/>
              </w:rPr>
            </w:r>
            <w:r>
              <w:rPr>
                <w:b/>
                <w:sz w:val="24"/>
                <w:szCs w:val="24"/>
                <w:lang w:eastAsia="ru-RU"/>
              </w:rPr>
            </w:r>
          </w:p>
          <w:p>
            <w:pPr>
              <w:ind w:left="108"/>
              <w:jc w:val="both"/>
              <w:spacing w:line="240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</w:tbl>
    <w:p>
      <w:pPr>
        <w:pStyle w:val="898"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8"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98"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98"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98"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98"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98"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98"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98"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98"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98"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98"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98"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98"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98"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98"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98"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98"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98"/>
        <w:ind w:firstLine="708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5" w:h="16838" w:orient="portrait"/>
      <w:pgMar w:top="709" w:right="851" w:bottom="851" w:left="1134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6030504020204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contextualSpacing w:val="0"/>
        <w:jc w:val="left"/>
        <w:spacing w:before="0" w:after="0" w:line="264" w:lineRule="auto"/>
        <w:widowControl w:val="off"/>
        <w:rPr>
          <w:rFonts w:ascii="Times New Roman" w:hAnsi="Times New Roman" w:cs="Times New Roman"/>
          <w:sz w:val="20"/>
          <w:szCs w:val="20"/>
          <w:highlight w:val="none"/>
          <w14:ligatures w14:val="none"/>
        </w:rPr>
        <w:suppressLineNumbers w:val="0"/>
      </w:pPr>
      <w:r>
        <w:rPr>
          <w:rStyle w:val="905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Н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осит рекомендательный характер до 01 марта 2031 г.</w:t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</w:p>
    <w:p>
      <w:pPr>
        <w:pStyle w:val="903"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47844052"/>
      <w:docPartObj>
        <w:docPartGallery w:val="Page Numbers (Top of Page)"/>
        <w:docPartUnique w:val="true"/>
      </w:docPartObj>
      <w:rPr/>
    </w:sdtPr>
    <w:sdtContent>
      <w:p>
        <w:pPr>
          <w:pStyle w:val="908"/>
          <w:jc w:val="center"/>
        </w:pPr>
        <w:r/>
        <w:r/>
      </w:p>
      <w:p>
        <w:pPr>
          <w:pStyle w:val="90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9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61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8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0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2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4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6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8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0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21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1">
    <w:name w:val="Heading 1"/>
    <w:basedOn w:val="894"/>
    <w:next w:val="894"/>
    <w:link w:val="72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2">
    <w:name w:val="Heading 1 Char"/>
    <w:basedOn w:val="895"/>
    <w:link w:val="721"/>
    <w:uiPriority w:val="9"/>
    <w:rPr>
      <w:rFonts w:ascii="Arial" w:hAnsi="Arial" w:eastAsia="Arial" w:cs="Arial"/>
      <w:sz w:val="40"/>
      <w:szCs w:val="40"/>
    </w:rPr>
  </w:style>
  <w:style w:type="paragraph" w:styleId="723">
    <w:name w:val="Heading 2"/>
    <w:basedOn w:val="894"/>
    <w:next w:val="894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4">
    <w:name w:val="Heading 2 Char"/>
    <w:basedOn w:val="895"/>
    <w:link w:val="723"/>
    <w:uiPriority w:val="9"/>
    <w:rPr>
      <w:rFonts w:ascii="Arial" w:hAnsi="Arial" w:eastAsia="Arial" w:cs="Arial"/>
      <w:sz w:val="34"/>
    </w:rPr>
  </w:style>
  <w:style w:type="paragraph" w:styleId="725">
    <w:name w:val="Heading 3"/>
    <w:basedOn w:val="894"/>
    <w:next w:val="894"/>
    <w:link w:val="72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6">
    <w:name w:val="Heading 3 Char"/>
    <w:basedOn w:val="895"/>
    <w:link w:val="725"/>
    <w:uiPriority w:val="9"/>
    <w:rPr>
      <w:rFonts w:ascii="Arial" w:hAnsi="Arial" w:eastAsia="Arial" w:cs="Arial"/>
      <w:sz w:val="30"/>
      <w:szCs w:val="30"/>
    </w:rPr>
  </w:style>
  <w:style w:type="paragraph" w:styleId="727">
    <w:name w:val="Heading 4"/>
    <w:basedOn w:val="894"/>
    <w:next w:val="894"/>
    <w:link w:val="72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8">
    <w:name w:val="Heading 4 Char"/>
    <w:basedOn w:val="895"/>
    <w:link w:val="727"/>
    <w:uiPriority w:val="9"/>
    <w:rPr>
      <w:rFonts w:ascii="Arial" w:hAnsi="Arial" w:eastAsia="Arial" w:cs="Arial"/>
      <w:b/>
      <w:bCs/>
      <w:sz w:val="26"/>
      <w:szCs w:val="26"/>
    </w:rPr>
  </w:style>
  <w:style w:type="paragraph" w:styleId="729">
    <w:name w:val="Heading 5"/>
    <w:basedOn w:val="894"/>
    <w:next w:val="894"/>
    <w:link w:val="7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0">
    <w:name w:val="Heading 5 Char"/>
    <w:basedOn w:val="895"/>
    <w:link w:val="729"/>
    <w:uiPriority w:val="9"/>
    <w:rPr>
      <w:rFonts w:ascii="Arial" w:hAnsi="Arial" w:eastAsia="Arial" w:cs="Arial"/>
      <w:b/>
      <w:bCs/>
      <w:sz w:val="24"/>
      <w:szCs w:val="24"/>
    </w:rPr>
  </w:style>
  <w:style w:type="paragraph" w:styleId="731">
    <w:name w:val="Heading 6"/>
    <w:basedOn w:val="894"/>
    <w:next w:val="894"/>
    <w:link w:val="73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2">
    <w:name w:val="Heading 6 Char"/>
    <w:basedOn w:val="895"/>
    <w:link w:val="731"/>
    <w:uiPriority w:val="9"/>
    <w:rPr>
      <w:rFonts w:ascii="Arial" w:hAnsi="Arial" w:eastAsia="Arial" w:cs="Arial"/>
      <w:b/>
      <w:bCs/>
      <w:sz w:val="22"/>
      <w:szCs w:val="22"/>
    </w:rPr>
  </w:style>
  <w:style w:type="paragraph" w:styleId="733">
    <w:name w:val="Heading 7"/>
    <w:basedOn w:val="894"/>
    <w:next w:val="894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4">
    <w:name w:val="Heading 7 Char"/>
    <w:basedOn w:val="895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5">
    <w:name w:val="Heading 8"/>
    <w:basedOn w:val="894"/>
    <w:next w:val="894"/>
    <w:link w:val="7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6">
    <w:name w:val="Heading 8 Char"/>
    <w:basedOn w:val="895"/>
    <w:link w:val="735"/>
    <w:uiPriority w:val="9"/>
    <w:rPr>
      <w:rFonts w:ascii="Arial" w:hAnsi="Arial" w:eastAsia="Arial" w:cs="Arial"/>
      <w:i/>
      <w:iCs/>
      <w:sz w:val="22"/>
      <w:szCs w:val="22"/>
    </w:rPr>
  </w:style>
  <w:style w:type="paragraph" w:styleId="737">
    <w:name w:val="Heading 9"/>
    <w:basedOn w:val="894"/>
    <w:next w:val="894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>
    <w:name w:val="Heading 9 Char"/>
    <w:basedOn w:val="895"/>
    <w:link w:val="737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List Paragraph"/>
    <w:basedOn w:val="894"/>
    <w:uiPriority w:val="34"/>
    <w:qFormat/>
    <w:pPr>
      <w:contextualSpacing/>
      <w:ind w:left="720"/>
    </w:pPr>
  </w:style>
  <w:style w:type="paragraph" w:styleId="740">
    <w:name w:val="No Spacing"/>
    <w:uiPriority w:val="1"/>
    <w:qFormat/>
    <w:pPr>
      <w:spacing w:before="0" w:after="0" w:line="240" w:lineRule="auto"/>
    </w:pPr>
  </w:style>
  <w:style w:type="paragraph" w:styleId="741">
    <w:name w:val="Title"/>
    <w:basedOn w:val="894"/>
    <w:next w:val="894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>
    <w:name w:val="Title Char"/>
    <w:basedOn w:val="895"/>
    <w:link w:val="741"/>
    <w:uiPriority w:val="10"/>
    <w:rPr>
      <w:sz w:val="48"/>
      <w:szCs w:val="48"/>
    </w:rPr>
  </w:style>
  <w:style w:type="paragraph" w:styleId="743">
    <w:name w:val="Subtitle"/>
    <w:basedOn w:val="894"/>
    <w:next w:val="894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>
    <w:name w:val="Subtitle Char"/>
    <w:basedOn w:val="895"/>
    <w:link w:val="743"/>
    <w:uiPriority w:val="11"/>
    <w:rPr>
      <w:sz w:val="24"/>
      <w:szCs w:val="24"/>
    </w:rPr>
  </w:style>
  <w:style w:type="paragraph" w:styleId="745">
    <w:name w:val="Quote"/>
    <w:basedOn w:val="894"/>
    <w:next w:val="894"/>
    <w:link w:val="746"/>
    <w:uiPriority w:val="29"/>
    <w:qFormat/>
    <w:pPr>
      <w:ind w:left="720" w:right="720"/>
    </w:pPr>
    <w:rPr>
      <w:i/>
    </w:rPr>
  </w:style>
  <w:style w:type="character" w:styleId="746">
    <w:name w:val="Quote Char"/>
    <w:link w:val="745"/>
    <w:uiPriority w:val="29"/>
    <w:rPr>
      <w:i/>
    </w:rPr>
  </w:style>
  <w:style w:type="paragraph" w:styleId="747">
    <w:name w:val="Intense Quote"/>
    <w:basedOn w:val="894"/>
    <w:next w:val="894"/>
    <w:link w:val="74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>
    <w:name w:val="Intense Quote Char"/>
    <w:link w:val="747"/>
    <w:uiPriority w:val="30"/>
    <w:rPr>
      <w:i/>
    </w:rPr>
  </w:style>
  <w:style w:type="character" w:styleId="749">
    <w:name w:val="Header Char"/>
    <w:basedOn w:val="895"/>
    <w:link w:val="908"/>
    <w:uiPriority w:val="99"/>
  </w:style>
  <w:style w:type="character" w:styleId="750">
    <w:name w:val="Footer Char"/>
    <w:basedOn w:val="895"/>
    <w:link w:val="910"/>
    <w:uiPriority w:val="99"/>
  </w:style>
  <w:style w:type="paragraph" w:styleId="751">
    <w:name w:val="Caption"/>
    <w:basedOn w:val="894"/>
    <w:next w:val="894"/>
    <w:link w:val="7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2">
    <w:name w:val="Caption Char"/>
    <w:basedOn w:val="895"/>
    <w:link w:val="751"/>
    <w:uiPriority w:val="35"/>
    <w:rPr>
      <w:b/>
      <w:bCs/>
      <w:color w:val="4f81bd" w:themeColor="accent1"/>
      <w:sz w:val="18"/>
      <w:szCs w:val="18"/>
    </w:rPr>
  </w:style>
  <w:style w:type="table" w:styleId="753">
    <w:name w:val="Table Grid Light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2">
    <w:name w:val="List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3">
    <w:name w:val="List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4">
    <w:name w:val="List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5">
    <w:name w:val="List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6">
    <w:name w:val="List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7">
    <w:name w:val="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 &amp; 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Bordered &amp; 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Bordered &amp; 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Bordered &amp; 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Bordered &amp; 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Bordered &amp; 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character" w:styleId="879">
    <w:name w:val="Footnote Text Char"/>
    <w:link w:val="903"/>
    <w:uiPriority w:val="99"/>
    <w:rPr>
      <w:sz w:val="18"/>
    </w:rPr>
  </w:style>
  <w:style w:type="paragraph" w:styleId="880">
    <w:name w:val="endnote text"/>
    <w:basedOn w:val="894"/>
    <w:link w:val="881"/>
    <w:uiPriority w:val="99"/>
    <w:semiHidden/>
    <w:unhideWhenUsed/>
    <w:pPr>
      <w:spacing w:after="0" w:line="240" w:lineRule="auto"/>
    </w:pPr>
    <w:rPr>
      <w:sz w:val="20"/>
    </w:rPr>
  </w:style>
  <w:style w:type="character" w:styleId="881">
    <w:name w:val="Endnote Text Char"/>
    <w:link w:val="880"/>
    <w:uiPriority w:val="99"/>
    <w:rPr>
      <w:sz w:val="20"/>
    </w:rPr>
  </w:style>
  <w:style w:type="character" w:styleId="882">
    <w:name w:val="endnote reference"/>
    <w:basedOn w:val="895"/>
    <w:uiPriority w:val="99"/>
    <w:semiHidden/>
    <w:unhideWhenUsed/>
    <w:rPr>
      <w:vertAlign w:val="superscript"/>
    </w:rPr>
  </w:style>
  <w:style w:type="paragraph" w:styleId="883">
    <w:name w:val="toc 1"/>
    <w:basedOn w:val="894"/>
    <w:next w:val="894"/>
    <w:uiPriority w:val="39"/>
    <w:unhideWhenUsed/>
    <w:pPr>
      <w:ind w:left="0" w:right="0" w:firstLine="0"/>
      <w:spacing w:after="57"/>
    </w:pPr>
  </w:style>
  <w:style w:type="paragraph" w:styleId="884">
    <w:name w:val="toc 2"/>
    <w:basedOn w:val="894"/>
    <w:next w:val="894"/>
    <w:uiPriority w:val="39"/>
    <w:unhideWhenUsed/>
    <w:pPr>
      <w:ind w:left="283" w:right="0" w:firstLine="0"/>
      <w:spacing w:after="57"/>
    </w:pPr>
  </w:style>
  <w:style w:type="paragraph" w:styleId="885">
    <w:name w:val="toc 3"/>
    <w:basedOn w:val="894"/>
    <w:next w:val="894"/>
    <w:uiPriority w:val="39"/>
    <w:unhideWhenUsed/>
    <w:pPr>
      <w:ind w:left="567" w:right="0" w:firstLine="0"/>
      <w:spacing w:after="57"/>
    </w:pPr>
  </w:style>
  <w:style w:type="paragraph" w:styleId="886">
    <w:name w:val="toc 4"/>
    <w:basedOn w:val="894"/>
    <w:next w:val="894"/>
    <w:uiPriority w:val="39"/>
    <w:unhideWhenUsed/>
    <w:pPr>
      <w:ind w:left="850" w:right="0" w:firstLine="0"/>
      <w:spacing w:after="57"/>
    </w:pPr>
  </w:style>
  <w:style w:type="paragraph" w:styleId="887">
    <w:name w:val="toc 5"/>
    <w:basedOn w:val="894"/>
    <w:next w:val="894"/>
    <w:uiPriority w:val="39"/>
    <w:unhideWhenUsed/>
    <w:pPr>
      <w:ind w:left="1134" w:right="0" w:firstLine="0"/>
      <w:spacing w:after="57"/>
    </w:pPr>
  </w:style>
  <w:style w:type="paragraph" w:styleId="888">
    <w:name w:val="toc 6"/>
    <w:basedOn w:val="894"/>
    <w:next w:val="894"/>
    <w:uiPriority w:val="39"/>
    <w:unhideWhenUsed/>
    <w:pPr>
      <w:ind w:left="1417" w:right="0" w:firstLine="0"/>
      <w:spacing w:after="57"/>
    </w:pPr>
  </w:style>
  <w:style w:type="paragraph" w:styleId="889">
    <w:name w:val="toc 7"/>
    <w:basedOn w:val="894"/>
    <w:next w:val="894"/>
    <w:uiPriority w:val="39"/>
    <w:unhideWhenUsed/>
    <w:pPr>
      <w:ind w:left="1701" w:right="0" w:firstLine="0"/>
      <w:spacing w:after="57"/>
    </w:pPr>
  </w:style>
  <w:style w:type="paragraph" w:styleId="890">
    <w:name w:val="toc 8"/>
    <w:basedOn w:val="894"/>
    <w:next w:val="894"/>
    <w:uiPriority w:val="39"/>
    <w:unhideWhenUsed/>
    <w:pPr>
      <w:ind w:left="1984" w:right="0" w:firstLine="0"/>
      <w:spacing w:after="57"/>
    </w:pPr>
  </w:style>
  <w:style w:type="paragraph" w:styleId="891">
    <w:name w:val="toc 9"/>
    <w:basedOn w:val="894"/>
    <w:next w:val="894"/>
    <w:uiPriority w:val="39"/>
    <w:unhideWhenUsed/>
    <w:pPr>
      <w:ind w:left="2268" w:right="0" w:firstLine="0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894"/>
    <w:next w:val="894"/>
    <w:uiPriority w:val="99"/>
    <w:unhideWhenUsed/>
    <w:pPr>
      <w:spacing w:after="0" w:afterAutospacing="0"/>
    </w:pPr>
  </w:style>
  <w:style w:type="paragraph" w:styleId="894" w:default="1">
    <w:name w:val="Normal"/>
    <w:qFormat/>
  </w:style>
  <w:style w:type="character" w:styleId="895" w:default="1">
    <w:name w:val="Default Paragraph Font"/>
    <w:uiPriority w:val="1"/>
    <w:semiHidden/>
    <w:unhideWhenUsed/>
  </w:style>
  <w:style w:type="table" w:styleId="8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7" w:default="1">
    <w:name w:val="No List"/>
    <w:uiPriority w:val="99"/>
    <w:semiHidden/>
    <w:unhideWhenUsed/>
  </w:style>
  <w:style w:type="paragraph" w:styleId="898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99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00">
    <w:name w:val="Body Text Indent 2"/>
    <w:basedOn w:val="894"/>
    <w:link w:val="901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1" w:customStyle="1">
    <w:name w:val="Основной текст с отступом 2 Знак"/>
    <w:basedOn w:val="895"/>
    <w:link w:val="900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02">
    <w:name w:val="Table Grid"/>
    <w:basedOn w:val="896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3">
    <w:name w:val="footnote text"/>
    <w:basedOn w:val="894"/>
    <w:link w:val="90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04" w:customStyle="1">
    <w:name w:val="Текст сноски Знак"/>
    <w:basedOn w:val="895"/>
    <w:link w:val="903"/>
    <w:uiPriority w:val="99"/>
    <w:semiHidden/>
    <w:rPr>
      <w:sz w:val="20"/>
      <w:szCs w:val="20"/>
    </w:rPr>
  </w:style>
  <w:style w:type="character" w:styleId="905">
    <w:name w:val="footnote reference"/>
    <w:semiHidden/>
    <w:unhideWhenUsed/>
    <w:rPr>
      <w:vertAlign w:val="superscript"/>
    </w:rPr>
  </w:style>
  <w:style w:type="table" w:styleId="906" w:customStyle="1">
    <w:name w:val="Сетка таблицы1"/>
    <w:basedOn w:val="896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07">
    <w:name w:val="Strong"/>
    <w:basedOn w:val="895"/>
    <w:uiPriority w:val="22"/>
    <w:qFormat/>
    <w:rPr>
      <w:rFonts w:hint="default" w:ascii="Times New Roman" w:hAnsi="Times New Roman" w:cs="Times New Roman"/>
      <w:b/>
      <w:bCs w:val="0"/>
    </w:rPr>
  </w:style>
  <w:style w:type="paragraph" w:styleId="908">
    <w:name w:val="Header"/>
    <w:basedOn w:val="894"/>
    <w:link w:val="90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9" w:customStyle="1">
    <w:name w:val="Верхний колонтитул Знак"/>
    <w:basedOn w:val="895"/>
    <w:link w:val="908"/>
    <w:uiPriority w:val="99"/>
  </w:style>
  <w:style w:type="paragraph" w:styleId="910">
    <w:name w:val="Footer"/>
    <w:basedOn w:val="894"/>
    <w:link w:val="91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1" w:customStyle="1">
    <w:name w:val="Нижний колонтитул Знак"/>
    <w:basedOn w:val="895"/>
    <w:link w:val="910"/>
    <w:uiPriority w:val="99"/>
  </w:style>
  <w:style w:type="paragraph" w:styleId="912">
    <w:name w:val="Balloon Text"/>
    <w:basedOn w:val="894"/>
    <w:link w:val="91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13" w:customStyle="1">
    <w:name w:val="Текст выноски Знак"/>
    <w:basedOn w:val="895"/>
    <w:link w:val="912"/>
    <w:uiPriority w:val="99"/>
    <w:semiHidden/>
    <w:rPr>
      <w:rFonts w:ascii="Tahoma" w:hAnsi="Tahoma" w:cs="Tahoma"/>
      <w:sz w:val="16"/>
      <w:szCs w:val="16"/>
    </w:rPr>
  </w:style>
  <w:style w:type="paragraph" w:styleId="914" w:customStyle="1">
    <w:name w:val="Normal (Web)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5" w:customStyle="1">
    <w:name w:val="Times New Roman"/>
    <w:basedOn w:val="873"/>
    <w:qFormat/>
    <w:pPr>
      <w:contextualSpacing w:val="0"/>
      <w:ind w:left="0" w:right="0" w:firstLine="311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Your Company Name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atanova-av</dc:creator>
  <cp:lastModifiedBy>devyaterikova-in</cp:lastModifiedBy>
  <cp:revision>24</cp:revision>
  <dcterms:created xsi:type="dcterms:W3CDTF">2024-03-22T04:14:00Z</dcterms:created>
  <dcterms:modified xsi:type="dcterms:W3CDTF">2026-05-26T10:18:21Z</dcterms:modified>
</cp:coreProperties>
</file>