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8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648"/>
        <w:numPr>
          <w:ilvl w:val="0"/>
          <w:numId w:val="0"/>
        </w:numPr>
        <w:ind w:left="0" w:firstLine="5670"/>
        <w:jc w:val="both"/>
        <w:spacing w:line="240" w:lineRule="exact"/>
        <w:tabs>
          <w:tab w:val="clear" w:pos="708" w:leader="none"/>
          <w:tab w:val="left" w:pos="4732" w:leader="none"/>
          <w:tab w:val="left" w:pos="5812" w:leader="none"/>
        </w:tabs>
        <w:rPr>
          <w:sz w:val="28"/>
          <w:szCs w:val="28"/>
        </w:rPr>
        <w:outlineLvl w:val="5"/>
      </w:pPr>
      <w:r>
        <w:rPr>
          <w:bCs/>
          <w:sz w:val="28"/>
          <w:szCs w:val="28"/>
        </w:rPr>
        <w:t xml:space="preserve">Приложение 2</w:t>
      </w:r>
      <w:r>
        <w:rPr>
          <w:sz w:val="28"/>
          <w:szCs w:val="28"/>
        </w:rPr>
      </w:r>
    </w:p>
    <w:p>
      <w:pPr>
        <w:pStyle w:val="648"/>
        <w:ind w:left="5664" w:firstLine="6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приказу начальника департамента имущественных отношений</w:t>
      </w:r>
      <w:r>
        <w:rPr>
          <w:sz w:val="28"/>
          <w:szCs w:val="28"/>
        </w:rPr>
      </w:r>
    </w:p>
    <w:p>
      <w:pPr>
        <w:pStyle w:val="648"/>
        <w:ind w:firstLine="5670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</w:r>
    </w:p>
    <w:p>
      <w:pPr>
        <w:pStyle w:val="648"/>
        <w:ind w:firstLine="5670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22.06.2026 № 059-19-01-11-101</w:t>
      </w:r>
      <w:r>
        <w:rPr>
          <w:sz w:val="28"/>
          <w:szCs w:val="28"/>
        </w:rPr>
      </w:r>
    </w:p>
    <w:p>
      <w:pPr>
        <w:pStyle w:val="648"/>
        <w:ind w:left="283"/>
        <w:jc w:val="center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83"/>
        <w:jc w:val="center"/>
        <w:tabs>
          <w:tab w:val="clear" w:pos="708" w:leader="none"/>
          <w:tab w:val="left" w:pos="473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68"/>
        <w:ind w:left="1134" w:hanging="1134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Извещение о проведении</w:t>
      </w:r>
      <w:r>
        <w:rPr>
          <w:rFonts w:ascii="Times New Roman" w:hAnsi="Times New Roman" w:cs="Times New Roman"/>
          <w:b/>
          <w:sz w:val="28"/>
          <w:szCs w:val="28"/>
          <w:shd w:val="clear" w:color="auto" w:fill="auto"/>
          <w:lang w:val="ru-RU"/>
        </w:rPr>
        <w:t xml:space="preserve"> 09.07.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2026 электронных аукционов на право заключения договоров аренды земельных участков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76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648"/>
        <w:ind w:left="-567" w:firstLine="567"/>
        <w:jc w:val="both"/>
        <w:widowControl w:val="off"/>
        <w:rPr>
          <w:b/>
          <w:bCs/>
        </w:rPr>
      </w:pPr>
      <w:r>
        <w:rPr>
          <w:shd w:val="clear" w:color="auto" w:fill="ffffff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</w:t>
      </w:r>
      <w:r>
        <w:rPr>
          <w:shd w:val="clear" w:color="auto" w:fill="ffffff"/>
        </w:rPr>
        <w:t xml:space="preserve">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</w:t>
      </w:r>
      <w:r>
        <w:rPr>
          <w:shd w:val="clear" w:color="auto" w:fill="ffffff"/>
        </w:rPr>
        <w:t xml:space="preserve">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</w:t>
      </w:r>
      <w:r>
        <w:rPr>
          <w:shd w:val="clear" w:color="auto" w:fill="ffffff"/>
        </w:rPr>
        <w:t xml:space="preserve">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val="clear" w:color="auto" w:fill="ffffff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  <w:r>
        <w:rPr>
          <w:b/>
          <w:bCs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b/>
          <w:bCs/>
        </w:rPr>
        <w:outlineLvl w:val="0"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731"/>
          <w:bCs/>
          <w:sz w:val="24"/>
          <w:szCs w:val="24"/>
          <w:lang w:val="en-US"/>
        </w:rPr>
        <w:t xml:space="preserve">dzo@perm.permkrai.ru.</w:t>
      </w:r>
      <w:r>
        <w:rPr>
          <w:b/>
          <w:bCs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</w:rPr>
        <w:t xml:space="preserve">Организатор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 xml:space="preserve">депар</w:t>
      </w:r>
      <w:r>
        <w:rPr>
          <w:bCs/>
        </w:rPr>
        <w:t xml:space="preserve">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 xml:space="preserve">dio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perm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permkrai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sz w:val="24"/>
          <w:szCs w:val="24"/>
        </w:rPr>
        <w:outlineLvl w:val="0"/>
      </w:pPr>
      <w:r>
        <w:rPr>
          <w:b/>
          <w:bCs/>
        </w:rPr>
        <w:t xml:space="preserve"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</w:t>
      </w:r>
      <w:r>
        <w:rPr>
          <w:bCs/>
          <w:sz w:val="24"/>
          <w:szCs w:val="24"/>
        </w:rPr>
        <w:t xml:space="preserve"> от</w:t>
      </w:r>
      <w:r>
        <w:rPr>
          <w:bCs/>
          <w:sz w:val="24"/>
          <w:szCs w:val="24"/>
        </w:rPr>
        <w:t xml:space="preserve"> 22.06.2026 № 059-19-01-11-101.</w:t>
      </w:r>
      <w:r>
        <w:rPr>
          <w:sz w:val="24"/>
          <w:szCs w:val="24"/>
        </w:rPr>
      </w:r>
    </w:p>
    <w:p>
      <w:pPr>
        <w:pStyle w:val="778"/>
        <w:numPr>
          <w:ilvl w:val="0"/>
          <w:numId w:val="0"/>
        </w:numPr>
        <w:ind w:left="-567" w:firstLine="567"/>
        <w:jc w:val="both"/>
        <w:spacing w:before="0" w:after="0"/>
        <w:rPr>
          <w:rFonts w:eastAsia="Courier New"/>
          <w:b/>
          <w:color w:val="000000"/>
          <w:lang w:val="ru-RU" w:bidi="ru-RU"/>
        </w:rPr>
        <w:outlineLvl w:val="0"/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11" w:tooltip="http://www.torgi.gov.ru/" w:history="1">
        <w:r>
          <w:rPr>
            <w:rStyle w:val="731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31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31"/>
            <w:color w:val="000000"/>
            <w:sz w:val="24"/>
            <w:szCs w:val="24"/>
            <w:u w:val="none"/>
          </w:rPr>
          <w:t xml:space="preserve">torgi</w:t>
        </w:r>
        <w:r>
          <w:rPr>
            <w:rStyle w:val="731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31"/>
            <w:color w:val="000000"/>
            <w:sz w:val="24"/>
            <w:szCs w:val="24"/>
            <w:u w:val="none"/>
          </w:rPr>
          <w:t xml:space="preserve">gov</w:t>
        </w:r>
        <w:r>
          <w:rPr>
            <w:rStyle w:val="731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31"/>
            <w:color w:val="000000"/>
            <w:sz w:val="24"/>
            <w:szCs w:val="24"/>
            <w:u w:val="none"/>
          </w:rPr>
          <w:t xml:space="preserve"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 xml:space="preserve">(далее – ГИС Торги)</w:t>
      </w:r>
      <w:r>
        <w:rPr>
          <w:b/>
          <w:sz w:val="24"/>
          <w:szCs w:val="24"/>
          <w:lang w:val="ru-RU"/>
        </w:rPr>
        <w:t xml:space="preserve"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12" w:tooltip="http://www.gorodperm.ru/" w:history="1">
        <w:r>
          <w:rPr>
            <w:rStyle w:val="731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31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31"/>
            <w:color w:val="000000"/>
            <w:sz w:val="24"/>
            <w:szCs w:val="24"/>
            <w:u w:val="none"/>
          </w:rPr>
          <w:t xml:space="preserve">gorodperm</w:t>
        </w:r>
        <w:r>
          <w:rPr>
            <w:rStyle w:val="731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31"/>
            <w:color w:val="000000"/>
            <w:sz w:val="24"/>
            <w:szCs w:val="24"/>
            <w:u w:val="none"/>
          </w:rPr>
          <w:t xml:space="preserve"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13" w:tooltip="http://utp.sberbank-ast.ru/" w:history="1">
        <w:r>
          <w:rPr>
            <w:rStyle w:val="731"/>
            <w:sz w:val="24"/>
            <w:szCs w:val="24"/>
          </w:rPr>
          <w:t xml:space="preserve">http</w:t>
        </w:r>
        <w:r>
          <w:rPr>
            <w:rStyle w:val="731"/>
            <w:sz w:val="24"/>
            <w:szCs w:val="24"/>
            <w:lang w:val="ru-RU"/>
          </w:rPr>
          <w:t xml:space="preserve">://</w:t>
        </w:r>
        <w:r>
          <w:rPr>
            <w:rStyle w:val="731"/>
            <w:sz w:val="24"/>
            <w:szCs w:val="24"/>
          </w:rPr>
          <w:t xml:space="preserve">utp</w:t>
        </w:r>
        <w:r>
          <w:rPr>
            <w:rStyle w:val="731"/>
            <w:sz w:val="24"/>
            <w:szCs w:val="24"/>
            <w:lang w:val="ru-RU"/>
          </w:rPr>
          <w:t xml:space="preserve">.</w:t>
        </w:r>
        <w:r>
          <w:rPr>
            <w:rStyle w:val="731"/>
            <w:sz w:val="24"/>
            <w:szCs w:val="24"/>
          </w:rPr>
          <w:t xml:space="preserve">sberbank</w:t>
        </w:r>
        <w:r>
          <w:rPr>
            <w:rStyle w:val="731"/>
            <w:sz w:val="24"/>
            <w:szCs w:val="24"/>
            <w:lang w:val="ru-RU"/>
          </w:rPr>
          <w:t xml:space="preserve">-</w:t>
        </w:r>
        <w:r>
          <w:rPr>
            <w:rStyle w:val="731"/>
            <w:sz w:val="24"/>
            <w:szCs w:val="24"/>
          </w:rPr>
          <w:t xml:space="preserve">ast</w:t>
        </w:r>
        <w:r>
          <w:rPr>
            <w:rStyle w:val="731"/>
            <w:sz w:val="24"/>
            <w:szCs w:val="24"/>
            <w:lang w:val="ru-RU"/>
          </w:rPr>
          <w:t xml:space="preserve">.</w:t>
        </w:r>
        <w:r>
          <w:rPr>
            <w:rStyle w:val="731"/>
            <w:sz w:val="24"/>
            <w:szCs w:val="24"/>
          </w:rPr>
          <w:t xml:space="preserve">ru</w:t>
        </w:r>
      </w:hyperlink>
      <w:r>
        <w:rPr>
          <w:bCs/>
          <w:sz w:val="24"/>
          <w:szCs w:val="24"/>
          <w:lang w:val="ru-RU" w:bidi="ru-RU"/>
        </w:rPr>
        <w:t xml:space="preserve">.</w:t>
      </w:r>
      <w:r>
        <w:rPr>
          <w:rFonts w:eastAsia="Courier New"/>
          <w:b/>
          <w:color w:val="000000"/>
          <w:lang w:val="ru-RU" w:bidi="ru-RU"/>
        </w:rPr>
      </w:r>
    </w:p>
    <w:p>
      <w:pPr>
        <w:pStyle w:val="648"/>
        <w:ind w:left="-567" w:firstLine="567"/>
        <w:jc w:val="both"/>
        <w:widowControl w:val="off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4" w:tooltip="http://utp.sberbank-ast.ru/" w:history="1">
        <w:r>
          <w:rPr>
            <w:rStyle w:val="731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  <w:r>
        <w:rPr>
          <w:rFonts w:eastAsia="Courier New"/>
          <w:b/>
          <w:color w:val="000000"/>
          <w:lang w:eastAsia="en-US"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>
        <w:rPr>
          <w:rFonts w:eastAsia="Courier New"/>
          <w:color w:val="000000"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5" w:tooltip="https://utp.sberbank-ast.ru/Main/Notice/988/Reglament" w:history="1">
        <w:r>
          <w:rPr>
            <w:rStyle w:val="731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>
        <w:rPr>
          <w:bCs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16" w:tooltip="https://utp.sberbank-ast.ru/AP/Notice/1027/Instructions" w:history="1">
        <w:r>
          <w:rPr>
            <w:rStyle w:val="731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>
        <w:rPr>
          <w:rFonts w:eastAsia="Courier New"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7" w:tooltip="https://utp.sberbank-ast.ru/AP/Notice/652/Instructions" w:history="1">
        <w:r>
          <w:rPr>
            <w:rStyle w:val="731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>
        <w:rPr>
          <w:b/>
          <w:bCs/>
        </w:rPr>
      </w:r>
    </w:p>
    <w:p>
      <w:pPr>
        <w:pStyle w:val="648"/>
        <w:ind w:left="-567" w:firstLine="567"/>
        <w:jc w:val="both"/>
        <w:widowControl w:val="off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 xml:space="preserve"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731"/>
          <w:bCs/>
          <w:sz w:val="24"/>
          <w:szCs w:val="24"/>
          <w:lang w:val="en-US"/>
        </w:rPr>
        <w:t xml:space="preserve">dzo</w:t>
      </w:r>
      <w:r>
        <w:rPr>
          <w:rStyle w:val="731"/>
          <w:bCs/>
          <w:sz w:val="24"/>
          <w:szCs w:val="24"/>
        </w:rPr>
        <w:t xml:space="preserve">@</w:t>
      </w:r>
      <w:r>
        <w:rPr>
          <w:rStyle w:val="731"/>
          <w:bCs/>
          <w:sz w:val="24"/>
          <w:szCs w:val="24"/>
          <w:lang w:val="en-US"/>
        </w:rPr>
        <w:t xml:space="preserve">perm</w:t>
      </w:r>
      <w:r>
        <w:rPr>
          <w:rStyle w:val="731"/>
          <w:bCs/>
          <w:sz w:val="24"/>
          <w:szCs w:val="24"/>
        </w:rPr>
        <w:t xml:space="preserve">.</w:t>
      </w:r>
      <w:r>
        <w:rPr>
          <w:rStyle w:val="731"/>
          <w:bCs/>
          <w:sz w:val="24"/>
          <w:szCs w:val="24"/>
          <w:lang w:val="en-US"/>
        </w:rPr>
        <w:t xml:space="preserve">permkrai</w:t>
      </w:r>
      <w:r>
        <w:rPr>
          <w:rStyle w:val="731"/>
          <w:bCs/>
          <w:sz w:val="24"/>
          <w:szCs w:val="24"/>
        </w:rPr>
        <w:t xml:space="preserve">.</w:t>
      </w:r>
      <w:r>
        <w:rPr>
          <w:rStyle w:val="731"/>
          <w:bCs/>
          <w:sz w:val="24"/>
          <w:szCs w:val="24"/>
          <w:lang w:val="en-US"/>
        </w:rPr>
        <w:t xml:space="preserve">ru.</w:t>
      </w:r>
      <w:r>
        <w:rPr>
          <w:highlight w:val="none"/>
        </w:rPr>
      </w:r>
    </w:p>
    <w:p>
      <w:pPr>
        <w:pStyle w:val="648"/>
        <w:ind w:left="-567" w:firstLine="567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68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лотах (предметах аукциона)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768"/>
        <w:ind w:left="1134" w:hanging="1134"/>
        <w:jc w:val="center"/>
        <w:spacing w:line="240" w:lineRule="exact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768"/>
        <w:ind w:left="1134" w:hanging="1134"/>
        <w:jc w:val="left"/>
        <w:spacing w:line="240" w:lineRule="exact"/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Лот № 1</w:t>
      </w:r>
      <w:r/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3054"/>
        <w:gridCol w:w="6864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решения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от 08 апреля 2026 г. № 21-01-03-2276 «О проведении аукциона на право заключения договора аренды земельного участка в Индустриальном районе города Перми»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на право заключения договора аренды земельного участка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1-я Карьерная, з/у 2а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7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площадь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519 кв. м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7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кадастровый номер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59:01:4413817:162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0" w:hanging="27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84"/>
              <w:rPr>
                <w:sz w:val="24"/>
                <w:szCs w:val="24"/>
              </w:rPr>
            </w:pPr>
            <w:r>
              <w:t xml:space="preserve">принадлежность к определенной  территориальной зоне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Ж-4 «Зона индивидуальной жилой застройки городского типа»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3"/>
              </w:numPr>
              <w:ind w:left="419" w:right="-263" w:hanging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ограничение прав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firstLine="311"/>
              <w:jc w:val="both"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в выписке из Единого государственного реестра недвижимости об объекте недвижимости от 27.05.2026г.                  № КУВИ-001/2026-72064436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sz w:val="24"/>
                <w:szCs w:val="24"/>
                <w:shd w:val="clear" w:color="auto" w:fill="auto"/>
              </w:rPr>
              <w:t xml:space="preserve">(далее - ЕГРН);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48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hd w:val="clear" w:color="auto" w:fill="auto"/>
              </w:rPr>
              <w:t xml:space="preserve">от 10.12.2025 № РФ-59-2-03-0-00-2025-3022-0 (далее – ГПЗУ) (приложение № 2 </w:t>
            </w:r>
            <w:r>
              <w:rPr>
                <w:b w:val="0"/>
                <w:bCs w:val="0"/>
                <w:sz w:val="24"/>
                <w:szCs w:val="24"/>
                <w:shd w:val="clear" w:color="auto" w:fill="auto"/>
              </w:rPr>
              <w:t xml:space="preserve">к настоящему извещению)</w:t>
            </w:r>
            <w:r>
              <w:rPr>
                <w:shd w:val="clear" w:color="auto" w:fill="auto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left="0" w:right="0" w:firstLine="425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Испрашиваемый участок не огорожен, доступ не ограничен, в настоящее время используется для парковки автотранспортных средств.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Ближайший источник противопожарного водоснабжения расположен по ул. 1-й Карьерной – пожарный гидрант размещен по ул. Милиционера Власова, 17/5, обслуживающая организация ООО «Новогор – Прикамье».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администрации Индустриального района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10.12.2025 № 059-16-01-07/3-423, в акте обследования от 09.12.2025 № 58).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копии планшета масштаба 1:500, требующего корректуры, с северо-западной сторон</w:t>
            </w:r>
            <w:r>
              <w:rPr>
                <w:color w:val="000000" w:themeColor="text1"/>
                <w:sz w:val="24"/>
                <w:szCs w:val="24"/>
              </w:rPr>
              <w:t xml:space="preserve">ы в границах участка расположено ограждение – металлический забор. С северо-востока на юго-запад в границах участка расположено ограждение – металлический забор и сетка-рабица. С юго-восточной стороны частично на участке расположены: металлический гараж и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отдельно стоящие деревья. </w:t>
            </w:r>
            <w:r>
              <w:rPr>
                <w:color w:val="000000" w:themeColor="text1"/>
                <w:sz w:val="24"/>
                <w:szCs w:val="24"/>
              </w:rPr>
              <w:t xml:space="preserve">Сведения о правоустанавливающих документах на Участок под гаражом отсутствуют.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г</w:t>
            </w:r>
            <w:r>
              <w:rPr>
                <w:color w:val="000000" w:themeColor="text1"/>
                <w:sz w:val="24"/>
                <w:szCs w:val="24"/>
              </w:rPr>
              <w:t xml:space="preserve">еодезической съемки, выполненной в 2025 году с северо-западной стороны в границах участка расположено ограждение – деревянный забор. С юго-восточной стороны Участок зарос древесной растительностью. На участке отсутствуют капитальные/некапитальные строения.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со сведениями ЕГРН капитальные/некапитальные строения отсутствуют.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Согласно сведениям, содержащимся ЕГРН, ГПЗУ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  <w:br/>
              <w:t xml:space="preserve">и справке по градостроительным условиям участка </w:t>
              <w:br/>
              <w:t xml:space="preserve">от 27.05.2026 № 681195 Участок расположен в границах зон с особыми условиями использования территории: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приаэродромная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территория аэродрома аэропорта Большое Савино, реестровый номер 59:32-6.553;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зона санитарной охраны источников водоснабжения </w:t>
              <w:br/>
              <w:t xml:space="preserve">и водопроводов питьевого назначения «III пояс Зоны санитарной охраны скважины 1 ООО «Нового-Прикамье» в м/р Парковый г. Перми», реестровый номер 59:01-6.7419.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соответствии: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приказом Министерства природных ресурсов Пермского края от 16.01.2009 № СЭД-30-001-6/6 «Об утверждении проекта зон санитарной охраны водозаборной скважины ООО «Нового-Прикамье»; Пост</w:t>
            </w:r>
            <w:r>
              <w:rPr>
                <w:color w:val="000000" w:themeColor="text1"/>
                <w:sz w:val="24"/>
                <w:szCs w:val="24"/>
              </w:rPr>
              <w:t xml:space="preserve">ановление Главного государственного санитарного врача Российской Федерации от 14 марта 2002 г. № 10 «О введении в действие санитарных правил и норм «Зоны санитарной охраны источников водоснабжения </w:t>
              <w:br/>
              <w:t xml:space="preserve">и водопроводов питьевого назначения. СанПиН 2.1.4.1110-02»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Во III поясе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не допускается: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т.ч. применение удобрений и ядохимикатов;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Мероприятия по второму и третьему поясам: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3.2.2.1.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3.2.2.2.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3.2.2.3. Запрещение закачки отработанных вод </w:t>
              <w:br/>
              <w:t xml:space="preserve">в подземные горизонты, подземного складирования твердых отходов и разработки недр земли.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3.2.2.4.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ловливающих опасность химического загрязнения подземных вод.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Зеленые насаждения на Участке отсутствуют.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перечне мероприятий </w:t>
              <w:br/>
              <w:t xml:space="preserve">по охране окружающей среды от 23.12.2025 № 447.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Управления по экологии и природопользованию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23.12.2025 № 059-33-01-10/3-269).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Для примыкания Участка к улично-дорожной сети города Перми необходимо выполнить условия, указанные в письме.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Также направлена информация о соблюдении Правил благо</w:t>
            </w: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</w:t>
            </w:r>
            <w:r>
              <w:rPr>
                <w:color w:val="000000" w:themeColor="text1"/>
                <w:sz w:val="24"/>
                <w:szCs w:val="24"/>
              </w:rPr>
              <w:t xml:space="preserve">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</w:t>
            </w:r>
            <w:r>
              <w:rPr>
                <w:color w:val="000000" w:themeColor="text1"/>
                <w:sz w:val="24"/>
                <w:szCs w:val="24"/>
              </w:rPr>
              <w:t xml:space="preserve">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 xml:space="preserve">или примыканий.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дорог и благоустройства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27.11.2025 № 059-24-01-36/3-4386).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противопожарного водоснабжения на указанной территории отсутствуют.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</w:t>
            </w:r>
            <w:r>
              <w:rPr>
                <w:color w:val="000000" w:themeColor="text1"/>
                <w:sz w:val="24"/>
                <w:szCs w:val="24"/>
              </w:rPr>
              <w:t xml:space="preserve">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Беляева, 29 (ПСЧ-2 10-ПСО).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Помещения для аварийно-спасательных служб и (или) аварийно-спасательных формирований на указанной территории отсутствуют.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Объекты общественной безопасности, отнесенные к объектам полиции (участковые пункты полиции) в данном микрорайоне о</w:t>
            </w:r>
            <w:r>
              <w:rPr>
                <w:color w:val="000000" w:themeColor="text1"/>
                <w:sz w:val="24"/>
                <w:szCs w:val="24"/>
              </w:rPr>
              <w:t xml:space="preserve">тсутствуют. Ближайший участковый пункт расположен по адресу: г. Пермь, ул. Экскаваторная, 67 (микрорайон Верхние Муллы, Индустриальный район). В настоящее время в указанном микрорайоне строительство (приобретение) участковых пунктов полиции не планируется.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 xml:space="preserve">от 07.10.2020 № 964с), рассматриваемая территория попадает в зону возможного химического заражения в особый период.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Указанная территория находится в зоне действия системы оповещения населения города Перми, установленной по ул. Милиционера Власова, 4 - 1500 м.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общественной безопасности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01.12.2025 № 059-10-01-27/3-2508).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 мкр. Верхние Муллы.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27.11.2025 № 059-04-17/3-1114-ри).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510" w:right="113" w:hanging="283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допустимые параметры разрешенного строительства</w:t>
              <w:br/>
              <w:t xml:space="preserve">объекта капитального строительства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val="clear" w:color="auto" w:fill="ffffff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 xml:space="preserve">www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  <w:lang w:val="en-US"/>
              </w:rPr>
              <w:t xml:space="preserve">torgi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  <w:lang w:val="en-US"/>
              </w:rPr>
              <w:t xml:space="preserve">gov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  <w:lang w:val="en-US"/>
              </w:rPr>
              <w:t xml:space="preserve">ru</w:t>
            </w:r>
            <w:r>
              <w:rPr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ooltip="http://www.gorodperm.ru/" w:history="1">
              <w:r>
                <w:rPr>
                  <w:rStyle w:val="731"/>
                  <w:szCs w:val="24"/>
                </w:rPr>
                <w:t xml:space="preserve">www.gorodperm.ru</w:t>
              </w:r>
            </w:hyperlink>
            <w:r>
              <w:rPr>
                <w:szCs w:val="24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000000" w:themeColor="text1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общей комнаты в доме с числом комнат две и более - 16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домах с одной комнатой допускается проектировать кухни или кухни-ниши площадью не менее 5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</w:t>
            </w:r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 xml:space="preserve">в мансардном этаже, допускается уменьшение высоты помещений (от пола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ГПЗУ: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 xml:space="preserve">(за исключением гр</w:t>
            </w:r>
            <w:r>
              <w:rPr>
                <w:color w:val="000000" w:themeColor="text1"/>
                <w:sz w:val="24"/>
                <w:szCs w:val="24"/>
              </w:rPr>
              <w:t xml:space="preserve">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</w:rPr>
              <w:t xml:space="preserve">м</w:t>
            </w:r>
            <w:r>
              <w:rPr>
                <w:color w:val="000000" w:themeColor="text1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здан</w:t>
            </w:r>
            <w:r>
              <w:rPr>
                <w:color w:val="000000" w:themeColor="text1"/>
                <w:sz w:val="24"/>
                <w:highlight w:val="white"/>
              </w:rPr>
              <w:t xml:space="preserve">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документации по планировке территории, утвержденной постановлением администрации города Перми от 23.121.2015 № 1102, параметры возможной предельной высоты жилой застройки до 10,5 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 xml:space="preserve">с уведомлением о планируемом строительстве жилого дома.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0" w:right="2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t xml:space="preserve">В </w:t>
            </w:r>
            <w:r>
              <w:rPr>
                <w:shd w:val="clear" w:color="auto" w:fill="ffffff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 xml:space="preserve">www</w:t>
            </w:r>
            <w:r>
              <w:t xml:space="preserve">.</w:t>
            </w:r>
            <w:r>
              <w:rPr>
                <w:lang w:val="en-US"/>
              </w:rPr>
              <w:t xml:space="preserve">torgi</w:t>
            </w:r>
            <w:r>
              <w:t xml:space="preserve">.</w:t>
            </w:r>
            <w:r>
              <w:rPr>
                <w:lang w:val="en-US"/>
              </w:rPr>
              <w:t xml:space="preserve">gov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rPr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9" w:tooltip="http://www.gorodperm.ru/" w:history="1">
              <w:r>
                <w:rPr>
                  <w:rStyle w:val="731"/>
                </w:rPr>
                <w:t xml:space="preserve">www.gorodperm.ru</w:t>
              </w:r>
            </w:hyperlink>
            <w:r>
              <w:t xml:space="preserve">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</w:t>
            </w:r>
            <w:r>
              <w:rPr>
                <w:color w:val="000000" w:themeColor="text1"/>
                <w:sz w:val="24"/>
                <w:szCs w:val="24"/>
              </w:rPr>
              <w:t xml:space="preserve">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си</w:t>
            </w:r>
            <w:r>
              <w:rPr>
                <w:color w:val="000000" w:themeColor="text1"/>
                <w:sz w:val="24"/>
                <w:szCs w:val="24"/>
              </w:rPr>
              <w:t xml:space="preserve">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пунктам 15, 25, 25.1 Правил ТП технические услов</w:t>
            </w:r>
            <w:r>
              <w:rPr>
                <w:color w:val="000000" w:themeColor="text1"/>
                <w:sz w:val="24"/>
                <w:szCs w:val="24"/>
              </w:rPr>
              <w:t xml:space="preserve">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</w:t>
            </w:r>
            <w:r>
              <w:rPr>
                <w:color w:val="000000" w:themeColor="text1"/>
                <w:sz w:val="24"/>
                <w:szCs w:val="24"/>
              </w:rPr>
              <w:t xml:space="preserve">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</w:t>
            </w:r>
            <w:r>
              <w:rPr>
                <w:color w:val="000000" w:themeColor="text1"/>
                <w:sz w:val="24"/>
                <w:szCs w:val="24"/>
              </w:rPr>
              <w:t xml:space="preserve">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20" w:tooltip="https://" w:history="1">
              <w:r>
                <w:rPr>
                  <w:rStyle w:val="731"/>
                  <w:color w:val="000000" w:themeColor="text1"/>
                  <w:sz w:val="24"/>
                  <w:szCs w:val="24"/>
                </w:rPr>
                <w:t xml:space="preserve">https://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</w:t>
            </w:r>
            <w:r>
              <w:rPr>
                <w:color w:val="000000" w:themeColor="text1"/>
                <w:sz w:val="24"/>
                <w:szCs w:val="24"/>
              </w:rPr>
              <w:t xml:space="preserve">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городские электрические сети»</w:t>
            </w:r>
            <w:r>
              <w:rPr>
                <w:color w:val="000000" w:themeColor="text1"/>
                <w:sz w:val="24"/>
                <w:szCs w:val="24"/>
              </w:rPr>
              <w:t xml:space="preserve">  от 16.12.2025 № ПЭ/ПГЭС/01/22/16735).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Нет технической возможности подключения, отсутствует резерв мощности источника тепловой энергии (ТЭЦ-9). Размер подключения тепловой энергии 0,05 Гкал/ч.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ПАО «Т Плюс»</w:t>
            </w:r>
            <w:r>
              <w:rPr>
                <w:color w:val="000000" w:themeColor="text1"/>
                <w:sz w:val="24"/>
                <w:szCs w:val="24"/>
              </w:rPr>
              <w:t xml:space="preserve"> от 01.12.2025 № 51030-01-07549).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  <w:r>
              <w:rPr>
                <w:rFonts w:ascii="Times New Roman" w:hAnsi="Times New Roman"/>
                <w:color w:val="auto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 w:themeColor="text1"/>
                <w:sz w:val="24"/>
                <w:szCs w:val="24"/>
              </w:rPr>
              <w:t xml:space="preserve"> от 28.01.2026 № 059-04-25/3-19-ри).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Возможная точка подключения – газопровод низкого давления по ул. 1-я Карьерная. Ориентировочное расстояние от точки подключения до границ испрашиваемого земельного участка составляет 60 п.м.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</w:t>
            </w:r>
            <w:r>
              <w:rPr>
                <w:color w:val="000000" w:themeColor="text1"/>
                <w:sz w:val="24"/>
                <w:szCs w:val="24"/>
              </w:rPr>
              <w:t xml:space="preserve">ентов в соответствии с п.16 «правил подключения...», утвержденных Постановлением правительства РФ от 30.09.2021 № 1547 в Пермский районный филиал АО «Газпром газораспределение Пермь» по адресу: г. Пермь, ул. Оверятская, 54 отдел «ЕЦПУ» тел: (342)220-02-30.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000000" w:themeColor="text1"/>
                <w:sz w:val="24"/>
                <w:szCs w:val="24"/>
              </w:rPr>
              <w:t xml:space="preserve">от 13.01.2026 № ПФ-38).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наличии технической возможности подкл</w:t>
            </w:r>
            <w:r>
              <w:rPr>
                <w:color w:val="000000" w:themeColor="text1"/>
                <w:sz w:val="24"/>
                <w:szCs w:val="24"/>
              </w:rPr>
              <w:t xml:space="preserve">ючения сетей водоснабжения и водоотведения с предполагаемой величиной нагрузки 1,0 м3/сут., а также предоставлении информации о наличии сетей водопровода и канализации в границах указанного земельного участка, с указанием охранной зоны сообщается следующее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Ближайшей сетью водоснабжения, э</w:t>
            </w:r>
            <w:r>
              <w:rPr>
                <w:color w:val="000000" w:themeColor="text1"/>
                <w:sz w:val="24"/>
                <w:szCs w:val="24"/>
              </w:rPr>
              <w:t xml:space="preserve">ксплуатируемой </w:t>
              <w:br/>
              <w:t xml:space="preserve">ООО «НОВОГОР-Прикамье», является водопровод, Д-30 мм по ул. 1-я Карьерная, расстояние от земельного участка - 20 м. Ввиду отсутствия данных о посадке объекта, протяженность до водопровода Д-30 мм по ул. 1-я Карьерная указана ориентировочно.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6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Ближайшей сетью водоотведения, эксплуатируемой </w:t>
              <w:br/>
              <w:t xml:space="preserve">ООО «НОВОГОР-</w:t>
            </w:r>
            <w:r>
              <w:rPr>
                <w:color w:val="000000" w:themeColor="text1"/>
                <w:sz w:val="24"/>
                <w:szCs w:val="24"/>
              </w:rPr>
              <w:t xml:space="preserve"> Прикамье», является сеть канализации, Д-350 мм по ул. Милиционера Власова, расстояние </w:t>
              <w:br/>
              <w:t xml:space="preserve">от земельного участка - 60 м. Ввиду отсутствия данных </w:t>
              <w:br/>
              <w:t xml:space="preserve">о посадке объекта, протяженность до сетей канализации Д-350 мм по ул. Милиционера Власова указана ориентировочно.</w:t>
            </w:r>
            <w:r>
              <w:rPr>
                <w:rFonts w:ascii="Times New Roman" w:hAnsi="Times New Roman"/>
                <w:color w:val="000000" w:themeColor="text1"/>
                <w:sz w:val="26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ООО «НОВОГОР-Прикамье» эксплуатирует только централизованные системы водо</w:t>
            </w:r>
            <w:r>
              <w:rPr>
                <w:color w:val="000000" w:themeColor="text1"/>
                <w:sz w:val="24"/>
                <w:szCs w:val="24"/>
              </w:rPr>
              <w:t xml:space="preserve">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 xml:space="preserve">в соответствующие организации, регулирующие недропользование.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Кроме того, ООО «НОВОГОР-Прикамье» не располагает сведениями о наличии сетей 3-x лиц в границах вышеуказанного земельного участка.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000000" w:themeColor="text1"/>
                <w:sz w:val="24"/>
                <w:szCs w:val="24"/>
              </w:rPr>
              <w:t xml:space="preserve">от 01.12.2025 № 110-18731).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Технологическое присо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единение к сетям связи ПАО «Ростелеком» может быть произведено к узлу ВОЛС (г. Пермь, ул. 2-я Красавинская, д. 79, ПАО «Ростелеком»), максимальную нагрузку в точке подключения (технологического присоединения) необходимо определить на стадии проектирования.</w:t>
            </w:r>
            <w:r>
              <w:rPr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perm-mail@ural.rt.ru.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«Ростелеком»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 28.11.2025 № 01/05/179069/25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цена предмета аукциона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(размер ежегодной арендной платы)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</w:pPr>
            <w:r>
              <w:rPr>
                <w:b w:val="0"/>
                <w:bCs w:val="0"/>
                <w:sz w:val="24"/>
                <w:szCs w:val="24"/>
                <w:shd w:val="clear" w:color="auto" w:fill="auto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</w:t>
            </w:r>
            <w:r>
              <w:rPr>
                <w:b w:val="0"/>
                <w:bCs w:val="0"/>
                <w:sz w:val="24"/>
                <w:szCs w:val="24"/>
                <w:shd w:val="clear" w:color="auto" w:fill="auto"/>
              </w:rPr>
              <w:t xml:space="preserve">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val="clear" w:color="auto" w:fill="auto"/>
              </w:rPr>
              <w:t xml:space="preserve">за 1 год </w:t>
            </w:r>
            <w:r>
              <w:rPr>
                <w:b w:val="0"/>
                <w:bCs w:val="0"/>
                <w:sz w:val="24"/>
                <w:szCs w:val="24"/>
                <w:shd w:val="clear" w:color="auto" w:fill="auto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 xml:space="preserve">в проекте договора аренды земельного участка (Приложение 1</w:t>
              <w:br/>
              <w:t xml:space="preserve">к настоящему извещению)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907 900 </w:t>
            </w:r>
            <w:r>
              <w:rPr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val="clear" w:color="auto" w:fill="auto"/>
              </w:rPr>
              <w:t xml:space="preserve">предмета аукциона)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45 395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заявки на участие в аукционе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 xml:space="preserve">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t xml:space="preserve">На каждый лот представляется отдельный пакет документов.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  <w:t xml:space="preserve"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val="clear" w:color="auto" w:fill="auto"/>
              </w:rPr>
              <w:t xml:space="preserve">предмета аукциона)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453 950 </w:t>
            </w:r>
            <w:r>
              <w:rPr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аренды земельного участка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лет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</w:pPr>
            <w:r>
              <w:rPr>
                <w:sz w:val="24"/>
                <w:szCs w:val="24"/>
              </w:rPr>
              <w:t xml:space="preserve">05.03.2026</w:t>
            </w:r>
            <w:r/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gorodperm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left="113" w:right="57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 xml:space="preserve">на местности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68"/>
        <w:ind w:left="0" w:firstLine="0"/>
        <w:jc w:val="left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68"/>
        <w:ind w:left="1134" w:hanging="1134"/>
        <w:jc w:val="left"/>
        <w:spacing w:line="240" w:lineRule="exact"/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Лот № 2</w:t>
      </w:r>
      <w:r/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3054"/>
        <w:gridCol w:w="6864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решения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 от 04 июня 2026 г. № 21-01-03-3782 «О проведении аукциона на право заключения договора аренды земельного участка в Мотовилихинском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на право заключения договора аренды земельного участка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Лифанова, з/у 29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7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площадь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756 кв. м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7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кадастровый номер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59:01:4311077:180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0" w:hanging="27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9" w:right="-263" w:hanging="284"/>
              <w:rPr>
                <w:sz w:val="24"/>
                <w:szCs w:val="24"/>
              </w:rPr>
            </w:pPr>
            <w:r>
              <w:t xml:space="preserve">принадлежность к определенной  территориальной зоне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Ж-4 «Зона индивидуальной жилой застройки городского типа»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3"/>
              </w:numPr>
              <w:ind w:left="419" w:right="-263" w:hanging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ограничение прав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firstLine="311"/>
              <w:jc w:val="both"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в выписке из Единого государственного реестра недвижимости об объекте недвижимости от 15.06.2026г. № КУВИ-001/2026-80272922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sz w:val="24"/>
                <w:szCs w:val="24"/>
                <w:shd w:val="clear" w:color="auto" w:fill="auto"/>
              </w:rPr>
              <w:t xml:space="preserve">(далее - ЕГРН);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48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hd w:val="clear" w:color="auto" w:fill="auto"/>
              </w:rPr>
              <w:t xml:space="preserve">от 15.05.2026 № РФ-59-2-03-0-00-2026-1215-0 (далее – ГПЗУ) (приложение № 4 </w:t>
            </w:r>
            <w:r>
              <w:rPr>
                <w:b w:val="0"/>
                <w:bCs w:val="0"/>
                <w:sz w:val="24"/>
                <w:szCs w:val="24"/>
                <w:shd w:val="clear" w:color="auto" w:fill="auto"/>
              </w:rPr>
              <w:t xml:space="preserve">к настоящему извещению)</w:t>
            </w:r>
            <w:r>
              <w:rPr>
                <w:shd w:val="clear" w:color="auto" w:fill="auto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left="0" w:right="0" w:firstLine="425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Доступ к Участку не ограничен, визуально объекты движимого и/или недвижимого имущества не определяются.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По данным МЧС, близлежащие источники противопожарного водоснабжения в отношении испрашиваемого земельного участка: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- пожарный гидрант, расположенный по ул. Уральская, 45, на расстоянии 90 м.;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  <w:highlight w:val="white"/>
              </w:rPr>
              <w:t xml:space="preserve">- пожарный гидрант, </w:t>
            </w:r>
            <w:r>
              <w:rPr>
                <w:sz w:val="24"/>
                <w:szCs w:val="24"/>
              </w:rPr>
              <w:t xml:space="preserve">расположенный по ул. Уральская, 47, на расстоянии 150 м.;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- пожарный гидрант, расположенный по ул. Уральская, 53, на расстоянии 335 м.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администрации Мотовилихинского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06.04.2026 № 059-36-01-42/3-48, в акте обследования от 06.04.2026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 из ЕГРН объекты капитального/некапитального строительства в границах Участка отсутствуют.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 xml:space="preserve">В соответствии с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геодезической съемкой, выполненной в 2025 году,</w:t>
            </w:r>
            <w:r>
              <w:rPr>
                <w:sz w:val="24"/>
                <w:szCs w:val="24"/>
                <w:highlight w:val="white"/>
              </w:rPr>
              <w:t xml:space="preserve"> на территории Участка расположено разрушенное строение, часть некапитального строения смежного участка, заросли. По южной и северной границам участка расположен забор. Вдоль южной и северной границ расположен забор.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7"/>
              <w:jc w:val="both"/>
              <w:spacing w:before="0" w:after="0" w:line="240" w:lineRule="auto"/>
              <w:rPr>
                <w:rFonts w:ascii="Times New Roman" w:hAnsi="Times New Roman"/>
                <w:szCs w:val="24"/>
                <w:highlight w:val="yellow"/>
                <w14:ligatures w14:val="none"/>
              </w:rPr>
            </w:pPr>
            <w:r>
              <w:rPr>
                <w:szCs w:val="24"/>
                <w:highlight w:val="yellow"/>
                <w14:ligatures w14:val="none"/>
              </w:rPr>
            </w:r>
            <w:r>
              <w:rPr>
                <w:rFonts w:ascii="Times New Roman" w:hAnsi="Times New Roman"/>
                <w:szCs w:val="24"/>
                <w:highlight w:val="yellow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10.06.2026 № 682917, Участок расположен в границах зон с особыми условиями использования территории: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полностью в Приаэродромной территории аэродрома аэропорта Большое Савино, реестровый номер границы 59:32-6.553;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с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 Участке произрастает 34 дерева породы «клен». Средняя стоимость в ценах 2026 года одного дерева лиственной породы от 25 тыс. руб., а хвойной – от 30 тыс. руб.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по охране окружающей среды от 30.03.2026 № 68.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31.03.2026 № 059-33-01-10/3-188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и благоустрой</w:t>
            </w:r>
            <w:r>
              <w:rPr>
                <w:sz w:val="24"/>
                <w:szCs w:val="24"/>
                <w:highlight w:val="white"/>
              </w:rPr>
              <w:t xml:space="preserve">ство города Перми», утвержденной постановлением администрации города Перми от 18.10.2024 № 966, </w:t>
              <w:br/>
              <w:t xml:space="preserve">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  <w:r>
              <w:rPr>
                <w:highlight w:val="white"/>
              </w:rPr>
            </w:r>
          </w:p>
          <w:p>
            <w:pPr>
              <w:pStyle w:val="648"/>
              <w:ind w:left="0" w:right="0" w:firstLine="425"/>
              <w:jc w:val="both"/>
              <w:spacing w:before="0" w:beforeAutospacing="0" w:after="0" w:afterAutospacing="0" w:line="240" w:lineRule="auto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Программой комплексного развития транспортной инфраструктуры гор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ода Перми на 2025-2043 годы, утвержденной Решением Пермской городской Думы </w:t>
              <w:br/>
              <w:t xml:space="preserve">от 16.12.2025 № 238, предусмотрен капитальный ремонт ул. Лифанова от ул. Башкова до ул. 1905 года </w:t>
              <w:br/>
              <w:t xml:space="preserve">с обустройством остановочных пунктов для организации на них автобусного движения.</w:t>
            </w:r>
            <w:r>
              <w:rPr>
                <w:highlight w:val="white"/>
              </w:rPr>
            </w:r>
          </w:p>
          <w:p>
            <w:pPr>
              <w:pStyle w:val="648"/>
              <w:ind w:left="0" w:right="0" w:firstLine="425"/>
              <w:jc w:val="both"/>
              <w:spacing w:before="0" w:beforeAutospacing="0" w:after="0" w:afterAutospacing="0" w:line="240" w:lineRule="auto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val="000000" w:themeColor="text1"/>
                <w:sz w:val="24"/>
                <w:highlight w:val="white"/>
              </w:rPr>
              <w:t xml:space="preserve">еобходимо выполнить условия, указанные в письме.</w:t>
            </w:r>
            <w:r>
              <w:rPr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  <w:r>
              <w:rPr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на строительства,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 связанных </w:t>
              <w:br/>
              <w:t xml:space="preserve">с обеспечени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осуществляется строительство, реконструкция, капитальный ремонт, ремонт пересечений </w:t>
              <w:br/>
              <w:t xml:space="preserve">или примыканий.</w:t>
            </w:r>
            <w:r>
              <w:rPr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 xml:space="preserve"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25.03.2026 № 059-24-01-36/3-817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/>
            <w:r/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Источники противопожарного водоснабжения на указанной территории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отсутствуют.</w:t>
            </w:r>
            <w:r/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Информация о подразделениях пожарной охраны </w:t>
              <w:br/>
              <w:t xml:space="preserve">и времени их прибытия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содержится в «Расписании выезда подразделений Пермского местного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пожарно-спасательного гарнизона для тушения пожаров и проведения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аварийно-спасательных работ на территории Пермского городского округа,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Пермского муниципального района», утвержденном Главой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26.04.2024. Подразделение пожарной охраны расположено по адресу: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ул. Уральская, 74 (ПСЧ-3 </w:t>
              <w:br/>
              <w:t xml:space="preserve">10-ПСО).</w:t>
            </w:r>
            <w:r/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Помещения для аварийно-спасательных служб и (или) аварийно-спасательных формирований на указанной территории отсутствуют.</w:t>
            </w:r>
            <w:r/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Объект общественной безопасности, отнесенный </w:t>
              <w:br/>
              <w:t xml:space="preserve">к объектам полиции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(участковые пункты полиции), расположен по адресу: г. Пермь, ул. Ким, 5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(микрорайон Рабочий Поселок, Мотовилихинский район). В настоящее время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в указанном микрорайоне строительство (приобретение) участковых пунктов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полиции не планируется.</w:t>
            </w:r>
            <w:r/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По информации, предоставленной Министерством территориальной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безопасности Пермского края (письмо </w:t>
              <w:br/>
              <w:t xml:space="preserve">от 07.10.2020 № 964с), рассматриваемая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территория попадает в зону возможного химического заражения </w:t>
              <w:br/>
              <w:t xml:space="preserve">в особый период.</w:t>
            </w:r>
            <w:r/>
          </w:p>
          <w:p>
            <w:pPr>
              <w:pStyle w:val="648"/>
              <w:ind w:left="0" w:right="0" w:firstLine="283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14:ligatures w14:val="none"/>
              </w:rPr>
              <w:t xml:space="preserve">Указанная территория находится в зоне действия системы оповещения населения города Перми, установленной по ул. Анри Барбюса, 51 - 1500 м.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25.03.2026 № 059-10-01-27/3-444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510" w:right="113" w:hanging="283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допустимые параметры разрешенного строительства</w:t>
              <w:br/>
              <w:t xml:space="preserve">объекта капитального строительства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val="clear" w:color="auto" w:fill="ffffff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 xml:space="preserve">www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  <w:lang w:val="en-US"/>
              </w:rPr>
              <w:t xml:space="preserve">torgi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  <w:lang w:val="en-US"/>
              </w:rPr>
              <w:t xml:space="preserve">gov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  <w:lang w:val="en-US"/>
              </w:rPr>
              <w:t xml:space="preserve">ru</w:t>
            </w:r>
            <w:r>
              <w:rPr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ooltip="http://www.gorodperm.ru/" w:history="1">
              <w:r>
                <w:rPr>
                  <w:rStyle w:val="731"/>
                  <w:szCs w:val="24"/>
                </w:rPr>
                <w:t xml:space="preserve">www.gorodperm.ru</w:t>
              </w:r>
            </w:hyperlink>
            <w:r>
              <w:rPr>
                <w:szCs w:val="24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на территории, в границах которой предусматриваются </w:t>
            </w:r>
            <w:r>
              <w:rPr>
                <w:b/>
                <w:sz w:val="24"/>
                <w:szCs w:val="24"/>
              </w:rPr>
              <w:t xml:space="preserve">требования </w:t>
              <w:br/>
              <w:t xml:space="preserve">к архитектурно-градостроительному облику объектов капитального строительства</w:t>
            </w:r>
            <w:r>
              <w:rPr>
                <w:sz w:val="24"/>
                <w:szCs w:val="24"/>
              </w:rPr>
              <w:t xml:space="preserve"> в соответствии со статьей 52.9 Правил землепользования и застройки.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 проектировании и строительстве необходимо учитывать требования к архитектурно-градостроительному облику объектов капитального строительства, утвержденные постановлением Правительства Пермского края от 21.08.2023 № 633-п «О внесении изменений в ПЗЗ».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Информация о требованиях архитектурно-градостроительного облика объекта указ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ана в п. 12  ГПЗУ.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</w:t>
            </w:r>
            <w:r>
              <w:rPr>
                <w:sz w:val="24"/>
                <w:szCs w:val="24"/>
                <w:lang w:val="en-US"/>
              </w:rPr>
              <w:t xml:space="preserve">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</w:t>
            </w:r>
            <w:r>
              <w:rPr>
                <w:sz w:val="24"/>
                <w:szCs w:val="24"/>
                <w:lang w:val="en-US"/>
              </w:rPr>
              <w:t xml:space="preserve">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 xml:space="preserve"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23.12.2015 № 1102).</w:t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земельного участка до места допустимого размещения зданий, строений, сооружений (за исключен</w:t>
            </w:r>
            <w:r>
              <w:rPr>
                <w:sz w:val="24"/>
                <w:highlight w:val="white"/>
              </w:rPr>
              <w:t xml:space="preserve">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</w:t>
              <w:br/>
              <w:t xml:space="preserve">при блокированной жилой застройке) – 3 м.</w:t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</w:t>
            </w:r>
            <w:r>
              <w:rPr>
                <w:sz w:val="24"/>
                <w:highlight w:val="white"/>
              </w:rPr>
              <w:t xml:space="preserve">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процент застройки в границах </w:t>
              <w:br/>
              <w:t xml:space="preserve">Участка – 30%.</w:t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/>
        <w:trPr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4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2"/>
              </w:numPr>
              <w:ind w:left="410" w:right="2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t xml:space="preserve">В </w:t>
            </w:r>
            <w:r>
              <w:rPr>
                <w:shd w:val="clear" w:color="auto" w:fill="ffffff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 xml:space="preserve">www</w:t>
            </w:r>
            <w:r>
              <w:t xml:space="preserve">.</w:t>
            </w:r>
            <w:r>
              <w:rPr>
                <w:lang w:val="en-US"/>
              </w:rPr>
              <w:t xml:space="preserve">torgi</w:t>
            </w:r>
            <w:r>
              <w:t xml:space="preserve">.</w:t>
            </w:r>
            <w:r>
              <w:rPr>
                <w:lang w:val="en-US"/>
              </w:rPr>
              <w:t xml:space="preserve">gov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rPr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ooltip="http://www.gorodperm.ru/" w:history="1">
              <w:r>
                <w:rPr>
                  <w:rStyle w:val="731"/>
                </w:rPr>
                <w:t xml:space="preserve">www.gorodperm.ru</w:t>
              </w:r>
            </w:hyperlink>
            <w:r>
              <w:t xml:space="preserve">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</w:t>
            </w:r>
            <w:r>
              <w:rPr>
                <w:sz w:val="24"/>
                <w:szCs w:val="24"/>
                <w:highlight w:val="white"/>
              </w:rPr>
              <w:t xml:space="preserve">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 (далее – ТП).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 си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Согласно пунктам 15, 25, 25.1 Правил ТП технические услов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Дополнительно сообщается, что в границах Участка сетей ПАО «Россети Урал» и их охранных зон нет.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48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23" w:tooltip="https://" w:history="1">
              <w:r>
                <w:rPr>
                  <w:rStyle w:val="731"/>
                  <w:color w:val="000000" w:themeColor="text1"/>
                  <w:sz w:val="24"/>
                  <w:szCs w:val="24"/>
                  <w:highlight w:val="white"/>
                </w:rPr>
                <w:t xml:space="preserve">https://</w:t>
              </w:r>
            </w:hyperlink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 «Россети Урал» - «Пермэнерго» по адресу: г. Пермь, </w:t>
              <w:br/>
              <w:t xml:space="preserve">ул. Камчатовская, д. 26, а также почтовым отправлением по адресу: 314016, г. Пермь, ул. Камчатовская, 26. </w:t>
              <w:br/>
              <w:t xml:space="preserve">По дополнительным вопросам телефон контакт-центра: 8-800-220-0-220 (круглосуточно и бесплатно).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 xml:space="preserve">от 02.04.2026 № ПЭ/ПГЭС/01/22/4555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/час к существующим сетям газораспределения имеется.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</w:t>
            </w:r>
            <w:r>
              <w:rPr>
                <w:sz w:val="24"/>
                <w:szCs w:val="24"/>
                <w:highlight w:val="white"/>
              </w:rPr>
              <w:t xml:space="preserve">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</w:t>
            </w:r>
            <w:r>
              <w:rPr>
                <w:sz w:val="24"/>
                <w:szCs w:val="24"/>
                <w:highlight w:val="white"/>
              </w:rPr>
              <w:t xml:space="preserve">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27.03.2026 № ПФ-2118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/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Ближайшей сетью водоснабжения, эксплуатируемой ООО «НОВОГОР - Прикамье», является водопровод Д-З00мм, по ул. Лифанова, ориентировочное расстояние от земельного участка - 10 м.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Ближайшей сетью водоотведения, эксплуатируемой ООО «НОВОГОР - Прикамье», является коллектор Д-600 мм, по ул. Лифанова, ориентировочное расстояние от земельного участка 60 м.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Виду отсутствия данных о посадке проектируемого объекта, длина технологического разрыва до сетей водоснабжения и водоотведения указана ориентировочно.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проектировании может быть применен альтернативный способ водоснабжения без подключения к ц</w:t>
            </w:r>
            <w:r>
              <w:rPr>
                <w:sz w:val="24"/>
                <w:szCs w:val="24"/>
                <w:highlight w:val="white"/>
              </w:rPr>
              <w:t xml:space="preserve">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 xml:space="preserve">в выгребную яму с последующим </w:t>
            </w:r>
            <w:bookmarkStart w:id="0" w:name="undefined_Копия_1"/>
            <w:r/>
            <w:bookmarkEnd w:id="0"/>
            <w:r>
              <w:rPr>
                <w:sz w:val="24"/>
                <w:szCs w:val="24"/>
                <w:highlight w:val="white"/>
              </w:rPr>
              <w:t xml:space="preserve">вывозом стоков спец. машинами), который должен соответствовать всем нормативным требованиям Российской Федерации.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сведения сообщаем, в связи с тем, что ООО «НОВОГОР - Прикамье» эксплуатирует только централизованные системы вод</w:t>
            </w:r>
            <w:r>
              <w:rPr>
                <w:sz w:val="24"/>
                <w:szCs w:val="24"/>
                <w:highlight w:val="white"/>
              </w:rPr>
              <w:t xml:space="preserve">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3-x лиц </w:t>
              <w:br/>
              <w:t xml:space="preserve">в границах вышеуказанного земельного участка.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ООО «НОВО</w:t>
            </w:r>
            <w:bookmarkStart w:id="1" w:name="undefined_Копия_2"/>
            <w:r/>
            <w:bookmarkEnd w:id="1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 xml:space="preserve">от 26.03.2026 № 110-4263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Техническая возможность подключения к системе теплоснабжения имеется. Возможные точки присоединения на существующих тепловых сетях: Т-549 на М1-06 9разв.) 2Ду700мм. Источник теплоснабжения: ВК-2.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01.04.2026 № 51030-01-01846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Техническое присоединение планируемых к строительству объектов в границах Участка может быть произведено в точке подключения узел ВОЛС (г. Пермь, ул. Восстания, д. 14а). Максимальную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нагрузку в точках подключения (технологического присоединения) определить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стадии проектирования.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подключения (технологического присоединения)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вышеуказанного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технических условий на подключение к сетям связи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ПАО «Ростелеком» необходимо обратиться в Отдел продаж и обслуживания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по адресу: г. Пермь, </w:t>
              <w:br/>
              <w:t xml:space="preserve">ул. Крупской, 2, тел.: (342) 235-57-34 или направить запрос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 </w:t>
            </w:r>
            <w:hyperlink r:id="rId24" w:tooltip="mailto:perm-mail@ural.rt.ru" w:history="1">
              <w:r>
                <w:rPr>
                  <w:rStyle w:val="731"/>
                  <w:color w:val="000000"/>
                  <w:sz w:val="24"/>
                  <w:szCs w:val="24"/>
                  <w:highlight w:val="white"/>
                </w:rPr>
                <w:t xml:space="preserve"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 xml:space="preserve">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30.03.2026 № 01/05/48098/26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 территории, где располо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 в мкр. Рабочий поселок.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48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ифнормация отражена в письме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от 03.04.2026 № 059-04-17/3-267-ри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48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цена предмета аукциона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(размер ежегодной арендной платы)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</w:pPr>
            <w:r>
              <w:rPr>
                <w:b w:val="0"/>
                <w:bCs w:val="0"/>
                <w:sz w:val="24"/>
                <w:szCs w:val="24"/>
                <w:shd w:val="clear" w:color="auto" w:fill="auto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</w:t>
            </w:r>
            <w:r>
              <w:rPr>
                <w:b w:val="0"/>
                <w:bCs w:val="0"/>
                <w:sz w:val="24"/>
                <w:szCs w:val="24"/>
                <w:shd w:val="clear" w:color="auto" w:fill="auto"/>
              </w:rPr>
              <w:t xml:space="preserve">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val="clear" w:color="auto" w:fill="auto"/>
              </w:rPr>
              <w:t xml:space="preserve">за 1 год </w:t>
            </w:r>
            <w:r>
              <w:rPr>
                <w:b w:val="0"/>
                <w:bCs w:val="0"/>
                <w:sz w:val="24"/>
                <w:szCs w:val="24"/>
                <w:shd w:val="clear" w:color="auto" w:fill="auto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 xml:space="preserve">в проекте договора аренды земельного участка (Приложение 3</w:t>
              <w:br/>
              <w:t xml:space="preserve">к настоящему извещению)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323 100 </w:t>
            </w:r>
            <w:r>
              <w:rPr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val="clear" w:color="auto" w:fill="auto"/>
              </w:rPr>
              <w:t xml:space="preserve">предмета аукциона)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16 155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заявки на участие в аукционе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 xml:space="preserve">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t xml:space="preserve">На каждый лот представляется отдельный пакет документов.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  <w:t xml:space="preserve"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val="clear" w:color="auto" w:fill="auto"/>
              </w:rPr>
              <w:t xml:space="preserve">предмета аукциона)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161 550 </w:t>
            </w:r>
            <w:r>
              <w:rPr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аренды земельного участка</w:t>
            </w:r>
            <w:r>
              <w:rPr>
                <w:sz w:val="24"/>
                <w:szCs w:val="24"/>
              </w:rPr>
            </w:r>
          </w:p>
          <w:p>
            <w:pPr>
              <w:pStyle w:val="64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лет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06.03.2026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gorodperm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pStyle w:val="648"/>
              <w:ind w:left="113" w:right="57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 xml:space="preserve">на местности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4" w:type="dxa"/>
            <w:textDirection w:val="lrTb"/>
            <w:noWrap w:val="false"/>
          </w:tcPr>
          <w:p>
            <w:pPr>
              <w:pStyle w:val="6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68"/>
        <w:ind w:left="1134" w:firstLine="0"/>
        <w:jc w:val="left"/>
        <w:spacing w:line="240" w:lineRule="exac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</w:r>
      <w:r>
        <w:rPr>
          <w:rFonts w:ascii="Times New Roman" w:hAnsi="Times New Roman" w:cs="Times New Roman"/>
          <w:b/>
          <w:sz w:val="24"/>
          <w:szCs w:val="28"/>
          <w:lang w:val="ru-RU"/>
        </w:rPr>
      </w:r>
    </w:p>
    <w:p>
      <w:pPr>
        <w:pStyle w:val="648"/>
        <w:contextualSpacing/>
        <w:ind w:left="0"/>
        <w:jc w:val="center"/>
        <w:spacing w:before="0" w:after="0"/>
        <w:widowControl w:val="off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 xml:space="preserve">Сроки, время подачи заявок, рассмотрения заявок, проведения аукциона</w:t>
      </w:r>
      <w:r>
        <w:rPr>
          <w:rFonts w:eastAsia="Courier New"/>
          <w:b/>
          <w:bCs/>
          <w:highlight w:val="none"/>
          <w:lang w:bidi="ru-RU"/>
        </w:rPr>
      </w:r>
    </w:p>
    <w:p>
      <w:pPr>
        <w:pStyle w:val="648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48"/>
        <w:ind w:left="-567" w:right="0" w:firstLine="687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аукционе – 23.06.2026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по местному времени (7:00 МСК)</w:t>
      </w:r>
      <w:r>
        <w:rPr>
          <w:rFonts w:eastAsia="Courier New"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 xml:space="preserve">Дата и время окончания срока подачи заявок на участие в аукционе – 07.07.2026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  <w:r>
        <w:rPr>
          <w:rFonts w:eastAsia="Courier New"/>
          <w:b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08.07.2026. </w:t>
      </w:r>
      <w:r>
        <w:rPr>
          <w:rFonts w:eastAsia="Courier New"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 xml:space="preserve">от участников аукциона) – 09.07</w:t>
      </w:r>
      <w:r>
        <w:rPr>
          <w:rFonts w:eastAsia="Courier New"/>
          <w:b/>
          <w:lang w:bidi="ru-RU"/>
        </w:rPr>
        <w:t xml:space="preserve">.2026</w:t>
      </w:r>
      <w:r>
        <w:rPr>
          <w:rFonts w:eastAsia="Courier New"/>
          <w:lang w:bidi="ru-RU"/>
        </w:rPr>
        <w:t xml:space="preserve"> в 09:00 по местному времени (07:00 МСК). </w:t>
      </w:r>
      <w:r>
        <w:rPr>
          <w:rFonts w:eastAsia="Courier New"/>
          <w:b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highlight w:val="none"/>
        </w:rPr>
      </w:pPr>
      <w:r>
        <w:rPr>
          <w:b/>
        </w:rPr>
        <w:t xml:space="preserve">Место подачи (приема) заявок и место проведения аукциона:</w:t>
      </w:r>
      <w:r>
        <w:t xml:space="preserve"> электронная </w:t>
        <w:br/>
        <w:t xml:space="preserve"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highlight w:val="none"/>
        </w:rPr>
      </w:r>
    </w:p>
    <w:p>
      <w:pPr>
        <w:pStyle w:val="648"/>
        <w:jc w:val="both"/>
        <w:widowControl w:val="off"/>
      </w:pPr>
      <w:r/>
      <w:r/>
    </w:p>
    <w:p>
      <w:pPr>
        <w:pStyle w:val="648"/>
        <w:ind w:left="-567" w:firstLine="709"/>
        <w:jc w:val="center"/>
        <w:widowControl w:val="off"/>
        <w:rPr>
          <w:b/>
        </w:rPr>
      </w:pPr>
      <w:r>
        <w:rPr>
          <w:b/>
        </w:rPr>
        <w:t xml:space="preserve">Плата оператору электронной площадки за участие в электронном аукционе</w:t>
      </w:r>
      <w:r>
        <w:rPr>
          <w:b/>
        </w:rPr>
      </w:r>
    </w:p>
    <w:p>
      <w:pPr>
        <w:pStyle w:val="648"/>
        <w:ind w:left="-567" w:firstLine="709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8"/>
        <w:ind w:left="-567" w:firstLine="709"/>
        <w:jc w:val="both"/>
        <w:widowControl w:val="off"/>
      </w:pPr>
      <w:r>
        <w:t xml:space="preserve">В соответствии с постановлением Правительства Российской Федерации от 10 мая 2018 г. </w:t>
      </w:r>
      <w:r>
        <w:br w:type="textWrapping" w:clear="all"/>
      </w:r>
      <w:r>
        <w:t xml:space="preserve"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</w:t>
      </w:r>
      <w:r>
        <w:t xml:space="preserve">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</w:t>
      </w:r>
      <w:r>
        <w:t xml:space="preserve">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  <w:r/>
    </w:p>
    <w:p>
      <w:pPr>
        <w:pStyle w:val="648"/>
        <w:ind w:left="-567" w:firstLine="709"/>
        <w:jc w:val="both"/>
        <w:widowControl w:val="off"/>
      </w:pPr>
      <w:r>
        <w:t xml:space="preserve">По информации оператора электронной площадки АО «Сбербанк-АСТ» в настоящее время взимание платы не установлено.</w:t>
      </w:r>
      <w:r/>
    </w:p>
    <w:p>
      <w:pPr>
        <w:pStyle w:val="648"/>
        <w:ind w:left="-567" w:firstLine="709"/>
        <w:jc w:val="both"/>
        <w:widowControl w:val="off"/>
      </w:pPr>
      <w:r/>
      <w:r/>
    </w:p>
    <w:p>
      <w:pPr>
        <w:pStyle w:val="648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>
        <w:rPr>
          <w:b/>
          <w:bCs/>
          <w:lang w:bidi="ru-RU"/>
        </w:rPr>
      </w:r>
    </w:p>
    <w:p>
      <w:pPr>
        <w:pStyle w:val="648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</w:t>
      </w:r>
      <w:r>
        <w:rPr>
          <w:bCs/>
          <w:lang w:bidi="ru-RU"/>
        </w:rPr>
        <w:t xml:space="preserve">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  <w:r>
        <w:rPr>
          <w:bCs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 xml:space="preserve">на лицевом счете заявителя и осуществляет блокирование необходимой денежной суммы.</w:t>
      </w:r>
      <w:r>
        <w:rPr>
          <w:bCs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  <w:r>
        <w:rPr>
          <w:bCs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  <w:r>
        <w:rPr>
          <w:bCs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  <w:r>
        <w:rPr>
          <w:b/>
          <w:bCs/>
          <w:lang w:bidi="ru-RU"/>
        </w:rPr>
      </w:r>
    </w:p>
    <w:p>
      <w:pPr>
        <w:pStyle w:val="648"/>
        <w:ind w:left="-567" w:firstLine="567"/>
        <w:jc w:val="both"/>
        <w:widowControl w:val="off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 xml:space="preserve">Задаток перечисляется на реквизиты Оператора электронной площадки (</w:t>
      </w:r>
      <w:hyperlink r:id="rId25" w:tooltip="http://utp.sberbank-ast.ru/AP/Notice/653/Requisites" w:history="1">
        <w:r>
          <w:rPr>
            <w:rStyle w:val="731"/>
            <w:b/>
            <w:bCs/>
            <w:lang w:bidi="ru-RU"/>
          </w:rPr>
          <w:t xml:space="preserve">http://utp.sberbank-ast.ru/AP/Notice/653/Requisites</w:t>
        </w:r>
      </w:hyperlink>
      <w:r>
        <w:rPr>
          <w:b/>
          <w:bCs/>
          <w:lang w:bidi="ru-RU"/>
        </w:rPr>
        <w:t xml:space="preserve">).</w:t>
      </w:r>
      <w:r>
        <w:rPr>
          <w:rFonts w:eastAsia="Calibri"/>
          <w:bCs/>
          <w:lang w:eastAsia="en-US"/>
        </w:rPr>
      </w:r>
    </w:p>
    <w:p>
      <w:pPr>
        <w:pStyle w:val="648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Получатель: АО «Сбербанк-АСТ»</w:t>
      </w:r>
      <w:r>
        <w:rPr>
          <w:rFonts w:eastAsia="Calibri"/>
          <w:bCs/>
          <w:lang w:eastAsia="en-US"/>
        </w:rPr>
      </w:r>
    </w:p>
    <w:p>
      <w:pPr>
        <w:pStyle w:val="648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  <w:r>
        <w:rPr>
          <w:rFonts w:eastAsia="Calibri"/>
          <w:bCs/>
          <w:lang w:eastAsia="en-US"/>
        </w:rPr>
      </w:r>
    </w:p>
    <w:p>
      <w:pPr>
        <w:pStyle w:val="648"/>
        <w:spacing w:line="240" w:lineRule="exact"/>
      </w:pPr>
      <w:r>
        <w:rPr>
          <w:rFonts w:eastAsia="Calibri"/>
          <w:bCs/>
          <w:lang w:eastAsia="en-US"/>
        </w:rPr>
        <w:t xml:space="preserve">Банк получателя: ПАО «СБЕРБАНК РОССИИ» Г. МОСКВА</w:t>
      </w:r>
      <w:r/>
    </w:p>
    <w:p>
      <w:pPr>
        <w:pStyle w:val="648"/>
        <w:spacing w:line="240" w:lineRule="exact"/>
        <w:rPr>
          <w:rFonts w:eastAsia="Calibri"/>
          <w:bCs/>
          <w:lang w:eastAsia="en-US"/>
        </w:rPr>
      </w:pPr>
      <w:r>
        <w:t xml:space="preserve">Расчетный счет: </w:t>
      </w:r>
      <w:r>
        <w:rPr>
          <w:rFonts w:eastAsia="Calibri"/>
          <w:bCs/>
          <w:lang w:eastAsia="en-US"/>
        </w:rPr>
        <w:t xml:space="preserve">40702810300020038047</w:t>
      </w:r>
      <w:r>
        <w:rPr>
          <w:rFonts w:eastAsia="Calibri"/>
          <w:bCs/>
          <w:lang w:eastAsia="en-US"/>
        </w:rPr>
      </w:r>
    </w:p>
    <w:p>
      <w:pPr>
        <w:pStyle w:val="648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БИК: 044525225</w:t>
      </w:r>
      <w:r>
        <w:rPr>
          <w:rFonts w:eastAsia="Calibri"/>
          <w:bCs/>
          <w:lang w:eastAsia="en-US"/>
        </w:rPr>
      </w:r>
    </w:p>
    <w:p>
      <w:pPr>
        <w:pStyle w:val="648"/>
        <w:spacing w:line="240" w:lineRule="exact"/>
        <w:rPr>
          <w:bCs/>
          <w:lang w:bidi="ru-RU"/>
        </w:rPr>
      </w:pPr>
      <w:r>
        <w:rPr>
          <w:rFonts w:eastAsia="Calibri"/>
          <w:bCs/>
          <w:lang w:eastAsia="en-US"/>
        </w:rPr>
        <w:t xml:space="preserve">Корреспондентский счет: 30101810400000000225</w:t>
      </w:r>
      <w:r>
        <w:rPr>
          <w:bCs/>
          <w:lang w:bidi="ru-RU"/>
        </w:rPr>
      </w:r>
    </w:p>
    <w:p>
      <w:pPr>
        <w:pStyle w:val="648"/>
        <w:ind w:left="-567" w:firstLine="567"/>
        <w:jc w:val="both"/>
        <w:widowControl w:val="off"/>
        <w:rPr>
          <w:b/>
        </w:rPr>
      </w:pPr>
      <w:r>
        <w:rPr>
          <w:bCs/>
          <w:lang w:bidi="ru-RU"/>
        </w:rPr>
        <w:t xml:space="preserve">В платёжном поручении в части «Назначение платежа» необходимо указать: Задаток по лоту  № ___, ИНН плательщика. НДС не облагается.</w:t>
      </w:r>
      <w:r>
        <w:rPr>
          <w:b/>
        </w:rPr>
      </w:r>
    </w:p>
    <w:p>
      <w:pPr>
        <w:pStyle w:val="648"/>
        <w:ind w:left="-567" w:firstLine="567"/>
        <w:jc w:val="both"/>
        <w:widowControl w:val="off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 xml:space="preserve"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 xml:space="preserve">c 23.06.2026 по 07.07.2026.</w:t>
      </w:r>
      <w:r>
        <w:rPr>
          <w:bCs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bCs/>
          <w:lang w:bidi="ru-RU"/>
        </w:rPr>
      </w:pP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48"/>
        <w:ind w:left="-567" w:firstLine="709"/>
        <w:jc w:val="center"/>
        <w:widowControl w:val="off"/>
        <w:rPr>
          <w:b/>
          <w:lang w:bidi="ru-RU"/>
        </w:rPr>
      </w:pPr>
      <w:r>
        <w:rPr>
          <w:b/>
          <w:lang w:bidi="ru-RU"/>
        </w:rPr>
        <w:t xml:space="preserve">Порядок возврата задатка:</w:t>
      </w:r>
      <w:r>
        <w:rPr>
          <w:b/>
          <w:lang w:bidi="ru-RU"/>
        </w:rPr>
      </w:r>
    </w:p>
    <w:p>
      <w:pPr>
        <w:pStyle w:val="648"/>
        <w:ind w:left="-567" w:firstLine="709"/>
        <w:jc w:val="both"/>
        <w:widowControl w:val="off"/>
        <w:rPr>
          <w:b/>
          <w:lang w:bidi="ru-RU"/>
        </w:rPr>
      </w:pPr>
      <w:r>
        <w:rPr>
          <w:b/>
          <w:lang w:bidi="ru-RU"/>
        </w:rPr>
      </w:r>
      <w:r>
        <w:rPr>
          <w:b/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lang w:bidi="ru-RU"/>
        </w:rPr>
      </w:pPr>
      <w:r>
        <w:rPr>
          <w:bCs/>
          <w:lang w:bidi="ru-RU"/>
        </w:rPr>
        <w:t xml:space="preserve">Задаток возвращается лицам, участвовавшим в аукционе, но не победившим в нем, в течение трех ра</w:t>
      </w:r>
      <w:r>
        <w:rPr>
          <w:bCs/>
          <w:shd w:val="clear" w:color="auto" w:fill="auto"/>
          <w:lang w:bidi="ru-RU"/>
        </w:rPr>
        <w:t xml:space="preserve">бочих дней со дня подписания протокола о результатах аукциона, </w:t>
      </w:r>
      <w:r>
        <w:rPr>
          <w:b w:val="0"/>
          <w:bCs/>
          <w:shd w:val="clear" w:color="auto" w:fill="auto"/>
          <w:lang w:bidi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lang w:bidi="ru-RU"/>
        </w:rPr>
      </w:r>
    </w:p>
    <w:p>
      <w:pPr>
        <w:pStyle w:val="648"/>
        <w:contextualSpacing/>
        <w:ind w:left="-567" w:firstLine="567"/>
        <w:jc w:val="both"/>
        <w:spacing w:before="0" w:after="0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</w:t>
      </w:r>
      <w:r>
        <w:rPr>
          <w:shd w:val="clear" w:color="auto" w:fill="auto"/>
          <w:lang w:bidi="ru-RU"/>
        </w:rPr>
        <w:t xml:space="preserve">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0"/>
          <w:shd w:val="clear" w:color="auto" w:fill="auto"/>
          <w:lang w:bidi="ru-RU"/>
        </w:rPr>
        <w:t xml:space="preserve">участника аукциона, который сделал предпоследнее предложение </w:t>
        <w:br/>
        <w:t xml:space="preserve">о цене предмета аукциона.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установленные сроки формирует поручение Оператору: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  <w:lang w:bidi="ru-RU"/>
        </w:rPr>
        <w:t xml:space="preserve">- о</w:t>
      </w:r>
      <w:r>
        <w:rPr>
          <w:shd w:val="clear" w:color="auto" w:fill="auto"/>
          <w:lang w:bidi="ru-RU"/>
        </w:rPr>
        <w:t xml:space="preserve">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</w:t>
      </w:r>
      <w:r>
        <w:rPr>
          <w:bCs/>
          <w:shd w:val="clear" w:color="auto" w:fill="auto"/>
          <w:lang w:bidi="ru-RU"/>
        </w:rPr>
        <w:t xml:space="preserve">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  <w:r>
        <w:rPr>
          <w:highlight w:val="none"/>
          <w:shd w:val="clear" w:color="auto" w:fill="auto"/>
        </w:rPr>
      </w:r>
    </w:p>
    <w:p>
      <w:pPr>
        <w:pStyle w:val="648"/>
        <w:jc w:val="both"/>
        <w:spacing w:line="276" w:lineRule="auto"/>
        <w:widowControl w:val="off"/>
        <w:rPr>
          <w:bCs/>
          <w:highlight w:val="none"/>
          <w:shd w:val="clear" w:color="auto" w:fill="auto"/>
          <w:lang w:bidi="ru-RU"/>
        </w:rPr>
      </w:pPr>
      <w:r>
        <w:rPr>
          <w:bCs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</w:p>
    <w:p>
      <w:pPr>
        <w:pStyle w:val="648"/>
        <w:jc w:val="center"/>
        <w:widowControl w:val="off"/>
        <w:rPr>
          <w:highlight w:val="none"/>
          <w:shd w:val="clear" w:color="auto" w:fill="auto"/>
        </w:rPr>
      </w:pPr>
      <w:r>
        <w:rPr>
          <w:b/>
          <w:shd w:val="clear" w:color="auto" w:fill="auto"/>
        </w:rPr>
        <w:t xml:space="preserve">Организатор аукциона вправе:</w:t>
      </w:r>
      <w:r>
        <w:rPr>
          <w:highlight w:val="none"/>
          <w:shd w:val="clear" w:color="auto" w:fill="auto"/>
        </w:rPr>
      </w:r>
    </w:p>
    <w:p>
      <w:pPr>
        <w:pStyle w:val="648"/>
        <w:jc w:val="center"/>
        <w:widowControl w:val="off"/>
        <w:rPr>
          <w:rFonts w:eastAsia="Courier New"/>
          <w:highlight w:val="none"/>
          <w:shd w:val="clear" w:color="auto" w:fill="auto"/>
          <w:lang w:bidi="ru-RU"/>
        </w:rPr>
      </w:pPr>
      <w:r>
        <w:rPr>
          <w:rFonts w:eastAsia="Courier New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</w:p>
    <w:p>
      <w:pPr>
        <w:pStyle w:val="742"/>
        <w:ind w:left="-567" w:firstLine="709"/>
        <w:jc w:val="both"/>
        <w:widowControl w:val="off"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Не позднее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www.gorodperm.ru.</w:t>
      </w:r>
      <w:r>
        <w:rPr>
          <w:highlight w:val="none"/>
          <w:shd w:val="clear" w:color="auto" w:fill="auto"/>
        </w:rPr>
      </w:r>
    </w:p>
    <w:p>
      <w:pPr>
        <w:pStyle w:val="742"/>
        <w:ind w:left="-567" w:firstLine="709"/>
        <w:jc w:val="both"/>
        <w:widowControl w:val="off"/>
        <w:rPr>
          <w:highlight w:val="none"/>
          <w:shd w:val="clear" w:color="auto" w:fill="auto"/>
        </w:rPr>
      </w:pP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 xml:space="preserve">с правилами, предусмотренными п. 22.1  ст. 39.11 Земельного кодекса Российской Федерации.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</w:pPr>
      <w:r>
        <w:rPr>
          <w:shd w:val="clear" w:color="auto" w:fill="auto"/>
        </w:rPr>
        <w:t xml:space="preserve">В соответствии с п. 4 ст. 448 Гражданского кодекса Российской Федерации отказаться </w:t>
      </w:r>
      <w:r>
        <w:br w:type="textWrapping" w:clear="all"/>
      </w:r>
      <w:r>
        <w:t xml:space="preserve">от проведения аукциона в любое время, но не позднее чем за три дня до наступления даты </w:t>
      </w:r>
      <w:r>
        <w:br w:type="textWrapping" w:clear="all"/>
      </w:r>
      <w:r>
        <w:t xml:space="preserve">его проведения, указанной в извещении </w:t>
      </w:r>
      <w:r>
        <w:rPr>
          <w:shd w:val="clear" w:color="auto" w:fill="auto"/>
        </w:rPr>
        <w:t xml:space="preserve">о проведении аукциона. </w:t>
      </w:r>
      <w:r/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48"/>
        <w:jc w:val="center"/>
        <w:widowControl w:val="off"/>
        <w:rPr>
          <w:highlight w:val="none"/>
          <w:shd w:val="clear" w:color="auto" w:fill="auto"/>
        </w:rPr>
      </w:pPr>
      <w:r>
        <w:rPr>
          <w:b/>
          <w:shd w:val="clear" w:color="auto" w:fill="auto"/>
        </w:rPr>
        <w:t xml:space="preserve">Организатор аукциона обязан:  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 </w:t>
      </w:r>
      <w:r>
        <w:rPr>
          <w:shd w:val="clear" w:color="auto" w:fill="auto"/>
        </w:rPr>
        <w:t xml:space="preserve"> и на электронной площадке в течение трех дней со дня принятия данного решения.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 xml:space="preserve">в размере задатка на их лицевых счетах на электронной площадке.</w:t>
      </w:r>
      <w:r>
        <w:rPr>
          <w:highlight w:val="none"/>
          <w:shd w:val="clear" w:color="auto" w:fill="auto"/>
        </w:rPr>
      </w:r>
    </w:p>
    <w:p>
      <w:pPr>
        <w:pStyle w:val="648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48"/>
        <w:ind w:left="502"/>
        <w:jc w:val="center"/>
        <w:widowControl w:val="off"/>
        <w:rPr>
          <w:highlight w:val="none"/>
          <w:shd w:val="clear" w:color="auto" w:fill="auto"/>
        </w:rPr>
      </w:pPr>
      <w:r>
        <w:rPr>
          <w:rFonts w:eastAsia="Courier New"/>
          <w:b/>
          <w:shd w:val="clear" w:color="auto" w:fill="auto"/>
          <w:lang w:bidi="ru-RU"/>
        </w:rPr>
        <w:t xml:space="preserve">Порядок регистрации на электронной площадке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709"/>
        <w:jc w:val="both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Регистрация на электронной площадке проводится в соответствии с регламентом электронной площадки.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23.06.2026 по 07.07.2026 с 9.00 до 18.00 по местному времени (7:00 – 16:00 МСК). </w:t>
      </w:r>
      <w:r>
        <w:rPr>
          <w:highlight w:val="none"/>
          <w:shd w:val="clear" w:color="auto" w:fill="auto"/>
        </w:rPr>
      </w:r>
    </w:p>
    <w:p>
      <w:pPr>
        <w:pStyle w:val="779"/>
        <w:jc w:val="center"/>
        <w:rPr>
          <w:highlight w:val="none"/>
        </w:rPr>
      </w:pPr>
      <w:r/>
      <w:r>
        <w:rPr>
          <w:highlight w:val="none"/>
        </w:rPr>
      </w:r>
    </w:p>
    <w:p>
      <w:pPr>
        <w:pStyle w:val="779"/>
        <w:jc w:val="center"/>
        <w:rPr>
          <w:b/>
          <w:bCs/>
          <w:color w:val="000000"/>
          <w:highlight w:val="none"/>
          <w:shd w:val="clear" w:color="auto" w:fill="auto"/>
        </w:rPr>
      </w:pPr>
      <w:r>
        <w:rPr>
          <w:b/>
          <w:color w:val="000000"/>
          <w:shd w:val="clear" w:color="auto" w:fill="auto"/>
        </w:rPr>
        <w:t xml:space="preserve">Разъяснение положений извещения о проведении аукциона</w:t>
      </w:r>
      <w:r>
        <w:rPr>
          <w:b/>
          <w:bCs/>
          <w:color w:val="000000"/>
          <w:highlight w:val="none"/>
          <w:shd w:val="clear" w:color="auto" w:fill="auto"/>
        </w:rPr>
      </w:r>
    </w:p>
    <w:p>
      <w:pPr>
        <w:pStyle w:val="746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</w:t>
      </w:r>
      <w:r>
        <w:rPr>
          <w:bCs/>
          <w:shd w:val="clear" w:color="auto" w:fill="auto"/>
          <w:lang w:bidi="ru-RU"/>
        </w:rPr>
        <w:t xml:space="preserve">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 xml:space="preserve">не рассматриваются.</w:t>
      </w:r>
      <w:r>
        <w:rPr>
          <w:highlight w:val="none"/>
          <w:shd w:val="clear" w:color="auto" w:fill="auto"/>
        </w:rPr>
      </w:r>
    </w:p>
    <w:p>
      <w:pPr>
        <w:pStyle w:val="746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709"/>
        <w:jc w:val="both"/>
        <w:spacing w:line="276" w:lineRule="auto"/>
        <w:widowControl w:val="off"/>
        <w:rPr>
          <w:bCs/>
          <w:highlight w:val="none"/>
          <w:shd w:val="clear" w:color="auto" w:fill="auto"/>
          <w:lang w:bidi="ru-RU"/>
        </w:rPr>
      </w:pPr>
      <w:r>
        <w:rPr>
          <w:bCs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</w:p>
    <w:p>
      <w:pPr>
        <w:pStyle w:val="648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/>
          <w:bCs/>
          <w:shd w:val="clear" w:color="auto" w:fill="auto"/>
        </w:rPr>
        <w:t xml:space="preserve">Требования к содержанию и составу заявки на участие в аукционе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  <w:highlight w:val="none"/>
          <w:shd w:val="clear" w:color="auto" w:fill="auto"/>
        </w:rPr>
        <w:outlineLvl w:val="0"/>
      </w:pPr>
      <w:r>
        <w:rPr>
          <w:b/>
          <w:bCs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rFonts w:eastAsia="Courier New"/>
          <w:shd w:val="clear" w:color="auto" w:fill="auto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val="clear" w:color="auto" w:fill="auto"/>
          <w:lang w:bidi="ru-RU"/>
        </w:rPr>
        <w:br w:type="textWrapping" w:clear="all"/>
      </w:r>
      <w:r>
        <w:rPr>
          <w:rFonts w:eastAsia="Courier New"/>
          <w:shd w:val="clear" w:color="auto" w:fill="auto"/>
          <w:lang w:bidi="ru-RU"/>
        </w:rPr>
        <w:t xml:space="preserve">о проведении аукциона срок следующие документы:</w:t>
      </w:r>
      <w:r>
        <w:rPr>
          <w:highlight w:val="none"/>
          <w:shd w:val="clear" w:color="auto" w:fill="auto"/>
        </w:rPr>
      </w:r>
    </w:p>
    <w:p>
      <w:pPr>
        <w:pStyle w:val="648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1) копии документов, удостоверяющих личность заявителя (для граждан), всех страниц;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highlight w:val="none"/>
          <w:shd w:val="clear" w:color="auto" w:fill="auto"/>
        </w:rPr>
      </w:r>
    </w:p>
    <w:p>
      <w:pPr>
        <w:pStyle w:val="648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3) документы, подтверждающие внесение задатка.</w:t>
      </w:r>
      <w:r>
        <w:rPr>
          <w:highlight w:val="none"/>
          <w:shd w:val="clear" w:color="auto" w:fill="auto"/>
        </w:rPr>
      </w:r>
    </w:p>
    <w:p>
      <w:pPr>
        <w:pStyle w:val="648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48"/>
        <w:ind w:firstLine="708"/>
        <w:jc w:val="center"/>
        <w:rPr>
          <w:highlight w:val="none"/>
          <w:shd w:val="clear" w:color="auto" w:fill="auto"/>
        </w:rPr>
      </w:pPr>
      <w:r>
        <w:rPr>
          <w:b/>
          <w:shd w:val="clear" w:color="auto" w:fill="auto"/>
        </w:rPr>
        <w:t xml:space="preserve">Инструкция по заполнению и подаче заявки, порядок приема заявки</w:t>
      </w:r>
      <w:r>
        <w:rPr>
          <w:highlight w:val="none"/>
          <w:shd w:val="clear" w:color="auto" w:fill="auto"/>
        </w:rPr>
      </w:r>
    </w:p>
    <w:p>
      <w:pPr>
        <w:pStyle w:val="648"/>
        <w:ind w:firstLine="708"/>
        <w:jc w:val="center"/>
        <w:rPr>
          <w:b/>
          <w:highlight w:val="none"/>
          <w:shd w:val="clear" w:color="auto" w:fill="auto"/>
        </w:rPr>
      </w:pPr>
      <w:r>
        <w:rPr>
          <w:b/>
          <w:shd w:val="clear" w:color="auto" w:fill="auto"/>
        </w:rPr>
      </w:r>
      <w:r>
        <w:rPr>
          <w:b/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Заявка на участие в электронном аукционе с указанием банк</w:t>
      </w:r>
      <w:r>
        <w:rPr>
          <w:shd w:val="clear" w:color="auto" w:fill="auto"/>
        </w:rPr>
        <w:t xml:space="preserve">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0"/>
          <w:shd w:val="clear" w:color="auto" w:fill="auto"/>
        </w:rPr>
        <w:t xml:space="preserve">документов, удостоверяющих личность заявителя (для граждан); </w:t>
      </w:r>
      <w:r>
        <w:rPr>
          <w:b w:val="0"/>
        </w:rPr>
        <w:t xml:space="preserve">надлежащим образом заверенн</w:t>
      </w:r>
      <w:r>
        <w:rPr>
          <w:b w:val="0"/>
        </w:rPr>
        <w:t xml:space="preserve">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</w:rPr>
      </w:pPr>
      <w:r>
        <w:rPr>
          <w:sz w:val="24"/>
          <w:szCs w:val="24"/>
        </w:rPr>
        <w:t xml:space="preserve">На каждый лот представляется отдельный пакет документов.</w:t>
      </w:r>
      <w:r>
        <w:rPr>
          <w:highlight w:val="none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Заполнение заявки осуществляется в соответствии с порядком, определенным регламентом электронной площадки АО «Сбербанк-АСТ».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Все документы и сведения, связанные с получением регистрации на универсальной торговой пла</w:t>
      </w:r>
      <w:r>
        <w:rPr>
          <w:shd w:val="clear" w:color="auto" w:fill="auto"/>
        </w:rPr>
        <w:t xml:space="preserve">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Регламента Универсальной торговой платформы).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Заявка подается в виде электронного документа, подписанного электронной подписью заявителя (п. 3.2.2. Регламента торговой секции).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Заявитель заполняет электронную форму заявки, при</w:t>
      </w:r>
      <w:r>
        <w:rPr>
          <w:shd w:val="clear" w:color="auto" w:fill="auto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</w:t>
      </w:r>
      <w:r>
        <w:rPr>
          <w:shd w:val="clear" w:color="auto" w:fill="auto"/>
        </w:rPr>
        <w:t xml:space="preserve">ых заявителя на универсальной торговой платформе, актуальные на дату </w:t>
        <w:br/>
        <w:t xml:space="preserve"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Подача заявки осуществляется заявителем, зарегистрированным в торговой секции, 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из личного кабинета посредством штатного интерфейса отдельно по каждому лоту в сроки, установленные в извещении о проведении аукциона.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Заявитель вправе подать заявку в любое время с момента размещения извещения 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 до предусмотренных указанным извещением даты и времени окончания срока подачи заявок.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Один заявитель вправе подать только одну заявку на участие в аукционе в отношении каждого лота.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Заявка на участие в аукционе, поступившая по истечении срока приема заявок, возвращается заявителю в день ее поступления.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Участие в аукционе возможно при наличии на лицевом счете заявителя денежных средств 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Все документы, входящие в состав заявки, должны иметь четко читаемый текст.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Заявка предоставляется организатору аукциона через Оператора.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Заявка не может быть принята Оператором в случае: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в размере задатка;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в) подачи заявки по истечении установленного срока подачи заявок;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enter" w:pos="284" w:leader="none"/>
          <w:tab w:val="clear" w:pos="708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Заявителям, признанным участниками аукциона, и зая</w:t>
      </w:r>
      <w:r>
        <w:rPr>
          <w:bCs/>
          <w:shd w:val="clear" w:color="auto" w:fill="auto"/>
        </w:rPr>
        <w:t xml:space="preserve">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284" w:leader="none"/>
          <w:tab w:val="clear" w:pos="708" w:leader="none"/>
        </w:tabs>
        <w:rPr>
          <w:bCs/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</w:r>
      <w:r>
        <w:rPr>
          <w:bCs/>
          <w:highlight w:val="none"/>
          <w:shd w:val="clear" w:color="auto" w:fill="auto"/>
        </w:rPr>
      </w:r>
    </w:p>
    <w:p>
      <w:pPr>
        <w:pStyle w:val="648"/>
        <w:ind w:left="502"/>
        <w:jc w:val="center"/>
        <w:widowControl w:val="off"/>
        <w:rPr>
          <w:highlight w:val="none"/>
          <w:shd w:val="clear" w:color="auto" w:fill="auto"/>
        </w:rPr>
      </w:pPr>
      <w:r>
        <w:rPr>
          <w:b/>
          <w:bCs/>
          <w:shd w:val="clear" w:color="auto" w:fill="auto"/>
          <w:lang w:bidi="ru-RU"/>
        </w:rPr>
        <w:t xml:space="preserve">Порядок и срок изменения, отзыва заявки на участие в аукционе</w:t>
      </w:r>
      <w:r>
        <w:rPr>
          <w:highlight w:val="none"/>
          <w:shd w:val="clear" w:color="auto" w:fill="auto"/>
        </w:rPr>
      </w:r>
    </w:p>
    <w:p>
      <w:pPr>
        <w:pStyle w:val="648"/>
        <w:ind w:left="502"/>
        <w:widowControl w:val="off"/>
        <w:rPr>
          <w:b/>
          <w:bCs/>
          <w:highlight w:val="none"/>
          <w:shd w:val="clear" w:color="auto" w:fill="auto"/>
          <w:lang w:bidi="ru-RU"/>
        </w:rPr>
      </w:pPr>
      <w:r>
        <w:rPr>
          <w:b/>
          <w:bCs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Заявитель имеет право отозвать принятую организатором аукциона заявку на участие 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аукционе до дня окончания срока приема заявок, путем направлен</w:t>
      </w:r>
      <w:r>
        <w:rPr>
          <w:shd w:val="clear" w:color="auto" w:fill="auto"/>
        </w:rPr>
        <w:t xml:space="preserve">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</w:t>
      </w:r>
      <w:r>
        <w:rPr>
          <w:shd w:val="clear" w:color="auto" w:fill="auto"/>
        </w:rPr>
        <w:t xml:space="preserve">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  <w:r>
        <w:rPr>
          <w:highlight w:val="none"/>
          <w:shd w:val="clear" w:color="auto" w:fill="auto"/>
        </w:rPr>
      </w:r>
    </w:p>
    <w:p>
      <w:pPr>
        <w:pStyle w:val="648"/>
        <w:jc w:val="center"/>
        <w:rPr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  <w:t xml:space="preserve">Определение участников аукциона</w:t>
      </w:r>
      <w:r>
        <w:rPr>
          <w:highlight w:val="none"/>
          <w:shd w:val="clear" w:color="auto" w:fill="auto"/>
        </w:rPr>
      </w:r>
    </w:p>
    <w:p>
      <w:pPr>
        <w:pStyle w:val="648"/>
        <w:jc w:val="center"/>
        <w:rPr>
          <w:b/>
          <w:bCs/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bCs/>
          <w:shd w:val="clear" w:color="auto" w:fill="auto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к участию в аукционе или об отказе в допуске к участию в аукционе.</w:t>
      </w:r>
      <w:r>
        <w:rPr>
          <w:highlight w:val="none"/>
          <w:shd w:val="clear" w:color="auto" w:fill="auto"/>
        </w:rPr>
      </w:r>
    </w:p>
    <w:p>
      <w:pPr>
        <w:pStyle w:val="648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Заявитель не допускается к участию в аукционе в следующих случаях: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z w:val="20"/>
          <w:shd w:val="clear" w:color="auto" w:fill="auto"/>
        </w:rPr>
        <w:t xml:space="preserve">1) </w:t>
      </w:r>
      <w:r>
        <w:rPr>
          <w:shd w:val="clear" w:color="auto" w:fill="auto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highlight w:val="none"/>
          <w:shd w:val="clear" w:color="auto" w:fill="auto"/>
        </w:rPr>
      </w:r>
    </w:p>
    <w:p>
      <w:pPr>
        <w:pStyle w:val="648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2) непоступление задатка на дату рассмотрения заявок на участие в аукционе;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3) подача заяв</w:t>
      </w:r>
      <w:r>
        <w:rPr>
          <w:shd w:val="clear" w:color="auto" w:fill="auto"/>
        </w:rPr>
        <w:t xml:space="preserve">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 xml:space="preserve">в аренду;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4) наличие свед</w:t>
      </w:r>
      <w:r>
        <w:rPr>
          <w:shd w:val="clear" w:color="auto" w:fill="auto"/>
        </w:rPr>
        <w:t xml:space="preserve">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 день при</w:t>
      </w:r>
      <w:r>
        <w:rPr>
          <w:shd w:val="clear" w:color="auto" w:fill="auto"/>
        </w:rPr>
        <w:t xml:space="preserve">знания заявителей участниками аукциона, указанный в извещении </w:t>
        <w:br/>
        <w:t xml:space="preserve"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Заявитель приобретает статус участника аукциона с момента подписания протокола рассмотрения заявок.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Не позднее следующего рабочего дня п</w:t>
      </w:r>
      <w:r>
        <w:rPr>
          <w:shd w:val="clear" w:color="auto" w:fill="auto"/>
        </w:rPr>
        <w:t xml:space="preserve">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  <w:r>
        <w:rPr>
          <w:highlight w:val="none"/>
          <w:shd w:val="clear" w:color="auto" w:fill="auto"/>
        </w:rPr>
      </w:r>
    </w:p>
    <w:p>
      <w:pPr>
        <w:pStyle w:val="742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 xml:space="preserve"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widowControl w:val="off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val="clear" w:color="auto" w:fill="auto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</w:r>
      <w:r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val="clear" w:color="auto" w:fill="auto"/>
          <w:lang w:val="ru-RU" w:eastAsia="zh-CN" w:bidi="ar-SA"/>
        </w:rPr>
      </w:r>
    </w:p>
    <w:p>
      <w:pPr>
        <w:pStyle w:val="648"/>
        <w:jc w:val="center"/>
        <w:rPr>
          <w:b/>
          <w:bCs/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  <w:t xml:space="preserve">Порядок проведения аукциона</w:t>
      </w:r>
      <w:r>
        <w:rPr>
          <w:b/>
          <w:bCs/>
          <w:highlight w:val="none"/>
          <w:shd w:val="clear" w:color="auto" w:fill="auto"/>
        </w:rPr>
      </w:r>
    </w:p>
    <w:p>
      <w:pPr>
        <w:pStyle w:val="648"/>
        <w:ind w:left="502"/>
        <w:jc w:val="center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5% от начальной цены предмета аукциона</w:t>
      </w:r>
      <w:r>
        <w:rPr>
          <w:rFonts w:eastAsia="Calibri"/>
          <w:shd w:val="clear" w:color="auto" w:fill="auto"/>
        </w:rPr>
        <w:t xml:space="preserve">, и не изменяется в течение всего времени подачи предложений о цене.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цене предмета аукциона на величину «шага аукциона»;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Время для подачи предложений о цене аукциона определяется в следующем порядке: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10 (десять) минут. При поступлении предложения участн</w:t>
      </w:r>
      <w:r>
        <w:rPr>
          <w:rFonts w:eastAsia="Calibri"/>
          <w:shd w:val="clear" w:color="auto" w:fill="auto"/>
        </w:rPr>
        <w:t xml:space="preserve">ика аукциона </w:t>
        <w:br/>
        <w:t xml:space="preserve"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</w:t>
      </w:r>
      <w:r>
        <w:rPr>
          <w:rFonts w:eastAsia="Calibri"/>
          <w:shd w:val="clear" w:color="auto" w:fill="auto"/>
        </w:rPr>
        <w:t xml:space="preserve">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в момент его поступления и соответствующее уведомление участника аукциона, в случаях, если: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предложение о цене аукциона предоставлено до начала или по истечении установленного времени для подачи предложений о цене аукциона;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ниже начальной цены;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равно нулю;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не соответствует увеличению текущей цены на величину «шага аукциона»;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предыдущее представленное данным участником аукциона предложение о цене аукциона является лучшим текущим предложением о цене;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представленное участником аукциона предложение о цене аукциона меньше ранее представленных предложений.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за земельный участок или наибольший размер ежегодной арендной платы за земельный участок.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/>
          <w:bCs/>
          <w:shd w:val="clear" w:color="auto" w:fill="auto"/>
        </w:rPr>
        <w:t xml:space="preserve">Порядок и срок заключения договора</w:t>
      </w:r>
      <w:r>
        <w:rPr>
          <w:b/>
          <w:bCs/>
          <w:shd w:val="clear" w:color="auto" w:fill="auto"/>
        </w:rPr>
        <w:br w:type="textWrapping" w:clear="all"/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 xml:space="preserve"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ли аукцион признан несостоявшимся, либо протокола о результатах аукциона на официальных сайтах www.torgi.gov.ru,  www.gorodperm.ru.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</w:t>
      </w:r>
      <w:r>
        <w:rPr>
          <w:bCs/>
          <w:shd w:val="clear" w:color="auto" w:fill="auto"/>
        </w:rPr>
        <w:t xml:space="preserve"> направить победителю аукциона или иным лицам, с которыми в соответствии</w:t>
        <w:br/>
        <w:t xml:space="preserve"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По результатам проведения аукциона договор аренды земельного участка заключается</w:t>
        <w:br/>
        <w:t xml:space="preserve">в электронной форме и подписывается усиленной квалифицированной электронной подписью сторон такого договора.</w:t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bCs/>
          <w:shd w:val="clear" w:color="auto" w:fill="auto"/>
        </w:rPr>
        <w:t xml:space="preserve">Проекты договоров являются частью извещения и представлены в Приложениях 1, 3</w:t>
        <w:br/>
        <w:t xml:space="preserve">к настоящему извещению.</w:t>
        <w:tab/>
      </w:r>
      <w:r>
        <w:rPr>
          <w:highlight w:val="none"/>
          <w:shd w:val="clear" w:color="auto" w:fill="auto"/>
        </w:rPr>
      </w:r>
    </w:p>
    <w:p>
      <w:pPr>
        <w:pStyle w:val="648"/>
        <w:ind w:left="-567" w:firstLine="567"/>
        <w:jc w:val="both"/>
        <w:rPr>
          <w:highlight w:val="none"/>
          <w:shd w:val="clear" w:color="auto" w:fill="auto"/>
        </w:rPr>
      </w:pPr>
      <w:r>
        <w:rPr>
          <w:bCs/>
          <w:shd w:val="clear" w:color="auto" w:fill="auto"/>
        </w:rPr>
        <w:t xml:space="preserve">Если договор аренды земельного участка </w:t>
      </w:r>
      <w:r>
        <w:rPr>
          <w:b w:val="0"/>
          <w:bCs/>
          <w:shd w:val="clear" w:color="auto" w:fill="auto"/>
        </w:rPr>
        <w:t xml:space="preserve"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</w:t>
      </w:r>
      <w:r>
        <w:rPr>
          <w:b w:val="0"/>
          <w:bCs/>
          <w:shd w:val="clear" w:color="auto" w:fill="auto"/>
        </w:rPr>
        <w:t xml:space="preserve">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r>
        <w:rPr>
          <w:highlight w:val="none"/>
          <w:shd w:val="clear" w:color="auto" w:fill="auto"/>
        </w:rPr>
      </w:r>
    </w:p>
    <w:p>
      <w:pPr>
        <w:pStyle w:val="648"/>
        <w:numPr>
          <w:ilvl w:val="0"/>
          <w:numId w:val="0"/>
        </w:numPr>
        <w:ind w:left="-567" w:firstLine="567"/>
        <w:jc w:val="both"/>
        <w:tabs>
          <w:tab w:val="center" w:pos="567" w:leader="none"/>
          <w:tab w:val="clear" w:pos="708" w:leader="none"/>
        </w:tabs>
        <w:rPr>
          <w:highlight w:val="none"/>
          <w:shd w:val="clear" w:color="auto" w:fill="auto"/>
        </w:rPr>
        <w:outlineLvl w:val="0"/>
      </w:pPr>
      <w:r>
        <w:rPr>
          <w:rFonts w:eastAsia="Courier New"/>
          <w:shd w:val="clear" w:color="auto" w:fill="auto"/>
          <w:lang w:bidi="ru-RU"/>
        </w:rPr>
        <w:t xml:space="preserve">Сведения о победителях аукционов, уклонившихся от заключения договора  аренды земельного участка, являющегося предмето</w:t>
      </w:r>
      <w:r>
        <w:rPr>
          <w:rFonts w:eastAsia="Courier New"/>
          <w:shd w:val="clear" w:color="auto" w:fill="auto"/>
          <w:lang w:bidi="ru-RU"/>
        </w:rPr>
        <w:t xml:space="preserve">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  <w:r>
        <w:rPr>
          <w:highlight w:val="none"/>
          <w:shd w:val="clear" w:color="auto" w:fill="auto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0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Open Sans">
    <w:panose1 w:val="020B0606030504020204"/>
  </w:font>
  <w:font w:name="Calibri Light">
    <w:panose1 w:val="020F0502020204030204"/>
  </w:font>
  <w:font w:name="Symbol">
    <w:panose1 w:val="05010000000000000000"/>
  </w:font>
  <w:font w:name="Arial">
    <w:panose1 w:val="020B0604020202020204"/>
  </w:font>
  <w:font w:name="Droid Sans Fallback">
    <w:panose1 w:val="020B0502000000000001"/>
  </w:font>
  <w:font w:name="OpenSymbol">
    <w:panose1 w:val="05010000000000000000"/>
  </w:font>
  <w:font w:name="Courier New">
    <w:panose1 w:val="02070309020205020404"/>
  </w:font>
  <w:font w:name="Lohit Devanagari">
    <w:panose1 w:val="020B0600000000000000"/>
  </w:font>
  <w:font w:name="Consultant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 xml:space="preserve">25</w:t>
    </w:r>
    <w:r>
      <w:rPr>
        <w:sz w:val="20"/>
        <w:szCs w:val="28"/>
      </w:rPr>
      <w:fldChar w:fldCharType="end"/>
    </w:r>
    <w:r>
      <w:rPr>
        <w:sz w:val="20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  <w:szCs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  <w:color w:val="000000"/>
        <w:sz w:val="24"/>
        <w:szCs w:val="24"/>
        <w:u w:val="none"/>
        <w:lang w:val="ru-RU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  <w:sz w:val="24"/>
        <w:szCs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  <w:sz w:val="24"/>
        <w:szCs w:val="24"/>
        <w:lang w:val="ru-RU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  <w:lang w:bidi="ru-RU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  <w:lang w:eastAsia="en-U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  <w:bCs/>
        <w:lang w:eastAsia="en-US" w:bidi="ru-RU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  <w:b/>
        <w:bCs/>
        <w:lang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zh-CN" w:bidi="ar-SA"/>
    </w:rPr>
  </w:style>
  <w:style w:type="paragraph" w:styleId="649">
    <w:name w:val="Heading 1"/>
    <w:basedOn w:val="648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650">
    <w:name w:val="Heading 2"/>
    <w:basedOn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1">
    <w:name w:val="Heading 3"/>
    <w:basedOn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2">
    <w:name w:val="Heading 4"/>
    <w:basedOn w:val="6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3">
    <w:name w:val="Heading 5"/>
    <w:basedOn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4">
    <w:name w:val="Heading 6"/>
    <w:basedOn w:val="648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655">
    <w:name w:val="Heading 7"/>
    <w:basedOn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7">
    <w:name w:val="Heading 9"/>
    <w:basedOn w:val="6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8">
    <w:name w:val="Heading 1 Char"/>
    <w:basedOn w:val="675"/>
    <w:uiPriority w:val="9"/>
    <w:qFormat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75"/>
    <w:uiPriority w:val="9"/>
    <w:qFormat/>
    <w:rPr>
      <w:rFonts w:ascii="Arial" w:hAnsi="Arial" w:eastAsia="Arial" w:cs="Arial"/>
      <w:sz w:val="34"/>
    </w:rPr>
  </w:style>
  <w:style w:type="character" w:styleId="660">
    <w:name w:val="Heading 3 Char"/>
    <w:basedOn w:val="675"/>
    <w:uiPriority w:val="9"/>
    <w:qFormat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7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7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7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7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7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7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75"/>
    <w:uiPriority w:val="10"/>
    <w:qFormat/>
    <w:rPr>
      <w:sz w:val="48"/>
      <w:szCs w:val="48"/>
    </w:rPr>
  </w:style>
  <w:style w:type="character" w:styleId="668">
    <w:name w:val="Subtitle Char"/>
    <w:basedOn w:val="675"/>
    <w:uiPriority w:val="11"/>
    <w:qFormat/>
    <w:rPr>
      <w:sz w:val="24"/>
      <w:szCs w:val="24"/>
    </w:rPr>
  </w:style>
  <w:style w:type="character" w:styleId="669">
    <w:name w:val="Quote Char"/>
    <w:uiPriority w:val="29"/>
    <w:qFormat/>
    <w:rPr>
      <w:i/>
    </w:rPr>
  </w:style>
  <w:style w:type="character" w:styleId="670">
    <w:name w:val="Intense Quote Char"/>
    <w:uiPriority w:val="30"/>
    <w:qFormat/>
    <w:rPr>
      <w:i/>
    </w:rPr>
  </w:style>
  <w:style w:type="character" w:styleId="671">
    <w:name w:val="Header Char"/>
    <w:basedOn w:val="675"/>
    <w:uiPriority w:val="99"/>
    <w:qFormat/>
  </w:style>
  <w:style w:type="character" w:styleId="672">
    <w:name w:val="Caption Char"/>
    <w:uiPriority w:val="99"/>
    <w:qFormat/>
  </w:style>
  <w:style w:type="character" w:styleId="673">
    <w:name w:val="Footnote Text Char"/>
    <w:uiPriority w:val="99"/>
    <w:qFormat/>
    <w:rPr>
      <w:sz w:val="18"/>
    </w:rPr>
  </w:style>
  <w:style w:type="character" w:styleId="674">
    <w:name w:val="Endnote Text Char"/>
    <w:uiPriority w:val="99"/>
    <w:qFormat/>
    <w:rPr>
      <w:sz w:val="20"/>
    </w:rPr>
  </w:style>
  <w:style w:type="character" w:styleId="675" w:default="1">
    <w:name w:val="Default Paragraph Font"/>
    <w:uiPriority w:val="1"/>
    <w:semiHidden/>
    <w:unhideWhenUsed/>
    <w:qFormat/>
  </w:style>
  <w:style w:type="character" w:styleId="676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78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Заголовок Знак1"/>
    <w:uiPriority w:val="10"/>
    <w:qFormat/>
    <w:rPr>
      <w:sz w:val="48"/>
      <w:szCs w:val="48"/>
    </w:rPr>
  </w:style>
  <w:style w:type="character" w:styleId="686" w:customStyle="1">
    <w:name w:val="Подзаголовок Знак"/>
    <w:uiPriority w:val="11"/>
    <w:qFormat/>
    <w:rPr>
      <w:sz w:val="24"/>
      <w:szCs w:val="24"/>
    </w:rPr>
  </w:style>
  <w:style w:type="character" w:styleId="687" w:customStyle="1">
    <w:name w:val="Цитата 2 Знак"/>
    <w:uiPriority w:val="29"/>
    <w:qFormat/>
    <w:rPr>
      <w:i/>
    </w:rPr>
  </w:style>
  <w:style w:type="character" w:styleId="688" w:customStyle="1">
    <w:name w:val="Выделенная цитата Знак"/>
    <w:uiPriority w:val="30"/>
    <w:qFormat/>
    <w:rPr>
      <w:i/>
    </w:rPr>
  </w:style>
  <w:style w:type="character" w:styleId="689" w:customStyle="1">
    <w:name w:val="Верхний колонтитул Знак1"/>
    <w:uiPriority w:val="99"/>
    <w:qFormat/>
  </w:style>
  <w:style w:type="character" w:styleId="690" w:customStyle="1">
    <w:name w:val="Footer Char"/>
    <w:uiPriority w:val="99"/>
    <w:qFormat/>
  </w:style>
  <w:style w:type="character" w:styleId="691" w:customStyle="1">
    <w:name w:val="Нижний колонтитул Знак1"/>
    <w:uiPriority w:val="99"/>
    <w:qFormat/>
  </w:style>
  <w:style w:type="character" w:styleId="692" w:customStyle="1">
    <w:name w:val="Текст сноски Знак"/>
    <w:uiPriority w:val="99"/>
    <w:qFormat/>
    <w:rPr>
      <w:sz w:val="18"/>
    </w:rPr>
  </w:style>
  <w:style w:type="character" w:styleId="693">
    <w:name w:val="Символ сноски"/>
    <w:uiPriority w:val="99"/>
    <w:unhideWhenUsed/>
    <w:qFormat/>
    <w:rPr>
      <w:vertAlign w:val="superscript"/>
    </w:rPr>
  </w:style>
  <w:style w:type="character" w:styleId="694">
    <w:name w:val="footnote reference"/>
    <w:rPr>
      <w:vertAlign w:val="superscript"/>
    </w:rPr>
  </w:style>
  <w:style w:type="character" w:styleId="695" w:customStyle="1">
    <w:name w:val="Текст концевой сноски Знак"/>
    <w:uiPriority w:val="99"/>
    <w:qFormat/>
    <w:rPr>
      <w:sz w:val="20"/>
    </w:rPr>
  </w:style>
  <w:style w:type="character" w:styleId="69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7">
    <w:name w:val="endnote reference"/>
    <w:rPr>
      <w:vertAlign w:val="superscript"/>
    </w:rPr>
  </w:style>
  <w:style w:type="character" w:styleId="698" w:customStyle="1">
    <w:name w:val="WW8Num2z0"/>
    <w:qFormat/>
    <w:rPr>
      <w:rFonts w:ascii="Symbol" w:hAnsi="Symbol" w:cs="Symbol"/>
    </w:rPr>
  </w:style>
  <w:style w:type="character" w:styleId="699" w:customStyle="1">
    <w:name w:val="WW8Num3z0"/>
    <w:qFormat/>
  </w:style>
  <w:style w:type="character" w:styleId="700" w:customStyle="1">
    <w:name w:val="WW8Num4z0"/>
    <w:qFormat/>
  </w:style>
  <w:style w:type="character" w:styleId="701" w:customStyle="1">
    <w:name w:val="WW8Num5z0"/>
    <w:qFormat/>
    <w:rPr>
      <w:sz w:val="16"/>
      <w:szCs w:val="16"/>
    </w:rPr>
  </w:style>
  <w:style w:type="character" w:styleId="702" w:customStyle="1">
    <w:name w:val="WW8Num6z0"/>
    <w:qFormat/>
  </w:style>
  <w:style w:type="character" w:styleId="703" w:customStyle="1">
    <w:name w:val="WW8Num7z0"/>
    <w:qFormat/>
  </w:style>
  <w:style w:type="character" w:styleId="704" w:customStyle="1">
    <w:name w:val="WW8Num8z0"/>
    <w:qFormat/>
  </w:style>
  <w:style w:type="character" w:styleId="705" w:customStyle="1">
    <w:name w:val="WW8Num9z0"/>
    <w:qFormat/>
  </w:style>
  <w:style w:type="character" w:styleId="706" w:customStyle="1">
    <w:name w:val="WW8Num10z0"/>
    <w:qFormat/>
  </w:style>
  <w:style w:type="character" w:styleId="707" w:customStyle="1">
    <w:name w:val="WW8Num11z0"/>
    <w:qFormat/>
  </w:style>
  <w:style w:type="character" w:styleId="708" w:customStyle="1">
    <w:name w:val="WW8Num12z0"/>
    <w:qFormat/>
  </w:style>
  <w:style w:type="character" w:styleId="709" w:customStyle="1">
    <w:name w:val="WW8Num13z0"/>
    <w:qFormat/>
  </w:style>
  <w:style w:type="character" w:styleId="710" w:customStyle="1">
    <w:name w:val="WW8Num14z0"/>
    <w:qFormat/>
  </w:style>
  <w:style w:type="character" w:styleId="711" w:customStyle="1">
    <w:name w:val="WW8Num15z0"/>
    <w:qFormat/>
  </w:style>
  <w:style w:type="character" w:styleId="712" w:customStyle="1">
    <w:name w:val="WW8Num18z0"/>
    <w:qFormat/>
  </w:style>
  <w:style w:type="character" w:styleId="713" w:customStyle="1">
    <w:name w:val="WW8Num19z0"/>
    <w:qFormat/>
  </w:style>
  <w:style w:type="character" w:styleId="714" w:customStyle="1">
    <w:name w:val="WW8Num20z0"/>
    <w:qFormat/>
  </w:style>
  <w:style w:type="character" w:styleId="715" w:customStyle="1">
    <w:name w:val="WW8Num21z0"/>
    <w:qFormat/>
  </w:style>
  <w:style w:type="character" w:styleId="716" w:customStyle="1">
    <w:name w:val="WW8Num22z0"/>
    <w:qFormat/>
  </w:style>
  <w:style w:type="character" w:styleId="717" w:customStyle="1">
    <w:name w:val="WW8Num23z0"/>
    <w:qFormat/>
  </w:style>
  <w:style w:type="character" w:styleId="718" w:customStyle="1">
    <w:name w:val="WW8Num25z0"/>
    <w:qFormat/>
  </w:style>
  <w:style w:type="character" w:styleId="719" w:customStyle="1">
    <w:name w:val="WW8Num26z0"/>
    <w:qFormat/>
  </w:style>
  <w:style w:type="character" w:styleId="720" w:customStyle="1">
    <w:name w:val="WW8Num27z0"/>
    <w:qFormat/>
  </w:style>
  <w:style w:type="character" w:styleId="721" w:customStyle="1">
    <w:name w:val="WW8Num29z0"/>
    <w:qFormat/>
    <w:rPr>
      <w:rFonts w:ascii="Symbol" w:hAnsi="Symbol" w:cs="Symbol"/>
    </w:rPr>
  </w:style>
  <w:style w:type="character" w:styleId="722" w:customStyle="1">
    <w:name w:val="WW8Num30z0"/>
    <w:qFormat/>
  </w:style>
  <w:style w:type="character" w:styleId="723" w:customStyle="1">
    <w:name w:val="WW8Num31z0"/>
    <w:qFormat/>
  </w:style>
  <w:style w:type="character" w:styleId="724" w:customStyle="1">
    <w:name w:val="WW8Num32z0"/>
    <w:qFormat/>
  </w:style>
  <w:style w:type="character" w:styleId="725" w:customStyle="1">
    <w:name w:val="WW8Num33z0"/>
    <w:qFormat/>
  </w:style>
  <w:style w:type="character" w:styleId="726" w:customStyle="1">
    <w:name w:val="WW8Num34z0"/>
    <w:qFormat/>
  </w:style>
  <w:style w:type="character" w:styleId="727">
    <w:name w:val="page number"/>
    <w:basedOn w:val="675"/>
    <w:qFormat/>
  </w:style>
  <w:style w:type="character" w:styleId="728" w:customStyle="1">
    <w:name w:val="Текст Знак"/>
    <w:qFormat/>
    <w:rPr>
      <w:rFonts w:ascii="Courier New" w:hAnsi="Courier New" w:cs="Courier New"/>
    </w:rPr>
  </w:style>
  <w:style w:type="character" w:styleId="729" w:customStyle="1">
    <w:name w:val="Верхний колонтитул Знак"/>
    <w:qFormat/>
    <w:rPr>
      <w:sz w:val="16"/>
      <w:lang w:val="ru-RU" w:bidi="ar-SA"/>
    </w:rPr>
  </w:style>
  <w:style w:type="character" w:styleId="730" w:customStyle="1">
    <w:name w:val="Основной текст с отступом 3 Знак"/>
    <w:qFormat/>
    <w:rPr>
      <w:sz w:val="16"/>
      <w:szCs w:val="16"/>
    </w:rPr>
  </w:style>
  <w:style w:type="character" w:styleId="731">
    <w:name w:val="Hyperlink"/>
    <w:rPr>
      <w:color w:val="0563c1"/>
      <w:u w:val="single"/>
    </w:rPr>
  </w:style>
  <w:style w:type="character" w:styleId="732" w:customStyle="1">
    <w:name w:val="Абзац списка Знак"/>
    <w:qFormat/>
    <w:rPr>
      <w:sz w:val="24"/>
      <w:szCs w:val="24"/>
    </w:rPr>
  </w:style>
  <w:style w:type="character" w:styleId="733" w:customStyle="1">
    <w:name w:val="Заголовок 6 Знак"/>
    <w:qFormat/>
    <w:rPr>
      <w:b/>
      <w:bCs/>
      <w:sz w:val="22"/>
      <w:szCs w:val="22"/>
    </w:rPr>
  </w:style>
  <w:style w:type="character" w:styleId="734" w:customStyle="1">
    <w:name w:val="Название Знак"/>
    <w:qFormat/>
    <w:rPr>
      <w:sz w:val="28"/>
      <w:lang w:val="ru-RU" w:bidi="ar-SA"/>
    </w:rPr>
  </w:style>
  <w:style w:type="character" w:styleId="73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736" w:customStyle="1">
    <w:name w:val="Нижний колонтитул Знак"/>
    <w:qFormat/>
  </w:style>
  <w:style w:type="character" w:styleId="737">
    <w:name w:val="FollowedHyperlink"/>
    <w:rPr>
      <w:color w:val="954f72"/>
      <w:u w:val="single"/>
    </w:rPr>
  </w:style>
  <w:style w:type="character" w:styleId="738" w:customStyle="1">
    <w:name w:val="Гиперссылка"/>
    <w:qFormat/>
    <w:rPr>
      <w:color w:val="0000ff"/>
      <w:u w:val="single"/>
    </w:rPr>
  </w:style>
  <w:style w:type="character" w:styleId="739">
    <w:name w:val="Символ нумерации"/>
    <w:qFormat/>
  </w:style>
  <w:style w:type="character" w:styleId="740">
    <w:name w:val="Маркеры"/>
    <w:qFormat/>
    <w:rPr>
      <w:rFonts w:ascii="OpenSymbol" w:hAnsi="OpenSymbol" w:eastAsia="OpenSymbol" w:cs="OpenSymbol"/>
    </w:rPr>
  </w:style>
  <w:style w:type="paragraph" w:styleId="741">
    <w:name w:val="Заголовок"/>
    <w:basedOn w:val="648"/>
    <w:next w:val="74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42">
    <w:name w:val="Body Text"/>
    <w:basedOn w:val="648"/>
    <w:pPr>
      <w:jc w:val="right"/>
    </w:pPr>
    <w:rPr>
      <w:sz w:val="28"/>
    </w:rPr>
  </w:style>
  <w:style w:type="paragraph" w:styleId="743">
    <w:name w:val="List"/>
    <w:basedOn w:val="742"/>
    <w:rPr>
      <w:rFonts w:cs="Lohit Devanagari"/>
    </w:rPr>
  </w:style>
  <w:style w:type="paragraph" w:styleId="744">
    <w:name w:val="Caption"/>
    <w:basedOn w:val="648"/>
    <w:qFormat/>
    <w:pPr>
      <w:spacing w:before="120" w:after="120"/>
      <w:suppressLineNumbers/>
    </w:pPr>
    <w:rPr>
      <w:rFonts w:cs="Lohit Devanagari"/>
      <w:i/>
      <w:iCs/>
    </w:rPr>
  </w:style>
  <w:style w:type="paragraph" w:styleId="745">
    <w:name w:val="Указатель"/>
    <w:basedOn w:val="648"/>
    <w:qFormat/>
    <w:pPr>
      <w:suppressLineNumbers/>
    </w:pPr>
    <w:rPr>
      <w:rFonts w:cs="Lohit Devanagari"/>
    </w:rPr>
  </w:style>
  <w:style w:type="paragraph" w:styleId="746">
    <w:name w:val="List Paragraph"/>
    <w:basedOn w:val="648"/>
    <w:qFormat/>
    <w:pPr>
      <w:ind w:left="708"/>
    </w:pPr>
  </w:style>
  <w:style w:type="paragraph" w:styleId="74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48">
    <w:name w:val="Title"/>
    <w:basedOn w:val="648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49">
    <w:name w:val="Subtitle"/>
    <w:basedOn w:val="648"/>
    <w:uiPriority w:val="11"/>
    <w:qFormat/>
    <w:pPr>
      <w:spacing w:before="200" w:after="200"/>
    </w:pPr>
  </w:style>
  <w:style w:type="paragraph" w:styleId="750">
    <w:name w:val="Quote"/>
    <w:basedOn w:val="648"/>
    <w:uiPriority w:val="29"/>
    <w:qFormat/>
    <w:pPr>
      <w:ind w:left="720" w:right="720"/>
    </w:pPr>
    <w:rPr>
      <w:i/>
    </w:rPr>
  </w:style>
  <w:style w:type="paragraph" w:styleId="751">
    <w:name w:val="Intense Quote"/>
    <w:basedOn w:val="6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2">
    <w:name w:val="footnote text"/>
    <w:basedOn w:val="648"/>
    <w:uiPriority w:val="99"/>
    <w:semiHidden/>
    <w:unhideWhenUsed/>
    <w:pPr>
      <w:spacing w:before="0" w:after="40"/>
    </w:pPr>
    <w:rPr>
      <w:sz w:val="18"/>
    </w:rPr>
  </w:style>
  <w:style w:type="paragraph" w:styleId="753">
    <w:name w:val="endnote text"/>
    <w:basedOn w:val="648"/>
    <w:uiPriority w:val="99"/>
    <w:semiHidden/>
    <w:unhideWhenUsed/>
    <w:rPr>
      <w:sz w:val="20"/>
    </w:rPr>
  </w:style>
  <w:style w:type="paragraph" w:styleId="754">
    <w:name w:val="toc 1"/>
    <w:basedOn w:val="648"/>
    <w:uiPriority w:val="39"/>
    <w:unhideWhenUsed/>
    <w:pPr>
      <w:spacing w:before="0" w:after="57"/>
    </w:pPr>
  </w:style>
  <w:style w:type="paragraph" w:styleId="755">
    <w:name w:val="toc 2"/>
    <w:basedOn w:val="648"/>
    <w:uiPriority w:val="39"/>
    <w:unhideWhenUsed/>
    <w:pPr>
      <w:ind w:left="283"/>
      <w:spacing w:before="0" w:after="57"/>
    </w:pPr>
  </w:style>
  <w:style w:type="paragraph" w:styleId="756">
    <w:name w:val="toc 3"/>
    <w:basedOn w:val="648"/>
    <w:uiPriority w:val="39"/>
    <w:unhideWhenUsed/>
    <w:pPr>
      <w:ind w:left="567"/>
      <w:spacing w:before="0" w:after="57"/>
    </w:pPr>
  </w:style>
  <w:style w:type="paragraph" w:styleId="757">
    <w:name w:val="toc 4"/>
    <w:basedOn w:val="648"/>
    <w:uiPriority w:val="39"/>
    <w:unhideWhenUsed/>
    <w:pPr>
      <w:ind w:left="850"/>
      <w:spacing w:before="0" w:after="57"/>
    </w:pPr>
  </w:style>
  <w:style w:type="paragraph" w:styleId="758">
    <w:name w:val="toc 5"/>
    <w:basedOn w:val="648"/>
    <w:uiPriority w:val="39"/>
    <w:unhideWhenUsed/>
    <w:pPr>
      <w:ind w:left="1134"/>
      <w:spacing w:before="0" w:after="57"/>
    </w:pPr>
  </w:style>
  <w:style w:type="paragraph" w:styleId="759">
    <w:name w:val="toc 6"/>
    <w:basedOn w:val="648"/>
    <w:uiPriority w:val="39"/>
    <w:unhideWhenUsed/>
    <w:pPr>
      <w:ind w:left="1417"/>
      <w:spacing w:before="0" w:after="57"/>
    </w:pPr>
  </w:style>
  <w:style w:type="paragraph" w:styleId="760">
    <w:name w:val="toc 7"/>
    <w:basedOn w:val="648"/>
    <w:uiPriority w:val="39"/>
    <w:unhideWhenUsed/>
    <w:pPr>
      <w:ind w:left="1701"/>
      <w:spacing w:before="0" w:after="57"/>
    </w:pPr>
  </w:style>
  <w:style w:type="paragraph" w:styleId="761">
    <w:name w:val="toc 8"/>
    <w:basedOn w:val="648"/>
    <w:uiPriority w:val="39"/>
    <w:unhideWhenUsed/>
    <w:pPr>
      <w:ind w:left="1984"/>
      <w:spacing w:before="0" w:after="57"/>
    </w:pPr>
  </w:style>
  <w:style w:type="paragraph" w:styleId="762">
    <w:name w:val="toc 9"/>
    <w:basedOn w:val="648"/>
    <w:uiPriority w:val="39"/>
    <w:unhideWhenUsed/>
    <w:pPr>
      <w:ind w:left="2268"/>
      <w:spacing w:before="0" w:after="57"/>
    </w:pPr>
  </w:style>
  <w:style w:type="paragraph" w:styleId="763">
    <w:name w:val="Index Heading"/>
    <w:basedOn w:val="741"/>
  </w:style>
  <w:style w:type="paragraph" w:styleId="76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65">
    <w:name w:val="table of figures"/>
    <w:basedOn w:val="648"/>
    <w:uiPriority w:val="99"/>
    <w:unhideWhenUsed/>
  </w:style>
  <w:style w:type="paragraph" w:styleId="766">
    <w:name w:val="index heading1"/>
    <w:basedOn w:val="648"/>
    <w:qFormat/>
    <w:pPr>
      <w:suppressLineNumbers/>
    </w:pPr>
    <w:rPr>
      <w:rFonts w:cs="Lohit Devanagari"/>
    </w:rPr>
  </w:style>
  <w:style w:type="paragraph" w:styleId="767" w:customStyle="1">
    <w:name w:val="Caption1"/>
    <w:basedOn w:val="648"/>
    <w:qFormat/>
    <w:pPr>
      <w:spacing w:before="120" w:after="120"/>
      <w:suppressLineNumbers/>
    </w:pPr>
    <w:rPr>
      <w:rFonts w:cs="Lohit Devanagari"/>
      <w:i/>
      <w:iCs/>
    </w:rPr>
  </w:style>
  <w:style w:type="paragraph" w:styleId="768">
    <w:name w:val="Plain Text"/>
    <w:basedOn w:val="648"/>
    <w:qFormat/>
    <w:rPr>
      <w:rFonts w:ascii="Courier New" w:hAnsi="Courier New" w:cs="Courier New"/>
      <w:sz w:val="20"/>
      <w:szCs w:val="20"/>
      <w:lang w:val="en-US"/>
    </w:rPr>
  </w:style>
  <w:style w:type="paragraph" w:styleId="769" w:customStyle="1">
    <w:name w:val="ConsNormal"/>
    <w:qFormat/>
    <w:pPr>
      <w:ind w:firstLine="720"/>
      <w:jc w:val="left"/>
      <w:spacing w:before="0" w:after="0"/>
      <w:widowControl/>
    </w:pPr>
    <w:rPr>
      <w:rFonts w:ascii="Consultant" w:hAnsi="Consultant" w:eastAsia="Droid Sans Fallback" w:cs="Consultant"/>
      <w:color w:val="auto"/>
      <w:sz w:val="20"/>
      <w:szCs w:val="20"/>
      <w:lang w:val="ru-RU" w:eastAsia="zh-CN" w:bidi="ar-SA"/>
    </w:rPr>
  </w:style>
  <w:style w:type="paragraph" w:styleId="770">
    <w:name w:val="Body Text 2"/>
    <w:basedOn w:val="648"/>
    <w:qFormat/>
    <w:pPr>
      <w:spacing w:before="0" w:after="120" w:line="480" w:lineRule="auto"/>
    </w:pPr>
  </w:style>
  <w:style w:type="paragraph" w:styleId="771">
    <w:name w:val="Body Text 3"/>
    <w:basedOn w:val="648"/>
    <w:qFormat/>
    <w:pPr>
      <w:spacing w:before="0" w:after="120"/>
    </w:pPr>
    <w:rPr>
      <w:sz w:val="16"/>
      <w:szCs w:val="16"/>
    </w:rPr>
  </w:style>
  <w:style w:type="paragraph" w:styleId="772" w:customStyle="1">
    <w:name w:val="Колонтитул"/>
    <w:basedOn w:val="648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73">
    <w:name w:val="Footer"/>
    <w:basedOn w:val="648"/>
    <w:pPr>
      <w:tabs>
        <w:tab w:val="clear" w:pos="708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774">
    <w:name w:val="Balloon Text"/>
    <w:basedOn w:val="648"/>
    <w:qFormat/>
    <w:rPr>
      <w:rFonts w:ascii="Tahoma" w:hAnsi="Tahoma" w:cs="Tahoma"/>
      <w:sz w:val="16"/>
      <w:szCs w:val="16"/>
    </w:rPr>
  </w:style>
  <w:style w:type="paragraph" w:styleId="775" w:customStyle="1">
    <w:name w:val="Знак Знак Знак Знак Знак Знак Знак Знак Знак Знак Знак Знак"/>
    <w:basedOn w:val="648"/>
    <w:qFormat/>
    <w:rPr>
      <w:rFonts w:ascii="Verdana" w:hAnsi="Verdana" w:cs="Verdana"/>
      <w:sz w:val="20"/>
      <w:szCs w:val="20"/>
      <w:lang w:val="en-US"/>
    </w:rPr>
  </w:style>
  <w:style w:type="paragraph" w:styleId="776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Calibri" w:cs="Lohit Devanagari"/>
      <w:color w:val="auto"/>
      <w:sz w:val="20"/>
      <w:szCs w:val="20"/>
      <w:lang w:val="ru-RU" w:eastAsia="zh-CN" w:bidi="ar-SA"/>
    </w:rPr>
  </w:style>
  <w:style w:type="paragraph" w:styleId="777">
    <w:name w:val="Header"/>
    <w:pPr>
      <w:jc w:val="center"/>
      <w:spacing w:before="0" w:after="0"/>
      <w:widowControl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Droid Sans Fallback" w:cs="Lohit Devanagari"/>
      <w:color w:val="auto"/>
      <w:sz w:val="16"/>
      <w:szCs w:val="20"/>
      <w:lang w:val="ru-RU" w:eastAsia="zh-CN" w:bidi="ar-SA"/>
    </w:rPr>
  </w:style>
  <w:style w:type="paragraph" w:styleId="778">
    <w:name w:val="Body Text Indent 3"/>
    <w:basedOn w:val="648"/>
    <w:qFormat/>
    <w:pPr>
      <w:ind w:left="283"/>
      <w:spacing w:before="0" w:after="120"/>
    </w:pPr>
    <w:rPr>
      <w:sz w:val="16"/>
      <w:szCs w:val="16"/>
      <w:lang w:val="en-US"/>
    </w:rPr>
  </w:style>
  <w:style w:type="paragraph" w:styleId="779">
    <w:name w:val="Normal (Web)"/>
    <w:basedOn w:val="648"/>
    <w:qFormat/>
    <w:pPr>
      <w:spacing w:before="280" w:after="280"/>
    </w:pPr>
  </w:style>
  <w:style w:type="paragraph" w:styleId="780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000000"/>
      <w:sz w:val="24"/>
      <w:szCs w:val="24"/>
      <w:lang w:val="ru-RU" w:eastAsia="zh-CN" w:bidi="ar-SA"/>
    </w:rPr>
  </w:style>
  <w:style w:type="paragraph" w:styleId="781" w:customStyle="1">
    <w:name w:val="Содержимое таблицы"/>
    <w:basedOn w:val="648"/>
    <w:qFormat/>
    <w:pPr>
      <w:widowControl w:val="off"/>
      <w:suppressLineNumbers/>
    </w:pPr>
  </w:style>
  <w:style w:type="paragraph" w:styleId="782" w:customStyle="1">
    <w:name w:val="Заголовок таблицы"/>
    <w:basedOn w:val="781"/>
    <w:qFormat/>
    <w:pPr>
      <w:jc w:val="center"/>
    </w:pPr>
    <w:rPr>
      <w:b/>
      <w:bCs/>
    </w:rPr>
  </w:style>
  <w:style w:type="paragraph" w:styleId="783">
    <w:name w:val="Times New Roman"/>
    <w:qFormat/>
    <w:pPr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784" w:default="1">
    <w:name w:val="No List"/>
    <w:uiPriority w:val="99"/>
    <w:semiHidden/>
    <w:unhideWhenUsed/>
    <w:qFormat/>
  </w:style>
  <w:style w:type="table" w:styleId="78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8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8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1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1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1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2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3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3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3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3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3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5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8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8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8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8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8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9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9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9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9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9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9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9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9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9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9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0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0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0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0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0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1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/" TargetMode="External"/><Relationship Id="rId15" Type="http://schemas.openxmlformats.org/officeDocument/2006/relationships/hyperlink" Target="https://utp.sberbank-ast.ru/Main/Notice/988/Reglament" TargetMode="External"/><Relationship Id="rId16" Type="http://schemas.openxmlformats.org/officeDocument/2006/relationships/hyperlink" Target="https://utp.sberbank-ast.ru/AP/Notice/1027/Instructions" TargetMode="External"/><Relationship Id="rId17" Type="http://schemas.openxmlformats.org/officeDocument/2006/relationships/hyperlink" Target="https://utp.sberbank-ast.ru/AP/Notice/652/Instructions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://www.gorodperm.ru/" TargetMode="External"/><Relationship Id="rId20" Type="http://schemas.openxmlformats.org/officeDocument/2006/relationships/hyperlink" Target="https://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https://" TargetMode="External"/><Relationship Id="rId24" Type="http://schemas.openxmlformats.org/officeDocument/2006/relationships/hyperlink" Target="mailto:perm-mail@ural.rt.ru" TargetMode="External"/><Relationship Id="rId25" Type="http://schemas.openxmlformats.org/officeDocument/2006/relationships/hyperlink" Target="http://utp.sberbank-ast.ru/AP/Notice/653/Requisit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subject/>
  <dc:creator>Tatyannikova</dc:creator>
  <dc:description/>
  <dc:language>ru-RU</dc:language>
  <cp:lastModifiedBy>chetina-yui</cp:lastModifiedBy>
  <cp:revision>469</cp:revision>
  <dcterms:created xsi:type="dcterms:W3CDTF">2023-10-30T09:15:00Z</dcterms:created>
  <dcterms:modified xsi:type="dcterms:W3CDTF">2026-06-22T13:15:33Z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