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PlainText"/>
        <w:ind w:hanging="1134" w:left="1134" w:right="-261"/>
        <w:jc w:val="center"/>
        <w:rPr>
          <w:rFonts w:ascii="Times New Roman" w:hAnsi="Times New Roman" w:cs="Times New Roman"/>
          <w:b/>
          <w:sz w:val="24"/>
          <w:szCs w:val="24"/>
          <w:lang w:val="ru-RU"/>
        </w:rPr>
      </w:pPr>
      <w:r>
        <w:rPr>
          <w:rFonts w:cs="Times New Roman" w:ascii="Times New Roman" w:hAnsi="Times New Roman"/>
          <w:b/>
          <w:sz w:val="24"/>
          <w:szCs w:val="24"/>
          <w:lang w:val="ru-RU"/>
        </w:rPr>
      </w:r>
    </w:p>
    <w:p>
      <w:pPr>
        <w:pStyle w:val="Normal"/>
        <w:numPr>
          <w:ilvl w:val="0"/>
          <w:numId w:val="0"/>
        </w:numPr>
        <w:tabs>
          <w:tab w:val="clear" w:pos="708"/>
          <w:tab w:val="left" w:pos="4732" w:leader="none"/>
          <w:tab w:val="left" w:pos="5812" w:leader="none"/>
        </w:tabs>
        <w:spacing w:lineRule="exact" w:line="240"/>
        <w:ind w:firstLine="5670" w:left="0"/>
        <w:jc w:val="both"/>
        <w:outlineLvl w:val="5"/>
        <w:rPr>
          <w:sz w:val="28"/>
          <w:szCs w:val="28"/>
        </w:rPr>
      </w:pPr>
      <w:r>
        <w:rPr>
          <w:bCs/>
          <w:sz w:val="28"/>
          <w:szCs w:val="28"/>
        </w:rPr>
        <w:t>Приложение 2</w:t>
      </w:r>
    </w:p>
    <w:p>
      <w:pPr>
        <w:pStyle w:val="Normal"/>
        <w:tabs>
          <w:tab w:val="clear" w:pos="708"/>
          <w:tab w:val="left" w:pos="4732" w:leader="none"/>
        </w:tabs>
        <w:spacing w:lineRule="exact" w:line="240"/>
        <w:ind w:firstLine="6" w:left="5664"/>
        <w:rPr>
          <w:sz w:val="28"/>
          <w:szCs w:val="28"/>
        </w:rPr>
      </w:pPr>
      <w:r>
        <w:rPr>
          <w:sz w:val="28"/>
          <w:szCs w:val="28"/>
        </w:rPr>
        <w:t>к приказу начальника департамента имущественных отношений</w:t>
      </w:r>
    </w:p>
    <w:p>
      <w:pPr>
        <w:pStyle w:val="Normal"/>
        <w:tabs>
          <w:tab w:val="clear" w:pos="708"/>
          <w:tab w:val="left" w:pos="4732" w:leader="none"/>
        </w:tabs>
        <w:spacing w:lineRule="exact" w:line="240"/>
        <w:ind w:firstLine="5670"/>
        <w:rPr>
          <w:sz w:val="28"/>
          <w:szCs w:val="28"/>
        </w:rPr>
      </w:pPr>
      <w:r>
        <w:rPr>
          <w:sz w:val="28"/>
          <w:szCs w:val="28"/>
        </w:rPr>
        <w:t>администрации города Перми</w:t>
      </w:r>
    </w:p>
    <w:p>
      <w:pPr>
        <w:pStyle w:val="Normal"/>
        <w:tabs>
          <w:tab w:val="clear" w:pos="708"/>
          <w:tab w:val="left" w:pos="4732" w:leader="none"/>
        </w:tabs>
        <w:spacing w:lineRule="exact" w:line="240"/>
        <w:ind w:firstLine="5670"/>
        <w:rPr>
          <w:sz w:val="28"/>
          <w:szCs w:val="28"/>
        </w:rPr>
      </w:pPr>
      <w:r>
        <w:rPr>
          <w:sz w:val="28"/>
          <w:szCs w:val="28"/>
        </w:rPr>
        <w:t xml:space="preserve">от </w:t>
      </w:r>
      <w:r>
        <w:rPr>
          <w:sz w:val="28"/>
          <w:szCs w:val="28"/>
        </w:rPr>
        <w:t>29.06.2026 № 059-19-01-11-105</w:t>
      </w:r>
    </w:p>
    <w:p>
      <w:pPr>
        <w:pStyle w:val="Normal"/>
        <w:tabs>
          <w:tab w:val="clear" w:pos="708"/>
          <w:tab w:val="left" w:pos="4732" w:leader="none"/>
        </w:tabs>
        <w:ind w:left="283"/>
        <w:jc w:val="center"/>
        <w:rPr>
          <w:sz w:val="28"/>
          <w:szCs w:val="28"/>
        </w:rPr>
      </w:pPr>
      <w:r>
        <w:rPr>
          <w:sz w:val="28"/>
          <w:szCs w:val="28"/>
        </w:rPr>
      </w:r>
    </w:p>
    <w:p>
      <w:pPr>
        <w:pStyle w:val="Normal"/>
        <w:tabs>
          <w:tab w:val="clear" w:pos="708"/>
          <w:tab w:val="left" w:pos="4732" w:leader="none"/>
        </w:tabs>
        <w:ind w:left="283"/>
        <w:jc w:val="center"/>
        <w:rPr>
          <w:b/>
          <w:sz w:val="28"/>
          <w:szCs w:val="28"/>
        </w:rPr>
      </w:pPr>
      <w:r>
        <w:rPr>
          <w:b/>
          <w:sz w:val="28"/>
          <w:szCs w:val="28"/>
        </w:rPr>
      </w:r>
    </w:p>
    <w:p>
      <w:pPr>
        <w:pStyle w:val="PlainText"/>
        <w:spacing w:lineRule="exact" w:line="240"/>
        <w:ind w:hanging="1134" w:left="1134"/>
        <w:jc w:val="center"/>
        <w:rPr>
          <w:rFonts w:ascii="Times New Roman" w:hAnsi="Times New Roman" w:cs="Times New Roman"/>
          <w:b/>
          <w:sz w:val="28"/>
          <w:szCs w:val="28"/>
          <w:lang w:val="ru-RU"/>
        </w:rPr>
      </w:pPr>
      <w:r>
        <w:rPr>
          <w:rFonts w:cs="Times New Roman" w:ascii="Times New Roman" w:hAnsi="Times New Roman"/>
          <w:b/>
          <w:sz w:val="28"/>
          <w:szCs w:val="28"/>
          <w:lang w:val="ru-RU"/>
        </w:rPr>
        <w:t>Извещение о проведении</w:t>
      </w:r>
      <w:r>
        <w:rPr>
          <w:rFonts w:cs="Times New Roman" w:ascii="Times New Roman" w:hAnsi="Times New Roman"/>
          <w:b/>
          <w:sz w:val="28"/>
          <w:szCs w:val="28"/>
          <w:shd w:fill="auto" w:val="clear"/>
          <w:lang w:val="ru-RU"/>
        </w:rPr>
        <w:t xml:space="preserve"> 30.07.</w:t>
      </w:r>
      <w:r>
        <w:rPr>
          <w:rFonts w:cs="Times New Roman" w:ascii="Times New Roman" w:hAnsi="Times New Roman"/>
          <w:b/>
          <w:sz w:val="28"/>
          <w:szCs w:val="28"/>
          <w:lang w:val="ru-RU"/>
        </w:rPr>
        <w:t>2026 электронных аукционов на право заключения договоров аренды земельных участков</w:t>
      </w:r>
    </w:p>
    <w:p>
      <w:pPr>
        <w:pStyle w:val="PlainText"/>
        <w:rPr>
          <w:rFonts w:ascii="Times New Roman" w:hAnsi="Times New Roman" w:cs="Times New Roman"/>
          <w:b/>
          <w:sz w:val="28"/>
          <w:szCs w:val="28"/>
          <w:lang w:val="ru-RU"/>
        </w:rPr>
      </w:pPr>
      <w:r>
        <w:rPr>
          <w:rFonts w:cs="Times New Roman" w:ascii="Times New Roman" w:hAnsi="Times New Roman"/>
          <w:b/>
          <w:sz w:val="28"/>
          <w:szCs w:val="28"/>
          <w:lang w:val="ru-RU"/>
        </w:rPr>
      </w:r>
    </w:p>
    <w:p>
      <w:pPr>
        <w:pStyle w:val="Normal"/>
        <w:widowControl w:val="false"/>
        <w:ind w:firstLine="567" w:left="-567"/>
        <w:jc w:val="both"/>
        <w:rPr>
          <w:b/>
          <w:bCs/>
        </w:rPr>
      </w:pPr>
      <w:r>
        <w:rPr>
          <w:shd w:fill="FFFFFF" w:val="clear"/>
        </w:rPr>
        <w:t xml:space="preserve">Электронные аукционы на право заключения договоров аренды земельных участков (далее – аукцион) проводятся в соответствии со статьями 39.11, 39.12, 39.13, 39.18 Земельного кодекса Российской Федерации, Положением о департаменте имущественных отношений администрации города Перми, утвержденным решением Пермской городской Думы от 12 сентября 2006 г. № 210, постановлением администрации города Перми от 20 ноября 2008 г. № 1089 «О комиссии по проведению аукционов по продаже земельных участков, находящихся в муниципальной собственности города Перми, и участков, собственность на которые не разграничена, объектов незавершенного строительства, расположенных на земельных участках, находящихся в муниципальной собственности города Перми, и участках, собственность на которые не разграничена, или на право заключения договоров аренды земельных участков, находящихся в муниципальной собственности города Перми, </w:t>
      </w:r>
      <w:r>
        <w:rPr>
          <w:rFonts w:eastAsia="Droid Sans Fallback" w:cs="Lohit Devanagari"/>
          <w:color w:val="000000"/>
          <w:sz w:val="24"/>
          <w:szCs w:val="24"/>
          <w:shd w:fill="FFFFFF" w:val="clear"/>
          <w:lang w:val="ru-RU" w:eastAsia="zh-CN" w:bidi="ar-SA"/>
        </w:rPr>
        <w:t>и участков, собственность на которые не разграничена» (далее – комиссия), регламентом работы электронной площадки АО «Сбербанк-АСТ», регламентом работы торговой секции АО «Сбербанк-АСТ».</w:t>
      </w:r>
    </w:p>
    <w:p>
      <w:pPr>
        <w:pStyle w:val="Normal"/>
        <w:numPr>
          <w:ilvl w:val="0"/>
          <w:numId w:val="0"/>
        </w:numPr>
        <w:tabs>
          <w:tab w:val="clear" w:pos="708"/>
          <w:tab w:val="left" w:pos="9355" w:leader="none"/>
        </w:tabs>
        <w:ind w:firstLine="567" w:left="-567"/>
        <w:jc w:val="both"/>
        <w:outlineLvl w:val="0"/>
        <w:rPr>
          <w:b/>
          <w:bCs/>
        </w:rPr>
      </w:pPr>
      <w:r>
        <w:rPr>
          <w:b/>
          <w:bCs/>
        </w:rPr>
        <w:t xml:space="preserve">Орган, принявший решение о проведении аукциона: </w:t>
      </w:r>
      <w:r>
        <w:rPr>
          <w:bCs/>
        </w:rPr>
        <w:t xml:space="preserve">департамент земельных отношений администрации города Перми, местонахождение: 614000, г. Пермь, ул. Сибирская,15, почтовый адрес: 614000, г. Пермь, ул. Сибирская,15, телефон 212-33-48 (аналитический отдел), адрес электронной почты: </w:t>
      </w:r>
      <w:r>
        <w:rPr>
          <w:rStyle w:val="Hyperlink"/>
          <w:bCs/>
          <w:sz w:val="24"/>
          <w:szCs w:val="24"/>
          <w:lang w:val="en-US"/>
        </w:rPr>
        <w:t>dzo@perm.permkrai.ru.</w:t>
      </w:r>
    </w:p>
    <w:p>
      <w:pPr>
        <w:pStyle w:val="Normal"/>
        <w:numPr>
          <w:ilvl w:val="0"/>
          <w:numId w:val="0"/>
        </w:numPr>
        <w:tabs>
          <w:tab w:val="clear" w:pos="708"/>
          <w:tab w:val="left" w:pos="9355" w:leader="none"/>
        </w:tabs>
        <w:ind w:firstLine="567" w:left="-567"/>
        <w:jc w:val="both"/>
        <w:outlineLvl w:val="0"/>
        <w:rPr>
          <w:b/>
          <w:bCs/>
          <w:sz w:val="24"/>
          <w:szCs w:val="24"/>
        </w:rPr>
      </w:pPr>
      <w:r>
        <w:rPr>
          <w:b/>
          <w:bCs/>
        </w:rPr>
        <w:t xml:space="preserve">Организатор аукциона </w:t>
      </w:r>
      <w:r>
        <w:rPr>
          <w:bCs/>
        </w:rPr>
        <w:t>(далее – Организатор аукциона)</w:t>
      </w:r>
      <w:r>
        <w:rPr>
          <w:b/>
          <w:bCs/>
        </w:rPr>
        <w:t xml:space="preserve">: </w:t>
      </w:r>
      <w:r>
        <w:rPr>
          <w:bCs/>
        </w:rPr>
        <w:t>департамент имущественных отношений администрации города Перми, местонахождение: 614000, г. Пермь, ул. Сибирская,14, почтовый адрес: 614000, г. Пермь, ул. Сибирская,14, телефон 212-77-24 (отдел по распоряжению муниципальным имуществом), адрес электронной почты:</w:t>
      </w:r>
      <w:r>
        <w:rPr>
          <w:b/>
          <w:bCs/>
        </w:rPr>
        <w:t xml:space="preserve"> </w:t>
      </w:r>
      <w:r>
        <w:rPr>
          <w:sz w:val="24"/>
          <w:szCs w:val="24"/>
          <w:lang w:val="en-US"/>
        </w:rPr>
        <w:t>dio</w:t>
      </w:r>
      <w:r>
        <w:rPr>
          <w:sz w:val="24"/>
          <w:szCs w:val="24"/>
        </w:rPr>
        <w:t>@</w:t>
      </w:r>
      <w:r>
        <w:rPr>
          <w:sz w:val="24"/>
          <w:szCs w:val="24"/>
          <w:lang w:val="en-US"/>
        </w:rPr>
        <w:t>perm</w:t>
      </w:r>
      <w:r>
        <w:rPr>
          <w:sz w:val="24"/>
          <w:szCs w:val="24"/>
        </w:rPr>
        <w:t>.</w:t>
      </w:r>
      <w:r>
        <w:rPr>
          <w:sz w:val="24"/>
          <w:szCs w:val="24"/>
          <w:lang w:val="en-US"/>
        </w:rPr>
        <w:t>permkrai</w:t>
      </w:r>
      <w:r>
        <w:rPr>
          <w:sz w:val="24"/>
          <w:szCs w:val="24"/>
        </w:rPr>
        <w:t>.</w:t>
      </w:r>
      <w:r>
        <w:rPr>
          <w:sz w:val="24"/>
          <w:szCs w:val="24"/>
          <w:lang w:val="en-US"/>
        </w:rPr>
        <w:t>ru</w:t>
      </w:r>
      <w:r>
        <w:rPr>
          <w:b/>
          <w:bCs/>
          <w:sz w:val="24"/>
          <w:szCs w:val="24"/>
        </w:rPr>
        <w:t>.</w:t>
      </w:r>
    </w:p>
    <w:p>
      <w:pPr>
        <w:pStyle w:val="Normal"/>
        <w:numPr>
          <w:ilvl w:val="0"/>
          <w:numId w:val="0"/>
        </w:numPr>
        <w:tabs>
          <w:tab w:val="clear" w:pos="708"/>
          <w:tab w:val="left" w:pos="9355" w:leader="none"/>
        </w:tabs>
        <w:ind w:firstLine="567" w:left="-567"/>
        <w:jc w:val="both"/>
        <w:outlineLvl w:val="0"/>
        <w:rPr>
          <w:sz w:val="24"/>
          <w:szCs w:val="24"/>
        </w:rPr>
      </w:pPr>
      <w:r>
        <w:rPr>
          <w:b/>
          <w:bCs/>
        </w:rPr>
        <w:t>Реквизиты приказа об организации проведения аукциона:</w:t>
      </w:r>
      <w:r>
        <w:rPr>
          <w:bCs/>
        </w:rPr>
        <w:t xml:space="preserve"> приказ начальника департамента имущественных отношений администрации города Перми от</w:t>
      </w:r>
      <w:r>
        <w:rPr>
          <w:bCs/>
          <w:sz w:val="16"/>
          <w:szCs w:val="24"/>
        </w:rPr>
        <w:t xml:space="preserve"> </w:t>
      </w:r>
      <w:r>
        <w:rPr>
          <w:bCs/>
          <w:sz w:val="24"/>
          <w:szCs w:val="28"/>
        </w:rPr>
        <w:t>29.06.2026 № 059-19-01-11-105.</w:t>
      </w:r>
    </w:p>
    <w:p>
      <w:pPr>
        <w:pStyle w:val="BodyTextIndent3"/>
        <w:numPr>
          <w:ilvl w:val="0"/>
          <w:numId w:val="0"/>
        </w:numPr>
        <w:spacing w:before="0" w:after="0"/>
        <w:ind w:firstLine="567" w:left="-567"/>
        <w:jc w:val="both"/>
        <w:outlineLvl w:val="0"/>
        <w:rPr>
          <w:rFonts w:eastAsia="Courier New"/>
          <w:b/>
          <w:color w:val="000000"/>
          <w:lang w:val="ru-RU" w:bidi="ru-RU"/>
        </w:rPr>
      </w:pPr>
      <w:r>
        <w:rPr>
          <w:sz w:val="24"/>
          <w:szCs w:val="24"/>
          <w:lang w:val="ru-RU"/>
        </w:rPr>
        <w:t xml:space="preserve">Извещение о проведение электронных аукционов размещается на официальном сайте Российской Федерации для размещения информации о проведении торгов </w:t>
      </w:r>
      <w:hyperlink r:id="rId2" w:tgtFrame="http://www.torgi.gov.ru/">
        <w:r>
          <w:rPr>
            <w:rStyle w:val="Hyperlink"/>
            <w:color w:val="000000"/>
            <w:sz w:val="24"/>
            <w:szCs w:val="24"/>
            <w:u w:val="none"/>
          </w:rPr>
          <w:t>www</w:t>
        </w:r>
        <w:r>
          <w:rPr>
            <w:rStyle w:val="Hyperlink"/>
            <w:color w:val="000000"/>
            <w:sz w:val="24"/>
            <w:szCs w:val="24"/>
            <w:u w:val="none"/>
            <w:lang w:val="ru-RU"/>
          </w:rPr>
          <w:t>.</w:t>
        </w:r>
        <w:r>
          <w:rPr>
            <w:rStyle w:val="Hyperlink"/>
            <w:color w:val="000000"/>
            <w:sz w:val="24"/>
            <w:szCs w:val="24"/>
            <w:u w:val="none"/>
          </w:rPr>
          <w:t>torgi</w:t>
        </w:r>
        <w:r>
          <w:rPr>
            <w:rStyle w:val="Hyperlink"/>
            <w:color w:val="000000"/>
            <w:sz w:val="24"/>
            <w:szCs w:val="24"/>
            <w:u w:val="none"/>
            <w:lang w:val="ru-RU"/>
          </w:rPr>
          <w:t>.</w:t>
        </w:r>
        <w:r>
          <w:rPr>
            <w:rStyle w:val="Hyperlink"/>
            <w:color w:val="000000"/>
            <w:sz w:val="24"/>
            <w:szCs w:val="24"/>
            <w:u w:val="none"/>
          </w:rPr>
          <w:t>gov</w:t>
        </w:r>
        <w:r>
          <w:rPr>
            <w:rStyle w:val="Hyperlink"/>
            <w:color w:val="000000"/>
            <w:sz w:val="24"/>
            <w:szCs w:val="24"/>
            <w:u w:val="none"/>
            <w:lang w:val="ru-RU"/>
          </w:rPr>
          <w:t>.</w:t>
        </w:r>
        <w:r>
          <w:rPr>
            <w:rStyle w:val="Hyperlink"/>
            <w:color w:val="000000"/>
            <w:sz w:val="24"/>
            <w:szCs w:val="24"/>
            <w:u w:val="none"/>
          </w:rPr>
          <w:t>ru</w:t>
        </w:r>
      </w:hyperlink>
      <w:r>
        <w:rPr>
          <w:color w:val="000000"/>
          <w:sz w:val="24"/>
          <w:szCs w:val="24"/>
          <w:u w:val="none"/>
        </w:rPr>
        <w:t xml:space="preserve"> </w:t>
        <w:br/>
        <w:t>(далее – ГИС Торги)</w:t>
      </w:r>
      <w:r>
        <w:rPr>
          <w:b/>
          <w:sz w:val="24"/>
          <w:szCs w:val="24"/>
          <w:lang w:val="ru-RU"/>
        </w:rPr>
        <w:t>,</w:t>
      </w:r>
      <w:r>
        <w:rPr>
          <w:b/>
          <w:lang w:val="ru-RU"/>
        </w:rPr>
        <w:t xml:space="preserve"> </w:t>
      </w:r>
      <w:r>
        <w:rPr>
          <w:sz w:val="24"/>
          <w:szCs w:val="24"/>
          <w:lang w:val="ru-RU"/>
        </w:rPr>
        <w:t xml:space="preserve">официальном сайте муниципального образования город Пермь </w:t>
        <w:br/>
        <w:t xml:space="preserve">в информационно-телекоммуникационной сети «Интернет» </w:t>
      </w:r>
      <w:hyperlink r:id="rId3" w:tgtFrame="http://www.gorodperm.ru/">
        <w:r>
          <w:rPr>
            <w:rStyle w:val="Hyperlink"/>
            <w:color w:val="000000"/>
            <w:sz w:val="24"/>
            <w:szCs w:val="24"/>
            <w:u w:val="none"/>
          </w:rPr>
          <w:t>www</w:t>
        </w:r>
        <w:r>
          <w:rPr>
            <w:rStyle w:val="Hyperlink"/>
            <w:color w:val="000000"/>
            <w:sz w:val="24"/>
            <w:szCs w:val="24"/>
            <w:u w:val="none"/>
            <w:lang w:val="ru-RU"/>
          </w:rPr>
          <w:t>.</w:t>
        </w:r>
        <w:r>
          <w:rPr>
            <w:rStyle w:val="Hyperlink"/>
            <w:color w:val="000000"/>
            <w:sz w:val="24"/>
            <w:szCs w:val="24"/>
            <w:u w:val="none"/>
          </w:rPr>
          <w:t>gorodperm</w:t>
        </w:r>
        <w:r>
          <w:rPr>
            <w:rStyle w:val="Hyperlink"/>
            <w:color w:val="000000"/>
            <w:sz w:val="24"/>
            <w:szCs w:val="24"/>
            <w:u w:val="none"/>
            <w:lang w:val="ru-RU"/>
          </w:rPr>
          <w:t>.</w:t>
        </w:r>
        <w:r>
          <w:rPr>
            <w:rStyle w:val="Hyperlink"/>
            <w:color w:val="000000"/>
            <w:sz w:val="24"/>
            <w:szCs w:val="24"/>
            <w:u w:val="none"/>
          </w:rPr>
          <w:t>ru</w:t>
        </w:r>
      </w:hyperlink>
      <w:r>
        <w:rPr>
          <w:sz w:val="24"/>
          <w:szCs w:val="24"/>
          <w:lang w:val="ru-RU"/>
        </w:rPr>
        <w:t xml:space="preserve"> и на электронной </w:t>
      </w:r>
      <w:r>
        <w:rPr>
          <w:bCs/>
          <w:sz w:val="24"/>
          <w:szCs w:val="24"/>
          <w:lang w:val="ru-RU" w:bidi="ru-RU"/>
        </w:rPr>
        <w:t xml:space="preserve">площадке </w:t>
      </w:r>
      <w:hyperlink r:id="rId4" w:tgtFrame="http://utp.sberbank-ast.ru/">
        <w:r>
          <w:rPr>
            <w:rStyle w:val="Hyperlink"/>
            <w:sz w:val="24"/>
            <w:szCs w:val="24"/>
          </w:rPr>
          <w:t>http</w:t>
        </w:r>
        <w:r>
          <w:rPr>
            <w:rStyle w:val="Hyperlink"/>
            <w:sz w:val="24"/>
            <w:szCs w:val="24"/>
            <w:lang w:val="ru-RU"/>
          </w:rPr>
          <w:t>://</w:t>
        </w:r>
        <w:r>
          <w:rPr>
            <w:rStyle w:val="Hyperlink"/>
            <w:sz w:val="24"/>
            <w:szCs w:val="24"/>
          </w:rPr>
          <w:t>utp</w:t>
        </w:r>
        <w:r>
          <w:rPr>
            <w:rStyle w:val="Hyperlink"/>
            <w:sz w:val="24"/>
            <w:szCs w:val="24"/>
            <w:lang w:val="ru-RU"/>
          </w:rPr>
          <w:t>.</w:t>
        </w:r>
        <w:r>
          <w:rPr>
            <w:rStyle w:val="Hyperlink"/>
            <w:sz w:val="24"/>
            <w:szCs w:val="24"/>
          </w:rPr>
          <w:t>sberbank</w:t>
        </w:r>
        <w:r>
          <w:rPr>
            <w:rStyle w:val="Hyperlink"/>
            <w:sz w:val="24"/>
            <w:szCs w:val="24"/>
            <w:lang w:val="ru-RU"/>
          </w:rPr>
          <w:t>-</w:t>
        </w:r>
        <w:r>
          <w:rPr>
            <w:rStyle w:val="Hyperlink"/>
            <w:sz w:val="24"/>
            <w:szCs w:val="24"/>
          </w:rPr>
          <w:t>ast</w:t>
        </w:r>
        <w:r>
          <w:rPr>
            <w:rStyle w:val="Hyperlink"/>
            <w:sz w:val="24"/>
            <w:szCs w:val="24"/>
            <w:lang w:val="ru-RU"/>
          </w:rPr>
          <w:t>.</w:t>
        </w:r>
        <w:r>
          <w:rPr>
            <w:rStyle w:val="Hyperlink"/>
            <w:sz w:val="24"/>
            <w:szCs w:val="24"/>
          </w:rPr>
          <w:t>ru</w:t>
        </w:r>
      </w:hyperlink>
      <w:r>
        <w:rPr>
          <w:bCs/>
          <w:sz w:val="24"/>
          <w:szCs w:val="24"/>
          <w:lang w:val="ru-RU" w:bidi="ru-RU"/>
        </w:rPr>
        <w:t>.</w:t>
      </w:r>
    </w:p>
    <w:p>
      <w:pPr>
        <w:pStyle w:val="Normal"/>
        <w:widowControl w:val="false"/>
        <w:ind w:firstLine="567" w:left="-567"/>
        <w:jc w:val="both"/>
        <w:rPr>
          <w:rFonts w:eastAsia="Courier New"/>
          <w:b/>
          <w:color w:val="000000"/>
          <w:lang w:eastAsia="en-US" w:bidi="ru-RU"/>
        </w:rPr>
      </w:pPr>
      <w:r>
        <w:rPr>
          <w:rFonts w:eastAsia="Courier New"/>
          <w:b/>
          <w:color w:val="000000"/>
          <w:lang w:bidi="ru-RU"/>
        </w:rPr>
        <w:t>Адрес электронной площадки в информационно-телекоммуникационной сети «Интернет», на которой будет проводиться аукцион</w:t>
      </w:r>
      <w:r>
        <w:rPr>
          <w:rFonts w:eastAsia="Courier New"/>
          <w:color w:val="000000"/>
          <w:lang w:bidi="ru-RU"/>
        </w:rPr>
        <w:t>:</w:t>
      </w:r>
      <w:r>
        <w:rPr>
          <w:rFonts w:eastAsia="Courier New" w:cs="Courier New" w:ascii="Courier New" w:hAnsi="Courier New"/>
          <w:color w:val="000000"/>
          <w:lang w:bidi="ru-RU"/>
        </w:rPr>
        <w:t xml:space="preserve"> </w:t>
      </w:r>
      <w:hyperlink r:id="rId5" w:tgtFrame="http://utp.sberbank-ast.ru/">
        <w:r>
          <w:rPr>
            <w:rStyle w:val="Hyperlink"/>
          </w:rPr>
          <w:t>http://utp.sberbank-ast.ru</w:t>
        </w:r>
      </w:hyperlink>
      <w:r>
        <w:rPr>
          <w:rFonts w:eastAsia="Courier New"/>
          <w:lang w:bidi="ru-RU"/>
        </w:rPr>
        <w:t xml:space="preserve"> </w:t>
        <w:br/>
      </w:r>
      <w:r>
        <w:rPr>
          <w:rFonts w:eastAsia="Courier New"/>
          <w:color w:val="000000"/>
          <w:lang w:bidi="ru-RU"/>
        </w:rPr>
        <w:t xml:space="preserve">(далее – электронная площадка), торговая секция «Приватизация, аренда и продажа прав» </w:t>
        <w:br/>
        <w:t xml:space="preserve">(далее – торговая секция). </w:t>
      </w:r>
    </w:p>
    <w:p>
      <w:pPr>
        <w:pStyle w:val="Normal"/>
        <w:widowControl w:val="false"/>
        <w:spacing w:before="0" w:after="0"/>
        <w:ind w:firstLine="567" w:left="-567"/>
        <w:contextualSpacing/>
        <w:jc w:val="both"/>
        <w:rPr>
          <w:rFonts w:eastAsia="Courier New"/>
          <w:color w:val="000000"/>
          <w:lang w:bidi="ru-RU"/>
        </w:rPr>
      </w:pPr>
      <w:r>
        <w:rPr>
          <w:rFonts w:eastAsia="Courier New"/>
          <w:b/>
          <w:color w:val="000000"/>
          <w:lang w:eastAsia="en-US" w:bidi="ru-RU"/>
        </w:rPr>
        <w:t>Владелец электронной площадки</w:t>
      </w:r>
      <w:r>
        <w:rPr>
          <w:rFonts w:eastAsia="Courier New"/>
          <w:color w:val="000000"/>
          <w:lang w:eastAsia="en-US" w:bidi="ru-RU"/>
        </w:rPr>
        <w:t>:</w:t>
      </w:r>
      <w:r>
        <w:rPr>
          <w:rFonts w:eastAsia="Calibri"/>
          <w:lang w:eastAsia="en-US"/>
        </w:rPr>
        <w:t xml:space="preserve"> АО «Сбербанк-АСТ» (далее – Оператор)</w:t>
      </w:r>
      <w:r>
        <w:rPr>
          <w:rFonts w:eastAsia="Courier New"/>
          <w:color w:val="000000"/>
          <w:lang w:eastAsia="en-US" w:bidi="ru-RU"/>
        </w:rPr>
        <w:t>.</w:t>
      </w:r>
    </w:p>
    <w:p>
      <w:pPr>
        <w:pStyle w:val="Normal"/>
        <w:widowControl w:val="false"/>
        <w:spacing w:before="0" w:after="0"/>
        <w:ind w:firstLine="567" w:left="-567"/>
        <w:contextualSpacing/>
        <w:jc w:val="both"/>
        <w:rPr>
          <w:bCs/>
          <w:lang w:bidi="ru-RU"/>
        </w:rPr>
      </w:pPr>
      <w:r>
        <w:rPr>
          <w:rFonts w:eastAsia="Courier New"/>
          <w:color w:val="000000"/>
          <w:lang w:bidi="ru-RU"/>
        </w:rPr>
        <w:t xml:space="preserve">Регламент работы электронной площадки размещён по </w:t>
      </w:r>
      <w:r>
        <w:rPr>
          <w:rFonts w:eastAsia="Courier New"/>
          <w:lang w:bidi="ru-RU"/>
        </w:rPr>
        <w:t xml:space="preserve">адресу: </w:t>
      </w:r>
      <w:hyperlink r:id="rId6" w:tgtFrame="https://utp.sberbank-ast.ru/Main/Notice/988/Reglament">
        <w:r>
          <w:rPr>
            <w:rStyle w:val="Hyperlink"/>
            <w:rFonts w:eastAsia="Courier New"/>
            <w:lang w:bidi="ru-RU"/>
          </w:rPr>
          <w:t>https://utp.sberbank-ast.ru/Main/Notice/988/Reglament</w:t>
        </w:r>
      </w:hyperlink>
      <w:r>
        <w:rPr>
          <w:rFonts w:eastAsia="Courier New"/>
          <w:lang w:bidi="ru-RU"/>
        </w:rPr>
        <w:t>.</w:t>
      </w:r>
    </w:p>
    <w:p>
      <w:pPr>
        <w:pStyle w:val="Normal"/>
        <w:widowControl w:val="false"/>
        <w:spacing w:before="0" w:after="0"/>
        <w:ind w:firstLine="567" w:left="-567"/>
        <w:contextualSpacing/>
        <w:jc w:val="both"/>
        <w:rPr>
          <w:rFonts w:eastAsia="Courier New"/>
          <w:lang w:bidi="ru-RU"/>
        </w:rPr>
      </w:pPr>
      <w:r>
        <w:rPr>
          <w:bCs/>
          <w:lang w:bidi="ru-RU"/>
        </w:rPr>
        <w:t xml:space="preserve">Регламент работы </w:t>
      </w:r>
      <w:r>
        <w:rPr>
          <w:rFonts w:eastAsia="Courier New"/>
          <w:lang w:bidi="ru-RU"/>
        </w:rPr>
        <w:t xml:space="preserve">торговой секции </w:t>
      </w:r>
      <w:r>
        <w:rPr>
          <w:bCs/>
          <w:lang w:eastAsia="en-US" w:bidi="ru-RU"/>
        </w:rPr>
        <w:t xml:space="preserve">размещен по адресу: </w:t>
      </w:r>
      <w:r>
        <w:rPr>
          <w:rFonts w:eastAsia="Calibri"/>
          <w:lang w:eastAsia="en-US"/>
        </w:rPr>
        <w:t xml:space="preserve"> </w:t>
      </w:r>
      <w:r>
        <w:rPr>
          <w:rFonts w:eastAsia="Calibri"/>
          <w:lang w:eastAsia="en-US"/>
        </w:rPr>
        <w:br w:type="textWrapping" w:clear="all"/>
      </w:r>
      <w:hyperlink r:id="rId7" w:tgtFrame="https://utp.sberbank-ast.ru/AP/Notice/1027/Instructions">
        <w:r>
          <w:rPr>
            <w:rStyle w:val="Hyperlink"/>
            <w:rFonts w:eastAsia="Calibri"/>
            <w:lang w:eastAsia="en-US"/>
          </w:rPr>
          <w:t>https://utp.sberbank-ast.ru/AP/Notice/1027/Instructions</w:t>
        </w:r>
      </w:hyperlink>
      <w:r>
        <w:rPr>
          <w:rFonts w:eastAsia="Calibri"/>
          <w:lang w:eastAsia="en-US"/>
        </w:rPr>
        <w:t>.</w:t>
      </w:r>
    </w:p>
    <w:p>
      <w:pPr>
        <w:pStyle w:val="Normal"/>
        <w:widowControl w:val="false"/>
        <w:spacing w:before="0" w:after="0"/>
        <w:ind w:firstLine="567" w:left="-567"/>
        <w:contextualSpacing/>
        <w:jc w:val="both"/>
        <w:rPr>
          <w:b/>
          <w:bCs/>
        </w:rPr>
      </w:pPr>
      <w:r>
        <w:rPr>
          <w:rFonts w:eastAsia="Courier New"/>
          <w:lang w:bidi="ru-RU"/>
        </w:rPr>
        <w:t xml:space="preserve">Инструкция по работе в торговой секции электронной площадки  </w:t>
      </w:r>
      <w:r>
        <w:rPr>
          <w:rFonts w:eastAsia="Courier New"/>
          <w:lang w:bidi="ru-RU"/>
        </w:rPr>
        <w:br w:type="textWrapping" w:clear="all"/>
      </w:r>
      <w:r>
        <w:rPr>
          <w:bCs/>
          <w:lang w:eastAsia="en-US" w:bidi="ru-RU"/>
        </w:rPr>
        <w:t>размещена по адресу:</w:t>
      </w:r>
      <w:r>
        <w:rPr>
          <w:rFonts w:eastAsia="Calibri" w:cs="Calibri" w:ascii="Calibri" w:hAnsi="Calibri"/>
          <w:sz w:val="22"/>
          <w:szCs w:val="22"/>
          <w:lang w:eastAsia="en-US"/>
        </w:rPr>
        <w:t xml:space="preserve"> </w:t>
      </w:r>
      <w:hyperlink r:id="rId8" w:tgtFrame="https://utp.sberbank-ast.ru/AP/Notice/652/Instructions">
        <w:r>
          <w:rPr>
            <w:rStyle w:val="Hyperlink"/>
            <w:bCs/>
            <w:lang w:eastAsia="en-US" w:bidi="ru-RU"/>
          </w:rPr>
          <w:t>https://utp.sberbank-ast.ru/AP/Notice/652/Instructions</w:t>
        </w:r>
      </w:hyperlink>
      <w:r>
        <w:rPr>
          <w:bCs/>
          <w:lang w:eastAsia="en-US" w:bidi="ru-RU"/>
        </w:rPr>
        <w:t>.</w:t>
      </w:r>
    </w:p>
    <w:p>
      <w:pPr>
        <w:pStyle w:val="Normal"/>
        <w:widowControl w:val="false"/>
        <w:ind w:firstLine="567" w:left="-567"/>
        <w:jc w:val="both"/>
        <w:rPr>
          <w:highlight w:val="none"/>
        </w:rPr>
      </w:pPr>
      <w:r>
        <w:rPr>
          <w:b/>
          <w:bCs/>
        </w:rPr>
        <w:t xml:space="preserve">Орган, уполномоченный на право заключение договора аренды земельного участка: </w:t>
      </w:r>
      <w:r>
        <w:rPr>
          <w:bCs/>
        </w:rPr>
        <w:t xml:space="preserve">департамент земельных отношений администрации города Перми, местонахождение: 614000, </w:t>
        <w:br/>
        <w:t>г. Пермь, ул. Сибирская,15, почтовый адрес: 614000, г. Пермь, ул. Сибирская,15, телефон 212-61-90 (отдел договоров), адрес электронной почты:</w:t>
      </w:r>
      <w:r>
        <w:rPr>
          <w:bCs/>
          <w:sz w:val="24"/>
          <w:szCs w:val="24"/>
        </w:rPr>
        <w:t xml:space="preserve"> </w:t>
      </w:r>
      <w:r>
        <w:rPr>
          <w:rStyle w:val="Hyperlink"/>
          <w:bCs/>
          <w:sz w:val="24"/>
          <w:szCs w:val="24"/>
          <w:lang w:val="en-US"/>
        </w:rPr>
        <w:t>dzo</w:t>
      </w:r>
      <w:r>
        <w:rPr>
          <w:rStyle w:val="Hyperlink"/>
          <w:bCs/>
          <w:sz w:val="24"/>
          <w:szCs w:val="24"/>
        </w:rPr>
        <w:t>@</w:t>
      </w:r>
      <w:r>
        <w:rPr>
          <w:rStyle w:val="Hyperlink"/>
          <w:bCs/>
          <w:sz w:val="24"/>
          <w:szCs w:val="24"/>
          <w:lang w:val="en-US"/>
        </w:rPr>
        <w:t>perm</w:t>
      </w:r>
      <w:r>
        <w:rPr>
          <w:rStyle w:val="Hyperlink"/>
          <w:bCs/>
          <w:sz w:val="24"/>
          <w:szCs w:val="24"/>
        </w:rPr>
        <w:t>.</w:t>
      </w:r>
      <w:r>
        <w:rPr>
          <w:rStyle w:val="Hyperlink"/>
          <w:bCs/>
          <w:sz w:val="24"/>
          <w:szCs w:val="24"/>
          <w:lang w:val="en-US"/>
        </w:rPr>
        <w:t>permkrai</w:t>
      </w:r>
      <w:r>
        <w:rPr>
          <w:rStyle w:val="Hyperlink"/>
          <w:bCs/>
          <w:sz w:val="24"/>
          <w:szCs w:val="24"/>
        </w:rPr>
        <w:t>.</w:t>
      </w:r>
      <w:r>
        <w:rPr>
          <w:rStyle w:val="Hyperlink"/>
          <w:bCs/>
          <w:sz w:val="24"/>
          <w:szCs w:val="24"/>
          <w:lang w:val="en-US"/>
        </w:rPr>
        <w:t>ru.</w:t>
      </w:r>
    </w:p>
    <w:p>
      <w:pPr>
        <w:pStyle w:val="Normal"/>
        <w:widowControl w:val="false"/>
        <w:ind w:firstLine="567" w:left="-567"/>
        <w:jc w:val="both"/>
        <w:rPr>
          <w:b/>
          <w:bCs/>
        </w:rPr>
      </w:pPr>
      <w:r>
        <w:rPr>
          <w:b/>
          <w:bCs/>
        </w:rPr>
      </w:r>
    </w:p>
    <w:p>
      <w:pPr>
        <w:pStyle w:val="PlainText"/>
        <w:spacing w:lineRule="exact" w:line="240"/>
        <w:ind w:hanging="1134" w:left="1134"/>
        <w:jc w:val="center"/>
        <w:rPr>
          <w:rFonts w:ascii="Times New Roman" w:hAnsi="Times New Roman" w:cs="Times New Roman"/>
          <w:b/>
          <w:bCs/>
          <w:sz w:val="28"/>
          <w:szCs w:val="28"/>
          <w:highlight w:val="none"/>
          <w:lang w:val="ru-RU"/>
        </w:rPr>
      </w:pPr>
      <w:r>
        <w:rPr>
          <w:rFonts w:cs="Times New Roman" w:ascii="Times New Roman" w:hAnsi="Times New Roman"/>
          <w:b/>
          <w:sz w:val="28"/>
          <w:szCs w:val="28"/>
          <w:lang w:val="ru-RU"/>
        </w:rPr>
        <w:t>Сведения о лотах (предметах аукциона)</w:t>
      </w:r>
    </w:p>
    <w:p>
      <w:pPr>
        <w:pStyle w:val="PlainText"/>
        <w:spacing w:lineRule="exact" w:line="240"/>
        <w:ind w:hanging="1134" w:left="1134"/>
        <w:jc w:val="center"/>
        <w:rPr>
          <w:b/>
          <w:bCs/>
          <w:lang w:val="ru-RU"/>
        </w:rPr>
      </w:pPr>
      <w:r>
        <w:rPr>
          <w:b/>
          <w:bCs/>
          <w:lang w:val="ru-RU"/>
        </w:rPr>
      </w:r>
    </w:p>
    <w:p>
      <w:pPr>
        <w:pStyle w:val="PlainText"/>
        <w:spacing w:lineRule="exact" w:line="240"/>
        <w:ind w:hanging="1134" w:left="1134"/>
        <w:jc w:val="left"/>
        <w:rPr/>
      </w:pPr>
      <w:r>
        <w:rPr>
          <w:rFonts w:cs="Times New Roman" w:ascii="Times New Roman" w:hAnsi="Times New Roman"/>
          <w:b/>
          <w:sz w:val="24"/>
          <w:szCs w:val="28"/>
          <w:lang w:val="ru-RU"/>
        </w:rPr>
        <w:t>Лот № 1</w:t>
      </w:r>
    </w:p>
    <w:tbl>
      <w:tblPr>
        <w:tblW w:w="10485" w:type="dxa"/>
        <w:jc w:val="left"/>
        <w:tblInd w:w="-473" w:type="dxa"/>
        <w:tblLayout w:type="fixed"/>
        <w:tblCellMar>
          <w:top w:w="0" w:type="dxa"/>
          <w:left w:w="108" w:type="dxa"/>
          <w:bottom w:w="0" w:type="dxa"/>
          <w:right w:w="108" w:type="dxa"/>
        </w:tblCellMar>
        <w:tblLook w:val="01e0" w:noHBand="0" w:noVBand="0" w:firstColumn="1" w:lastRow="1" w:lastColumn="1" w:firstRow="1"/>
      </w:tblPr>
      <w:tblGrid>
        <w:gridCol w:w="567"/>
        <w:gridCol w:w="3054"/>
        <w:gridCol w:w="6864"/>
      </w:tblGrid>
      <w:tr>
        <w:trPr>
          <w:trHeight w:val="877" w:hRule="atLeast"/>
        </w:trPr>
        <w:tc>
          <w:tcPr>
            <w:tcW w:w="567"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1</w:t>
            </w:r>
          </w:p>
        </w:tc>
        <w:tc>
          <w:tcPr>
            <w:tcW w:w="3054" w:type="dxa"/>
            <w:tcBorders>
              <w:top w:val="single" w:sz="4" w:space="0" w:color="000000"/>
              <w:left w:val="single" w:sz="4" w:space="0" w:color="000000"/>
              <w:bottom w:val="single" w:sz="4" w:space="0" w:color="000000"/>
              <w:right w:val="single" w:sz="4" w:space="0" w:color="000000"/>
            </w:tcBorders>
          </w:tcPr>
          <w:p>
            <w:pPr>
              <w:pStyle w:val="Normal"/>
              <w:ind w:right="0"/>
              <w:rPr>
                <w:sz w:val="24"/>
                <w:szCs w:val="24"/>
              </w:rPr>
            </w:pPr>
            <w:r>
              <w:rPr>
                <w:sz w:val="24"/>
                <w:szCs w:val="24"/>
              </w:rPr>
              <w:t xml:space="preserve">Наименование органа местного самоуправления, принявшего решение </w:t>
              <w:br/>
              <w:t>о проведении аукциона,</w:t>
            </w:r>
          </w:p>
          <w:p>
            <w:pPr>
              <w:pStyle w:val="Normal"/>
              <w:ind w:right="0"/>
              <w:rPr>
                <w:sz w:val="24"/>
                <w:szCs w:val="24"/>
              </w:rPr>
            </w:pPr>
            <w:r>
              <w:rPr>
                <w:sz w:val="24"/>
                <w:szCs w:val="24"/>
              </w:rPr>
              <w:t xml:space="preserve">реквизиты указанного </w:t>
              <w:br/>
              <w:t>решения</w:t>
            </w:r>
          </w:p>
        </w:tc>
        <w:tc>
          <w:tcPr>
            <w:tcW w:w="6864"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 xml:space="preserve">Администрация города Перми, распоряжение начальника </w:t>
              <w:br/>
              <w:t>департамента земельных отношений администрации город</w:t>
            </w:r>
            <w:r>
              <w:rPr>
                <w:rFonts w:eastAsia="Droid Sans Fallback" w:cs="Lohit Devanagari"/>
                <w:color w:val="auto"/>
                <w:sz w:val="24"/>
                <w:szCs w:val="24"/>
                <w:lang w:val="ru-RU" w:eastAsia="zh-CN" w:bidi="ar-SA"/>
              </w:rPr>
              <w:t xml:space="preserve">а Перми </w:t>
            </w:r>
            <w:r>
              <w:rPr>
                <w:rFonts w:eastAsia="Times New Roman" w:cs="Times New Roman"/>
                <w:color w:val="000000"/>
                <w:kern w:val="0"/>
                <w:sz w:val="24"/>
                <w:szCs w:val="20"/>
                <w:lang w:val="ru-RU" w:eastAsia="ru-RU" w:bidi="ar-SA"/>
              </w:rPr>
              <w:t xml:space="preserve">от 23 января 2026 г. № 21-01-03-358 </w:t>
            </w:r>
            <w:r>
              <w:rPr>
                <w:rFonts w:eastAsia="Droid Sans Fallback" w:cs="Lohit Devanagari"/>
                <w:color w:val="000000"/>
                <w:kern w:val="0"/>
                <w:sz w:val="24"/>
                <w:szCs w:val="28"/>
                <w:shd w:fill="auto" w:val="clear"/>
                <w:lang w:val="ru-RU" w:eastAsia="zh-CN" w:bidi="ar-SA"/>
              </w:rPr>
              <w:t xml:space="preserve">«О проведении аукциона на право заключения договора аренды земельного участка в </w:t>
            </w:r>
            <w:r>
              <w:rPr>
                <w:rFonts w:eastAsia="Times New Roman" w:cs="Times New Roman"/>
                <w:color w:val="000000"/>
                <w:kern w:val="0"/>
                <w:sz w:val="24"/>
                <w:szCs w:val="20"/>
                <w:shd w:fill="auto" w:val="clear"/>
                <w:lang w:val="ru-RU" w:eastAsia="ru-RU" w:bidi="ar-SA"/>
              </w:rPr>
              <w:t>Орджоникидзевском</w:t>
            </w:r>
            <w:r>
              <w:rPr>
                <w:rFonts w:eastAsia="Droid Sans Fallback" w:cs="Lohit Devanagari"/>
                <w:color w:val="000000"/>
                <w:kern w:val="0"/>
                <w:sz w:val="24"/>
                <w:szCs w:val="28"/>
                <w:shd w:fill="auto" w:val="clear"/>
                <w:lang w:val="ru-RU" w:eastAsia="zh-CN" w:bidi="ar-SA"/>
              </w:rPr>
              <w:t xml:space="preserve"> районе города Перми»</w:t>
            </w:r>
          </w:p>
        </w:tc>
      </w:tr>
      <w:tr>
        <w:trPr>
          <w:trHeight w:val="225" w:hRule="atLeast"/>
        </w:trPr>
        <w:tc>
          <w:tcPr>
            <w:tcW w:w="567"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2</w:t>
            </w:r>
          </w:p>
        </w:tc>
        <w:tc>
          <w:tcPr>
            <w:tcW w:w="3054" w:type="dxa"/>
            <w:tcBorders>
              <w:top w:val="single" w:sz="4" w:space="0" w:color="000000"/>
              <w:left w:val="single" w:sz="4" w:space="0" w:color="000000"/>
              <w:bottom w:val="single" w:sz="4" w:space="0" w:color="000000"/>
              <w:right w:val="single" w:sz="4" w:space="0" w:color="000000"/>
            </w:tcBorders>
          </w:tcPr>
          <w:p>
            <w:pPr>
              <w:pStyle w:val="Normal"/>
              <w:ind w:right="0"/>
              <w:rPr>
                <w:sz w:val="24"/>
                <w:szCs w:val="24"/>
              </w:rPr>
            </w:pPr>
            <w:r>
              <w:rPr>
                <w:sz w:val="24"/>
                <w:szCs w:val="24"/>
              </w:rPr>
              <w:t xml:space="preserve">Предмет аукциона </w:t>
              <w:br/>
              <w:t xml:space="preserve">на право заключения </w:t>
              <w:br/>
              <w:t>договора аренды земельного участка</w:t>
            </w:r>
          </w:p>
        </w:tc>
        <w:tc>
          <w:tcPr>
            <w:tcW w:w="6864"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r>
          </w:p>
        </w:tc>
      </w:tr>
      <w:tr>
        <w:trPr>
          <w:trHeight w:val="493" w:hRule="atLeast"/>
        </w:trPr>
        <w:tc>
          <w:tcPr>
            <w:tcW w:w="567" w:type="dxa"/>
            <w:vMerge w:val="restart"/>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r>
          </w:p>
        </w:tc>
        <w:tc>
          <w:tcPr>
            <w:tcW w:w="3054" w:type="dxa"/>
            <w:tcBorders>
              <w:top w:val="single" w:sz="4" w:space="0" w:color="000000"/>
              <w:left w:val="single" w:sz="4" w:space="0" w:color="000000"/>
              <w:bottom w:val="single" w:sz="4" w:space="0" w:color="000000"/>
              <w:right w:val="single" w:sz="4" w:space="0" w:color="000000"/>
            </w:tcBorders>
          </w:tcPr>
          <w:p>
            <w:pPr>
              <w:pStyle w:val="Normal"/>
              <w:numPr>
                <w:ilvl w:val="0"/>
                <w:numId w:val="2"/>
              </w:numPr>
              <w:ind w:hanging="277" w:left="419" w:right="-263"/>
              <w:jc w:val="both"/>
              <w:rPr>
                <w:sz w:val="24"/>
                <w:szCs w:val="24"/>
              </w:rPr>
            </w:pPr>
            <w:r>
              <w:rPr>
                <w:sz w:val="24"/>
                <w:szCs w:val="24"/>
              </w:rPr>
              <w:t>местоположение</w:t>
            </w:r>
          </w:p>
        </w:tc>
        <w:tc>
          <w:tcPr>
            <w:tcW w:w="6864"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8256" w:leader="none"/>
              </w:tabs>
              <w:jc w:val="both"/>
              <w:rPr>
                <w:sz w:val="24"/>
                <w:szCs w:val="24"/>
              </w:rPr>
            </w:pPr>
            <w:r>
              <w:rPr>
                <w:sz w:val="24"/>
                <w:szCs w:val="24"/>
              </w:rPr>
              <w:t>Российская Федерация, Пермский край, городской округ Пермский, город Пермь, улица Набережная, з/у 8</w:t>
            </w:r>
          </w:p>
        </w:tc>
      </w:tr>
      <w:tr>
        <w:trPr>
          <w:trHeight w:val="148" w:hRule="atLeast"/>
        </w:trPr>
        <w:tc>
          <w:tcPr>
            <w:tcW w:w="567" w:type="dxa"/>
            <w:vMerge w:val="continue"/>
            <w:tcBorders>
              <w:top w:val="single" w:sz="4" w:space="0" w:color="000000"/>
              <w:left w:val="single" w:sz="4" w:space="0" w:color="000000"/>
              <w:bottom w:val="single" w:sz="4" w:space="0" w:color="000000"/>
              <w:right w:val="single" w:sz="4" w:space="0" w:color="000000"/>
            </w:tcBorders>
          </w:tcPr>
          <w:p>
            <w:pPr>
              <w:pStyle w:val="Normal"/>
              <w:jc w:val="center"/>
              <w:rPr>
                <w:sz w:val="20"/>
              </w:rPr>
            </w:pPr>
            <w:r>
              <w:rPr>
                <w:sz w:val="20"/>
              </w:rPr>
            </w:r>
          </w:p>
        </w:tc>
        <w:tc>
          <w:tcPr>
            <w:tcW w:w="3054" w:type="dxa"/>
            <w:tcBorders>
              <w:top w:val="single" w:sz="4" w:space="0" w:color="000000"/>
              <w:left w:val="single" w:sz="4" w:space="0" w:color="000000"/>
              <w:bottom w:val="single" w:sz="4" w:space="0" w:color="000000"/>
              <w:right w:val="single" w:sz="4" w:space="0" w:color="000000"/>
            </w:tcBorders>
          </w:tcPr>
          <w:p>
            <w:pPr>
              <w:pStyle w:val="Normal"/>
              <w:numPr>
                <w:ilvl w:val="0"/>
                <w:numId w:val="2"/>
              </w:numPr>
              <w:ind w:hanging="277" w:left="419" w:right="-263"/>
              <w:rPr>
                <w:sz w:val="24"/>
                <w:szCs w:val="24"/>
              </w:rPr>
            </w:pPr>
            <w:r>
              <w:rPr>
                <w:sz w:val="24"/>
                <w:szCs w:val="24"/>
                <w:lang w:val="en-US"/>
              </w:rPr>
              <w:t>площадь</w:t>
            </w:r>
          </w:p>
        </w:tc>
        <w:tc>
          <w:tcPr>
            <w:tcW w:w="6864"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2000 кв. м</w:t>
            </w:r>
          </w:p>
        </w:tc>
      </w:tr>
      <w:tr>
        <w:trPr>
          <w:trHeight w:val="155" w:hRule="atLeast"/>
        </w:trPr>
        <w:tc>
          <w:tcPr>
            <w:tcW w:w="567" w:type="dxa"/>
            <w:vMerge w:val="continue"/>
            <w:tcBorders>
              <w:top w:val="single" w:sz="4" w:space="0" w:color="000000"/>
              <w:left w:val="single" w:sz="4" w:space="0" w:color="000000"/>
              <w:bottom w:val="single" w:sz="4" w:space="0" w:color="000000"/>
              <w:right w:val="single" w:sz="4" w:space="0" w:color="000000"/>
            </w:tcBorders>
          </w:tcPr>
          <w:p>
            <w:pPr>
              <w:pStyle w:val="Normal"/>
              <w:jc w:val="center"/>
              <w:rPr>
                <w:sz w:val="20"/>
              </w:rPr>
            </w:pPr>
            <w:r>
              <w:rPr>
                <w:sz w:val="20"/>
              </w:rPr>
            </w:r>
          </w:p>
        </w:tc>
        <w:tc>
          <w:tcPr>
            <w:tcW w:w="3054" w:type="dxa"/>
            <w:tcBorders>
              <w:top w:val="single" w:sz="4" w:space="0" w:color="000000"/>
              <w:left w:val="single" w:sz="4" w:space="0" w:color="000000"/>
              <w:bottom w:val="single" w:sz="4" w:space="0" w:color="000000"/>
              <w:right w:val="single" w:sz="4" w:space="0" w:color="000000"/>
            </w:tcBorders>
          </w:tcPr>
          <w:p>
            <w:pPr>
              <w:pStyle w:val="Normal"/>
              <w:numPr>
                <w:ilvl w:val="0"/>
                <w:numId w:val="2"/>
              </w:numPr>
              <w:ind w:hanging="277" w:left="419" w:right="-263"/>
              <w:rPr>
                <w:sz w:val="24"/>
                <w:szCs w:val="24"/>
              </w:rPr>
            </w:pPr>
            <w:r>
              <w:rPr>
                <w:sz w:val="24"/>
                <w:szCs w:val="24"/>
                <w:lang w:val="en-US"/>
              </w:rPr>
              <w:t>кадастровый номер</w:t>
            </w:r>
          </w:p>
        </w:tc>
        <w:tc>
          <w:tcPr>
            <w:tcW w:w="6864"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59:01:3610017:12</w:t>
            </w:r>
          </w:p>
        </w:tc>
      </w:tr>
      <w:tr>
        <w:trPr>
          <w:trHeight w:val="144" w:hRule="atLeast"/>
        </w:trPr>
        <w:tc>
          <w:tcPr>
            <w:tcW w:w="567" w:type="dxa"/>
            <w:vMerge w:val="continue"/>
            <w:tcBorders>
              <w:top w:val="single" w:sz="4" w:space="0" w:color="000000"/>
              <w:left w:val="single" w:sz="4" w:space="0" w:color="000000"/>
              <w:bottom w:val="single" w:sz="4" w:space="0" w:color="000000"/>
              <w:right w:val="single" w:sz="4" w:space="0" w:color="000000"/>
            </w:tcBorders>
          </w:tcPr>
          <w:p>
            <w:pPr>
              <w:pStyle w:val="Normal"/>
              <w:jc w:val="center"/>
              <w:rPr>
                <w:sz w:val="20"/>
              </w:rPr>
            </w:pPr>
            <w:r>
              <w:rPr>
                <w:sz w:val="20"/>
              </w:rPr>
            </w:r>
          </w:p>
        </w:tc>
        <w:tc>
          <w:tcPr>
            <w:tcW w:w="3054" w:type="dxa"/>
            <w:tcBorders>
              <w:top w:val="single" w:sz="4" w:space="0" w:color="000000"/>
              <w:left w:val="single" w:sz="4" w:space="0" w:color="000000"/>
              <w:bottom w:val="single" w:sz="4" w:space="0" w:color="000000"/>
              <w:right w:val="single" w:sz="4" w:space="0" w:color="000000"/>
            </w:tcBorders>
          </w:tcPr>
          <w:p>
            <w:pPr>
              <w:pStyle w:val="Normal"/>
              <w:numPr>
                <w:ilvl w:val="0"/>
                <w:numId w:val="2"/>
              </w:numPr>
              <w:ind w:hanging="284" w:left="419" w:right="0"/>
              <w:rPr>
                <w:sz w:val="24"/>
                <w:szCs w:val="24"/>
              </w:rPr>
            </w:pPr>
            <w:r>
              <w:rPr>
                <w:sz w:val="24"/>
                <w:szCs w:val="24"/>
              </w:rPr>
              <w:t>права на земельный участок</w:t>
            </w:r>
          </w:p>
        </w:tc>
        <w:tc>
          <w:tcPr>
            <w:tcW w:w="6864" w:type="dxa"/>
            <w:tcBorders>
              <w:top w:val="single" w:sz="4" w:space="0" w:color="000000"/>
              <w:left w:val="single" w:sz="4" w:space="0" w:color="000000"/>
              <w:bottom w:val="single" w:sz="4" w:space="0" w:color="000000"/>
              <w:right w:val="single" w:sz="4" w:space="0" w:color="000000"/>
            </w:tcBorders>
          </w:tcPr>
          <w:p>
            <w:pPr>
              <w:pStyle w:val="Normal"/>
              <w:ind w:right="-263"/>
              <w:jc w:val="both"/>
              <w:rPr>
                <w:sz w:val="24"/>
                <w:szCs w:val="24"/>
              </w:rPr>
            </w:pPr>
            <w:r>
              <w:rPr>
                <w:sz w:val="24"/>
                <w:szCs w:val="24"/>
                <w:lang w:val="en-US"/>
              </w:rPr>
              <w:t>государственная собственность не разграничена</w:t>
            </w:r>
          </w:p>
        </w:tc>
      </w:tr>
      <w:tr>
        <w:trPr>
          <w:trHeight w:val="144" w:hRule="atLeast"/>
        </w:trPr>
        <w:tc>
          <w:tcPr>
            <w:tcW w:w="567" w:type="dxa"/>
            <w:vMerge w:val="continue"/>
            <w:tcBorders>
              <w:top w:val="single" w:sz="4" w:space="0" w:color="000000"/>
              <w:left w:val="single" w:sz="4" w:space="0" w:color="000000"/>
              <w:bottom w:val="single" w:sz="4" w:space="0" w:color="000000"/>
              <w:right w:val="single" w:sz="4" w:space="0" w:color="000000"/>
            </w:tcBorders>
          </w:tcPr>
          <w:p>
            <w:pPr>
              <w:pStyle w:val="Normal"/>
              <w:jc w:val="center"/>
              <w:rPr>
                <w:sz w:val="20"/>
              </w:rPr>
            </w:pPr>
            <w:r>
              <w:rPr>
                <w:sz w:val="20"/>
              </w:rPr>
            </w:r>
          </w:p>
        </w:tc>
        <w:tc>
          <w:tcPr>
            <w:tcW w:w="3054" w:type="dxa"/>
            <w:tcBorders>
              <w:top w:val="single" w:sz="4" w:space="0" w:color="000000"/>
              <w:left w:val="single" w:sz="4" w:space="0" w:color="000000"/>
              <w:bottom w:val="single" w:sz="4" w:space="0" w:color="000000"/>
              <w:right w:val="single" w:sz="4" w:space="0" w:color="000000"/>
            </w:tcBorders>
          </w:tcPr>
          <w:p>
            <w:pPr>
              <w:pStyle w:val="Normal"/>
              <w:numPr>
                <w:ilvl w:val="0"/>
                <w:numId w:val="2"/>
              </w:numPr>
              <w:ind w:hanging="277" w:left="419" w:right="0"/>
              <w:rPr>
                <w:sz w:val="24"/>
                <w:szCs w:val="24"/>
              </w:rPr>
            </w:pPr>
            <w:r>
              <w:rPr>
                <w:sz w:val="24"/>
                <w:szCs w:val="24"/>
                <w:lang w:val="en-US"/>
              </w:rPr>
              <w:t>вид разрешенного использования</w:t>
            </w:r>
          </w:p>
        </w:tc>
        <w:tc>
          <w:tcPr>
            <w:tcW w:w="6864"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lang w:val="en-US"/>
              </w:rPr>
              <w:t>индивидуальное жилищное строительство</w:t>
            </w:r>
          </w:p>
        </w:tc>
      </w:tr>
      <w:tr>
        <w:trPr>
          <w:trHeight w:val="576" w:hRule="atLeast"/>
        </w:trPr>
        <w:tc>
          <w:tcPr>
            <w:tcW w:w="567" w:type="dxa"/>
            <w:vMerge w:val="continue"/>
            <w:tcBorders>
              <w:top w:val="single" w:sz="4" w:space="0" w:color="000000"/>
              <w:left w:val="single" w:sz="4" w:space="0" w:color="000000"/>
              <w:bottom w:val="single" w:sz="4" w:space="0" w:color="000000"/>
              <w:right w:val="single" w:sz="4" w:space="0" w:color="000000"/>
            </w:tcBorders>
          </w:tcPr>
          <w:p>
            <w:pPr>
              <w:pStyle w:val="Normal"/>
              <w:jc w:val="center"/>
              <w:rPr>
                <w:sz w:val="20"/>
              </w:rPr>
            </w:pPr>
            <w:r>
              <w:rPr>
                <w:sz w:val="20"/>
              </w:rPr>
            </w:r>
          </w:p>
        </w:tc>
        <w:tc>
          <w:tcPr>
            <w:tcW w:w="3054" w:type="dxa"/>
            <w:tcBorders>
              <w:top w:val="single" w:sz="4" w:space="0" w:color="000000"/>
              <w:left w:val="single" w:sz="4" w:space="0" w:color="000000"/>
              <w:bottom w:val="single" w:sz="4" w:space="0" w:color="000000"/>
              <w:right w:val="single" w:sz="4" w:space="0" w:color="000000"/>
            </w:tcBorders>
          </w:tcPr>
          <w:p>
            <w:pPr>
              <w:pStyle w:val="Normal"/>
              <w:numPr>
                <w:ilvl w:val="0"/>
                <w:numId w:val="2"/>
              </w:numPr>
              <w:ind w:hanging="284" w:left="419" w:right="-263"/>
              <w:rPr>
                <w:sz w:val="24"/>
                <w:szCs w:val="24"/>
              </w:rPr>
            </w:pPr>
            <w:r>
              <w:rPr>
                <w:sz w:val="24"/>
                <w:szCs w:val="24"/>
              </w:rPr>
              <w:t xml:space="preserve">принадлежность к определенной  </w:t>
              <w:br/>
              <w:t>категории земель</w:t>
            </w:r>
          </w:p>
        </w:tc>
        <w:tc>
          <w:tcPr>
            <w:tcW w:w="6864" w:type="dxa"/>
            <w:tcBorders>
              <w:top w:val="single" w:sz="4" w:space="0" w:color="000000"/>
              <w:left w:val="single" w:sz="4" w:space="0" w:color="000000"/>
              <w:bottom w:val="single" w:sz="4" w:space="0" w:color="000000"/>
              <w:right w:val="single" w:sz="4" w:space="0" w:color="000000"/>
            </w:tcBorders>
          </w:tcPr>
          <w:p>
            <w:pPr>
              <w:pStyle w:val="Normal"/>
              <w:ind w:right="-263"/>
              <w:jc w:val="both"/>
              <w:rPr>
                <w:sz w:val="24"/>
                <w:szCs w:val="24"/>
              </w:rPr>
            </w:pPr>
            <w:r>
              <w:rPr>
                <w:sz w:val="24"/>
                <w:szCs w:val="24"/>
              </w:rPr>
              <w:t>земли населенных пунктов</w:t>
            </w:r>
          </w:p>
        </w:tc>
      </w:tr>
      <w:tr>
        <w:trPr>
          <w:trHeight w:val="576" w:hRule="atLeast"/>
        </w:trPr>
        <w:tc>
          <w:tcPr>
            <w:tcW w:w="567" w:type="dxa"/>
            <w:vMerge w:val="continue"/>
            <w:tcBorders>
              <w:left w:val="single" w:sz="4" w:space="0" w:color="000000"/>
              <w:bottom w:val="single" w:sz="4" w:space="0" w:color="000000"/>
              <w:right w:val="single" w:sz="4" w:space="0" w:color="000000"/>
            </w:tcBorders>
          </w:tcPr>
          <w:p>
            <w:pPr>
              <w:pStyle w:val="Normal"/>
              <w:jc w:val="center"/>
              <w:rPr>
                <w:sz w:val="20"/>
              </w:rPr>
            </w:pPr>
            <w:r>
              <w:rPr>
                <w:sz w:val="20"/>
              </w:rPr>
            </w:r>
          </w:p>
        </w:tc>
        <w:tc>
          <w:tcPr>
            <w:tcW w:w="3054" w:type="dxa"/>
            <w:tcBorders>
              <w:left w:val="single" w:sz="4" w:space="0" w:color="000000"/>
              <w:bottom w:val="single" w:sz="4" w:space="0" w:color="000000"/>
              <w:right w:val="single" w:sz="4" w:space="0" w:color="000000"/>
            </w:tcBorders>
          </w:tcPr>
          <w:p>
            <w:pPr>
              <w:pStyle w:val="Normal"/>
              <w:numPr>
                <w:ilvl w:val="0"/>
                <w:numId w:val="2"/>
              </w:numPr>
              <w:ind w:hanging="284" w:left="419" w:right="-263"/>
              <w:rPr>
                <w:sz w:val="24"/>
                <w:szCs w:val="24"/>
              </w:rPr>
            </w:pPr>
            <w:r>
              <w:rPr>
                <w:sz w:val="24"/>
                <w:szCs w:val="24"/>
              </w:rPr>
              <w:t>принадлежность к определенной территориальной зоне</w:t>
            </w:r>
          </w:p>
        </w:tc>
        <w:tc>
          <w:tcPr>
            <w:tcW w:w="6864" w:type="dxa"/>
            <w:tcBorders>
              <w:left w:val="single" w:sz="4" w:space="0" w:color="000000"/>
              <w:bottom w:val="single" w:sz="4" w:space="0" w:color="000000"/>
              <w:right w:val="single" w:sz="4" w:space="0" w:color="000000"/>
            </w:tcBorders>
          </w:tcPr>
          <w:p>
            <w:pPr>
              <w:pStyle w:val="Normal"/>
              <w:ind w:right="-263"/>
              <w:jc w:val="both"/>
              <w:rPr>
                <w:sz w:val="24"/>
                <w:szCs w:val="24"/>
              </w:rPr>
            </w:pPr>
            <w:r>
              <w:rPr>
                <w:sz w:val="24"/>
                <w:szCs w:val="24"/>
              </w:rPr>
              <w:t>Ж-5 «Зона индивидуальной усадебной жилой застройки»</w:t>
            </w:r>
          </w:p>
        </w:tc>
      </w:tr>
      <w:tr>
        <w:trPr>
          <w:trHeight w:val="144" w:hRule="atLeast"/>
        </w:trPr>
        <w:tc>
          <w:tcPr>
            <w:tcW w:w="567" w:type="dxa"/>
            <w:vMerge w:val="continue"/>
            <w:tcBorders>
              <w:top w:val="single" w:sz="4" w:space="0" w:color="000000"/>
              <w:left w:val="single" w:sz="4" w:space="0" w:color="000000"/>
              <w:bottom w:val="single" w:sz="4" w:space="0" w:color="000000"/>
              <w:right w:val="single" w:sz="4" w:space="0" w:color="000000"/>
            </w:tcBorders>
          </w:tcPr>
          <w:p>
            <w:pPr>
              <w:pStyle w:val="Normal"/>
              <w:jc w:val="center"/>
              <w:rPr>
                <w:sz w:val="20"/>
              </w:rPr>
            </w:pPr>
            <w:r>
              <w:rPr>
                <w:sz w:val="20"/>
              </w:rPr>
            </w:r>
          </w:p>
        </w:tc>
        <w:tc>
          <w:tcPr>
            <w:tcW w:w="3054" w:type="dxa"/>
            <w:tcBorders>
              <w:top w:val="single" w:sz="4" w:space="0" w:color="000000"/>
              <w:left w:val="single" w:sz="4" w:space="0" w:color="000000"/>
              <w:bottom w:val="single" w:sz="4" w:space="0" w:color="000000"/>
              <w:right w:val="single" w:sz="4" w:space="0" w:color="000000"/>
            </w:tcBorders>
          </w:tcPr>
          <w:p>
            <w:pPr>
              <w:pStyle w:val="Normal"/>
              <w:numPr>
                <w:ilvl w:val="0"/>
                <w:numId w:val="3"/>
              </w:numPr>
              <w:ind w:hanging="277" w:left="419" w:right="-263"/>
              <w:rPr>
                <w:sz w:val="24"/>
                <w:szCs w:val="24"/>
              </w:rPr>
            </w:pPr>
            <w:r>
              <w:rPr>
                <w:sz w:val="24"/>
                <w:szCs w:val="24"/>
              </w:rPr>
              <w:t>ограничение прав</w:t>
            </w:r>
          </w:p>
          <w:p>
            <w:pPr>
              <w:pStyle w:val="Normal"/>
              <w:ind w:left="419" w:right="-263"/>
              <w:rPr>
                <w:sz w:val="24"/>
                <w:szCs w:val="24"/>
              </w:rPr>
            </w:pPr>
            <w:r>
              <w:rPr>
                <w:sz w:val="24"/>
                <w:szCs w:val="24"/>
              </w:rPr>
            </w:r>
          </w:p>
        </w:tc>
        <w:tc>
          <w:tcPr>
            <w:tcW w:w="6864" w:type="dxa"/>
            <w:tcBorders>
              <w:top w:val="single" w:sz="4" w:space="0" w:color="000000"/>
              <w:left w:val="single" w:sz="4" w:space="0" w:color="000000"/>
              <w:bottom w:val="single" w:sz="4" w:space="0" w:color="000000"/>
              <w:right w:val="single" w:sz="4" w:space="0" w:color="000000"/>
            </w:tcBorders>
          </w:tcPr>
          <w:p>
            <w:pPr>
              <w:pStyle w:val="Normal"/>
              <w:ind w:hanging="0"/>
              <w:jc w:val="both"/>
              <w:rPr>
                <w:sz w:val="24"/>
                <w:szCs w:val="24"/>
              </w:rPr>
            </w:pPr>
            <w:r>
              <w:rPr>
                <w:sz w:val="24"/>
                <w:szCs w:val="24"/>
              </w:rPr>
              <w:t>Ограничения прав подробно описаны:</w:t>
            </w:r>
          </w:p>
          <w:p>
            <w:pPr>
              <w:pStyle w:val="Normal"/>
              <w:ind w:firstLine="311"/>
              <w:jc w:val="both"/>
              <w:rPr>
                <w:sz w:val="24"/>
                <w:szCs w:val="24"/>
              </w:rPr>
            </w:pPr>
            <w:r>
              <w:rPr>
                <w:sz w:val="24"/>
                <w:szCs w:val="24"/>
              </w:rPr>
              <w:t>в выписке из Единого государственного реестра недвижимости об объекте недвижимости от 27.05.2026г. № КУВИ-001/2026-71962373 (далее – ЕГРН);</w:t>
            </w:r>
          </w:p>
          <w:p>
            <w:pPr>
              <w:pStyle w:val="Normal"/>
              <w:ind w:firstLine="311"/>
              <w:jc w:val="both"/>
              <w:rPr>
                <w:highlight w:val="none"/>
                <w:shd w:fill="auto" w:val="clear"/>
              </w:rPr>
            </w:pPr>
            <w:r>
              <w:rPr>
                <w:sz w:val="24"/>
                <w:szCs w:val="24"/>
                <w:shd w:fill="auto" w:val="clear"/>
              </w:rPr>
              <w:t>в градостроительном плане земельного участка</w:t>
            </w:r>
          </w:p>
          <w:p>
            <w:pPr>
              <w:pStyle w:val="Normal"/>
              <w:jc w:val="both"/>
              <w:rPr>
                <w:highlight w:val="none"/>
                <w:shd w:fill="auto" w:val="clear"/>
              </w:rPr>
            </w:pPr>
            <w:r>
              <w:rPr>
                <w:sz w:val="24"/>
                <w:szCs w:val="24"/>
                <w:shd w:fill="auto" w:val="clear"/>
              </w:rPr>
              <w:t>от 22.12</w:t>
            </w:r>
            <w:r>
              <w:rPr>
                <w:color w:val="000000"/>
                <w:sz w:val="24"/>
                <w:szCs w:val="24"/>
                <w:shd w:fill="auto" w:val="clear"/>
              </w:rPr>
              <w:t>.2025 № РФ-59-2-03-0-00-2025-3146-0 </w:t>
            </w:r>
            <w:r>
              <w:rPr>
                <w:sz w:val="24"/>
                <w:szCs w:val="24"/>
                <w:shd w:fill="auto" w:val="clear"/>
              </w:rPr>
              <w:t>(далее – ГПЗУ).</w:t>
            </w:r>
          </w:p>
          <w:p>
            <w:pPr>
              <w:pStyle w:val="Normal"/>
              <w:jc w:val="both"/>
              <w:rPr>
                <w:highlight w:val="none"/>
                <w:shd w:fill="auto" w:val="clear"/>
              </w:rPr>
            </w:pPr>
            <w:r>
              <w:rPr>
                <w:sz w:val="24"/>
                <w:szCs w:val="24"/>
                <w:shd w:fill="auto" w:val="clear"/>
              </w:rPr>
              <w:t>(</w:t>
            </w:r>
            <w:r>
              <w:rPr>
                <w:rFonts w:eastAsia="Times New Roman" w:cs="Times New Roman"/>
                <w:b w:val="false"/>
                <w:bCs w:val="false"/>
                <w:color w:val="000000"/>
                <w:sz w:val="24"/>
                <w:szCs w:val="24"/>
                <w:shd w:fill="auto" w:val="clear"/>
              </w:rPr>
              <w:t>Приложение 2 к настоящему извещению)</w:t>
            </w:r>
            <w:r>
              <w:rPr>
                <w:sz w:val="24"/>
                <w:szCs w:val="24"/>
                <w:shd w:fill="auto" w:val="clear"/>
              </w:rPr>
              <w:t>.</w:t>
            </w:r>
          </w:p>
          <w:p>
            <w:pPr>
              <w:pStyle w:val="Normal"/>
              <w:jc w:val="both"/>
              <w:rPr>
                <w:sz w:val="24"/>
                <w:szCs w:val="24"/>
              </w:rPr>
            </w:pPr>
            <w:r>
              <w:rPr>
                <w:sz w:val="24"/>
                <w:szCs w:val="24"/>
              </w:rPr>
            </w:r>
          </w:p>
          <w:p>
            <w:pPr>
              <w:pStyle w:val="Normal"/>
              <w:tabs>
                <w:tab w:val="clear" w:pos="708"/>
                <w:tab w:val="right" w:pos="6000" w:leader="none"/>
              </w:tabs>
              <w:spacing w:lineRule="auto" w:line="240" w:before="0" w:after="0"/>
              <w:ind w:firstLine="311"/>
              <w:jc w:val="both"/>
              <w:rPr>
                <w:rFonts w:ascii="Times New Roman" w:hAnsi="Times New Roman"/>
                <w:sz w:val="24"/>
                <w:szCs w:val="24"/>
                <w:highlight w:val="white"/>
                <w14:ligatures w14:val="none"/>
              </w:rPr>
            </w:pPr>
            <w:r>
              <w:rPr>
                <w:sz w:val="24"/>
                <w:szCs w:val="24"/>
              </w:rPr>
              <w:t>В</w:t>
            </w:r>
            <w:r>
              <w:rPr>
                <w:sz w:val="24"/>
                <w:szCs w:val="24"/>
                <w:highlight w:val="white"/>
              </w:rPr>
              <w:t xml:space="preserve"> ходе визуального осмотра с</w:t>
            </w:r>
            <w:r>
              <w:rPr>
                <w:sz w:val="24"/>
                <w:szCs w:val="24"/>
              </w:rPr>
              <w:t xml:space="preserve"> </w:t>
            </w:r>
            <w:r>
              <w:rPr>
                <w:sz w:val="24"/>
                <w:szCs w:val="24"/>
                <w:highlight w:val="white"/>
              </w:rPr>
              <w:t>общедоступной территории установлено, что состояние рельефа земельного</w:t>
            </w:r>
            <w:r>
              <w:rPr>
                <w:sz w:val="24"/>
                <w:szCs w:val="24"/>
              </w:rPr>
              <w:t xml:space="preserve"> </w:t>
            </w:r>
            <w:r>
              <w:rPr>
                <w:sz w:val="24"/>
                <w:szCs w:val="24"/>
                <w:highlight w:val="white"/>
              </w:rPr>
              <w:t>участка установить не представляется возможным. На Участке произрастают кустарники и многолетние лиственные деревья, размещено полуразрушенное строение.</w:t>
            </w:r>
          </w:p>
          <w:p>
            <w:pPr>
              <w:pStyle w:val="Normal"/>
              <w:tabs>
                <w:tab w:val="clear" w:pos="708"/>
                <w:tab w:val="right" w:pos="6000" w:leader="none"/>
              </w:tabs>
              <w:spacing w:lineRule="auto" w:line="240" w:before="0" w:after="0"/>
              <w:ind w:firstLine="311"/>
              <w:jc w:val="both"/>
              <w:rPr/>
            </w:pPr>
            <w:r>
              <w:rPr>
                <w:sz w:val="24"/>
                <w:szCs w:val="24"/>
                <w:highlight w:val="white"/>
              </w:rPr>
              <w:t xml:space="preserve">Согласно сведениям, предоставленным отделением надзорной деятельности и профилактической работы </w:t>
              <w:br/>
              <w:t xml:space="preserve">г. Перми по Орджоникидзевскому району 1 ОНПР </w:t>
              <w:br/>
              <w:t>по городу Перми УНПР Главного управления МЧС России по Пермскому краю, близлежащий пожарный гидрант расположен по адресу: Пермский край, г. Пермь,</w:t>
            </w:r>
            <w:r>
              <w:rPr>
                <w:sz w:val="24"/>
                <w:szCs w:val="24"/>
              </w:rPr>
              <w:t xml:space="preserve"> </w:t>
            </w:r>
            <w:r>
              <w:rPr>
                <w:sz w:val="24"/>
                <w:szCs w:val="24"/>
                <w:highlight w:val="white"/>
              </w:rPr>
              <w:t>Орджоникидзевский район, д. Голованово, ул. Ленина, 10.</w:t>
            </w:r>
          </w:p>
          <w:p>
            <w:pPr>
              <w:pStyle w:val="Normal"/>
              <w:tabs>
                <w:tab w:val="clear" w:pos="708"/>
                <w:tab w:val="right" w:pos="6000" w:leader="none"/>
              </w:tabs>
              <w:spacing w:lineRule="auto" w:line="240" w:before="0" w:after="0"/>
              <w:ind w:firstLine="311"/>
              <w:jc w:val="both"/>
              <w:rPr/>
            </w:pPr>
            <w:r>
              <w:rPr>
                <w:sz w:val="24"/>
                <w:szCs w:val="24"/>
                <w:highlight w:val="white"/>
              </w:rPr>
              <w:t xml:space="preserve">(Аналогичная информация отражена в письме </w:t>
            </w:r>
            <w:r>
              <w:rPr>
                <w:b/>
                <w:sz w:val="24"/>
                <w:szCs w:val="24"/>
                <w:highlight w:val="white"/>
              </w:rPr>
              <w:t>администрации Орджоникидзевского района города Перми</w:t>
            </w:r>
            <w:r>
              <w:rPr>
                <w:sz w:val="24"/>
                <w:szCs w:val="24"/>
                <w:highlight w:val="white"/>
              </w:rPr>
              <w:t xml:space="preserve"> от 18.12.2025 № 059-37-01-32/3-612, в акте обследования от 17.12.2025 № 151).</w:t>
            </w:r>
          </w:p>
          <w:p>
            <w:pPr>
              <w:pStyle w:val="Normal"/>
              <w:tabs>
                <w:tab w:val="clear" w:pos="708"/>
                <w:tab w:val="right" w:pos="6000" w:leader="none"/>
              </w:tabs>
              <w:spacing w:lineRule="auto" w:line="240" w:before="0" w:after="0"/>
              <w:ind w:firstLine="311"/>
              <w:jc w:val="both"/>
              <w:rPr>
                <w:rFonts w:ascii="Times New Roman" w:hAnsi="Times New Roman"/>
                <w:sz w:val="24"/>
                <w:szCs w:val="24"/>
                <w:highlight w:val="white"/>
              </w:rPr>
            </w:pPr>
            <w:r>
              <w:rPr>
                <w:sz w:val="24"/>
                <w:szCs w:val="24"/>
                <w:highlight w:val="white"/>
              </w:rPr>
            </w:r>
          </w:p>
          <w:p>
            <w:pPr>
              <w:pStyle w:val="Normal"/>
              <w:spacing w:lineRule="auto" w:line="240" w:before="0" w:after="0"/>
              <w:ind w:firstLine="283" w:left="0" w:right="0"/>
              <w:jc w:val="both"/>
              <w:rPr>
                <w:rFonts w:ascii="Times New Roman" w:hAnsi="Times New Roman"/>
                <w:color w:themeColor="text1" w:val="000000"/>
                <w:sz w:val="24"/>
                <w:szCs w:val="24"/>
                <w:highlight w:val="none"/>
                <w14:ligatures w14:val="none"/>
              </w:rPr>
            </w:pPr>
            <w:r>
              <w:rPr>
                <w:sz w:val="24"/>
                <w:szCs w:val="24"/>
                <w:highlight w:val="white"/>
              </w:rPr>
              <w:t>В соответствии со сведениями из ЕГРН</w:t>
            </w:r>
            <w:r>
              <w:rPr>
                <w:sz w:val="24"/>
                <w:szCs w:val="24"/>
              </w:rPr>
              <w:t xml:space="preserve"> </w:t>
            </w:r>
            <w:r>
              <w:rPr>
                <w:rFonts w:eastAsia="Times New Roman" w:cs="Times New Roman"/>
                <w:color w:themeColor="text1" w:val="000000"/>
                <w:sz w:val="24"/>
                <w:szCs w:val="24"/>
              </w:rPr>
              <w:t>в границах Участка расположен объект капитальн</w:t>
            </w:r>
            <w:r>
              <w:rPr>
                <w:sz w:val="24"/>
                <w:szCs w:val="24"/>
                <w:highlight w:val="white"/>
              </w:rPr>
              <w:t xml:space="preserve">ого строительства с кадастровым номером 59:18:0000000:13966 </w:t>
            </w:r>
            <w:r>
              <w:rPr>
                <w:sz w:val="24"/>
                <w:szCs w:val="24"/>
              </w:rPr>
              <w:t>– сооружение электроэнергетики</w:t>
            </w:r>
            <w:r>
              <w:rPr>
                <w:sz w:val="24"/>
                <w:szCs w:val="24"/>
                <w:highlight w:val="white"/>
              </w:rPr>
              <w:t>.</w:t>
            </w:r>
          </w:p>
          <w:p>
            <w:pPr>
              <w:pStyle w:val="Normal"/>
              <w:spacing w:lineRule="auto" w:line="240" w:before="0" w:after="0"/>
              <w:ind w:firstLine="283" w:left="0" w:right="0"/>
              <w:jc w:val="both"/>
              <w:rPr>
                <w:rFonts w:ascii="Times New Roman" w:hAnsi="Times New Roman" w:eastAsia="Times New Roman" w:cs="Times New Roman"/>
                <w:color w:themeColor="text1" w:val="000000"/>
                <w:sz w:val="24"/>
                <w:szCs w:val="24"/>
                <w:highlight w:val="none"/>
                <w14:ligatures w14:val="none"/>
              </w:rPr>
            </w:pPr>
            <w:r>
              <w:rPr>
                <w:rFonts w:eastAsia="Times New Roman" w:cs="Times New Roman"/>
                <w:color w:themeColor="text1" w:val="000000"/>
                <w:sz w:val="24"/>
                <w:szCs w:val="24"/>
                <w14:ligatures w14:val="none"/>
              </w:rPr>
            </w:r>
          </w:p>
          <w:p>
            <w:pPr>
              <w:pStyle w:val="Normal"/>
              <w:tabs>
                <w:tab w:val="clear" w:pos="708"/>
                <w:tab w:val="right" w:pos="6000" w:leader="none"/>
              </w:tabs>
              <w:spacing w:lineRule="auto" w:line="240" w:before="0" w:after="0"/>
              <w:ind w:firstLine="311"/>
              <w:jc w:val="both"/>
              <w:rPr>
                <w:rFonts w:ascii="Times New Roman" w:hAnsi="Times New Roman"/>
                <w:sz w:val="24"/>
                <w:szCs w:val="24"/>
                <w:highlight w:val="white"/>
                <w14:ligatures w14:val="none"/>
              </w:rPr>
            </w:pPr>
            <w:r>
              <w:rPr>
                <w:sz w:val="24"/>
                <w:szCs w:val="24"/>
              </w:rPr>
              <w:t>Согласно</w:t>
            </w:r>
            <w:r>
              <w:rPr>
                <w:sz w:val="24"/>
                <w:szCs w:val="24"/>
                <w:highlight w:val="white"/>
              </w:rPr>
              <w:t xml:space="preserve"> копии планшета М 1:500 (требуется корректура) </w:t>
            </w:r>
            <w:r>
              <w:rPr>
                <w:sz w:val="24"/>
                <w:szCs w:val="24"/>
              </w:rPr>
              <w:t>на Участке расположено нежилое разрушенное строение.</w:t>
            </w:r>
          </w:p>
          <w:p>
            <w:pPr>
              <w:pStyle w:val="TimesNewRoman"/>
              <w:rPr>
                <w:rFonts w:ascii="Times New Roman" w:hAnsi="Times New Roman"/>
                <w:sz w:val="24"/>
                <w:szCs w:val="24"/>
              </w:rPr>
            </w:pPr>
            <w:r>
              <w:rPr>
                <w:sz w:val="24"/>
                <w:szCs w:val="24"/>
              </w:rPr>
            </w:r>
          </w:p>
          <w:p>
            <w:pPr>
              <w:pStyle w:val="Normal"/>
              <w:tabs>
                <w:tab w:val="clear" w:pos="708"/>
                <w:tab w:val="right" w:pos="6000" w:leader="none"/>
              </w:tabs>
              <w:spacing w:lineRule="auto" w:line="240" w:before="0" w:after="0"/>
              <w:ind w:firstLine="311"/>
              <w:jc w:val="both"/>
              <w:rPr>
                <w:rFonts w:ascii="Times New Roman" w:hAnsi="Times New Roman"/>
                <w:sz w:val="24"/>
                <w:szCs w:val="24"/>
                <w:highlight w:val="none"/>
              </w:rPr>
            </w:pPr>
            <w:r>
              <w:rPr>
                <w:sz w:val="24"/>
                <w:szCs w:val="24"/>
              </w:rPr>
              <w:t>Согласно сведениям, содержащ</w:t>
            </w:r>
            <w:r>
              <w:rPr>
                <w:sz w:val="24"/>
                <w:szCs w:val="24"/>
                <w:highlight w:val="white"/>
              </w:rPr>
              <w:t>имся в ГПЗУ, ЕГРН и справке по градостроительным условиям от 27.05.2026 № 681208, Участок расположен в границах зоны с особыми условиями использования территории</w:t>
            </w:r>
            <w:r>
              <w:rPr>
                <w:sz w:val="24"/>
                <w:szCs w:val="24"/>
              </w:rPr>
              <w:t>:</w:t>
            </w:r>
          </w:p>
          <w:p>
            <w:pPr>
              <w:pStyle w:val="Normal"/>
              <w:tabs>
                <w:tab w:val="clear" w:pos="708"/>
                <w:tab w:val="right" w:pos="6000" w:leader="none"/>
              </w:tabs>
              <w:spacing w:lineRule="auto" w:line="240" w:before="0" w:after="0"/>
              <w:ind w:firstLine="311"/>
              <w:jc w:val="both"/>
              <w:rPr>
                <w:rFonts w:ascii="Times New Roman" w:hAnsi="Times New Roman"/>
                <w:sz w:val="24"/>
                <w:szCs w:val="24"/>
                <w:highlight w:val="none"/>
              </w:rPr>
            </w:pPr>
            <w:r>
              <w:rPr>
                <w:sz w:val="24"/>
                <w:szCs w:val="24"/>
              </w:rPr>
              <w:t>частично в Охранной зоне инженерных коммуникаций «ОХРАННАЯ ЗОНА ВЛ 110 кВ Голованы-Рассохинская № 1, 2», реестровый номер границы 59:01-6.3149, площадь пересечения 653,69 кв.м.</w:t>
            </w:r>
          </w:p>
          <w:p>
            <w:pPr>
              <w:pStyle w:val="Normal"/>
              <w:tabs>
                <w:tab w:val="clear" w:pos="708"/>
                <w:tab w:val="right" w:pos="6000" w:leader="none"/>
              </w:tabs>
              <w:spacing w:lineRule="auto" w:line="240" w:before="0" w:after="0"/>
              <w:ind w:firstLine="311"/>
              <w:jc w:val="both"/>
              <w:rPr>
                <w:rFonts w:ascii="Times New Roman" w:hAnsi="Times New Roman"/>
                <w:sz w:val="24"/>
                <w:szCs w:val="24"/>
                <w:highlight w:val="none"/>
              </w:rPr>
            </w:pPr>
            <w:r>
              <w:rPr>
                <w:sz w:val="24"/>
                <w:szCs w:val="24"/>
              </w:rPr>
              <w:t xml:space="preserve">Проектирование и строительство вести </w:t>
              <w:br/>
              <w:t>в соответствии с постановлением Правительства Российской Федерации от 24.02.2009 № 160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w:t>
            </w:r>
          </w:p>
          <w:p>
            <w:pPr>
              <w:pStyle w:val="Normal"/>
              <w:spacing w:lineRule="auto" w:line="240" w:before="0" w:after="0"/>
              <w:ind w:firstLine="340"/>
              <w:jc w:val="both"/>
              <w:rPr/>
            </w:pPr>
            <w:r>
              <w:rPr>
                <w:color w:themeColor="text1" w:val="000000"/>
                <w:sz w:val="24"/>
                <w:szCs w:val="24"/>
              </w:rPr>
              <w:t xml:space="preserve">часть земельного участка площадью 653,69 кв.м расположена в границах зоны действия публичного сервитута, установленного </w:t>
            </w:r>
            <w:r>
              <w:rPr>
                <w:color w:val="auto"/>
                <w:sz w:val="24"/>
                <w:szCs w:val="24"/>
              </w:rPr>
              <w:t>приказом Министерства по управлению имуществом и градостроительной деятельности Пермского края от 29.12.2023 № 31-02-1-4-2579 «Об установлении публичного сервитута в целях эксплуатации объекта электросетевого хозяйства регионального значения»</w:t>
            </w:r>
            <w:r>
              <w:rPr>
                <w:color w:themeColor="text1" w:val="000000"/>
                <w:sz w:val="24"/>
                <w:szCs w:val="24"/>
              </w:rPr>
              <w:t xml:space="preserve">. </w:t>
            </w:r>
            <w:r>
              <w:rPr>
                <w:color w:val="auto"/>
                <w:sz w:val="24"/>
                <w:szCs w:val="24"/>
              </w:rPr>
              <w:t>Реестровый номер границы: 59:01-6.10593</w:t>
            </w:r>
            <w:r>
              <w:rPr>
                <w:color w:val="auto"/>
                <w:sz w:val="24"/>
                <w:szCs w:val="24"/>
                <w14:ligatures w14:val="none"/>
              </w:rPr>
              <w:t>, в целях размещения объекта электросетевого хозяйства «BЛ 110 кВ Голованы-Рассохинская № 1,2». Установлен сроком на 49 лет.</w:t>
            </w:r>
          </w:p>
          <w:p>
            <w:pPr>
              <w:pStyle w:val="Normal"/>
              <w:spacing w:lineRule="auto" w:line="240" w:before="0" w:after="0"/>
              <w:ind w:firstLine="340"/>
              <w:jc w:val="both"/>
              <w:rPr>
                <w:rFonts w:ascii="Times New Roman" w:hAnsi="Times New Roman"/>
                <w:color w:val="auto"/>
                <w:sz w:val="24"/>
                <w:szCs w:val="24"/>
                <w:highlight w:val="none"/>
                <w14:ligatures w14:val="none"/>
              </w:rPr>
            </w:pPr>
            <w:r>
              <w:rPr>
                <w:color w:val="auto"/>
                <w:sz w:val="24"/>
                <w:szCs w:val="24"/>
                <w14:ligatures w14:val="none"/>
              </w:rPr>
            </w:r>
          </w:p>
          <w:p>
            <w:pPr>
              <w:pStyle w:val="Normal"/>
              <w:spacing w:lineRule="auto" w:line="240" w:before="0" w:after="0"/>
              <w:ind w:firstLine="311"/>
              <w:jc w:val="both"/>
              <w:rPr>
                <w:rFonts w:ascii="Times New Roman" w:hAnsi="Times New Roman"/>
                <w:sz w:val="24"/>
                <w:szCs w:val="24"/>
                <w:highlight w:val="white"/>
              </w:rPr>
            </w:pPr>
            <w:r>
              <w:rPr>
                <w:sz w:val="24"/>
                <w:szCs w:val="24"/>
                <w:highlight w:val="white"/>
              </w:rPr>
              <w:t>На Участке произрастает 1000 деревьев породы ива, клен. Средняя стоимость в ценах 2025 года одного дерева лиственной породы от 25 тыс. руб., а хвойной – от 30 тыс. руб.</w:t>
            </w:r>
          </w:p>
          <w:p>
            <w:pPr>
              <w:pStyle w:val="Normal"/>
              <w:spacing w:lineRule="auto" w:line="240" w:before="0" w:after="0"/>
              <w:ind w:firstLine="283" w:left="0" w:right="0"/>
              <w:jc w:val="both"/>
              <w:rPr>
                <w:color w:themeColor="text1" w:val="000000"/>
                <w:highlight w:val="white"/>
              </w:rPr>
            </w:pPr>
            <w:r>
              <w:rPr>
                <w:rFonts w:eastAsia="Times New Roman" w:cs="Times New Roman"/>
                <w:color w:themeColor="text1" w:val="000000"/>
                <w:sz w:val="24"/>
                <w:highlight w:val="white"/>
              </w:rPr>
              <w:t>Победителю аукциона необходимо соблюдать условия строительства, перечисленные в перечне мероприятий по охране окружающей среды от 22.12.2025 № 443.</w:t>
            </w:r>
          </w:p>
          <w:p>
            <w:pPr>
              <w:pStyle w:val="Normal"/>
              <w:tabs>
                <w:tab w:val="clear" w:pos="708"/>
                <w:tab w:val="right" w:pos="6000" w:leader="none"/>
              </w:tabs>
              <w:spacing w:lineRule="auto" w:line="240" w:before="0" w:after="0"/>
              <w:ind w:firstLine="311"/>
              <w:jc w:val="both"/>
              <w:rPr/>
            </w:pPr>
            <w:r>
              <w:rPr>
                <w:sz w:val="24"/>
                <w:szCs w:val="24"/>
                <w:highlight w:val="white"/>
              </w:rPr>
              <w:t xml:space="preserve">(Аналогичная информация отражена в письме </w:t>
            </w:r>
            <w:r>
              <w:rPr>
                <w:b/>
                <w:sz w:val="24"/>
                <w:szCs w:val="24"/>
                <w:highlight w:val="white"/>
              </w:rPr>
              <w:t>управления по экологии и природопользованию администрации города Перми</w:t>
            </w:r>
            <w:r>
              <w:rPr>
                <w:sz w:val="24"/>
                <w:szCs w:val="24"/>
                <w:highlight w:val="white"/>
              </w:rPr>
              <w:t xml:space="preserve"> от 22.12.2025 № 059-33-01-10/3-265).</w:t>
            </w:r>
          </w:p>
          <w:p>
            <w:pPr>
              <w:pStyle w:val="Normal"/>
              <w:tabs>
                <w:tab w:val="clear" w:pos="708"/>
                <w:tab w:val="right" w:pos="6000" w:leader="none"/>
              </w:tabs>
              <w:spacing w:lineRule="auto" w:line="240" w:before="0" w:after="0"/>
              <w:ind w:firstLine="311"/>
              <w:jc w:val="both"/>
              <w:rPr>
                <w:rFonts w:ascii="Times New Roman" w:hAnsi="Times New Roman" w:eastAsia="Times New Roman" w:cs="Times New Roman"/>
                <w:color w:themeColor="text1" w:val="000000"/>
                <w:sz w:val="24"/>
                <w:szCs w:val="24"/>
                <w:highlight w:val="white"/>
              </w:rPr>
            </w:pPr>
            <w:r>
              <w:rPr>
                <w:rFonts w:eastAsia="Times New Roman" w:cs="Times New Roman"/>
                <w:color w:themeColor="text1" w:val="000000"/>
                <w:sz w:val="24"/>
                <w:szCs w:val="24"/>
                <w:highlight w:val="white"/>
              </w:rPr>
            </w:r>
          </w:p>
          <w:p>
            <w:pPr>
              <w:pStyle w:val="Normal"/>
              <w:spacing w:lineRule="auto" w:line="240" w:before="0" w:after="0"/>
              <w:ind w:firstLine="283" w:left="0" w:right="0"/>
              <w:jc w:val="both"/>
              <w:rPr>
                <w:highlight w:val="white"/>
              </w:rPr>
            </w:pPr>
            <w:r>
              <w:rPr>
                <w:sz w:val="24"/>
                <w:szCs w:val="24"/>
                <w:highlight w:val="white"/>
              </w:rPr>
              <w:t>Муниципальной программой «Дорожная деятельность и благоустройство города Перми», утвержденной постановлением администрации города Перми от 18.10.2024 № 966, на период 2025-2029 годы мероприятия по строительству, реконструкции, капитальному ремонту улично-дорожной сети на рассматриваемой территории не предусмотрены.</w:t>
            </w:r>
          </w:p>
          <w:p>
            <w:pPr>
              <w:pStyle w:val="Normal"/>
              <w:spacing w:lineRule="auto" w:line="240" w:beforeAutospacing="0" w:before="0" w:afterAutospacing="0" w:after="0"/>
              <w:ind w:firstLine="283" w:left="0" w:right="0"/>
              <w:jc w:val="both"/>
              <w:rPr>
                <w:rFonts w:ascii="Times New Roman" w:hAnsi="Times New Roman" w:eastAsia="Times New Roman" w:cs="Times New Roman"/>
                <w:color w:themeColor="text1" w:val="000000"/>
                <w:sz w:val="24"/>
                <w:szCs w:val="24"/>
                <w:highlight w:val="white"/>
              </w:rPr>
            </w:pPr>
            <w:r>
              <w:rPr>
                <w:rFonts w:eastAsia="Times New Roman" w:cs="Times New Roman"/>
                <w:color w:val="000000"/>
                <w:sz w:val="24"/>
                <w:highlight w:val="white"/>
              </w:rPr>
              <w:t>Для примыкания Участка к улично-дорожной сети города Перми н</w:t>
            </w:r>
            <w:r>
              <w:rPr>
                <w:rFonts w:eastAsia="Times New Roman" w:cs="Times New Roman"/>
                <w:color w:themeColor="text1" w:val="000000"/>
                <w:sz w:val="24"/>
                <w:highlight w:val="white"/>
              </w:rPr>
              <w:t>еобходимо выполнить условия, указанные в письме.</w:t>
            </w:r>
          </w:p>
          <w:p>
            <w:pPr>
              <w:pStyle w:val="Normal"/>
              <w:spacing w:lineRule="auto" w:line="240" w:beforeAutospacing="0" w:before="0" w:afterAutospacing="0" w:after="0"/>
              <w:ind w:firstLine="283" w:left="0" w:right="0"/>
              <w:jc w:val="both"/>
              <w:rPr>
                <w:highlight w:val="white"/>
              </w:rPr>
            </w:pPr>
            <w:r>
              <w:rPr>
                <w:rFonts w:eastAsia="Times New Roman" w:cs="Times New Roman"/>
                <w:color w:val="000000"/>
                <w:sz w:val="24"/>
                <w:highlight w:val="white"/>
              </w:rPr>
              <w:t xml:space="preserve">Также направлена информация о соблюдении Правил благоустройства территории города Перми, утвержденных решением Пермской городской Думы от 15.12.2020 № 277 «Об утверждении правил благоустройства территории города Перми», при строительстве объектов недвижимости </w:t>
              <w:br/>
              <w:t>на земельных участках, предоставленных на торгах.</w:t>
            </w:r>
          </w:p>
          <w:p>
            <w:pPr>
              <w:pStyle w:val="Normal"/>
              <w:spacing w:lineRule="auto" w:line="240" w:beforeAutospacing="0" w:before="0" w:afterAutospacing="0" w:after="0"/>
              <w:ind w:firstLine="283" w:left="0" w:right="0"/>
              <w:jc w:val="both"/>
              <w:rPr>
                <w:highlight w:val="white"/>
              </w:rPr>
            </w:pPr>
            <w:r>
              <w:rPr>
                <w:rFonts w:eastAsia="Times New Roman" w:cs="Times New Roman"/>
                <w:color w:val="000000"/>
                <w:sz w:val="24"/>
                <w:highlight w:val="white"/>
              </w:rPr>
              <w:t xml:space="preserve">В соответствии с Федеральным законом от 08.11.2007 № 257 </w:t>
            </w:r>
            <w:r>
              <w:rPr>
                <w:rFonts w:eastAsia="Times New Roman" w:cs="Times New Roman"/>
                <w:color w:val="000000"/>
                <w:sz w:val="24"/>
                <w:szCs w:val="24"/>
                <w:highlight w:val="white"/>
              </w:rPr>
              <w: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r>
              <w:rPr>
                <w:rFonts w:eastAsia="Times New Roman" w:cs="Times New Roman"/>
                <w:color w:val="000000"/>
                <w:sz w:val="24"/>
                <w:highlight w:val="white"/>
              </w:rPr>
              <w:t xml:space="preserve">, расходы </w:t>
              <w:br/>
              <w:t>на строительства, реконструкцию, капитальный ремонт, ремонт пересечений и примыканий, в том числе расходы на выполнение дополнительных работ связанных с обеспечением безопасности дорожного движения, водоотведения и исполнением других установленных техническими регламентами требований, несут лица, в интересах которых осуществляется строительство, реконструкция, капитальный ремонт, ремонт пересечений или примыканий.</w:t>
            </w:r>
          </w:p>
          <w:p>
            <w:pPr>
              <w:pStyle w:val="Normal"/>
              <w:tabs>
                <w:tab w:val="clear" w:pos="708"/>
                <w:tab w:val="right" w:pos="6000" w:leader="none"/>
              </w:tabs>
              <w:spacing w:lineRule="auto" w:line="240" w:before="0" w:after="0"/>
              <w:ind w:firstLine="311"/>
              <w:jc w:val="both"/>
              <w:rPr/>
            </w:pPr>
            <w:r>
              <w:rPr>
                <w:sz w:val="24"/>
                <w:szCs w:val="24"/>
                <w:highlight w:val="white"/>
              </w:rPr>
              <w:t xml:space="preserve">(Аналогичная информация отражена в письме </w:t>
            </w:r>
            <w:r>
              <w:rPr>
                <w:b/>
                <w:color w:themeColor="text1" w:val="000000"/>
                <w:sz w:val="24"/>
                <w:szCs w:val="24"/>
                <w:highlight w:val="white"/>
              </w:rPr>
              <w:t xml:space="preserve">департамента дорог и </w:t>
            </w:r>
            <w:r>
              <w:rPr>
                <w:b/>
                <w:sz w:val="24"/>
                <w:szCs w:val="24"/>
                <w:highlight w:val="white"/>
              </w:rPr>
              <w:t>благоустройства администрации города Перми</w:t>
            </w:r>
            <w:r>
              <w:rPr>
                <w:sz w:val="24"/>
                <w:szCs w:val="24"/>
                <w:highlight w:val="white"/>
              </w:rPr>
              <w:t xml:space="preserve"> от 05.12.2025 № 059-24-01-36/3-4541).</w:t>
            </w:r>
          </w:p>
          <w:p>
            <w:pPr>
              <w:pStyle w:val="Normal"/>
              <w:tabs>
                <w:tab w:val="clear" w:pos="708"/>
                <w:tab w:val="right" w:pos="6000" w:leader="none"/>
              </w:tabs>
              <w:spacing w:lineRule="auto" w:line="240" w:before="0" w:after="0"/>
              <w:ind w:firstLine="311"/>
              <w:jc w:val="both"/>
              <w:rPr/>
            </w:pPr>
            <w:r>
              <w:rPr/>
            </w:r>
          </w:p>
          <w:p>
            <w:pPr>
              <w:pStyle w:val="Normal"/>
              <w:spacing w:lineRule="auto" w:line="240" w:beforeAutospacing="0" w:before="0" w:afterAutospacing="0" w:after="0"/>
              <w:ind w:firstLine="283" w:left="0" w:right="0"/>
              <w:jc w:val="both"/>
              <w:rPr/>
            </w:pPr>
            <w:r>
              <w:rPr>
                <w:rFonts w:eastAsia="Times New Roman" w:cs="Times New Roman"/>
                <w:color w:val="000000"/>
                <w:sz w:val="24"/>
                <w:szCs w:val="24"/>
                <w:highlight w:val="white"/>
                <w14:ligatures w14:val="none"/>
              </w:rPr>
              <w:t>Ближайший источник противопожарного водоснабжения (пожарный гидрант</w:t>
            </w:r>
            <w:r>
              <w:rPr>
                <w:rFonts w:eastAsia="Times New Roman" w:cs="Times New Roman"/>
                <w:color w:val="000000"/>
                <w:sz w:val="24"/>
                <w:szCs w:val="24"/>
                <w14:ligatures w14:val="none"/>
              </w:rPr>
              <w:t xml:space="preserve"> </w:t>
            </w:r>
            <w:r>
              <w:rPr>
                <w:rFonts w:eastAsia="Times New Roman" w:cs="Times New Roman"/>
                <w:color w:val="000000"/>
                <w:sz w:val="24"/>
                <w:szCs w:val="24"/>
                <w:highlight w:val="white"/>
                <w14:ligatures w14:val="none"/>
              </w:rPr>
              <w:t>на сети водоснабжения) расположен по адресу: ул. Ленина, 10.</w:t>
            </w:r>
          </w:p>
          <w:p>
            <w:pPr>
              <w:pStyle w:val="Normal"/>
              <w:spacing w:lineRule="auto" w:line="240" w:beforeAutospacing="0" w:before="0" w:afterAutospacing="0" w:after="0"/>
              <w:ind w:firstLine="283" w:left="0" w:right="0"/>
              <w:jc w:val="both"/>
              <w:rPr/>
            </w:pPr>
            <w:r>
              <w:rPr>
                <w:rFonts w:eastAsia="Times New Roman" w:cs="Times New Roman"/>
                <w:color w:val="000000"/>
                <w:sz w:val="24"/>
                <w:szCs w:val="24"/>
                <w:highlight w:val="white"/>
                <w14:ligatures w14:val="none"/>
              </w:rPr>
              <w:t xml:space="preserve">Информация о подразделениях пожарной охраны </w:t>
              <w:br/>
              <w:t>и времени их прибытия</w:t>
            </w:r>
            <w:r>
              <w:rPr>
                <w:rFonts w:eastAsia="Times New Roman" w:cs="Times New Roman"/>
                <w:color w:val="000000"/>
                <w:sz w:val="24"/>
                <w:szCs w:val="24"/>
                <w14:ligatures w14:val="none"/>
              </w:rPr>
              <w:t xml:space="preserve"> </w:t>
            </w:r>
            <w:r>
              <w:rPr>
                <w:rFonts w:eastAsia="Times New Roman" w:cs="Times New Roman"/>
                <w:color w:val="000000"/>
                <w:sz w:val="24"/>
                <w:szCs w:val="24"/>
                <w:highlight w:val="white"/>
                <w14:ligatures w14:val="none"/>
              </w:rPr>
              <w:t>содержится в «Расписании выезда подразделений Пермского местного</w:t>
            </w:r>
            <w:r>
              <w:rPr>
                <w:rFonts w:eastAsia="Times New Roman" w:cs="Times New Roman"/>
                <w:color w:val="000000"/>
                <w:sz w:val="24"/>
                <w:szCs w:val="24"/>
                <w14:ligatures w14:val="none"/>
              </w:rPr>
              <w:t xml:space="preserve"> </w:t>
            </w:r>
            <w:r>
              <w:rPr>
                <w:rFonts w:eastAsia="Times New Roman" w:cs="Times New Roman"/>
                <w:color w:val="000000"/>
                <w:sz w:val="24"/>
                <w:szCs w:val="24"/>
                <w:highlight w:val="white"/>
                <w14:ligatures w14:val="none"/>
              </w:rPr>
              <w:t>пожарно-спасательного гарнизона для тушения пожаров и проведения</w:t>
            </w:r>
            <w:r>
              <w:rPr>
                <w:rFonts w:eastAsia="Times New Roman" w:cs="Times New Roman"/>
                <w:color w:val="000000"/>
                <w:sz w:val="24"/>
                <w:szCs w:val="24"/>
                <w14:ligatures w14:val="none"/>
              </w:rPr>
              <w:t xml:space="preserve"> </w:t>
            </w:r>
            <w:r>
              <w:rPr>
                <w:rFonts w:eastAsia="Times New Roman" w:cs="Times New Roman"/>
                <w:color w:val="000000"/>
                <w:sz w:val="24"/>
                <w:szCs w:val="24"/>
                <w:highlight w:val="white"/>
                <w14:ligatures w14:val="none"/>
              </w:rPr>
              <w:t>аварийно-спасательных работ на территории Пермского городского округа,</w:t>
            </w:r>
            <w:r>
              <w:rPr>
                <w:rFonts w:eastAsia="Times New Roman" w:cs="Times New Roman"/>
                <w:color w:val="000000"/>
                <w:sz w:val="24"/>
                <w:szCs w:val="24"/>
                <w14:ligatures w14:val="none"/>
              </w:rPr>
              <w:t xml:space="preserve"> </w:t>
            </w:r>
            <w:r>
              <w:rPr>
                <w:rFonts w:eastAsia="Times New Roman" w:cs="Times New Roman"/>
                <w:color w:val="000000"/>
                <w:sz w:val="24"/>
                <w:szCs w:val="24"/>
                <w:highlight w:val="white"/>
                <w14:ligatures w14:val="none"/>
              </w:rPr>
              <w:t>Пермского муниципального района», утвержденном Главой города Перми</w:t>
            </w:r>
            <w:r>
              <w:rPr>
                <w:rFonts w:eastAsia="Times New Roman" w:cs="Times New Roman"/>
                <w:color w:val="000000"/>
                <w:sz w:val="24"/>
                <w:szCs w:val="24"/>
                <w14:ligatures w14:val="none"/>
              </w:rPr>
              <w:t xml:space="preserve"> </w:t>
            </w:r>
            <w:r>
              <w:rPr>
                <w:rFonts w:eastAsia="Times New Roman" w:cs="Times New Roman"/>
                <w:color w:val="000000"/>
                <w:sz w:val="24"/>
                <w:szCs w:val="24"/>
                <w:highlight w:val="white"/>
                <w14:ligatures w14:val="none"/>
              </w:rPr>
              <w:t>26.04.2024. Подразделение пожарной охраны расположено по адресу:</w:t>
            </w:r>
            <w:r>
              <w:rPr>
                <w:rFonts w:eastAsia="Times New Roman" w:cs="Times New Roman"/>
                <w:color w:val="000000"/>
                <w:sz w:val="24"/>
                <w:szCs w:val="24"/>
                <w14:ligatures w14:val="none"/>
              </w:rPr>
              <w:t xml:space="preserve"> </w:t>
            </w:r>
            <w:r>
              <w:rPr>
                <w:rFonts w:eastAsia="Times New Roman" w:cs="Times New Roman"/>
                <w:color w:val="000000"/>
                <w:sz w:val="24"/>
                <w:szCs w:val="24"/>
                <w:highlight w:val="white"/>
                <w14:ligatures w14:val="none"/>
              </w:rPr>
              <w:t>ул. Волховская, 37 (ПСЧ-57 10-ПСО).</w:t>
            </w:r>
          </w:p>
          <w:p>
            <w:pPr>
              <w:pStyle w:val="Normal"/>
              <w:spacing w:lineRule="auto" w:line="240" w:beforeAutospacing="0" w:before="0" w:afterAutospacing="0" w:after="0"/>
              <w:ind w:firstLine="283" w:left="0" w:right="0"/>
              <w:jc w:val="both"/>
              <w:rPr/>
            </w:pPr>
            <w:r>
              <w:rPr>
                <w:rFonts w:eastAsia="Times New Roman" w:cs="Times New Roman"/>
                <w:color w:val="000000"/>
                <w:sz w:val="24"/>
                <w:szCs w:val="24"/>
                <w:highlight w:val="white"/>
                <w14:ligatures w14:val="none"/>
              </w:rPr>
              <w:t>Помещения для аварийно-спасательных служб и (или) аварийно-спасательных формирований на указанной территории отсутствуют.</w:t>
            </w:r>
          </w:p>
          <w:p>
            <w:pPr>
              <w:pStyle w:val="Normal"/>
              <w:spacing w:lineRule="auto" w:line="240" w:beforeAutospacing="0" w:before="0" w:afterAutospacing="0" w:after="0"/>
              <w:ind w:firstLine="283" w:left="0" w:right="0"/>
              <w:jc w:val="both"/>
              <w:rPr/>
            </w:pPr>
            <w:r>
              <w:rPr>
                <w:rFonts w:eastAsia="Times New Roman" w:cs="Times New Roman"/>
                <w:color w:val="000000"/>
                <w:sz w:val="24"/>
                <w:szCs w:val="24"/>
                <w:highlight w:val="white"/>
                <w14:ligatures w14:val="none"/>
              </w:rPr>
              <w:t xml:space="preserve">Объект общественной безопасности, отнесенный </w:t>
              <w:br/>
              <w:t>к объектам полиции</w:t>
            </w:r>
            <w:r>
              <w:rPr>
                <w:rFonts w:eastAsia="Times New Roman" w:cs="Times New Roman"/>
                <w:color w:val="000000"/>
                <w:sz w:val="24"/>
                <w:szCs w:val="24"/>
                <w14:ligatures w14:val="none"/>
              </w:rPr>
              <w:t xml:space="preserve"> </w:t>
            </w:r>
            <w:r>
              <w:rPr>
                <w:rFonts w:eastAsia="Times New Roman" w:cs="Times New Roman"/>
                <w:color w:val="000000"/>
                <w:sz w:val="24"/>
                <w:szCs w:val="24"/>
                <w:highlight w:val="white"/>
                <w14:ligatures w14:val="none"/>
              </w:rPr>
              <w:t>(участковые пункты полиции), расположен по адресу: г. Пермь, ул. Бенгальская, 6</w:t>
            </w:r>
            <w:r>
              <w:rPr>
                <w:rFonts w:eastAsia="Times New Roman" w:cs="Times New Roman"/>
                <w:color w:val="000000"/>
                <w:sz w:val="24"/>
                <w:szCs w:val="24"/>
                <w14:ligatures w14:val="none"/>
              </w:rPr>
              <w:t xml:space="preserve"> </w:t>
            </w:r>
            <w:r>
              <w:rPr>
                <w:rFonts w:eastAsia="Times New Roman" w:cs="Times New Roman"/>
                <w:color w:val="000000"/>
                <w:sz w:val="24"/>
                <w:szCs w:val="24"/>
                <w:highlight w:val="white"/>
                <w14:ligatures w14:val="none"/>
              </w:rPr>
              <w:t>(микрорайон Бумкомбинат, Орджоникидзевский район). В настоящее время</w:t>
            </w:r>
            <w:r>
              <w:rPr>
                <w:rFonts w:eastAsia="Times New Roman" w:cs="Times New Roman"/>
                <w:color w:val="000000"/>
                <w:sz w:val="24"/>
                <w:szCs w:val="24"/>
                <w14:ligatures w14:val="none"/>
              </w:rPr>
              <w:t xml:space="preserve"> </w:t>
            </w:r>
            <w:r>
              <w:rPr>
                <w:rFonts w:eastAsia="Times New Roman" w:cs="Times New Roman"/>
                <w:color w:val="000000"/>
                <w:sz w:val="24"/>
                <w:szCs w:val="24"/>
                <w:highlight w:val="white"/>
                <w14:ligatures w14:val="none"/>
              </w:rPr>
              <w:t>в указанном микрорайоне строительство (приобретение) участковых пунктов</w:t>
            </w:r>
            <w:r>
              <w:rPr>
                <w:rFonts w:eastAsia="Times New Roman" w:cs="Times New Roman"/>
                <w:color w:val="000000"/>
                <w:sz w:val="24"/>
                <w:szCs w:val="24"/>
                <w14:ligatures w14:val="none"/>
              </w:rPr>
              <w:t xml:space="preserve"> </w:t>
            </w:r>
            <w:r>
              <w:rPr>
                <w:rFonts w:eastAsia="Times New Roman" w:cs="Times New Roman"/>
                <w:color w:val="000000"/>
                <w:sz w:val="24"/>
                <w:szCs w:val="24"/>
                <w:highlight w:val="white"/>
                <w14:ligatures w14:val="none"/>
              </w:rPr>
              <w:t>полиции не планируется.</w:t>
            </w:r>
          </w:p>
          <w:p>
            <w:pPr>
              <w:pStyle w:val="Normal"/>
              <w:spacing w:lineRule="auto" w:line="240" w:beforeAutospacing="0" w:before="0" w:afterAutospacing="0" w:after="0"/>
              <w:ind w:firstLine="283" w:left="0" w:right="0"/>
              <w:jc w:val="both"/>
              <w:rPr/>
            </w:pPr>
            <w:r>
              <w:rPr>
                <w:rFonts w:eastAsia="Times New Roman" w:cs="Times New Roman"/>
                <w:color w:val="000000"/>
                <w:sz w:val="24"/>
                <w:szCs w:val="24"/>
                <w14:ligatures w14:val="none"/>
              </w:rPr>
              <w:t>На указанной территории оконечные устройства системы оповещения населения города Перми отсутствуют. Для обеспечения покрытия запланированной территории системой оповещения населения необходимо предусматривать размещение сиренно-речевых узлов согласно пунктам 6.38, 6.39 СП 165.1325800.2014 «Свод правил. Инженерно-технические мероприятия по гражданской обороне. Актуализированная редакция СНиП 2.01.51-90».</w:t>
            </w:r>
          </w:p>
          <w:p>
            <w:pPr>
              <w:pStyle w:val="Normal"/>
              <w:tabs>
                <w:tab w:val="clear" w:pos="708"/>
                <w:tab w:val="right" w:pos="6000" w:leader="none"/>
              </w:tabs>
              <w:spacing w:lineRule="auto" w:line="240" w:before="0" w:after="0"/>
              <w:ind w:firstLine="311"/>
              <w:jc w:val="both"/>
              <w:rPr/>
            </w:pPr>
            <w:r>
              <w:rPr>
                <w:sz w:val="24"/>
                <w:szCs w:val="24"/>
                <w:highlight w:val="white"/>
              </w:rPr>
              <w:t xml:space="preserve">(Аналогичная информация отражена в письме </w:t>
            </w:r>
            <w:r>
              <w:rPr>
                <w:rFonts w:eastAsia="Times New Roman" w:cs="Times New Roman"/>
                <w:b/>
                <w:bCs/>
                <w:color w:val="000000"/>
                <w:sz w:val="24"/>
                <w:szCs w:val="24"/>
                <w:highlight w:val="white"/>
              </w:rPr>
              <w:t>департамента общественной безопасности администрации города Перми</w:t>
            </w:r>
            <w:r>
              <w:rPr>
                <w:rFonts w:eastAsia="Times New Roman" w:cs="Times New Roman"/>
                <w:color w:val="000000"/>
                <w:sz w:val="24"/>
                <w:szCs w:val="24"/>
                <w:highlight w:val="white"/>
              </w:rPr>
              <w:t xml:space="preserve"> от 08.12.2025 № 059-10-01-27/3-2550</w:t>
            </w:r>
            <w:r>
              <w:rPr>
                <w:sz w:val="24"/>
                <w:szCs w:val="24"/>
                <w:highlight w:val="white"/>
              </w:rPr>
              <w:t>).</w:t>
            </w:r>
          </w:p>
          <w:p>
            <w:pPr>
              <w:pStyle w:val="Normal"/>
              <w:tabs>
                <w:tab w:val="clear" w:pos="708"/>
                <w:tab w:val="right" w:pos="6000" w:leader="none"/>
              </w:tabs>
              <w:spacing w:lineRule="auto" w:line="240" w:before="0" w:after="0"/>
              <w:ind w:firstLine="311"/>
              <w:jc w:val="both"/>
              <w:rPr>
                <w:rFonts w:ascii="Times New Roman" w:hAnsi="Times New Roman" w:eastAsia="Times New Roman" w:cs="Times New Roman"/>
                <w:color w:val="000000"/>
                <w:sz w:val="24"/>
                <w:szCs w:val="24"/>
                <w:highlight w:val="white"/>
                <w14:ligatures w14:val="none"/>
              </w:rPr>
            </w:pPr>
            <w:r>
              <w:rPr>
                <w:rFonts w:eastAsia="Times New Roman" w:cs="Times New Roman"/>
                <w:color w:val="000000"/>
                <w:sz w:val="24"/>
                <w:szCs w:val="24"/>
                <w:highlight w:val="white"/>
                <w14:ligatures w14:val="none"/>
              </w:rPr>
            </w:r>
          </w:p>
        </w:tc>
      </w:tr>
      <w:tr>
        <w:trPr>
          <w:trHeight w:val="1087" w:hRule="atLeast"/>
        </w:trPr>
        <w:tc>
          <w:tcPr>
            <w:tcW w:w="567" w:type="dxa"/>
            <w:vMerge w:val="continue"/>
            <w:tcBorders>
              <w:top w:val="single" w:sz="4" w:space="0" w:color="000000"/>
              <w:left w:val="single" w:sz="4" w:space="0" w:color="000000"/>
              <w:bottom w:val="single" w:sz="4" w:space="0" w:color="000000"/>
              <w:right w:val="single" w:sz="4" w:space="0" w:color="000000"/>
            </w:tcBorders>
          </w:tcPr>
          <w:p>
            <w:pPr>
              <w:pStyle w:val="Normal"/>
              <w:jc w:val="center"/>
              <w:rPr>
                <w:sz w:val="20"/>
              </w:rPr>
            </w:pPr>
            <w:r>
              <w:rPr>
                <w:sz w:val="20"/>
              </w:rPr>
            </w:r>
          </w:p>
        </w:tc>
        <w:tc>
          <w:tcPr>
            <w:tcW w:w="3054" w:type="dxa"/>
            <w:tcBorders>
              <w:top w:val="single" w:sz="4" w:space="0" w:color="000000"/>
              <w:left w:val="single" w:sz="4" w:space="0" w:color="000000"/>
              <w:bottom w:val="single" w:sz="4" w:space="0" w:color="000000"/>
              <w:right w:val="single" w:sz="4" w:space="0" w:color="000000"/>
            </w:tcBorders>
          </w:tcPr>
          <w:p>
            <w:pPr>
              <w:pStyle w:val="Normal"/>
              <w:widowControl/>
              <w:numPr>
                <w:ilvl w:val="0"/>
                <w:numId w:val="2"/>
              </w:numPr>
              <w:spacing w:before="0" w:after="0"/>
              <w:ind w:hanging="283" w:left="510" w:right="113"/>
              <w:jc w:val="left"/>
              <w:rPr>
                <w:sz w:val="24"/>
                <w:szCs w:val="24"/>
              </w:rPr>
            </w:pPr>
            <w:r>
              <w:rPr>
                <w:sz w:val="24"/>
                <w:szCs w:val="24"/>
              </w:rPr>
              <w:t xml:space="preserve">максимально и (или) минимально </w:t>
              <w:br/>
              <w:t>допустимые параметры разрешенного строительства объекта капитального строительства</w:t>
            </w:r>
          </w:p>
        </w:tc>
        <w:tc>
          <w:tcPr>
            <w:tcW w:w="6864" w:type="dxa"/>
            <w:tcBorders>
              <w:top w:val="single" w:sz="4" w:space="0" w:color="000000"/>
              <w:left w:val="single" w:sz="4" w:space="0" w:color="000000"/>
              <w:bottom w:val="single" w:sz="4" w:space="0" w:color="000000"/>
              <w:right w:val="single" w:sz="4" w:space="0" w:color="000000"/>
            </w:tcBorders>
          </w:tcPr>
          <w:p>
            <w:pPr>
              <w:pStyle w:val="Normal"/>
              <w:ind w:firstLine="312"/>
              <w:jc w:val="both"/>
              <w:rPr>
                <w:color w:themeColor="text1" w:val="000000"/>
                <w:sz w:val="24"/>
                <w:szCs w:val="24"/>
                <w:highlight w:val="none"/>
                <w:u w:val="none"/>
              </w:rPr>
            </w:pPr>
            <w:r>
              <w:rPr>
                <w:color w:themeColor="text1" w:val="000000"/>
                <w:sz w:val="24"/>
                <w:szCs w:val="24"/>
                <w:u w:val="none"/>
              </w:rPr>
            </w:r>
          </w:p>
          <w:p>
            <w:pPr>
              <w:pStyle w:val="Normal"/>
              <w:ind w:firstLine="312"/>
              <w:jc w:val="both"/>
              <w:rPr>
                <w:color w:themeColor="text1" w:val="000000"/>
                <w:sz w:val="24"/>
                <w:szCs w:val="24"/>
                <w:highlight w:val="none"/>
                <w:u w:val="none"/>
              </w:rPr>
            </w:pPr>
            <w:r>
              <w:rPr>
                <w:szCs w:val="24"/>
              </w:rPr>
              <w:t xml:space="preserve">В </w:t>
            </w:r>
            <w:r>
              <w:rPr>
                <w:szCs w:val="24"/>
                <w:shd w:fill="FFFFFF" w:val="clear"/>
              </w:rPr>
              <w:t>документации по земельному участку, размещенной</w:t>
              <w:br/>
              <w:t xml:space="preserve">с извещением о проведении аукциона в ГИС Торги </w:t>
            </w:r>
            <w:r>
              <w:rPr>
                <w:szCs w:val="24"/>
                <w:lang w:val="en-US"/>
              </w:rPr>
              <w:t>www</w:t>
            </w:r>
            <w:r>
              <w:rPr>
                <w:szCs w:val="24"/>
              </w:rPr>
              <w:t>.</w:t>
            </w:r>
            <w:r>
              <w:rPr>
                <w:szCs w:val="24"/>
                <w:lang w:val="en-US"/>
              </w:rPr>
              <w:t>torgi</w:t>
            </w:r>
            <w:r>
              <w:rPr>
                <w:szCs w:val="24"/>
              </w:rPr>
              <w:t>.</w:t>
            </w:r>
            <w:r>
              <w:rPr>
                <w:szCs w:val="24"/>
                <w:lang w:val="en-US"/>
              </w:rPr>
              <w:t>gov</w:t>
            </w:r>
            <w:r>
              <w:rPr>
                <w:szCs w:val="24"/>
              </w:rPr>
              <w:t>.</w:t>
            </w:r>
            <w:r>
              <w:rPr>
                <w:szCs w:val="24"/>
                <w:lang w:val="en-US"/>
              </w:rPr>
              <w:t>ru</w:t>
            </w:r>
            <w:r>
              <w:rPr>
                <w:szCs w:val="24"/>
                <w:shd w:fill="FFFFFF" w:val="clear"/>
              </w:rPr>
              <w:t xml:space="preserve">, на официальном сайте муниципального образования город Пермь в информационно-телекоммуникационной сети Интернет </w:t>
            </w:r>
            <w:hyperlink r:id="rId9" w:tgtFrame="http://www.gorodperm.ru/">
              <w:r>
                <w:rPr>
                  <w:rStyle w:val="Hyperlink"/>
                  <w:color w:themeColor="text1" w:val="000000"/>
                  <w:szCs w:val="24"/>
                  <w:u w:val="none"/>
                </w:rPr>
                <w:t>www.gorodperm.ru</w:t>
              </w:r>
            </w:hyperlink>
            <w:r>
              <w:rPr>
                <w:color w:themeColor="text1" w:val="000000"/>
                <w:szCs w:val="24"/>
                <w:u w:val="none"/>
              </w:rPr>
              <w:t>.</w:t>
            </w:r>
          </w:p>
          <w:p>
            <w:pPr>
              <w:pStyle w:val="Normal"/>
              <w:ind w:firstLine="312"/>
              <w:jc w:val="both"/>
              <w:rPr>
                <w:sz w:val="24"/>
                <w:szCs w:val="24"/>
                <w:highlight w:val="none"/>
              </w:rPr>
            </w:pPr>
            <w:r>
              <w:rPr>
                <w:sz w:val="24"/>
                <w:szCs w:val="24"/>
              </w:rPr>
            </w:r>
          </w:p>
          <w:p>
            <w:pPr>
              <w:pStyle w:val="Normal"/>
              <w:spacing w:lineRule="auto" w:line="240" w:before="0" w:after="0"/>
              <w:ind w:firstLine="311"/>
              <w:jc w:val="both"/>
              <w:rPr>
                <w:rFonts w:ascii="Times New Roman" w:hAnsi="Times New Roman"/>
                <w:sz w:val="24"/>
                <w:szCs w:val="24"/>
              </w:rPr>
            </w:pPr>
            <w:r>
              <w:rPr>
                <w:sz w:val="24"/>
                <w:szCs w:val="24"/>
                <w:lang w:val="en-US"/>
              </w:rPr>
              <w:t xml:space="preserve">Проектирование и строительство необходимо вести в соответствии с пунктом 4.5 СП 55.13330.2016 Свода Правил. Дома жилые одноквартирные. СНиП 31-02-2001, утвержденным и введенным в действие Приказом Министерства строительства и жилищно коммунального хозяйства Российской Федерации </w:t>
              <w:br/>
              <w:t>от 20.10.2016 № 725/пр. Дом должен включать жилые комнаты – одну или несколько (общую комнату или гостиную, спальню),</w:t>
            </w:r>
            <w:r>
              <w:rPr>
                <w:sz w:val="24"/>
                <w:szCs w:val="24"/>
              </w:rPr>
              <w:t xml:space="preserve"> </w:t>
            </w:r>
            <w:r>
              <w:rPr>
                <w:sz w:val="24"/>
                <w:szCs w:val="24"/>
                <w:lang w:val="en-US"/>
              </w:rPr>
              <w:t xml:space="preserve">а также вспомогательные помещения: переднюю, кухню (в том числе кухню-столовую и (или) кухню-нишу), ванные комнаты </w:t>
              <w:br/>
              <w:t>и (или) душевые, туалет (уборную) или совмещенный санузел</w:t>
            </w:r>
            <w:r>
              <w:rPr>
                <w:sz w:val="24"/>
                <w:szCs w:val="24"/>
              </w:rPr>
              <w:t>, переднюю.</w:t>
            </w:r>
          </w:p>
          <w:p>
            <w:pPr>
              <w:pStyle w:val="Normal"/>
              <w:spacing w:lineRule="auto" w:line="240" w:before="0" w:after="0"/>
              <w:ind w:firstLine="311"/>
              <w:jc w:val="both"/>
              <w:rPr>
                <w:rFonts w:ascii="Times New Roman" w:hAnsi="Times New Roman"/>
                <w:sz w:val="24"/>
                <w:szCs w:val="24"/>
                <w:lang w:val="en-US"/>
              </w:rPr>
            </w:pPr>
            <w:r>
              <w:rPr>
                <w:sz w:val="24"/>
                <w:szCs w:val="24"/>
                <w:lang w:val="en-US"/>
              </w:rPr>
              <w:t>Согласно пункту 6.1 СП 55.13330.2016 площади помещений строящихся и реконструируемых жилых домов должны быть не менее: общей комнаты в однокомнатном доме - 14 м</w:t>
            </w:r>
            <w:r>
              <w:rPr>
                <w:sz w:val="24"/>
                <w:szCs w:val="24"/>
                <w:vertAlign w:val="superscript"/>
                <w:lang w:val="en-US"/>
              </w:rPr>
              <w:t>2</w:t>
            </w:r>
            <w:r>
              <w:rPr>
                <w:sz w:val="24"/>
                <w:szCs w:val="24"/>
                <w:lang w:val="en-US"/>
              </w:rPr>
              <w:t>, общей комнаты в доме с числом комнат две и более - 16 м</w:t>
            </w:r>
            <w:r>
              <w:rPr>
                <w:sz w:val="24"/>
                <w:szCs w:val="24"/>
                <w:vertAlign w:val="superscript"/>
                <w:lang w:val="en-US"/>
              </w:rPr>
              <w:t>2</w:t>
            </w:r>
            <w:r>
              <w:rPr>
                <w:sz w:val="24"/>
                <w:szCs w:val="24"/>
                <w:lang w:val="en-US"/>
              </w:rPr>
              <w:t>, спальни - 8 м</w:t>
            </w:r>
            <w:r>
              <w:rPr>
                <w:sz w:val="24"/>
                <w:szCs w:val="24"/>
                <w:vertAlign w:val="superscript"/>
                <w:lang w:val="en-US"/>
              </w:rPr>
              <w:t>2</w:t>
            </w:r>
            <w:r>
              <w:rPr>
                <w:sz w:val="24"/>
                <w:szCs w:val="24"/>
                <w:lang w:val="en-US"/>
              </w:rPr>
              <w:t xml:space="preserve"> (на двух человек - 10 м</w:t>
            </w:r>
            <w:r>
              <w:rPr>
                <w:sz w:val="24"/>
                <w:szCs w:val="24"/>
                <w:vertAlign w:val="superscript"/>
                <w:lang w:val="en-US"/>
              </w:rPr>
              <w:t>2</w:t>
            </w:r>
            <w:r>
              <w:rPr>
                <w:sz w:val="24"/>
                <w:szCs w:val="24"/>
                <w:lang w:val="en-US"/>
              </w:rPr>
              <w:t>); кухни - 8 м</w:t>
            </w:r>
            <w:r>
              <w:rPr>
                <w:sz w:val="24"/>
                <w:szCs w:val="24"/>
                <w:vertAlign w:val="superscript"/>
                <w:lang w:val="en-US"/>
              </w:rPr>
              <w:t>2</w:t>
            </w:r>
            <w:r>
              <w:rPr>
                <w:sz w:val="24"/>
                <w:szCs w:val="24"/>
                <w:lang w:val="en-US"/>
              </w:rPr>
              <w:t>; кухонной зоны в кухне-столовой - 6 м</w:t>
            </w:r>
            <w:r>
              <w:rPr>
                <w:sz w:val="24"/>
                <w:szCs w:val="24"/>
                <w:vertAlign w:val="superscript"/>
                <w:lang w:val="en-US"/>
              </w:rPr>
              <w:t>2</w:t>
            </w:r>
            <w:r>
              <w:rPr>
                <w:sz w:val="24"/>
                <w:szCs w:val="24"/>
                <w:lang w:val="en-US"/>
              </w:rPr>
              <w:t>.</w:t>
            </w:r>
            <w:r>
              <w:rPr>
                <w:sz w:val="24"/>
                <w:szCs w:val="24"/>
              </w:rPr>
              <w:t xml:space="preserve"> </w:t>
            </w:r>
            <w:r>
              <w:rPr>
                <w:sz w:val="24"/>
                <w:szCs w:val="24"/>
                <w:lang w:val="en-US"/>
              </w:rPr>
              <w:t>В домах с одной комнатой допускается проектировать кухни или кухни-ниши площадью не менее 5 м</w:t>
            </w:r>
            <w:r>
              <w:rPr>
                <w:sz w:val="24"/>
                <w:szCs w:val="24"/>
                <w:vertAlign w:val="superscript"/>
                <w:lang w:val="en-US"/>
              </w:rPr>
              <w:t>2</w:t>
            </w:r>
            <w:r>
              <w:rPr>
                <w:sz w:val="24"/>
                <w:szCs w:val="24"/>
                <w:lang w:val="en-US"/>
              </w:rPr>
              <w:t>.</w:t>
            </w:r>
            <w:r>
              <w:rPr>
                <w:sz w:val="24"/>
                <w:szCs w:val="24"/>
              </w:rPr>
              <w:t xml:space="preserve"> </w:t>
            </w:r>
            <w:r>
              <w:rPr>
                <w:sz w:val="24"/>
                <w:szCs w:val="24"/>
                <w:lang w:val="en-US"/>
              </w:rPr>
              <w:t>Площадь спальни и кухни в мансардном этаже (или этаже с наклонными ограждающими конструкциями) допускается не менее 7 м</w:t>
            </w:r>
            <w:r>
              <w:rPr>
                <w:sz w:val="24"/>
                <w:szCs w:val="24"/>
                <w:vertAlign w:val="superscript"/>
                <w:lang w:val="en-US"/>
              </w:rPr>
              <w:t>2</w:t>
            </w:r>
            <w:r>
              <w:rPr>
                <w:sz w:val="24"/>
                <w:szCs w:val="24"/>
                <w:lang w:val="en-US"/>
              </w:rPr>
              <w:t xml:space="preserve"> при условии, что общая жилая комната имеет площадь не менее 16 м</w:t>
            </w:r>
            <w:r>
              <w:rPr>
                <w:sz w:val="24"/>
                <w:szCs w:val="24"/>
                <w:vertAlign w:val="superscript"/>
                <w:lang w:val="en-US"/>
              </w:rPr>
              <w:t>2</w:t>
            </w:r>
            <w:r>
              <w:rPr>
                <w:sz w:val="24"/>
                <w:szCs w:val="24"/>
                <w:lang w:val="en-US"/>
              </w:rPr>
              <w:t>.</w:t>
            </w:r>
          </w:p>
          <w:p>
            <w:pPr>
              <w:pStyle w:val="Normal"/>
              <w:spacing w:lineRule="auto" w:line="240" w:before="0" w:after="0"/>
              <w:ind w:firstLine="311"/>
              <w:jc w:val="both"/>
              <w:rPr>
                <w:rFonts w:ascii="Times New Roman" w:hAnsi="Times New Roman"/>
                <w:sz w:val="24"/>
                <w:szCs w:val="24"/>
                <w:lang w:val="en-US"/>
              </w:rPr>
            </w:pPr>
            <w:r>
              <w:rPr>
                <w:sz w:val="24"/>
                <w:szCs w:val="24"/>
                <w:lang w:val="en-US"/>
              </w:rPr>
              <w:t xml:space="preserve">Согласно пункту 6.2 СП 55.13330.2016 высота </w:t>
              <w:br/>
              <w:t xml:space="preserve">(от пола до потолка) комнат и кухни (кухни-столовой) в климатических районах строительства IА, IБ, IГ, IД, определяемых по СП 131.13330, должна быть не менее 2,7 м, а в других климатических районах строительства - не менее 2,5 м. Высота внутридомовых коридоров, холлов, передних, </w:t>
            </w:r>
            <w:r>
              <w:rPr>
                <w:spacing w:val="-2"/>
                <w:sz w:val="24"/>
                <w:szCs w:val="24"/>
                <w:lang w:val="en-US"/>
              </w:rPr>
              <w:t>антресолей должна составлять не менее 2,1 м,</w:t>
            </w:r>
            <w:r>
              <w:rPr>
                <w:spacing w:val="-2"/>
                <w:sz w:val="24"/>
                <w:szCs w:val="24"/>
              </w:rPr>
              <w:t xml:space="preserve"> </w:t>
            </w:r>
            <w:r>
              <w:rPr>
                <w:spacing w:val="-2"/>
                <w:sz w:val="24"/>
                <w:szCs w:val="24"/>
                <w:lang w:val="en-US"/>
              </w:rPr>
              <w:t>а высота пути эвакуации -</w:t>
            </w:r>
            <w:r>
              <w:rPr>
                <w:sz w:val="24"/>
                <w:szCs w:val="24"/>
                <w:lang w:val="en-US"/>
              </w:rPr>
              <w:t xml:space="preserve"> не менее</w:t>
            </w:r>
            <w:r>
              <w:rPr>
                <w:sz w:val="24"/>
                <w:szCs w:val="24"/>
              </w:rPr>
              <w:t xml:space="preserve"> </w:t>
            </w:r>
            <w:r>
              <w:rPr>
                <w:sz w:val="24"/>
                <w:szCs w:val="24"/>
                <w:lang w:val="en-US"/>
              </w:rPr>
              <w:t>2,2 м.</w:t>
            </w:r>
          </w:p>
          <w:p>
            <w:pPr>
              <w:pStyle w:val="Normal"/>
              <w:spacing w:lineRule="auto" w:line="240" w:before="0" w:after="0"/>
              <w:ind w:firstLine="311"/>
              <w:jc w:val="both"/>
              <w:rPr>
                <w:rFonts w:ascii="Times New Roman" w:hAnsi="Times New Roman"/>
                <w:sz w:val="24"/>
                <w:szCs w:val="24"/>
              </w:rPr>
            </w:pPr>
            <w:r>
              <w:rPr>
                <w:sz w:val="24"/>
                <w:szCs w:val="24"/>
                <w:lang w:val="en-US"/>
              </w:rPr>
              <w:t xml:space="preserve">В жилых комнатах и кухнях, расположенных </w:t>
              <w:br/>
              <w:t>в этажах с наклонными ограждающими конструкциями или в мансардном этаже, допускается уменьшение высоты помещений (от пола</w:t>
            </w:r>
            <w:r>
              <w:rPr>
                <w:sz w:val="24"/>
                <w:szCs w:val="24"/>
              </w:rPr>
              <w:t xml:space="preserve"> </w:t>
            </w:r>
            <w:r>
              <w:rPr>
                <w:sz w:val="24"/>
                <w:szCs w:val="24"/>
                <w:lang w:val="en-US"/>
              </w:rPr>
              <w:t>до потолка), относительно нормируемой на площади, не превышающей 50%.</w:t>
            </w:r>
          </w:p>
          <w:p>
            <w:pPr>
              <w:pStyle w:val="Normal"/>
              <w:tabs>
                <w:tab w:val="clear" w:pos="708"/>
                <w:tab w:val="right" w:pos="6000" w:leader="none"/>
              </w:tabs>
              <w:spacing w:lineRule="auto" w:line="240" w:before="0" w:after="0"/>
              <w:ind w:firstLine="311"/>
              <w:jc w:val="both"/>
              <w:rPr>
                <w:rFonts w:ascii="Times New Roman" w:hAnsi="Times New Roman"/>
                <w:sz w:val="24"/>
                <w:highlight w:val="white"/>
              </w:rPr>
            </w:pPr>
            <w:r>
              <w:rPr>
                <w:sz w:val="24"/>
                <w:highlight w:val="white"/>
              </w:rPr>
              <w:t>Согласно информации, содержащейся в ГПЗУ, предельная высота зданий, строений не более 10,5 м (документация по планировке территории, утвержденная постановлением администрации города Перми от 22.12.2017 № 1178).</w:t>
            </w:r>
          </w:p>
          <w:p>
            <w:pPr>
              <w:pStyle w:val="Normal"/>
              <w:tabs>
                <w:tab w:val="clear" w:pos="708"/>
                <w:tab w:val="right" w:pos="6000" w:leader="none"/>
              </w:tabs>
              <w:spacing w:lineRule="auto" w:line="240" w:before="0" w:after="0"/>
              <w:ind w:firstLine="311"/>
              <w:jc w:val="both"/>
              <w:rPr>
                <w:rFonts w:ascii="Times New Roman" w:hAnsi="Times New Roman"/>
                <w:sz w:val="24"/>
                <w:highlight w:val="white"/>
              </w:rPr>
            </w:pPr>
            <w:r>
              <w:rPr>
                <w:sz w:val="24"/>
                <w:highlight w:val="white"/>
              </w:rPr>
              <w:t>Минимальный отступ от границ земельного участка до места допустимого размещения зданий, строений, сооружений (за исключением границ со стороны территории общего пользования, где отступ определяется с учетом красных линий и линий регулирования застройки, установленных проектом планировки территории, а также смежных земельных участков при блокированной жилой застройке) – 3 м.</w:t>
            </w:r>
          </w:p>
          <w:p>
            <w:pPr>
              <w:pStyle w:val="Normal"/>
              <w:tabs>
                <w:tab w:val="clear" w:pos="708"/>
                <w:tab w:val="right" w:pos="6000" w:leader="none"/>
              </w:tabs>
              <w:spacing w:lineRule="auto" w:line="240" w:before="0" w:after="0"/>
              <w:ind w:firstLine="311"/>
              <w:jc w:val="both"/>
              <w:rPr>
                <w:rFonts w:ascii="Times New Roman" w:hAnsi="Times New Roman"/>
                <w:sz w:val="24"/>
                <w:highlight w:val="white"/>
              </w:rPr>
            </w:pPr>
            <w:r>
              <w:rPr>
                <w:sz w:val="24"/>
                <w:highlight w:val="white"/>
              </w:rPr>
              <w:t xml:space="preserve">Максимальный выступ за красную линию нависающих частей здания наземных уровней, выступающих из плоскости наружной стены фасада здания на высоте не менее 4,5 м над территорией общего пользования, составляет не более 1,2 м </w:t>
              <w:br/>
              <w:t>от красной линии. В случаях, когда линия регулирования застройки отличается от красной линии, указанный выступ может быть произведен за линию регулирования застройки.</w:t>
            </w:r>
          </w:p>
          <w:p>
            <w:pPr>
              <w:pStyle w:val="Normal"/>
              <w:spacing w:lineRule="auto" w:line="240" w:before="0" w:after="0"/>
              <w:ind w:firstLine="311"/>
              <w:jc w:val="both"/>
              <w:rPr>
                <w:rFonts w:ascii="Times New Roman" w:hAnsi="Times New Roman"/>
                <w:sz w:val="24"/>
                <w:highlight w:val="white"/>
              </w:rPr>
            </w:pPr>
            <w:r>
              <w:rPr>
                <w:sz w:val="24"/>
                <w:highlight w:val="white"/>
              </w:rPr>
              <w:t>Максимальный процент застройки в границах Участка – 40%.</w:t>
            </w:r>
          </w:p>
          <w:p>
            <w:pPr>
              <w:pStyle w:val="Normal"/>
              <w:spacing w:lineRule="auto" w:line="240" w:before="0" w:after="0"/>
              <w:ind w:firstLine="311"/>
              <w:jc w:val="both"/>
              <w:rPr>
                <w:rFonts w:ascii="Times New Roman" w:hAnsi="Times New Roman"/>
                <w:sz w:val="24"/>
                <w:highlight w:val="white"/>
              </w:rPr>
            </w:pPr>
            <w:r>
              <w:rPr>
                <w:color w:val="auto"/>
                <w:sz w:val="24"/>
                <w:szCs w:val="24"/>
                <w:highlight w:val="white"/>
              </w:rPr>
              <w:t>С уведомлением о планируемом строительстве жилого дома рекомендуется обратиться в уполномоченный орган администрации города Перми.</w:t>
            </w:r>
          </w:p>
        </w:tc>
      </w:tr>
      <w:tr>
        <w:trPr>
          <w:trHeight w:val="144" w:hRule="atLeast"/>
        </w:trPr>
        <w:tc>
          <w:tcPr>
            <w:tcW w:w="567" w:type="dxa"/>
            <w:vMerge w:val="continue"/>
            <w:tcBorders>
              <w:top w:val="single" w:sz="4" w:space="0" w:color="000000"/>
              <w:left w:val="single" w:sz="4" w:space="0" w:color="000000"/>
              <w:bottom w:val="single" w:sz="4" w:space="0" w:color="000000"/>
              <w:right w:val="single" w:sz="4" w:space="0" w:color="000000"/>
            </w:tcBorders>
          </w:tcPr>
          <w:p>
            <w:pPr>
              <w:pStyle w:val="Normal"/>
              <w:jc w:val="center"/>
              <w:rPr>
                <w:sz w:val="20"/>
              </w:rPr>
            </w:pPr>
            <w:r>
              <w:rPr>
                <w:sz w:val="20"/>
              </w:rPr>
            </w:r>
          </w:p>
        </w:tc>
        <w:tc>
          <w:tcPr>
            <w:tcW w:w="3054" w:type="dxa"/>
            <w:tcBorders>
              <w:top w:val="single" w:sz="4" w:space="0" w:color="000000"/>
              <w:left w:val="single" w:sz="4" w:space="0" w:color="000000"/>
              <w:bottom w:val="single" w:sz="4" w:space="0" w:color="000000"/>
              <w:right w:val="single" w:sz="4" w:space="0" w:color="000000"/>
            </w:tcBorders>
          </w:tcPr>
          <w:p>
            <w:pPr>
              <w:pStyle w:val="Normal"/>
              <w:numPr>
                <w:ilvl w:val="0"/>
                <w:numId w:val="2"/>
              </w:numPr>
              <w:ind w:hanging="284" w:left="410" w:right="23"/>
              <w:rPr>
                <w:sz w:val="24"/>
                <w:szCs w:val="24"/>
              </w:rPr>
            </w:pPr>
            <w:r>
              <w:rPr>
                <w:sz w:val="24"/>
                <w:szCs w:val="24"/>
              </w:rPr>
              <w:t>возможность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w:t>
            </w:r>
          </w:p>
        </w:tc>
        <w:tc>
          <w:tcPr>
            <w:tcW w:w="6864" w:type="dxa"/>
            <w:tcBorders>
              <w:top w:val="single" w:sz="4" w:space="0" w:color="000000"/>
              <w:left w:val="single" w:sz="4" w:space="0" w:color="000000"/>
              <w:bottom w:val="single" w:sz="4" w:space="0" w:color="000000"/>
              <w:right w:val="single" w:sz="4" w:space="0" w:color="000000"/>
            </w:tcBorders>
          </w:tcPr>
          <w:p>
            <w:pPr>
              <w:pStyle w:val="Normal"/>
              <w:ind w:firstLine="312"/>
              <w:jc w:val="both"/>
              <w:rPr>
                <w:sz w:val="24"/>
                <w:szCs w:val="24"/>
                <w:highlight w:val="none"/>
                <w:u w:val="none"/>
              </w:rPr>
            </w:pPr>
            <w:r>
              <w:rPr>
                <w:sz w:val="24"/>
                <w:szCs w:val="24"/>
                <w:u w:val="none"/>
              </w:rPr>
            </w:r>
          </w:p>
          <w:p>
            <w:pPr>
              <w:pStyle w:val="Normal"/>
              <w:ind w:firstLine="312"/>
              <w:jc w:val="both"/>
              <w:rPr>
                <w:sz w:val="24"/>
                <w:szCs w:val="24"/>
                <w:highlight w:val="none"/>
                <w:u w:val="none"/>
              </w:rPr>
            </w:pPr>
            <w:r>
              <w:rPr/>
              <w:t xml:space="preserve">В </w:t>
            </w:r>
            <w:r>
              <w:rPr>
                <w:shd w:fill="FFFFFF" w:val="clear"/>
              </w:rPr>
              <w:t xml:space="preserve">документации по земельному участку, размещенной </w:t>
              <w:br/>
              <w:t xml:space="preserve">с извещением о проведении аукциона в ГИС Торги </w:t>
            </w:r>
            <w:r>
              <w:rPr>
                <w:lang w:val="en-US"/>
              </w:rPr>
              <w:t>www</w:t>
            </w:r>
            <w:r>
              <w:rPr/>
              <w:t>.</w:t>
            </w:r>
            <w:r>
              <w:rPr>
                <w:lang w:val="en-US"/>
              </w:rPr>
              <w:t>torgi</w:t>
            </w:r>
            <w:r>
              <w:rPr/>
              <w:t>.</w:t>
            </w:r>
            <w:r>
              <w:rPr>
                <w:lang w:val="en-US"/>
              </w:rPr>
              <w:t>gov</w:t>
            </w:r>
            <w:r>
              <w:rPr/>
              <w:t>.</w:t>
            </w:r>
            <w:r>
              <w:rPr>
                <w:lang w:val="en-US"/>
              </w:rPr>
              <w:t>ru</w:t>
            </w:r>
            <w:r>
              <w:rPr>
                <w:shd w:fill="FFFFFF" w:val="clear"/>
              </w:rPr>
              <w:t xml:space="preserve">, на официальном сайте муниципального образования город Пермь в информационно-телекоммуникационной сети Интернет </w:t>
            </w:r>
            <w:hyperlink r:id="rId10" w:tgtFrame="http://www.gorodperm.ru/">
              <w:r>
                <w:rPr>
                  <w:rStyle w:val="Hyperlink"/>
                  <w:color w:themeColor="text1" w:val="000000"/>
                  <w:u w:val="none"/>
                </w:rPr>
                <w:t>www.gorodperm.ru</w:t>
              </w:r>
            </w:hyperlink>
            <w:r>
              <w:rPr>
                <w:color w:themeColor="text1" w:val="000000"/>
                <w:u w:val="none"/>
              </w:rPr>
              <w:t>.</w:t>
            </w:r>
          </w:p>
          <w:p>
            <w:pPr>
              <w:pStyle w:val="Normal"/>
              <w:ind w:firstLine="312"/>
              <w:jc w:val="both"/>
              <w:rPr>
                <w:sz w:val="24"/>
                <w:szCs w:val="24"/>
                <w:highlight w:val="none"/>
              </w:rPr>
            </w:pPr>
            <w:r>
              <w:rPr>
                <w:sz w:val="24"/>
                <w:szCs w:val="24"/>
              </w:rPr>
            </w:r>
          </w:p>
          <w:p>
            <w:pPr>
              <w:pStyle w:val="Normal"/>
              <w:spacing w:lineRule="auto" w:line="240" w:before="0" w:after="0"/>
              <w:ind w:firstLine="311"/>
              <w:jc w:val="both"/>
              <w:rPr>
                <w:rFonts w:ascii="Times New Roman" w:hAnsi="Times New Roman"/>
                <w:sz w:val="24"/>
                <w:highlight w:val="white"/>
              </w:rPr>
            </w:pPr>
            <w:r>
              <w:rPr>
                <w:sz w:val="24"/>
                <w:highlight w:val="white"/>
              </w:rPr>
              <w:t>О возможности подключения (технологического присоединения) к сетям электроснабжения объекта капитального строительства присоединяемой мощностью 15 кВт сообщается следующее.</w:t>
            </w:r>
          </w:p>
          <w:p>
            <w:pPr>
              <w:pStyle w:val="Normal"/>
              <w:spacing w:lineRule="auto" w:line="240" w:before="0" w:after="0"/>
              <w:ind w:firstLine="283" w:left="0" w:right="0"/>
              <w:jc w:val="both"/>
              <w:rPr>
                <w:rFonts w:ascii="Times New Roman" w:hAnsi="Times New Roman"/>
                <w:color w:themeColor="text1" w:val="000000"/>
                <w:sz w:val="24"/>
                <w:szCs w:val="24"/>
              </w:rPr>
            </w:pPr>
            <w:r>
              <w:rPr>
                <w:color w:themeColor="text1" w:val="000000"/>
                <w:sz w:val="24"/>
                <w:szCs w:val="24"/>
              </w:rPr>
              <w:t>Порядок технологического присоединения к электрическим сетям регламентирован Правилами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 к электрическим сетям, утвержденными постановлением Правительства РФ от 27.12.2004 № 861 (далее – Правила ТП).</w:t>
            </w:r>
          </w:p>
          <w:p>
            <w:pPr>
              <w:pStyle w:val="Normal"/>
              <w:spacing w:lineRule="auto" w:line="240" w:before="0" w:after="0"/>
              <w:ind w:firstLine="283" w:left="0" w:right="0"/>
              <w:jc w:val="both"/>
              <w:rPr>
                <w:rFonts w:ascii="Times New Roman" w:hAnsi="Times New Roman"/>
                <w:color w:themeColor="text1" w:val="000000"/>
                <w:sz w:val="24"/>
                <w:szCs w:val="24"/>
                <w:highlight w:val="none"/>
              </w:rPr>
            </w:pPr>
            <w:r>
              <w:rPr>
                <w:color w:themeColor="text1" w:val="000000"/>
                <w:sz w:val="24"/>
                <w:szCs w:val="24"/>
              </w:rPr>
              <w:t>В силу пункта 6 Правил ТП технологическое присоединение осуществляется на основании договора заключаемого между сетевой организацией и юридическим или физическим лицом. Перечень мероприятий по технологическому присоединению определяется в технических условиях.</w:t>
            </w:r>
          </w:p>
          <w:p>
            <w:pPr>
              <w:pStyle w:val="Normal"/>
              <w:spacing w:lineRule="auto" w:line="240" w:before="0" w:after="0"/>
              <w:ind w:firstLine="283" w:left="0" w:right="0"/>
              <w:jc w:val="both"/>
              <w:rPr>
                <w:rFonts w:ascii="Times New Roman" w:hAnsi="Times New Roman"/>
                <w:color w:themeColor="text1" w:val="000000"/>
                <w:sz w:val="24"/>
                <w:szCs w:val="24"/>
                <w:highlight w:val="none"/>
              </w:rPr>
            </w:pPr>
            <w:r>
              <w:rPr>
                <w:color w:themeColor="text1" w:val="000000"/>
                <w:sz w:val="24"/>
                <w:szCs w:val="24"/>
              </w:rPr>
              <w:t xml:space="preserve">Согласно пунктам 15, 25, 25.1 Правил ТП технические условия являются неотъемлемым приложением к соответствующему договору технологического присоединения и представляют собой техническое решение присоединения конкретного энергопринимающего устройства к сетям электросетевой организации, которое предусматривают точки присоединения, требования к усилению существующей сети, иные технические требования. Следовательно, технические условия для технологического присоединения предоставляются заявителю сетевой организацией вместе с договором </w:t>
              <w:br/>
              <w:t>о технологическом присоединении.</w:t>
            </w:r>
          </w:p>
          <w:p>
            <w:pPr>
              <w:pStyle w:val="Normal"/>
              <w:spacing w:lineRule="auto" w:line="240" w:before="0" w:after="0"/>
              <w:ind w:firstLine="283" w:left="0" w:right="0"/>
              <w:jc w:val="both"/>
              <w:rPr>
                <w:rFonts w:ascii="Times New Roman" w:hAnsi="Times New Roman"/>
                <w:color w:themeColor="text1" w:val="000000"/>
                <w:sz w:val="24"/>
                <w:szCs w:val="24"/>
              </w:rPr>
            </w:pPr>
            <w:r>
              <w:rPr>
                <w:color w:themeColor="text1" w:val="000000"/>
                <w:sz w:val="24"/>
                <w:szCs w:val="24"/>
              </w:rPr>
              <w:t>При подготовке ГПЗУ необходимо предусмотреть коридоры для строительства кабельных линий и место для размещения трансформаторных подстанций.</w:t>
            </w:r>
          </w:p>
          <w:p>
            <w:pPr>
              <w:pStyle w:val="Normal"/>
              <w:spacing w:lineRule="auto" w:line="240" w:before="0" w:after="0"/>
              <w:ind w:firstLine="283" w:left="0" w:right="0"/>
              <w:jc w:val="both"/>
              <w:rPr>
                <w:rFonts w:ascii="Times New Roman" w:hAnsi="Times New Roman"/>
                <w:color w:themeColor="text1" w:val="000000"/>
                <w:sz w:val="24"/>
                <w:szCs w:val="24"/>
              </w:rPr>
            </w:pPr>
            <w:r>
              <w:rPr>
                <w:color w:themeColor="text1" w:val="000000"/>
                <w:sz w:val="24"/>
                <w:szCs w:val="24"/>
              </w:rPr>
              <w:t xml:space="preserve">Заявку на технологическое присоединение можно подать через единый федеральный портал электросетевых услуг группы компаний «Россети» на сайте: </w:t>
            </w:r>
            <w:hyperlink r:id="rId11" w:tgtFrame="https://">
              <w:r>
                <w:rPr>
                  <w:rStyle w:val="Hyperlink"/>
                  <w:color w:themeColor="text1" w:val="000000"/>
                  <w:sz w:val="24"/>
                  <w:szCs w:val="24"/>
                </w:rPr>
                <w:t>https://</w:t>
              </w:r>
            </w:hyperlink>
            <w:r>
              <w:rPr>
                <w:color w:themeColor="text1" w:val="000000"/>
                <w:sz w:val="24"/>
                <w:szCs w:val="24"/>
              </w:rPr>
              <w:t xml:space="preserve"> портал-тп.рф, через Мобильное приложение ПАО «Россети» или при очном приеме в Центре обслуживания клиентов филиала «Россети» или рот очном приеме в Центре обслуживания клиентов филиала «Россети Урал» - «Пермэнерго» по адресу: </w:t>
              <w:br/>
              <w:t xml:space="preserve">г. Пермь, ул. Камчатовская, д. 26, а также почтовым отправлением по адресу: 614016, г. Пермь, </w:t>
              <w:br/>
              <w:t>ул. Камчатовская, 26. По дополнительным вопросам телефон контакт-центра: 8-800-220-0-220 (круглосуточно и бесплатно).</w:t>
            </w:r>
          </w:p>
          <w:p>
            <w:pPr>
              <w:pStyle w:val="Normal"/>
              <w:tabs>
                <w:tab w:val="clear" w:pos="708"/>
                <w:tab w:val="right" w:pos="6000" w:leader="none"/>
              </w:tabs>
              <w:spacing w:lineRule="auto" w:line="240" w:before="0" w:after="0"/>
              <w:ind w:firstLine="311"/>
              <w:jc w:val="both"/>
              <w:rPr/>
            </w:pPr>
            <w:r>
              <w:rPr>
                <w:sz w:val="24"/>
                <w:szCs w:val="24"/>
                <w:highlight w:val="white"/>
              </w:rPr>
              <w:t xml:space="preserve">(Аналогичная информация отражена в письме </w:t>
            </w:r>
            <w:r>
              <w:rPr>
                <w:b/>
                <w:sz w:val="24"/>
                <w:szCs w:val="24"/>
                <w:highlight w:val="white"/>
              </w:rPr>
              <w:t xml:space="preserve">Филиала ПАО «Россети Урал» - «Пермэнерго» </w:t>
            </w:r>
            <w:r>
              <w:rPr>
                <w:sz w:val="24"/>
                <w:szCs w:val="24"/>
                <w:highlight w:val="white"/>
              </w:rPr>
              <w:t>от 18.12.2025 № ПЭ/ПГЭС/01/22/17018).</w:t>
            </w:r>
          </w:p>
          <w:p>
            <w:pPr>
              <w:pStyle w:val="Normal"/>
              <w:tabs>
                <w:tab w:val="clear" w:pos="708"/>
                <w:tab w:val="right" w:pos="6000" w:leader="none"/>
              </w:tabs>
              <w:spacing w:lineRule="auto" w:line="240" w:before="0" w:after="0"/>
              <w:ind w:firstLine="311"/>
              <w:jc w:val="both"/>
              <w:rPr>
                <w:rFonts w:ascii="Times New Roman" w:hAnsi="Times New Roman"/>
                <w:color w:themeColor="text1" w:val="000000"/>
                <w:sz w:val="24"/>
                <w:szCs w:val="24"/>
                <w:highlight w:val="white"/>
              </w:rPr>
            </w:pPr>
            <w:r>
              <w:rPr>
                <w:color w:themeColor="text1" w:val="000000"/>
                <w:sz w:val="24"/>
                <w:szCs w:val="24"/>
                <w:highlight w:val="white"/>
              </w:rPr>
            </w:r>
          </w:p>
          <w:p>
            <w:pPr>
              <w:pStyle w:val="Normal"/>
              <w:spacing w:lineRule="auto" w:line="240" w:before="0" w:after="0"/>
              <w:ind w:firstLine="311"/>
              <w:jc w:val="both"/>
              <w:rPr>
                <w:rFonts w:ascii="Times New Roman" w:hAnsi="Times New Roman"/>
                <w:sz w:val="24"/>
                <w:szCs w:val="24"/>
                <w:highlight w:val="white"/>
              </w:rPr>
            </w:pPr>
            <w:r>
              <w:rPr>
                <w:sz w:val="24"/>
                <w:szCs w:val="24"/>
                <w:highlight w:val="white"/>
              </w:rPr>
              <w:t>Техническая возможность подключения объекта капитального строительства с предполагаемой максимальной нагрузкой (часовым расходом газа) 8м</w:t>
            </w:r>
            <w:r>
              <w:rPr>
                <w:sz w:val="24"/>
                <w:szCs w:val="24"/>
                <w:highlight w:val="white"/>
                <w:vertAlign w:val="superscript"/>
              </w:rPr>
              <w:t>3</w:t>
            </w:r>
            <w:r>
              <w:rPr>
                <w:sz w:val="24"/>
                <w:szCs w:val="24"/>
                <w:highlight w:val="white"/>
              </w:rPr>
              <w:t>/час к существующим сетям газораспределения имеется.</w:t>
            </w:r>
          </w:p>
          <w:p>
            <w:pPr>
              <w:pStyle w:val="Normal"/>
              <w:spacing w:lineRule="auto" w:line="240" w:before="0" w:after="0"/>
              <w:ind w:firstLine="311"/>
              <w:jc w:val="both"/>
              <w:rPr>
                <w:rFonts w:ascii="Times New Roman" w:hAnsi="Times New Roman"/>
                <w:sz w:val="24"/>
                <w:szCs w:val="24"/>
                <w:highlight w:val="white"/>
                <w14:ligatures w14:val="none"/>
              </w:rPr>
            </w:pPr>
            <w:r>
              <w:rPr>
                <w:sz w:val="24"/>
                <w:szCs w:val="24"/>
                <w:highlight w:val="white"/>
              </w:rPr>
              <w:t xml:space="preserve">Для рассмотрения вопроса о предоставлении технических условий на подключение (технологическое присоединение) необходимо направить заявку с приложением необходимых документов в соответствии с постановлением Правительства Российской Федерации от 13.09.2021 № 1547 «Об утверждении Правил подключения (технологического присоединения) газоиспользующего оборудования и объектов капитального строительства к сетям газораспределения и о признании утратившим силу некоторых актов Правительства Российской Федерации» на электронную почту post@pf.ugaz.ru, либо почтовым отправлением по адресу: г. Пермь, ул. Уральская, 104, через Единый центр предоставления услуг по адресу: </w:t>
              <w:br/>
              <w:t>г. Пермь, ул. Уральская, д. 104, каб. 101.</w:t>
            </w:r>
          </w:p>
          <w:p>
            <w:pPr>
              <w:pStyle w:val="Normal"/>
              <w:spacing w:lineRule="auto" w:line="240" w:before="0" w:after="0"/>
              <w:ind w:firstLine="311"/>
              <w:jc w:val="both"/>
              <w:rPr>
                <w:rFonts w:ascii="Times New Roman" w:hAnsi="Times New Roman"/>
                <w:sz w:val="24"/>
                <w:szCs w:val="24"/>
                <w:highlight w:val="white"/>
                <w14:ligatures w14:val="none"/>
              </w:rPr>
            </w:pPr>
            <w:r>
              <w:rPr>
                <w:sz w:val="24"/>
                <w:szCs w:val="24"/>
                <w:highlight w:val="white"/>
              </w:rPr>
              <w:t xml:space="preserve">Дополнительно сообщается, что в границах земельного участка могут располагаться газораспределительные сети (сети ЭХЗ), находящиеся как в собственности AO «Газпром газораспределение Пермь», так и в собственности третьих лиц. </w:t>
              <w:br/>
              <w:t xml:space="preserve">Для определения месторасположения газораспределительных сетей на интересуемом земельном участке необходимо направить в адрес Филиала в г. Пермь AO «Газпром газораспределение Пермь» инженерно- топографический план </w:t>
              <w:br/>
              <w:t>на бумажном носителе, выполненный в масштабе 1:500, в координатах г. Перми, на котором отображены рельеф местности, объекты ситуации и границы интересующей территории.</w:t>
            </w:r>
          </w:p>
          <w:p>
            <w:pPr>
              <w:pStyle w:val="Normal"/>
              <w:tabs>
                <w:tab w:val="clear" w:pos="708"/>
                <w:tab w:val="right" w:pos="6000" w:leader="none"/>
              </w:tabs>
              <w:spacing w:lineRule="auto" w:line="240" w:before="0" w:after="0"/>
              <w:ind w:firstLine="311"/>
              <w:jc w:val="both"/>
              <w:rPr/>
            </w:pPr>
            <w:r>
              <w:rPr>
                <w:sz w:val="24"/>
                <w:szCs w:val="24"/>
                <w:highlight w:val="white"/>
              </w:rPr>
              <w:t xml:space="preserve">(Аналогичная информация отражена в письме </w:t>
            </w:r>
            <w:r>
              <w:rPr>
                <w:b/>
                <w:sz w:val="24"/>
                <w:szCs w:val="24"/>
                <w:highlight w:val="white"/>
              </w:rPr>
              <w:t>АО «Газпром газораспределение Пермь»</w:t>
            </w:r>
            <w:r>
              <w:rPr>
                <w:sz w:val="24"/>
                <w:szCs w:val="24"/>
                <w:highlight w:val="white"/>
              </w:rPr>
              <w:t xml:space="preserve"> от 18.12.2025 № ПФ-9132).</w:t>
            </w:r>
          </w:p>
          <w:p>
            <w:pPr>
              <w:pStyle w:val="Normal"/>
              <w:tabs>
                <w:tab w:val="clear" w:pos="708"/>
                <w:tab w:val="right" w:pos="6000" w:leader="none"/>
              </w:tabs>
              <w:spacing w:lineRule="auto" w:line="240" w:before="0" w:after="0"/>
              <w:ind w:firstLine="311"/>
              <w:jc w:val="both"/>
              <w:rPr/>
            </w:pPr>
            <w:r>
              <w:rPr/>
            </w:r>
          </w:p>
          <w:p>
            <w:pPr>
              <w:pStyle w:val="Normal"/>
              <w:spacing w:lineRule="auto" w:line="240" w:before="0" w:after="0"/>
              <w:ind w:firstLine="311"/>
              <w:jc w:val="both"/>
              <w:rPr>
                <w:rFonts w:ascii="Times New Roman" w:hAnsi="Times New Roman"/>
                <w:sz w:val="26"/>
                <w:highlight w:val="white"/>
                <w14:ligatures w14:val="none"/>
              </w:rPr>
            </w:pPr>
            <w:r>
              <w:rPr>
                <w:sz w:val="24"/>
                <w:szCs w:val="24"/>
                <w:highlight w:val="white"/>
              </w:rPr>
              <w:t>Ближайшей точкой подключения к сетям водоснабжения, эксплуатируемой ООО «НОВОГОР-Прикамье» является водопровод Д-32 мм по ул. Набережная.</w:t>
            </w:r>
          </w:p>
          <w:p>
            <w:pPr>
              <w:pStyle w:val="Normal"/>
              <w:spacing w:lineRule="auto" w:line="240" w:before="0" w:after="0"/>
              <w:ind w:firstLine="311"/>
              <w:jc w:val="both"/>
              <w:rPr>
                <w:rFonts w:ascii="Times New Roman" w:hAnsi="Times New Roman"/>
                <w:sz w:val="25"/>
                <w:highlight w:val="white"/>
                <w14:ligatures w14:val="none"/>
              </w:rPr>
            </w:pPr>
            <w:r>
              <w:rPr>
                <w:sz w:val="24"/>
                <w:szCs w:val="24"/>
                <w:highlight w:val="white"/>
              </w:rPr>
              <w:t>Ближайшие сети водоотведения, эксплуатируемые ООО «НОВОГОР- Прикамье», располагаются в районе зданий по ул. Водозаборная,З, ориентировочно на расстоянии - 3,4 км от выше указанного земельного участка.</w:t>
            </w:r>
          </w:p>
          <w:p>
            <w:pPr>
              <w:pStyle w:val="Normal"/>
              <w:spacing w:lineRule="auto" w:line="240" w:before="0" w:after="0"/>
              <w:ind w:firstLine="311"/>
              <w:jc w:val="both"/>
              <w:rPr>
                <w:rFonts w:ascii="Times New Roman" w:hAnsi="Times New Roman"/>
                <w:sz w:val="24"/>
                <w:szCs w:val="24"/>
                <w:highlight w:val="white"/>
                <w14:ligatures w14:val="none"/>
              </w:rPr>
            </w:pPr>
            <w:r>
              <w:rPr>
                <w:sz w:val="24"/>
                <w:szCs w:val="24"/>
                <w:highlight w:val="white"/>
              </w:rPr>
              <w:t>Для сведения сообщается, в связи с тем, что ООО «НОВОГОР-Прикамье» эксплуатирует только централизованные системы водоснабжения и водоотведения, по вопросу возможности обеспечения индивидуального жилого дома холодным водоснабжением от скважины и отвода канализационных стоков локально предлагаем вам обратиться в соответствующие организации, регулирующие недропользование.</w:t>
            </w:r>
          </w:p>
          <w:p>
            <w:pPr>
              <w:pStyle w:val="Normal"/>
              <w:spacing w:lineRule="auto" w:line="240" w:before="0" w:after="0"/>
              <w:ind w:firstLine="311"/>
              <w:jc w:val="both"/>
              <w:rPr>
                <w:rFonts w:ascii="Times New Roman" w:hAnsi="Times New Roman"/>
                <w:highlight w:val="white"/>
                <w14:ligatures w14:val="none"/>
              </w:rPr>
            </w:pPr>
            <w:r>
              <w:rPr>
                <w:sz w:val="24"/>
                <w:szCs w:val="24"/>
                <w:highlight w:val="white"/>
              </w:rPr>
              <w:t>ООО «НОВОГОР-Прикамье» не располагает сведениями о наличии сетей 3-x лиц в границах вышеуказанного земельного участка.</w:t>
            </w:r>
          </w:p>
          <w:p>
            <w:pPr>
              <w:pStyle w:val="Normal"/>
              <w:tabs>
                <w:tab w:val="clear" w:pos="708"/>
                <w:tab w:val="right" w:pos="6000" w:leader="none"/>
              </w:tabs>
              <w:spacing w:lineRule="auto" w:line="240" w:before="0" w:after="0"/>
              <w:ind w:firstLine="311"/>
              <w:jc w:val="both"/>
              <w:rPr/>
            </w:pPr>
            <w:r>
              <w:rPr>
                <w:sz w:val="24"/>
                <w:szCs w:val="24"/>
                <w:highlight w:val="white"/>
              </w:rPr>
              <w:t xml:space="preserve">(Аналогичная информация отражена в письме </w:t>
            </w:r>
            <w:r>
              <w:rPr>
                <w:b/>
                <w:sz w:val="24"/>
                <w:szCs w:val="24"/>
                <w:highlight w:val="white"/>
              </w:rPr>
              <w:t>ООО «НОВО</w:t>
            </w:r>
            <w:bookmarkStart w:id="0" w:name="undefined_Копия_1"/>
            <w:bookmarkEnd w:id="0"/>
            <w:r>
              <w:rPr>
                <w:b/>
                <w:sz w:val="24"/>
                <w:szCs w:val="24"/>
                <w:highlight w:val="white"/>
              </w:rPr>
              <w:t xml:space="preserve">ГОР-Прикамье» </w:t>
            </w:r>
            <w:r>
              <w:rPr>
                <w:sz w:val="24"/>
                <w:szCs w:val="24"/>
                <w:highlight w:val="white"/>
              </w:rPr>
              <w:t>от 10.12.2025 № 110-19292).</w:t>
            </w:r>
          </w:p>
          <w:p>
            <w:pPr>
              <w:pStyle w:val="Normal"/>
              <w:tabs>
                <w:tab w:val="clear" w:pos="708"/>
                <w:tab w:val="right" w:pos="6000" w:leader="none"/>
              </w:tabs>
              <w:spacing w:lineRule="auto" w:line="240" w:before="0" w:after="0"/>
              <w:ind w:firstLine="311"/>
              <w:jc w:val="both"/>
              <w:rPr>
                <w:rFonts w:ascii="Times New Roman" w:hAnsi="Times New Roman"/>
                <w:sz w:val="24"/>
                <w:szCs w:val="24"/>
                <w:highlight w:val="white"/>
              </w:rPr>
            </w:pPr>
            <w:r>
              <w:rPr>
                <w:sz w:val="24"/>
                <w:szCs w:val="24"/>
                <w:highlight w:val="white"/>
              </w:rPr>
            </w:r>
          </w:p>
          <w:p>
            <w:pPr>
              <w:pStyle w:val="Normal"/>
              <w:spacing w:lineRule="auto" w:line="240" w:before="0" w:after="0"/>
              <w:ind w:firstLine="311"/>
              <w:jc w:val="both"/>
              <w:rPr>
                <w:rFonts w:ascii="Times New Roman" w:hAnsi="Times New Roman"/>
                <w:sz w:val="24"/>
                <w:szCs w:val="24"/>
                <w:highlight w:val="white"/>
              </w:rPr>
            </w:pPr>
            <w:r>
              <w:rPr>
                <w:sz w:val="24"/>
                <w:szCs w:val="24"/>
                <w:highlight w:val="white"/>
              </w:rPr>
              <w:t>Участок расположен вне зоны теплоснабжения ПАО «Т Плюс».</w:t>
            </w:r>
          </w:p>
          <w:p>
            <w:pPr>
              <w:pStyle w:val="Normal"/>
              <w:tabs>
                <w:tab w:val="clear" w:pos="708"/>
                <w:tab w:val="right" w:pos="6000" w:leader="none"/>
              </w:tabs>
              <w:spacing w:lineRule="auto" w:line="240" w:before="0" w:after="0"/>
              <w:ind w:firstLine="311"/>
              <w:jc w:val="both"/>
              <w:rPr/>
            </w:pPr>
            <w:r>
              <w:rPr>
                <w:sz w:val="24"/>
                <w:szCs w:val="24"/>
                <w:highlight w:val="white"/>
              </w:rPr>
              <w:t xml:space="preserve">(Аналогичная информация отражена в письме </w:t>
            </w:r>
            <w:r>
              <w:rPr>
                <w:b/>
                <w:sz w:val="24"/>
                <w:szCs w:val="24"/>
                <w:highlight w:val="white"/>
              </w:rPr>
              <w:t>Филиала «Пермский ПАО «Т Плюс»</w:t>
            </w:r>
            <w:r>
              <w:rPr>
                <w:sz w:val="24"/>
                <w:szCs w:val="24"/>
                <w:highlight w:val="white"/>
              </w:rPr>
              <w:t xml:space="preserve"> от 08.12.2025 № 51000-32-04539).</w:t>
            </w:r>
          </w:p>
          <w:p>
            <w:pPr>
              <w:pStyle w:val="Normal"/>
              <w:tabs>
                <w:tab w:val="clear" w:pos="708"/>
                <w:tab w:val="right" w:pos="6000" w:leader="none"/>
              </w:tabs>
              <w:spacing w:lineRule="auto" w:line="240" w:before="0" w:after="0"/>
              <w:ind w:firstLine="311"/>
              <w:jc w:val="both"/>
              <w:rPr>
                <w:rFonts w:ascii="Times New Roman" w:hAnsi="Times New Roman"/>
                <w:sz w:val="24"/>
                <w:szCs w:val="24"/>
                <w:highlight w:val="white"/>
              </w:rPr>
            </w:pPr>
            <w:r>
              <w:rPr>
                <w:sz w:val="24"/>
                <w:szCs w:val="24"/>
                <w:highlight w:val="white"/>
              </w:rPr>
            </w:r>
          </w:p>
          <w:p>
            <w:pPr>
              <w:pStyle w:val="Normal"/>
              <w:spacing w:lineRule="auto" w:line="240" w:before="0" w:after="0"/>
              <w:ind w:firstLine="311"/>
              <w:jc w:val="both"/>
              <w:rPr>
                <w:rFonts w:ascii="Times New Roman" w:hAnsi="Times New Roman"/>
                <w:sz w:val="24"/>
                <w:szCs w:val="24"/>
                <w:highlight w:val="white"/>
              </w:rPr>
            </w:pPr>
            <w:r>
              <w:rPr>
                <w:sz w:val="24"/>
                <w:szCs w:val="24"/>
                <w:highlight w:val="white"/>
              </w:rPr>
              <w:t>Техническая возможность подключения к сетям теплоснабжения отсутствует.</w:t>
            </w:r>
          </w:p>
          <w:p>
            <w:pPr>
              <w:pStyle w:val="Normal"/>
              <w:spacing w:lineRule="auto" w:line="240" w:before="0" w:after="0"/>
              <w:ind w:firstLine="311"/>
              <w:jc w:val="both"/>
              <w:rPr>
                <w:rFonts w:ascii="Times New Roman" w:hAnsi="Times New Roman"/>
                <w:sz w:val="24"/>
                <w:szCs w:val="24"/>
                <w:highlight w:val="none"/>
              </w:rPr>
            </w:pPr>
            <w:r>
              <w:rPr>
                <w:sz w:val="24"/>
                <w:szCs w:val="24"/>
                <w:highlight w:val="white"/>
              </w:rPr>
              <w:t>В качестве альтернативного энергоресурса рекомендовано рассмотреть газ и обратиться в Пермский филиал АО «Газпром газораспределение Пермь», либо рассмотреть иные альтернативные энергоресурсы (электричество, дрова, пеллеты).</w:t>
            </w:r>
          </w:p>
          <w:p>
            <w:pPr>
              <w:pStyle w:val="Normal"/>
              <w:tabs>
                <w:tab w:val="clear" w:pos="708"/>
                <w:tab w:val="right" w:pos="6000" w:leader="none"/>
              </w:tabs>
              <w:spacing w:lineRule="auto" w:line="240" w:before="0" w:after="0"/>
              <w:ind w:firstLine="311"/>
              <w:jc w:val="both"/>
              <w:rPr/>
            </w:pPr>
            <w:r>
              <w:rPr>
                <w:sz w:val="24"/>
                <w:szCs w:val="24"/>
                <w:highlight w:val="white"/>
              </w:rPr>
              <w:t xml:space="preserve">(Аналогичная информация отражена в письмах </w:t>
            </w:r>
            <w:r>
              <w:rPr>
                <w:b/>
                <w:sz w:val="24"/>
                <w:szCs w:val="24"/>
                <w:highlight w:val="white"/>
              </w:rPr>
              <w:t>департамента жилищно-коммунального хозяйства администрации города Перми</w:t>
            </w:r>
            <w:r>
              <w:rPr>
                <w:sz w:val="24"/>
                <w:szCs w:val="24"/>
                <w:highlight w:val="white"/>
              </w:rPr>
              <w:t xml:space="preserve"> от 12.12.2025 № 059-04-25/3-245-ри, </w:t>
            </w:r>
            <w:r>
              <w:rPr>
                <w:b/>
                <w:bCs/>
                <w:sz w:val="24"/>
                <w:szCs w:val="24"/>
                <w:highlight w:val="white"/>
              </w:rPr>
              <w:t>администрация Орджоникидзевского района города Перми</w:t>
            </w:r>
            <w:r>
              <w:rPr>
                <w:sz w:val="24"/>
                <w:szCs w:val="24"/>
                <w:highlight w:val="white"/>
              </w:rPr>
              <w:t xml:space="preserve"> от 15.12.2025 № 059-37-01-32/3-526).</w:t>
            </w:r>
          </w:p>
          <w:p>
            <w:pPr>
              <w:pStyle w:val="Normal"/>
              <w:tabs>
                <w:tab w:val="clear" w:pos="708"/>
                <w:tab w:val="right" w:pos="6000" w:leader="none"/>
              </w:tabs>
              <w:spacing w:lineRule="auto" w:line="240" w:before="0" w:after="0"/>
              <w:ind w:firstLine="311"/>
              <w:jc w:val="both"/>
              <w:rPr>
                <w:rFonts w:ascii="Times New Roman" w:hAnsi="Times New Roman"/>
                <w:sz w:val="24"/>
                <w:szCs w:val="24"/>
                <w:highlight w:val="white"/>
              </w:rPr>
            </w:pPr>
            <w:r>
              <w:rPr>
                <w:sz w:val="24"/>
                <w:szCs w:val="24"/>
                <w:highlight w:val="white"/>
              </w:rPr>
            </w:r>
          </w:p>
          <w:p>
            <w:pPr>
              <w:pStyle w:val="Normal"/>
              <w:spacing w:lineRule="auto" w:line="240" w:before="0" w:after="0"/>
              <w:ind w:firstLine="311"/>
              <w:jc w:val="both"/>
              <w:rPr/>
            </w:pPr>
            <w:r>
              <w:rPr>
                <w:color w:val="000000"/>
                <w:sz w:val="24"/>
                <w:szCs w:val="24"/>
                <w:highlight w:val="white"/>
              </w:rPr>
              <w:t>Техническое присоединение планируемых к строительству объектов в границах Участка может быть произведено узлу ВОЛС (г. Пермь, Орджоникидзевский р-н,</w:t>
            </w:r>
            <w:r>
              <w:rPr>
                <w:color w:val="000000"/>
                <w:sz w:val="24"/>
                <w:szCs w:val="24"/>
              </w:rPr>
              <w:t xml:space="preserve"> </w:t>
            </w:r>
            <w:r>
              <w:rPr>
                <w:color w:val="000000"/>
                <w:sz w:val="24"/>
                <w:szCs w:val="24"/>
                <w:highlight w:val="white"/>
              </w:rPr>
              <w:t>ул. Бенгальская, д.14). Максимальную нагрузку в точке подключения</w:t>
            </w:r>
            <w:r>
              <w:rPr>
                <w:color w:val="000000"/>
                <w:sz w:val="24"/>
                <w:szCs w:val="24"/>
              </w:rPr>
              <w:t xml:space="preserve"> </w:t>
            </w:r>
            <w:r>
              <w:rPr>
                <w:color w:val="000000"/>
                <w:sz w:val="24"/>
                <w:szCs w:val="24"/>
                <w:highlight w:val="white"/>
              </w:rPr>
              <w:t xml:space="preserve">(технологического присоединения) определить </w:t>
              <w:br/>
              <w:t>на стадии проектирования. В границах</w:t>
            </w:r>
            <w:r>
              <w:rPr>
                <w:color w:val="000000"/>
                <w:sz w:val="24"/>
                <w:szCs w:val="24"/>
              </w:rPr>
              <w:t xml:space="preserve"> </w:t>
            </w:r>
            <w:r>
              <w:rPr>
                <w:color w:val="000000"/>
                <w:sz w:val="24"/>
                <w:szCs w:val="24"/>
                <w:highlight w:val="white"/>
              </w:rPr>
              <w:t>запрашиваемого земельного участка сети ПАО «Ростелеком» отсутствуют.</w:t>
            </w:r>
          </w:p>
          <w:p>
            <w:pPr>
              <w:pStyle w:val="Normal"/>
              <w:spacing w:lineRule="auto" w:line="240" w:before="0" w:after="0"/>
              <w:ind w:firstLine="311"/>
              <w:jc w:val="both"/>
              <w:rPr>
                <w:highlight w:val="white"/>
              </w:rPr>
            </w:pPr>
            <w:r>
              <w:rPr>
                <w:color w:val="000000"/>
                <w:sz w:val="24"/>
                <w:szCs w:val="24"/>
                <w:highlight w:val="white"/>
              </w:rPr>
              <w:t xml:space="preserve">В случае, если в течение 1 года (при комплексном развитии территории – 3 лет) со дня выдачи технических условий заявителем не будет подана заявка о подключении, срок действия технических условий прекращается («Правила подключения (технологического присоединения) объектов капитального строительства к сетям электросвязи», утвержденные постановлением Правительства РФ </w:t>
              <w:br/>
              <w:t>от 01.07.2022 № 1196).</w:t>
            </w:r>
          </w:p>
          <w:p>
            <w:pPr>
              <w:pStyle w:val="Normal"/>
              <w:spacing w:lineRule="auto" w:line="240" w:before="0" w:after="0"/>
              <w:ind w:firstLine="311"/>
              <w:jc w:val="both"/>
              <w:rPr>
                <w:highlight w:val="white"/>
              </w:rPr>
            </w:pPr>
            <w:r>
              <w:rPr>
                <w:color w:val="000000"/>
                <w:sz w:val="24"/>
                <w:szCs w:val="24"/>
                <w:highlight w:val="white"/>
              </w:rPr>
              <w:t xml:space="preserve">Для получения ТУ на подключение к сетям связи ПАО «Ростелеком» необходимо обратиться в Отдел продаж и обслуживания по адресу: г. Пермь, ул. Крупской, 2, тел.: +7 (342) 235-57-34 или направить запрос на </w:t>
            </w:r>
            <w:hyperlink r:id="rId12">
              <w:r>
                <w:rPr>
                  <w:rStyle w:val="Hyperlink"/>
                  <w:color w:val="000000"/>
                  <w:sz w:val="24"/>
                  <w:szCs w:val="24"/>
                  <w:highlight w:val="white"/>
                </w:rPr>
                <w:t>perm-mail@ural.rt.ru</w:t>
              </w:r>
            </w:hyperlink>
            <w:r>
              <w:rPr>
                <w:color w:val="000000"/>
                <w:sz w:val="24"/>
                <w:szCs w:val="24"/>
                <w:highlight w:val="white"/>
              </w:rPr>
              <w:t>.</w:t>
            </w:r>
          </w:p>
          <w:p>
            <w:pPr>
              <w:pStyle w:val="Normal"/>
              <w:tabs>
                <w:tab w:val="clear" w:pos="708"/>
                <w:tab w:val="right" w:pos="6000" w:leader="none"/>
              </w:tabs>
              <w:spacing w:lineRule="auto" w:line="240" w:before="0" w:after="0"/>
              <w:ind w:firstLine="311"/>
              <w:jc w:val="both"/>
              <w:rPr/>
            </w:pPr>
            <w:r>
              <w:rPr>
                <w:sz w:val="24"/>
                <w:szCs w:val="24"/>
                <w:highlight w:val="white"/>
              </w:rPr>
              <w:t xml:space="preserve">(Аналогичная информация отражена в письме </w:t>
            </w:r>
            <w:r>
              <w:rPr>
                <w:b/>
                <w:color w:val="000000"/>
                <w:sz w:val="24"/>
                <w:szCs w:val="24"/>
                <w:highlight w:val="white"/>
              </w:rPr>
              <w:t>ПАО «Ростелеком»</w:t>
            </w:r>
            <w:r>
              <w:rPr>
                <w:color w:val="000000"/>
                <w:sz w:val="24"/>
                <w:szCs w:val="24"/>
                <w:highlight w:val="white"/>
              </w:rPr>
              <w:t xml:space="preserve"> от 09.12.2025 № 01/05/185428/25</w:t>
            </w:r>
            <w:r>
              <w:rPr>
                <w:sz w:val="24"/>
                <w:szCs w:val="24"/>
                <w:highlight w:val="white"/>
              </w:rPr>
              <w:t>).</w:t>
            </w:r>
          </w:p>
          <w:p>
            <w:pPr>
              <w:pStyle w:val="Normal"/>
              <w:tabs>
                <w:tab w:val="clear" w:pos="708"/>
                <w:tab w:val="right" w:pos="6000" w:leader="none"/>
              </w:tabs>
              <w:spacing w:lineRule="auto" w:line="240" w:before="0" w:after="0"/>
              <w:ind w:firstLine="311"/>
              <w:jc w:val="both"/>
              <w:rPr>
                <w:rFonts w:ascii="Times New Roman" w:hAnsi="Times New Roman"/>
                <w:color w:val="000000"/>
                <w:sz w:val="24"/>
                <w:szCs w:val="24"/>
                <w:highlight w:val="white"/>
              </w:rPr>
            </w:pPr>
            <w:r>
              <w:rPr>
                <w:color w:val="000000"/>
                <w:sz w:val="24"/>
                <w:szCs w:val="24"/>
                <w:highlight w:val="white"/>
              </w:rPr>
            </w:r>
          </w:p>
          <w:p>
            <w:pPr>
              <w:pStyle w:val="Normal"/>
              <w:spacing w:lineRule="auto" w:line="240" w:before="0" w:after="0"/>
              <w:ind w:firstLine="311"/>
              <w:jc w:val="both"/>
              <w:rPr>
                <w:rFonts w:ascii="Times New Roman" w:hAnsi="Times New Roman"/>
                <w:sz w:val="24"/>
                <w:szCs w:val="24"/>
                <w:highlight w:val="white"/>
              </w:rPr>
            </w:pPr>
            <w:r>
              <w:rPr>
                <w:color w:val="auto"/>
                <w:sz w:val="24"/>
                <w:szCs w:val="24"/>
                <w:highlight w:val="white"/>
              </w:rPr>
              <w:t>На территории, где расположен Участок, схемами водоснабжения и водоотведения города Перми, утвержденными постановлением администрации города Перми от 28.12.2018 № 1085, на период до 2028 года не предусмотрено строительство сетей водоснабжения в мкр. Голованово.</w:t>
            </w:r>
          </w:p>
          <w:p>
            <w:pPr>
              <w:pStyle w:val="Normal"/>
              <w:tabs>
                <w:tab w:val="clear" w:pos="708"/>
                <w:tab w:val="right" w:pos="6000" w:leader="none"/>
              </w:tabs>
              <w:spacing w:lineRule="auto" w:line="240" w:before="0" w:after="0"/>
              <w:ind w:firstLine="311"/>
              <w:jc w:val="both"/>
              <w:rPr/>
            </w:pPr>
            <w:r>
              <w:rPr>
                <w:sz w:val="24"/>
                <w:szCs w:val="24"/>
                <w:highlight w:val="white"/>
              </w:rPr>
              <w:t xml:space="preserve">(Аналогичная информация отражена в письме </w:t>
            </w:r>
            <w:r>
              <w:rPr>
                <w:color w:val="auto"/>
                <w:sz w:val="24"/>
                <w:szCs w:val="24"/>
                <w:highlight w:val="white"/>
              </w:rPr>
              <w:t xml:space="preserve"> </w:t>
            </w:r>
            <w:r>
              <w:rPr>
                <w:b/>
                <w:bCs/>
                <w:color w:val="auto"/>
                <w:sz w:val="24"/>
                <w:szCs w:val="24"/>
                <w:highlight w:val="white"/>
              </w:rPr>
              <w:t>д</w:t>
            </w:r>
            <w:r>
              <w:rPr>
                <w:b/>
                <w:color w:val="auto"/>
                <w:sz w:val="24"/>
                <w:szCs w:val="24"/>
                <w:highlight w:val="white"/>
              </w:rPr>
              <w:t>епартамента жилищно-коммунального хозяйства администрации города Перми</w:t>
            </w:r>
            <w:r>
              <w:rPr>
                <w:color w:val="auto"/>
                <w:sz w:val="24"/>
                <w:szCs w:val="24"/>
                <w:highlight w:val="white"/>
              </w:rPr>
              <w:t xml:space="preserve"> от 12.12.2025 № 059-04-17/3-1157-ри</w:t>
            </w:r>
            <w:r>
              <w:rPr>
                <w:sz w:val="24"/>
                <w:szCs w:val="24"/>
                <w:highlight w:val="white"/>
              </w:rPr>
              <w:t>).</w:t>
            </w:r>
          </w:p>
          <w:p>
            <w:pPr>
              <w:pStyle w:val="Normal"/>
              <w:tabs>
                <w:tab w:val="clear" w:pos="708"/>
                <w:tab w:val="right" w:pos="6000" w:leader="none"/>
              </w:tabs>
              <w:spacing w:lineRule="auto" w:line="240" w:before="0" w:after="0"/>
              <w:ind w:firstLine="311"/>
              <w:jc w:val="both"/>
              <w:rPr>
                <w:rFonts w:ascii="Times New Roman" w:hAnsi="Times New Roman"/>
                <w:sz w:val="24"/>
                <w:szCs w:val="24"/>
                <w:highlight w:val="white"/>
              </w:rPr>
            </w:pPr>
            <w:r>
              <w:rPr>
                <w:sz w:val="24"/>
                <w:szCs w:val="24"/>
                <w:highlight w:val="white"/>
              </w:rPr>
            </w:r>
          </w:p>
        </w:tc>
      </w:tr>
      <w:tr>
        <w:trPr>
          <w:trHeight w:val="225" w:hRule="atLeast"/>
        </w:trPr>
        <w:tc>
          <w:tcPr>
            <w:tcW w:w="567"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3</w:t>
            </w:r>
          </w:p>
        </w:tc>
        <w:tc>
          <w:tcPr>
            <w:tcW w:w="3054" w:type="dxa"/>
            <w:tcBorders>
              <w:top w:val="single" w:sz="4" w:space="0" w:color="000000"/>
              <w:left w:val="single" w:sz="4" w:space="0" w:color="000000"/>
              <w:bottom w:val="single" w:sz="4" w:space="0" w:color="000000"/>
              <w:right w:val="single" w:sz="4" w:space="0" w:color="000000"/>
            </w:tcBorders>
          </w:tcPr>
          <w:p>
            <w:pPr>
              <w:pStyle w:val="Normal"/>
              <w:ind w:right="0"/>
              <w:rPr>
                <w:sz w:val="24"/>
                <w:szCs w:val="24"/>
              </w:rPr>
            </w:pPr>
            <w:r>
              <w:rPr>
                <w:sz w:val="24"/>
                <w:szCs w:val="24"/>
              </w:rPr>
              <w:t>Начальная цена предмета аукциона</w:t>
            </w:r>
          </w:p>
          <w:p>
            <w:pPr>
              <w:pStyle w:val="Normal"/>
              <w:ind w:right="0"/>
              <w:rPr>
                <w:sz w:val="24"/>
                <w:szCs w:val="24"/>
              </w:rPr>
            </w:pPr>
            <w:r>
              <w:rPr>
                <w:b/>
                <w:sz w:val="24"/>
                <w:szCs w:val="24"/>
              </w:rPr>
              <w:t>(размер ежегодной арендной платы)</w:t>
            </w:r>
          </w:p>
          <w:p>
            <w:pPr>
              <w:pStyle w:val="Normal"/>
              <w:ind w:right="0"/>
              <w:rPr>
                <w:sz w:val="24"/>
                <w:szCs w:val="24"/>
              </w:rPr>
            </w:pPr>
            <w:r>
              <w:rPr>
                <w:sz w:val="24"/>
                <w:szCs w:val="24"/>
              </w:rPr>
            </w:r>
          </w:p>
          <w:p>
            <w:pPr>
              <w:pStyle w:val="Normal"/>
              <w:ind w:right="0"/>
              <w:rPr/>
            </w:pPr>
            <w:r>
              <w:rPr>
                <w:b w:val="false"/>
                <w:bCs w:val="false"/>
                <w:sz w:val="24"/>
                <w:szCs w:val="24"/>
                <w:shd w:fill="auto" w:val="clear"/>
              </w:rPr>
              <w:t>По условиям пункта 4.3 проекта договора аренды земельного участка, приобретаемого на торгах в форме аукциона, для строительства (Приложение 1</w:t>
              <w:br/>
              <w:t xml:space="preserve">к настоящему извещению), победитель аукциона, иное лицо, с которым договор заключается </w:t>
              <w:br/>
              <w:t xml:space="preserve">в соответствии с п.13, п.14, п. 20 или п. 25  ст. 39.12 Земельного Кодекса Российской Федерации (далее – ЗК РФ), обязан </w:t>
              <w:br/>
              <w:t xml:space="preserve">до подписания договора уплатить ежегодный размер арендной платы, указанный в п. 4.2 договора (за вычетом задатка, внесенного для участия в аукционе) </w:t>
              <w:br/>
            </w:r>
            <w:r>
              <w:rPr>
                <w:b/>
                <w:bCs/>
                <w:sz w:val="24"/>
                <w:szCs w:val="24"/>
                <w:shd w:fill="auto" w:val="clear"/>
              </w:rPr>
              <w:t xml:space="preserve">за 1 год </w:t>
            </w:r>
            <w:r>
              <w:rPr>
                <w:b w:val="false"/>
                <w:bCs w:val="false"/>
                <w:sz w:val="24"/>
                <w:szCs w:val="24"/>
                <w:shd w:fill="auto" w:val="clear"/>
              </w:rPr>
              <w:t xml:space="preserve">на счет департамента земельных отношений администрации города Перми, 614000, </w:t>
              <w:br/>
              <w:t xml:space="preserve">ул. Сибирская,15, </w:t>
              <w:br/>
              <w:t xml:space="preserve">тел. 212-61-90 (отдел договоров), реквизиты которого указаны </w:t>
              <w:br/>
              <w:t>в проекте договора аренды земельного участка (Приложение 1</w:t>
              <w:br/>
              <w:t>к настоящему извещению)</w:t>
            </w:r>
          </w:p>
        </w:tc>
        <w:tc>
          <w:tcPr>
            <w:tcW w:w="6864"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rFonts w:eastAsia="Times New Roman" w:cs="Times New Roman"/>
                <w:color w:val="000000"/>
                <w:kern w:val="0"/>
                <w:sz w:val="24"/>
                <w:szCs w:val="24"/>
                <w:shd w:fill="auto" w:val="clear"/>
                <w:lang w:val="ru-RU" w:eastAsia="ru-RU" w:bidi="ar-SA"/>
              </w:rPr>
              <w:t xml:space="preserve">527 900 </w:t>
            </w:r>
            <w:r>
              <w:rPr>
                <w:sz w:val="24"/>
                <w:szCs w:val="24"/>
              </w:rPr>
              <w:t>руб.</w:t>
            </w:r>
          </w:p>
        </w:tc>
      </w:tr>
      <w:tr>
        <w:trPr>
          <w:trHeight w:val="225" w:hRule="atLeast"/>
        </w:trPr>
        <w:tc>
          <w:tcPr>
            <w:tcW w:w="567"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4</w:t>
            </w:r>
          </w:p>
        </w:tc>
        <w:tc>
          <w:tcPr>
            <w:tcW w:w="3054" w:type="dxa"/>
            <w:tcBorders>
              <w:top w:val="single" w:sz="4" w:space="0" w:color="000000"/>
              <w:left w:val="single" w:sz="4" w:space="0" w:color="000000"/>
              <w:bottom w:val="single" w:sz="4" w:space="0" w:color="000000"/>
              <w:right w:val="single" w:sz="4" w:space="0" w:color="000000"/>
            </w:tcBorders>
          </w:tcPr>
          <w:p>
            <w:pPr>
              <w:pStyle w:val="Normal"/>
              <w:ind w:right="23"/>
              <w:rPr>
                <w:sz w:val="24"/>
                <w:szCs w:val="24"/>
              </w:rPr>
            </w:pPr>
            <w:r>
              <w:rPr>
                <w:sz w:val="24"/>
                <w:szCs w:val="24"/>
              </w:rPr>
              <w:t xml:space="preserve">«Шаг аукциона» (5% от начальной цены </w:t>
            </w:r>
            <w:r>
              <w:rPr>
                <w:sz w:val="24"/>
                <w:szCs w:val="24"/>
                <w:shd w:fill="auto" w:val="clear"/>
              </w:rPr>
              <w:t>предмета аукциона)</w:t>
            </w:r>
          </w:p>
        </w:tc>
        <w:tc>
          <w:tcPr>
            <w:tcW w:w="6864"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rFonts w:eastAsia="Times New Roman" w:cs="Times New Roman"/>
                <w:color w:val="000000"/>
                <w:kern w:val="0"/>
                <w:sz w:val="24"/>
                <w:szCs w:val="24"/>
                <w:shd w:fill="auto" w:val="clear"/>
                <w:lang w:val="ru-RU" w:eastAsia="ru-RU" w:bidi="ar-SA"/>
              </w:rPr>
              <w:t>26 395</w:t>
            </w:r>
            <w:r>
              <w:rPr>
                <w:sz w:val="24"/>
                <w:szCs w:val="24"/>
              </w:rPr>
              <w:t xml:space="preserve"> руб.</w:t>
            </w:r>
          </w:p>
        </w:tc>
      </w:tr>
      <w:tr>
        <w:trPr>
          <w:trHeight w:val="416" w:hRule="atLeast"/>
        </w:trPr>
        <w:tc>
          <w:tcPr>
            <w:tcW w:w="567"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5</w:t>
            </w:r>
          </w:p>
        </w:tc>
        <w:tc>
          <w:tcPr>
            <w:tcW w:w="3054"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ind w:hanging="0" w:left="113" w:right="113"/>
              <w:jc w:val="left"/>
              <w:rPr>
                <w:sz w:val="24"/>
                <w:szCs w:val="24"/>
              </w:rPr>
            </w:pPr>
            <w:r>
              <w:rPr>
                <w:sz w:val="24"/>
                <w:szCs w:val="24"/>
              </w:rPr>
              <w:t>Форма заявки на участие в аукционе</w:t>
            </w:r>
          </w:p>
          <w:p>
            <w:pPr>
              <w:pStyle w:val="Normal"/>
              <w:ind w:right="-263"/>
              <w:rPr>
                <w:sz w:val="24"/>
                <w:szCs w:val="24"/>
              </w:rPr>
            </w:pPr>
            <w:r>
              <w:rPr>
                <w:sz w:val="24"/>
                <w:szCs w:val="24"/>
              </w:rPr>
            </w:r>
          </w:p>
        </w:tc>
        <w:tc>
          <w:tcPr>
            <w:tcW w:w="6864" w:type="dxa"/>
            <w:tcBorders>
              <w:top w:val="single" w:sz="4" w:space="0" w:color="000000"/>
              <w:left w:val="single" w:sz="4" w:space="0" w:color="000000"/>
              <w:bottom w:val="single" w:sz="4" w:space="0" w:color="000000"/>
              <w:right w:val="single" w:sz="4" w:space="0" w:color="000000"/>
            </w:tcBorders>
          </w:tcPr>
          <w:p>
            <w:pPr>
              <w:pStyle w:val="Normal"/>
              <w:jc w:val="both"/>
              <w:rPr>
                <w:rFonts w:ascii="Times New Roman" w:hAnsi="Times New Roman" w:eastAsia="Droid Sans Fallback" w:cs="Lohit Devanagari"/>
                <w:color w:val="auto"/>
                <w:sz w:val="24"/>
                <w:szCs w:val="24"/>
                <w:lang w:val="ru-RU" w:eastAsia="zh-CN" w:bidi="ar-SA"/>
              </w:rPr>
            </w:pPr>
            <w:r>
              <w:rPr>
                <w:rFonts w:eastAsia="Droid Sans Fallback" w:cs="Lohit Devanagari"/>
                <w:color w:val="auto"/>
                <w:sz w:val="24"/>
                <w:szCs w:val="24"/>
                <w:lang w:val="ru-RU" w:eastAsia="zh-CN" w:bidi="ar-SA"/>
              </w:rPr>
              <w:t xml:space="preserve">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 указанных в подпунктах 2-4 пункта 1, пункте 1.1 статьи 39.12 Земельного кодекса Российской Федерации (копии документов, удостоверяющих личность заявителя (для граждан); надлежащим образом заверенный перевод на русский язык документов </w:t>
              <w:br/>
              <w:t xml:space="preserve">о государственной регистрации юридического лица </w:t>
              <w:br/>
              <w:t xml:space="preserve">в соответствии с законодательством иностранного государства </w:t>
              <w:br/>
              <w:t>в случае, если заявителем является иностранное юридическое лицо; документы, подтверждающие внесение задатка). Заявка на участие в электронном аукционе, а также прилагаемые к ней документы подписываются усиленной квалифицированной электронной подписью заявителя.</w:t>
            </w:r>
          </w:p>
          <w:p>
            <w:pPr>
              <w:pStyle w:val="Normal"/>
              <w:jc w:val="both"/>
              <w:rPr>
                <w:sz w:val="24"/>
                <w:szCs w:val="24"/>
              </w:rPr>
            </w:pPr>
            <w:r>
              <w:rPr>
                <w:sz w:val="24"/>
                <w:szCs w:val="24"/>
              </w:rPr>
            </w:r>
          </w:p>
          <w:p>
            <w:pPr>
              <w:pStyle w:val="Normal"/>
              <w:jc w:val="both"/>
              <w:rPr>
                <w:sz w:val="24"/>
                <w:szCs w:val="24"/>
              </w:rPr>
            </w:pPr>
            <w:r>
              <w:rPr>
                <w:sz w:val="24"/>
                <w:szCs w:val="24"/>
              </w:rPr>
              <w:t>На каждый лот представляется отдельный пакет документов.</w:t>
            </w:r>
          </w:p>
          <w:p>
            <w:pPr>
              <w:pStyle w:val="Normal"/>
              <w:jc w:val="both"/>
              <w:rPr>
                <w:sz w:val="24"/>
                <w:szCs w:val="24"/>
              </w:rPr>
            </w:pPr>
            <w:r>
              <w:rPr>
                <w:sz w:val="24"/>
                <w:szCs w:val="24"/>
              </w:rPr>
            </w:r>
          </w:p>
          <w:p>
            <w:pPr>
              <w:pStyle w:val="Normal"/>
              <w:jc w:val="both"/>
              <w:rPr>
                <w:b/>
                <w:sz w:val="24"/>
                <w:szCs w:val="24"/>
              </w:rPr>
            </w:pPr>
            <w:r>
              <w:rPr>
                <w:b/>
                <w:bCs/>
                <w:color w:val="000000"/>
                <w:sz w:val="24"/>
                <w:szCs w:val="24"/>
                <w:shd w:fill="auto" w:val="clear"/>
              </w:rPr>
              <w:t>Решение о проведении аукциона принято в соответствии со статьей 39.18 Земельного кодекса Российской Федерации, участниками аукциона могут являться только граждане.</w:t>
            </w:r>
          </w:p>
          <w:p>
            <w:pPr>
              <w:pStyle w:val="BodyText"/>
              <w:jc w:val="both"/>
              <w:rPr>
                <w:highlight w:val="none"/>
                <w:shd w:fill="auto" w:val="clear"/>
              </w:rPr>
            </w:pPr>
            <w:r>
              <w:rPr>
                <w:shd w:fill="auto" w:val="clear"/>
              </w:rPr>
            </w:r>
          </w:p>
        </w:tc>
      </w:tr>
      <w:tr>
        <w:trPr>
          <w:trHeight w:val="236" w:hRule="atLeast"/>
        </w:trPr>
        <w:tc>
          <w:tcPr>
            <w:tcW w:w="567"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6</w:t>
            </w:r>
          </w:p>
        </w:tc>
        <w:tc>
          <w:tcPr>
            <w:tcW w:w="3054" w:type="dxa"/>
            <w:tcBorders>
              <w:top w:val="single" w:sz="4" w:space="0" w:color="000000"/>
              <w:left w:val="single" w:sz="4" w:space="0" w:color="000000"/>
              <w:bottom w:val="single" w:sz="4" w:space="0" w:color="000000"/>
              <w:right w:val="single" w:sz="4" w:space="0" w:color="000000"/>
            </w:tcBorders>
          </w:tcPr>
          <w:p>
            <w:pPr>
              <w:pStyle w:val="Normal"/>
              <w:ind w:right="23"/>
              <w:rPr>
                <w:sz w:val="24"/>
                <w:szCs w:val="24"/>
              </w:rPr>
            </w:pPr>
            <w:r>
              <w:rPr>
                <w:sz w:val="24"/>
                <w:szCs w:val="24"/>
              </w:rPr>
              <w:t xml:space="preserve">Размер задатка (50% от начальной цены </w:t>
            </w:r>
            <w:r>
              <w:rPr>
                <w:sz w:val="24"/>
                <w:szCs w:val="24"/>
                <w:shd w:fill="auto" w:val="clear"/>
              </w:rPr>
              <w:t>предмета аукциона)</w:t>
            </w:r>
          </w:p>
          <w:p>
            <w:pPr>
              <w:pStyle w:val="Normal"/>
              <w:ind w:right="-263"/>
              <w:rPr>
                <w:sz w:val="24"/>
                <w:szCs w:val="24"/>
              </w:rPr>
            </w:pPr>
            <w:r>
              <w:rPr>
                <w:sz w:val="24"/>
                <w:szCs w:val="24"/>
              </w:rPr>
            </w:r>
          </w:p>
        </w:tc>
        <w:tc>
          <w:tcPr>
            <w:tcW w:w="6864"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rFonts w:eastAsia="Times New Roman" w:cs="Times New Roman"/>
                <w:color w:val="000000"/>
                <w:kern w:val="0"/>
                <w:sz w:val="24"/>
                <w:szCs w:val="24"/>
                <w:shd w:fill="auto" w:val="clear"/>
                <w:lang w:val="ru-RU" w:eastAsia="ru-RU" w:bidi="ar-SA"/>
              </w:rPr>
              <w:t>263 950</w:t>
            </w:r>
            <w:r>
              <w:rPr>
                <w:sz w:val="24"/>
                <w:szCs w:val="24"/>
              </w:rPr>
              <w:t xml:space="preserve"> руб.</w:t>
            </w:r>
          </w:p>
          <w:p>
            <w:pPr>
              <w:pStyle w:val="Normal"/>
              <w:jc w:val="both"/>
              <w:rPr>
                <w:sz w:val="24"/>
                <w:szCs w:val="24"/>
              </w:rPr>
            </w:pPr>
            <w:r>
              <w:rPr>
                <w:sz w:val="24"/>
                <w:szCs w:val="24"/>
              </w:rPr>
            </w:r>
          </w:p>
        </w:tc>
      </w:tr>
      <w:tr>
        <w:trPr>
          <w:trHeight w:val="236" w:hRule="atLeast"/>
        </w:trPr>
        <w:tc>
          <w:tcPr>
            <w:tcW w:w="567" w:type="dxa"/>
            <w:tcBorders>
              <w:left w:val="single" w:sz="4" w:space="0" w:color="000000"/>
              <w:bottom w:val="single" w:sz="4" w:space="0" w:color="000000"/>
              <w:right w:val="single" w:sz="4" w:space="0" w:color="000000"/>
            </w:tcBorders>
          </w:tcPr>
          <w:p>
            <w:pPr>
              <w:pStyle w:val="Normal"/>
              <w:jc w:val="center"/>
              <w:rPr>
                <w:sz w:val="24"/>
                <w:szCs w:val="24"/>
              </w:rPr>
            </w:pPr>
            <w:r>
              <w:rPr>
                <w:sz w:val="24"/>
                <w:szCs w:val="24"/>
              </w:rPr>
              <w:t>7</w:t>
            </w:r>
          </w:p>
        </w:tc>
        <w:tc>
          <w:tcPr>
            <w:tcW w:w="3054" w:type="dxa"/>
            <w:tcBorders>
              <w:left w:val="single" w:sz="4" w:space="0" w:color="000000"/>
              <w:bottom w:val="single" w:sz="4" w:space="0" w:color="000000"/>
              <w:right w:val="single" w:sz="4" w:space="0" w:color="000000"/>
            </w:tcBorders>
          </w:tcPr>
          <w:p>
            <w:pPr>
              <w:pStyle w:val="Normal"/>
              <w:ind w:right="0"/>
              <w:rPr>
                <w:sz w:val="24"/>
                <w:szCs w:val="24"/>
              </w:rPr>
            </w:pPr>
            <w:r>
              <w:rPr>
                <w:sz w:val="24"/>
                <w:szCs w:val="24"/>
              </w:rPr>
              <w:t>Срок аренды земельного участка</w:t>
            </w:r>
          </w:p>
          <w:p>
            <w:pPr>
              <w:pStyle w:val="Normal"/>
              <w:ind w:right="0"/>
              <w:rPr>
                <w:sz w:val="24"/>
                <w:szCs w:val="24"/>
              </w:rPr>
            </w:pPr>
            <w:r>
              <w:rPr>
                <w:sz w:val="24"/>
                <w:szCs w:val="24"/>
              </w:rPr>
            </w:r>
          </w:p>
        </w:tc>
        <w:tc>
          <w:tcPr>
            <w:tcW w:w="6864" w:type="dxa"/>
            <w:tcBorders>
              <w:left w:val="single" w:sz="4" w:space="0" w:color="000000"/>
              <w:bottom w:val="single" w:sz="4" w:space="0" w:color="000000"/>
              <w:right w:val="single" w:sz="4" w:space="0" w:color="000000"/>
            </w:tcBorders>
          </w:tcPr>
          <w:p>
            <w:pPr>
              <w:pStyle w:val="Normal"/>
              <w:jc w:val="both"/>
              <w:rPr>
                <w:sz w:val="24"/>
                <w:szCs w:val="24"/>
              </w:rPr>
            </w:pPr>
            <w:r>
              <w:rPr>
                <w:sz w:val="24"/>
                <w:szCs w:val="24"/>
              </w:rPr>
              <w:t>20 лет</w:t>
            </w:r>
          </w:p>
        </w:tc>
      </w:tr>
      <w:tr>
        <w:trPr>
          <w:trHeight w:val="236" w:hRule="atLeast"/>
        </w:trPr>
        <w:tc>
          <w:tcPr>
            <w:tcW w:w="567" w:type="dxa"/>
            <w:tcBorders>
              <w:left w:val="single" w:sz="4" w:space="0" w:color="000000"/>
              <w:bottom w:val="single" w:sz="4" w:space="0" w:color="000000"/>
              <w:right w:val="single" w:sz="4" w:space="0" w:color="000000"/>
            </w:tcBorders>
          </w:tcPr>
          <w:p>
            <w:pPr>
              <w:pStyle w:val="Normal"/>
              <w:jc w:val="center"/>
              <w:rPr>
                <w:sz w:val="24"/>
                <w:szCs w:val="24"/>
              </w:rPr>
            </w:pPr>
            <w:r>
              <w:rPr>
                <w:sz w:val="24"/>
                <w:szCs w:val="24"/>
              </w:rPr>
              <w:t>8</w:t>
            </w:r>
          </w:p>
        </w:tc>
        <w:tc>
          <w:tcPr>
            <w:tcW w:w="3054" w:type="dxa"/>
            <w:tcBorders>
              <w:left w:val="single" w:sz="4" w:space="0" w:color="000000"/>
              <w:bottom w:val="single" w:sz="4" w:space="0" w:color="000000"/>
              <w:right w:val="single" w:sz="4" w:space="0" w:color="000000"/>
            </w:tcBorders>
          </w:tcPr>
          <w:p>
            <w:pPr>
              <w:pStyle w:val="Normal"/>
              <w:widowControl/>
              <w:spacing w:before="0" w:after="0"/>
              <w:ind w:hanging="0" w:left="113" w:right="113"/>
              <w:jc w:val="left"/>
              <w:rPr/>
            </w:pPr>
            <w:r>
              <w:rPr>
                <w:shd w:fill="auto" w:val="clear"/>
              </w:rPr>
              <w:t xml:space="preserve">Дата </w:t>
            </w:r>
            <w:r>
              <w:rPr>
                <w:b w:val="false"/>
                <w:shd w:fill="auto" w:val="clear"/>
              </w:rPr>
              <w:t xml:space="preserve">размещения извещения в соответствии с пп. 1 п. 1 ст. 39.18 Земельного кодекса Российской Федерации на  </w:t>
            </w:r>
            <w:r>
              <w:rPr>
                <w:b w:val="false"/>
                <w:shd w:fill="auto" w:val="clear"/>
                <w:lang w:val="en-US" w:eastAsia="en-US"/>
              </w:rPr>
              <w:t>сайтах www.torgi.gov.ru, www.gorodperm.ru</w:t>
            </w:r>
          </w:p>
        </w:tc>
        <w:tc>
          <w:tcPr>
            <w:tcW w:w="6864" w:type="dxa"/>
            <w:tcBorders>
              <w:left w:val="single" w:sz="4" w:space="0" w:color="000000"/>
              <w:bottom w:val="single" w:sz="4" w:space="0" w:color="000000"/>
              <w:right w:val="single" w:sz="4" w:space="0" w:color="000000"/>
            </w:tcBorders>
          </w:tcPr>
          <w:p>
            <w:pPr>
              <w:pStyle w:val="Normal"/>
              <w:jc w:val="both"/>
              <w:rPr>
                <w:sz w:val="24"/>
                <w:szCs w:val="24"/>
              </w:rPr>
            </w:pPr>
            <w:r>
              <w:rPr>
                <w:sz w:val="24"/>
                <w:szCs w:val="24"/>
              </w:rPr>
              <w:t>11.11.2025</w:t>
            </w:r>
          </w:p>
        </w:tc>
      </w:tr>
      <w:tr>
        <w:trPr>
          <w:trHeight w:val="1884" w:hRule="atLeast"/>
        </w:trPr>
        <w:tc>
          <w:tcPr>
            <w:tcW w:w="567"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9</w:t>
            </w:r>
          </w:p>
        </w:tc>
        <w:tc>
          <w:tcPr>
            <w:tcW w:w="3054" w:type="dxa"/>
            <w:tcBorders>
              <w:top w:val="single" w:sz="4" w:space="0" w:color="000000"/>
              <w:left w:val="single" w:sz="4" w:space="0" w:color="000000"/>
              <w:bottom w:val="single" w:sz="4" w:space="0" w:color="000000"/>
              <w:right w:val="single" w:sz="4" w:space="0" w:color="000000"/>
            </w:tcBorders>
          </w:tcPr>
          <w:p>
            <w:pPr>
              <w:pStyle w:val="Normal"/>
              <w:ind w:right="-263"/>
              <w:rPr>
                <w:sz w:val="24"/>
                <w:szCs w:val="24"/>
              </w:rPr>
            </w:pPr>
            <w:r>
              <w:rPr>
                <w:sz w:val="24"/>
                <w:szCs w:val="24"/>
              </w:rPr>
              <w:t>Проект договора аренды земельного участка</w:t>
            </w:r>
          </w:p>
        </w:tc>
        <w:tc>
          <w:tcPr>
            <w:tcW w:w="6864"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 xml:space="preserve">Проект договора аренды земельного участка, приобретаемого на торгах в форме аукциона, для строительства, является Приложением 1 к настоящему извещению и размещен на сайтах </w:t>
            </w:r>
            <w:r>
              <w:rPr>
                <w:sz w:val="24"/>
                <w:szCs w:val="24"/>
                <w:lang w:val="en-US"/>
              </w:rPr>
              <w:t>www</w:t>
            </w:r>
            <w:r>
              <w:rPr>
                <w:sz w:val="24"/>
                <w:szCs w:val="24"/>
              </w:rPr>
              <w:t>.</w:t>
            </w:r>
            <w:r>
              <w:rPr>
                <w:sz w:val="24"/>
                <w:szCs w:val="24"/>
                <w:lang w:val="en-US"/>
              </w:rPr>
              <w:t>torgi</w:t>
            </w:r>
            <w:r>
              <w:rPr>
                <w:sz w:val="24"/>
                <w:szCs w:val="24"/>
              </w:rPr>
              <w:t>.</w:t>
            </w:r>
            <w:r>
              <w:rPr>
                <w:sz w:val="24"/>
                <w:szCs w:val="24"/>
                <w:lang w:val="en-US"/>
              </w:rPr>
              <w:t>gov</w:t>
            </w:r>
            <w:r>
              <w:rPr>
                <w:sz w:val="24"/>
                <w:szCs w:val="24"/>
              </w:rPr>
              <w:t>.</w:t>
            </w:r>
            <w:r>
              <w:rPr>
                <w:sz w:val="24"/>
                <w:szCs w:val="24"/>
                <w:lang w:val="en-US"/>
              </w:rPr>
              <w:t>ru</w:t>
            </w:r>
            <w:r>
              <w:rPr>
                <w:sz w:val="24"/>
                <w:szCs w:val="24"/>
              </w:rPr>
              <w:t xml:space="preserve">, </w:t>
            </w:r>
            <w:r>
              <w:rPr>
                <w:sz w:val="24"/>
                <w:szCs w:val="24"/>
                <w:lang w:val="en-US"/>
              </w:rPr>
              <w:t>www</w:t>
            </w:r>
            <w:r>
              <w:rPr>
                <w:sz w:val="24"/>
                <w:szCs w:val="24"/>
              </w:rPr>
              <w:t>.</w:t>
            </w:r>
            <w:r>
              <w:rPr>
                <w:sz w:val="24"/>
                <w:szCs w:val="24"/>
                <w:lang w:val="en-US"/>
              </w:rPr>
              <w:t>gorodperm</w:t>
            </w:r>
            <w:r>
              <w:rPr>
                <w:sz w:val="24"/>
                <w:szCs w:val="24"/>
              </w:rPr>
              <w:t>.</w:t>
            </w:r>
            <w:r>
              <w:rPr>
                <w:sz w:val="24"/>
                <w:szCs w:val="24"/>
                <w:lang w:val="en-US"/>
              </w:rPr>
              <w:t>ru</w:t>
            </w:r>
            <w:r>
              <w:rPr>
                <w:sz w:val="24"/>
                <w:szCs w:val="24"/>
              </w:rPr>
              <w:t xml:space="preserve"> (раздел Деятельность/ муниципальная собственность/ Торговая площадка/Вид торгов Продажа и аренда земельных участков).</w:t>
            </w:r>
          </w:p>
        </w:tc>
      </w:tr>
      <w:tr>
        <w:trPr>
          <w:trHeight w:val="144" w:hRule="atLeast"/>
        </w:trPr>
        <w:tc>
          <w:tcPr>
            <w:tcW w:w="567"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10</w:t>
            </w:r>
          </w:p>
        </w:tc>
        <w:tc>
          <w:tcPr>
            <w:tcW w:w="3054" w:type="dxa"/>
            <w:tcBorders>
              <w:top w:val="single" w:sz="4" w:space="0" w:color="000000"/>
              <w:left w:val="single" w:sz="4" w:space="0" w:color="000000"/>
              <w:bottom w:val="single" w:sz="4" w:space="0" w:color="000000"/>
              <w:right w:val="single" w:sz="4" w:space="0" w:color="000000"/>
            </w:tcBorders>
          </w:tcPr>
          <w:p>
            <w:pPr>
              <w:pStyle w:val="Normal"/>
              <w:ind w:hanging="0" w:left="0" w:right="-42"/>
              <w:rPr>
                <w:sz w:val="24"/>
                <w:szCs w:val="24"/>
              </w:rPr>
            </w:pPr>
            <w:r>
              <w:rPr>
                <w:sz w:val="24"/>
                <w:szCs w:val="24"/>
              </w:rPr>
              <w:t xml:space="preserve">Порядок осмотра земельного участка </w:t>
              <w:br/>
              <w:t>на местности</w:t>
            </w:r>
          </w:p>
        </w:tc>
        <w:tc>
          <w:tcPr>
            <w:tcW w:w="6864"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 xml:space="preserve">Осмотр земельного участка производится заявителем </w:t>
              <w:br/>
              <w:t>самостоятельно в любое время с даты опубликования настоящего извещения.</w:t>
            </w:r>
          </w:p>
        </w:tc>
      </w:tr>
    </w:tbl>
    <w:p>
      <w:pPr>
        <w:pStyle w:val="Normal"/>
        <w:spacing w:lineRule="exact" w:line="240"/>
        <w:ind w:hanging="0" w:left="1134"/>
        <w:jc w:val="left"/>
        <w:rPr>
          <w:rFonts w:ascii="Times New Roman" w:hAnsi="Times New Roman" w:cs="Times New Roman"/>
        </w:rPr>
      </w:pPr>
      <w:r>
        <w:rPr>
          <w:rFonts w:cs="Times New Roman"/>
        </w:rPr>
      </w:r>
    </w:p>
    <w:p>
      <w:pPr>
        <w:pStyle w:val="PlainText"/>
        <w:spacing w:lineRule="exact" w:line="240"/>
        <w:ind w:hanging="1134" w:left="1134"/>
        <w:jc w:val="left"/>
        <w:rPr/>
      </w:pPr>
      <w:r>
        <w:rPr>
          <w:rFonts w:cs="Times New Roman" w:ascii="Times New Roman" w:hAnsi="Times New Roman"/>
          <w:b/>
          <w:sz w:val="24"/>
          <w:szCs w:val="28"/>
          <w:lang w:val="ru-RU"/>
        </w:rPr>
        <w:t>Лот № 2</w:t>
      </w:r>
    </w:p>
    <w:tbl>
      <w:tblPr>
        <w:tblW w:w="10485" w:type="dxa"/>
        <w:jc w:val="left"/>
        <w:tblInd w:w="-473" w:type="dxa"/>
        <w:tblLayout w:type="fixed"/>
        <w:tblCellMar>
          <w:top w:w="0" w:type="dxa"/>
          <w:left w:w="108" w:type="dxa"/>
          <w:bottom w:w="0" w:type="dxa"/>
          <w:right w:w="108" w:type="dxa"/>
        </w:tblCellMar>
        <w:tblLook w:val="01e0" w:noHBand="0" w:noVBand="0" w:firstColumn="1" w:lastRow="1" w:lastColumn="1" w:firstRow="1"/>
      </w:tblPr>
      <w:tblGrid>
        <w:gridCol w:w="567"/>
        <w:gridCol w:w="3054"/>
        <w:gridCol w:w="6864"/>
      </w:tblGrid>
      <w:tr>
        <w:trPr>
          <w:trHeight w:val="877" w:hRule="atLeast"/>
        </w:trPr>
        <w:tc>
          <w:tcPr>
            <w:tcW w:w="567"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1</w:t>
            </w:r>
          </w:p>
        </w:tc>
        <w:tc>
          <w:tcPr>
            <w:tcW w:w="3054" w:type="dxa"/>
            <w:tcBorders>
              <w:top w:val="single" w:sz="4" w:space="0" w:color="000000"/>
              <w:left w:val="single" w:sz="4" w:space="0" w:color="000000"/>
              <w:bottom w:val="single" w:sz="4" w:space="0" w:color="000000"/>
              <w:right w:val="single" w:sz="4" w:space="0" w:color="000000"/>
            </w:tcBorders>
          </w:tcPr>
          <w:p>
            <w:pPr>
              <w:pStyle w:val="Normal"/>
              <w:ind w:right="0"/>
              <w:rPr>
                <w:sz w:val="24"/>
                <w:szCs w:val="24"/>
              </w:rPr>
            </w:pPr>
            <w:r>
              <w:rPr>
                <w:sz w:val="24"/>
                <w:szCs w:val="24"/>
              </w:rPr>
              <w:t xml:space="preserve">Наименование органа местного самоуправления, принявшего решение </w:t>
              <w:br/>
              <w:t>о проведении аукциона,</w:t>
            </w:r>
          </w:p>
          <w:p>
            <w:pPr>
              <w:pStyle w:val="Normal"/>
              <w:ind w:right="0"/>
              <w:rPr>
                <w:sz w:val="24"/>
                <w:szCs w:val="24"/>
              </w:rPr>
            </w:pPr>
            <w:r>
              <w:rPr>
                <w:sz w:val="24"/>
                <w:szCs w:val="24"/>
              </w:rPr>
              <w:t xml:space="preserve">реквизиты указанного </w:t>
              <w:br/>
              <w:t>решения</w:t>
            </w:r>
          </w:p>
        </w:tc>
        <w:tc>
          <w:tcPr>
            <w:tcW w:w="6864"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 xml:space="preserve">Администрация города Перми, распоряжение начальника </w:t>
              <w:br/>
              <w:t>департамента земельных отношений администрации город</w:t>
            </w:r>
            <w:r>
              <w:rPr>
                <w:rFonts w:eastAsia="Droid Sans Fallback" w:cs="Lohit Devanagari"/>
                <w:color w:val="auto"/>
                <w:sz w:val="24"/>
                <w:szCs w:val="24"/>
                <w:lang w:val="ru-RU" w:eastAsia="zh-CN" w:bidi="ar-SA"/>
              </w:rPr>
              <w:t xml:space="preserve">а Перми </w:t>
            </w:r>
            <w:r>
              <w:rPr>
                <w:rFonts w:eastAsia="Times New Roman" w:cs="Times New Roman"/>
                <w:color w:val="000000"/>
                <w:kern w:val="0"/>
                <w:sz w:val="24"/>
                <w:szCs w:val="20"/>
                <w:lang w:val="ru-RU" w:eastAsia="ru-RU" w:bidi="ar-SA"/>
              </w:rPr>
              <w:t xml:space="preserve">от 02 июня 2026 г. № 21-01-03-3697 </w:t>
            </w:r>
            <w:r>
              <w:rPr>
                <w:rFonts w:eastAsia="Droid Sans Fallback" w:cs="Lohit Devanagari"/>
                <w:color w:val="000000"/>
                <w:kern w:val="0"/>
                <w:sz w:val="24"/>
                <w:szCs w:val="28"/>
                <w:shd w:fill="auto" w:val="clear"/>
                <w:lang w:val="ru-RU" w:eastAsia="zh-CN" w:bidi="ar-SA"/>
              </w:rPr>
              <w:t xml:space="preserve">«О проведении аукциона на право заключения договора аренды земельного участка в </w:t>
            </w:r>
            <w:r>
              <w:rPr>
                <w:rFonts w:eastAsia="Times New Roman" w:cs="Times New Roman"/>
                <w:color w:val="000000"/>
                <w:kern w:val="0"/>
                <w:sz w:val="24"/>
                <w:szCs w:val="20"/>
                <w:shd w:fill="auto" w:val="clear"/>
                <w:lang w:val="ru-RU" w:eastAsia="ru-RU" w:bidi="ar-SA"/>
              </w:rPr>
              <w:t>Орджоникидзевском</w:t>
            </w:r>
            <w:r>
              <w:rPr>
                <w:rFonts w:eastAsia="Droid Sans Fallback" w:cs="Lohit Devanagari"/>
                <w:color w:val="000000"/>
                <w:kern w:val="0"/>
                <w:sz w:val="24"/>
                <w:szCs w:val="28"/>
                <w:shd w:fill="auto" w:val="clear"/>
                <w:lang w:val="ru-RU" w:eastAsia="zh-CN" w:bidi="ar-SA"/>
              </w:rPr>
              <w:t xml:space="preserve"> районе города Перми»</w:t>
            </w:r>
          </w:p>
        </w:tc>
      </w:tr>
      <w:tr>
        <w:trPr>
          <w:trHeight w:val="225" w:hRule="atLeast"/>
        </w:trPr>
        <w:tc>
          <w:tcPr>
            <w:tcW w:w="567"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2</w:t>
            </w:r>
          </w:p>
        </w:tc>
        <w:tc>
          <w:tcPr>
            <w:tcW w:w="3054" w:type="dxa"/>
            <w:tcBorders>
              <w:top w:val="single" w:sz="4" w:space="0" w:color="000000"/>
              <w:left w:val="single" w:sz="4" w:space="0" w:color="000000"/>
              <w:bottom w:val="single" w:sz="4" w:space="0" w:color="000000"/>
              <w:right w:val="single" w:sz="4" w:space="0" w:color="000000"/>
            </w:tcBorders>
          </w:tcPr>
          <w:p>
            <w:pPr>
              <w:pStyle w:val="Normal"/>
              <w:ind w:right="0"/>
              <w:rPr>
                <w:sz w:val="24"/>
                <w:szCs w:val="24"/>
              </w:rPr>
            </w:pPr>
            <w:r>
              <w:rPr>
                <w:sz w:val="24"/>
                <w:szCs w:val="24"/>
              </w:rPr>
              <w:t xml:space="preserve">Предмет аукциона </w:t>
              <w:br/>
              <w:t xml:space="preserve">на право заключения </w:t>
              <w:br/>
              <w:t>договора аренды земельного участка</w:t>
            </w:r>
          </w:p>
        </w:tc>
        <w:tc>
          <w:tcPr>
            <w:tcW w:w="6864"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r>
          </w:p>
        </w:tc>
      </w:tr>
      <w:tr>
        <w:trPr>
          <w:trHeight w:val="493" w:hRule="atLeast"/>
        </w:trPr>
        <w:tc>
          <w:tcPr>
            <w:tcW w:w="567" w:type="dxa"/>
            <w:vMerge w:val="restart"/>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r>
          </w:p>
        </w:tc>
        <w:tc>
          <w:tcPr>
            <w:tcW w:w="3054" w:type="dxa"/>
            <w:tcBorders>
              <w:top w:val="single" w:sz="4" w:space="0" w:color="000000"/>
              <w:left w:val="single" w:sz="4" w:space="0" w:color="000000"/>
              <w:bottom w:val="single" w:sz="4" w:space="0" w:color="000000"/>
              <w:right w:val="single" w:sz="4" w:space="0" w:color="000000"/>
            </w:tcBorders>
          </w:tcPr>
          <w:p>
            <w:pPr>
              <w:pStyle w:val="Normal"/>
              <w:numPr>
                <w:ilvl w:val="0"/>
                <w:numId w:val="2"/>
              </w:numPr>
              <w:ind w:hanging="277" w:left="419" w:right="-263"/>
              <w:jc w:val="both"/>
              <w:rPr>
                <w:sz w:val="24"/>
                <w:szCs w:val="24"/>
              </w:rPr>
            </w:pPr>
            <w:r>
              <w:rPr>
                <w:sz w:val="24"/>
                <w:szCs w:val="24"/>
              </w:rPr>
              <w:t>местоположение</w:t>
            </w:r>
          </w:p>
        </w:tc>
        <w:tc>
          <w:tcPr>
            <w:tcW w:w="6864"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8256" w:leader="none"/>
              </w:tabs>
              <w:jc w:val="both"/>
              <w:rPr>
                <w:sz w:val="24"/>
                <w:szCs w:val="24"/>
              </w:rPr>
            </w:pPr>
            <w:r>
              <w:rPr>
                <w:sz w:val="24"/>
                <w:szCs w:val="24"/>
              </w:rPr>
              <w:t>Российская Федерация, Пермский край, городской округ Пермский, город Пермь, улица Набережная, з/у 30а</w:t>
            </w:r>
          </w:p>
        </w:tc>
      </w:tr>
      <w:tr>
        <w:trPr>
          <w:trHeight w:val="148" w:hRule="atLeast"/>
        </w:trPr>
        <w:tc>
          <w:tcPr>
            <w:tcW w:w="567" w:type="dxa"/>
            <w:vMerge w:val="continue"/>
            <w:tcBorders>
              <w:top w:val="single" w:sz="4" w:space="0" w:color="000000"/>
              <w:left w:val="single" w:sz="4" w:space="0" w:color="000000"/>
              <w:bottom w:val="single" w:sz="4" w:space="0" w:color="000000"/>
              <w:right w:val="single" w:sz="4" w:space="0" w:color="000000"/>
            </w:tcBorders>
          </w:tcPr>
          <w:p>
            <w:pPr>
              <w:pStyle w:val="Normal"/>
              <w:jc w:val="center"/>
              <w:rPr>
                <w:sz w:val="20"/>
              </w:rPr>
            </w:pPr>
            <w:r>
              <w:rPr>
                <w:sz w:val="20"/>
              </w:rPr>
            </w:r>
          </w:p>
        </w:tc>
        <w:tc>
          <w:tcPr>
            <w:tcW w:w="3054" w:type="dxa"/>
            <w:tcBorders>
              <w:top w:val="single" w:sz="4" w:space="0" w:color="000000"/>
              <w:left w:val="single" w:sz="4" w:space="0" w:color="000000"/>
              <w:bottom w:val="single" w:sz="4" w:space="0" w:color="000000"/>
              <w:right w:val="single" w:sz="4" w:space="0" w:color="000000"/>
            </w:tcBorders>
          </w:tcPr>
          <w:p>
            <w:pPr>
              <w:pStyle w:val="Normal"/>
              <w:numPr>
                <w:ilvl w:val="0"/>
                <w:numId w:val="2"/>
              </w:numPr>
              <w:ind w:hanging="277" w:left="419" w:right="-263"/>
              <w:rPr>
                <w:sz w:val="24"/>
                <w:szCs w:val="24"/>
              </w:rPr>
            </w:pPr>
            <w:r>
              <w:rPr>
                <w:sz w:val="24"/>
                <w:szCs w:val="24"/>
                <w:lang w:val="en-US"/>
              </w:rPr>
              <w:t>площадь</w:t>
            </w:r>
          </w:p>
        </w:tc>
        <w:tc>
          <w:tcPr>
            <w:tcW w:w="6864"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801 кв. м</w:t>
            </w:r>
          </w:p>
        </w:tc>
      </w:tr>
      <w:tr>
        <w:trPr>
          <w:trHeight w:val="155" w:hRule="atLeast"/>
        </w:trPr>
        <w:tc>
          <w:tcPr>
            <w:tcW w:w="567" w:type="dxa"/>
            <w:vMerge w:val="continue"/>
            <w:tcBorders>
              <w:top w:val="single" w:sz="4" w:space="0" w:color="000000"/>
              <w:left w:val="single" w:sz="4" w:space="0" w:color="000000"/>
              <w:bottom w:val="single" w:sz="4" w:space="0" w:color="000000"/>
              <w:right w:val="single" w:sz="4" w:space="0" w:color="000000"/>
            </w:tcBorders>
          </w:tcPr>
          <w:p>
            <w:pPr>
              <w:pStyle w:val="Normal"/>
              <w:jc w:val="center"/>
              <w:rPr>
                <w:sz w:val="20"/>
              </w:rPr>
            </w:pPr>
            <w:r>
              <w:rPr>
                <w:sz w:val="20"/>
              </w:rPr>
            </w:r>
          </w:p>
        </w:tc>
        <w:tc>
          <w:tcPr>
            <w:tcW w:w="3054" w:type="dxa"/>
            <w:tcBorders>
              <w:top w:val="single" w:sz="4" w:space="0" w:color="000000"/>
              <w:left w:val="single" w:sz="4" w:space="0" w:color="000000"/>
              <w:bottom w:val="single" w:sz="4" w:space="0" w:color="000000"/>
              <w:right w:val="single" w:sz="4" w:space="0" w:color="000000"/>
            </w:tcBorders>
          </w:tcPr>
          <w:p>
            <w:pPr>
              <w:pStyle w:val="Normal"/>
              <w:numPr>
                <w:ilvl w:val="0"/>
                <w:numId w:val="2"/>
              </w:numPr>
              <w:ind w:hanging="277" w:left="419" w:right="-263"/>
              <w:rPr>
                <w:sz w:val="24"/>
                <w:szCs w:val="24"/>
              </w:rPr>
            </w:pPr>
            <w:r>
              <w:rPr>
                <w:sz w:val="24"/>
                <w:szCs w:val="24"/>
                <w:lang w:val="en-US"/>
              </w:rPr>
              <w:t>кадастровый номер</w:t>
            </w:r>
          </w:p>
        </w:tc>
        <w:tc>
          <w:tcPr>
            <w:tcW w:w="6864"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59:01:3610013:1</w:t>
            </w:r>
          </w:p>
        </w:tc>
      </w:tr>
      <w:tr>
        <w:trPr>
          <w:trHeight w:val="144" w:hRule="atLeast"/>
        </w:trPr>
        <w:tc>
          <w:tcPr>
            <w:tcW w:w="567" w:type="dxa"/>
            <w:vMerge w:val="continue"/>
            <w:tcBorders>
              <w:top w:val="single" w:sz="4" w:space="0" w:color="000000"/>
              <w:left w:val="single" w:sz="4" w:space="0" w:color="000000"/>
              <w:bottom w:val="single" w:sz="4" w:space="0" w:color="000000"/>
              <w:right w:val="single" w:sz="4" w:space="0" w:color="000000"/>
            </w:tcBorders>
          </w:tcPr>
          <w:p>
            <w:pPr>
              <w:pStyle w:val="Normal"/>
              <w:jc w:val="center"/>
              <w:rPr>
                <w:sz w:val="20"/>
              </w:rPr>
            </w:pPr>
            <w:r>
              <w:rPr>
                <w:sz w:val="20"/>
              </w:rPr>
            </w:r>
          </w:p>
        </w:tc>
        <w:tc>
          <w:tcPr>
            <w:tcW w:w="3054" w:type="dxa"/>
            <w:tcBorders>
              <w:top w:val="single" w:sz="4" w:space="0" w:color="000000"/>
              <w:left w:val="single" w:sz="4" w:space="0" w:color="000000"/>
              <w:bottom w:val="single" w:sz="4" w:space="0" w:color="000000"/>
              <w:right w:val="single" w:sz="4" w:space="0" w:color="000000"/>
            </w:tcBorders>
          </w:tcPr>
          <w:p>
            <w:pPr>
              <w:pStyle w:val="Normal"/>
              <w:numPr>
                <w:ilvl w:val="0"/>
                <w:numId w:val="2"/>
              </w:numPr>
              <w:ind w:hanging="284" w:left="419" w:right="0"/>
              <w:rPr>
                <w:sz w:val="24"/>
                <w:szCs w:val="24"/>
              </w:rPr>
            </w:pPr>
            <w:r>
              <w:rPr>
                <w:sz w:val="24"/>
                <w:szCs w:val="24"/>
              </w:rPr>
              <w:t>права на земельный участок</w:t>
            </w:r>
          </w:p>
        </w:tc>
        <w:tc>
          <w:tcPr>
            <w:tcW w:w="6864" w:type="dxa"/>
            <w:tcBorders>
              <w:top w:val="single" w:sz="4" w:space="0" w:color="000000"/>
              <w:left w:val="single" w:sz="4" w:space="0" w:color="000000"/>
              <w:bottom w:val="single" w:sz="4" w:space="0" w:color="000000"/>
              <w:right w:val="single" w:sz="4" w:space="0" w:color="000000"/>
            </w:tcBorders>
          </w:tcPr>
          <w:p>
            <w:pPr>
              <w:pStyle w:val="Normal"/>
              <w:ind w:right="-263"/>
              <w:jc w:val="both"/>
              <w:rPr>
                <w:sz w:val="24"/>
                <w:szCs w:val="24"/>
              </w:rPr>
            </w:pPr>
            <w:r>
              <w:rPr>
                <w:sz w:val="24"/>
                <w:szCs w:val="24"/>
                <w:lang w:val="en-US"/>
              </w:rPr>
              <w:t>государственная собственность не разграничена</w:t>
            </w:r>
          </w:p>
        </w:tc>
      </w:tr>
      <w:tr>
        <w:trPr>
          <w:trHeight w:val="144" w:hRule="atLeast"/>
        </w:trPr>
        <w:tc>
          <w:tcPr>
            <w:tcW w:w="567" w:type="dxa"/>
            <w:vMerge w:val="continue"/>
            <w:tcBorders>
              <w:top w:val="single" w:sz="4" w:space="0" w:color="000000"/>
              <w:left w:val="single" w:sz="4" w:space="0" w:color="000000"/>
              <w:bottom w:val="single" w:sz="4" w:space="0" w:color="000000"/>
              <w:right w:val="single" w:sz="4" w:space="0" w:color="000000"/>
            </w:tcBorders>
          </w:tcPr>
          <w:p>
            <w:pPr>
              <w:pStyle w:val="Normal"/>
              <w:jc w:val="center"/>
              <w:rPr>
                <w:sz w:val="20"/>
              </w:rPr>
            </w:pPr>
            <w:r>
              <w:rPr>
                <w:sz w:val="20"/>
              </w:rPr>
            </w:r>
          </w:p>
        </w:tc>
        <w:tc>
          <w:tcPr>
            <w:tcW w:w="3054" w:type="dxa"/>
            <w:tcBorders>
              <w:top w:val="single" w:sz="4" w:space="0" w:color="000000"/>
              <w:left w:val="single" w:sz="4" w:space="0" w:color="000000"/>
              <w:bottom w:val="single" w:sz="4" w:space="0" w:color="000000"/>
              <w:right w:val="single" w:sz="4" w:space="0" w:color="000000"/>
            </w:tcBorders>
          </w:tcPr>
          <w:p>
            <w:pPr>
              <w:pStyle w:val="Normal"/>
              <w:numPr>
                <w:ilvl w:val="0"/>
                <w:numId w:val="2"/>
              </w:numPr>
              <w:ind w:hanging="277" w:left="419" w:right="0"/>
              <w:rPr>
                <w:sz w:val="24"/>
                <w:szCs w:val="24"/>
              </w:rPr>
            </w:pPr>
            <w:r>
              <w:rPr>
                <w:sz w:val="24"/>
                <w:szCs w:val="24"/>
                <w:lang w:val="en-US"/>
              </w:rPr>
              <w:t>вид разрешенного использования</w:t>
            </w:r>
          </w:p>
        </w:tc>
        <w:tc>
          <w:tcPr>
            <w:tcW w:w="6864"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lang w:val="en-US"/>
              </w:rPr>
              <w:t>для индивидуального жилищного строительства</w:t>
            </w:r>
          </w:p>
        </w:tc>
      </w:tr>
      <w:tr>
        <w:trPr>
          <w:trHeight w:val="576" w:hRule="atLeast"/>
        </w:trPr>
        <w:tc>
          <w:tcPr>
            <w:tcW w:w="567" w:type="dxa"/>
            <w:vMerge w:val="continue"/>
            <w:tcBorders>
              <w:top w:val="single" w:sz="4" w:space="0" w:color="000000"/>
              <w:left w:val="single" w:sz="4" w:space="0" w:color="000000"/>
              <w:bottom w:val="single" w:sz="4" w:space="0" w:color="000000"/>
              <w:right w:val="single" w:sz="4" w:space="0" w:color="000000"/>
            </w:tcBorders>
          </w:tcPr>
          <w:p>
            <w:pPr>
              <w:pStyle w:val="Normal"/>
              <w:jc w:val="center"/>
              <w:rPr>
                <w:sz w:val="20"/>
              </w:rPr>
            </w:pPr>
            <w:r>
              <w:rPr>
                <w:sz w:val="20"/>
              </w:rPr>
            </w:r>
          </w:p>
        </w:tc>
        <w:tc>
          <w:tcPr>
            <w:tcW w:w="3054" w:type="dxa"/>
            <w:tcBorders>
              <w:top w:val="single" w:sz="4" w:space="0" w:color="000000"/>
              <w:left w:val="single" w:sz="4" w:space="0" w:color="000000"/>
              <w:bottom w:val="single" w:sz="4" w:space="0" w:color="000000"/>
              <w:right w:val="single" w:sz="4" w:space="0" w:color="000000"/>
            </w:tcBorders>
          </w:tcPr>
          <w:p>
            <w:pPr>
              <w:pStyle w:val="Normal"/>
              <w:numPr>
                <w:ilvl w:val="0"/>
                <w:numId w:val="2"/>
              </w:numPr>
              <w:ind w:hanging="284" w:left="419" w:right="-263"/>
              <w:rPr>
                <w:sz w:val="24"/>
                <w:szCs w:val="24"/>
              </w:rPr>
            </w:pPr>
            <w:r>
              <w:rPr>
                <w:sz w:val="24"/>
                <w:szCs w:val="24"/>
              </w:rPr>
              <w:t xml:space="preserve">принадлежность к определенной  </w:t>
              <w:br/>
              <w:t>категории земель</w:t>
            </w:r>
          </w:p>
        </w:tc>
        <w:tc>
          <w:tcPr>
            <w:tcW w:w="6864" w:type="dxa"/>
            <w:tcBorders>
              <w:top w:val="single" w:sz="4" w:space="0" w:color="000000"/>
              <w:left w:val="single" w:sz="4" w:space="0" w:color="000000"/>
              <w:bottom w:val="single" w:sz="4" w:space="0" w:color="000000"/>
              <w:right w:val="single" w:sz="4" w:space="0" w:color="000000"/>
            </w:tcBorders>
          </w:tcPr>
          <w:p>
            <w:pPr>
              <w:pStyle w:val="Normal"/>
              <w:ind w:right="-263"/>
              <w:jc w:val="both"/>
              <w:rPr>
                <w:sz w:val="24"/>
                <w:szCs w:val="24"/>
              </w:rPr>
            </w:pPr>
            <w:r>
              <w:rPr>
                <w:sz w:val="24"/>
                <w:szCs w:val="24"/>
              </w:rPr>
              <w:t>земли населенных пунктов</w:t>
            </w:r>
          </w:p>
        </w:tc>
      </w:tr>
      <w:tr>
        <w:trPr>
          <w:trHeight w:val="576" w:hRule="atLeast"/>
        </w:trPr>
        <w:tc>
          <w:tcPr>
            <w:tcW w:w="567" w:type="dxa"/>
            <w:vMerge w:val="continue"/>
            <w:tcBorders>
              <w:left w:val="single" w:sz="4" w:space="0" w:color="000000"/>
              <w:bottom w:val="single" w:sz="4" w:space="0" w:color="000000"/>
              <w:right w:val="single" w:sz="4" w:space="0" w:color="000000"/>
            </w:tcBorders>
          </w:tcPr>
          <w:p>
            <w:pPr>
              <w:pStyle w:val="Normal"/>
              <w:jc w:val="center"/>
              <w:rPr>
                <w:sz w:val="20"/>
              </w:rPr>
            </w:pPr>
            <w:r>
              <w:rPr>
                <w:sz w:val="20"/>
              </w:rPr>
            </w:r>
          </w:p>
        </w:tc>
        <w:tc>
          <w:tcPr>
            <w:tcW w:w="3054" w:type="dxa"/>
            <w:tcBorders>
              <w:left w:val="single" w:sz="4" w:space="0" w:color="000000"/>
              <w:bottom w:val="single" w:sz="4" w:space="0" w:color="000000"/>
              <w:right w:val="single" w:sz="4" w:space="0" w:color="000000"/>
            </w:tcBorders>
          </w:tcPr>
          <w:p>
            <w:pPr>
              <w:pStyle w:val="Normal"/>
              <w:numPr>
                <w:ilvl w:val="0"/>
                <w:numId w:val="2"/>
              </w:numPr>
              <w:ind w:hanging="284" w:left="419" w:right="-263"/>
              <w:rPr>
                <w:sz w:val="24"/>
                <w:szCs w:val="24"/>
              </w:rPr>
            </w:pPr>
            <w:r>
              <w:rPr>
                <w:sz w:val="24"/>
                <w:szCs w:val="24"/>
              </w:rPr>
              <w:t>принадлежность к определенной территориальной зоне</w:t>
            </w:r>
          </w:p>
        </w:tc>
        <w:tc>
          <w:tcPr>
            <w:tcW w:w="6864" w:type="dxa"/>
            <w:tcBorders>
              <w:left w:val="single" w:sz="4" w:space="0" w:color="000000"/>
              <w:bottom w:val="single" w:sz="4" w:space="0" w:color="000000"/>
              <w:right w:val="single" w:sz="4" w:space="0" w:color="000000"/>
            </w:tcBorders>
          </w:tcPr>
          <w:p>
            <w:pPr>
              <w:pStyle w:val="Normal"/>
              <w:ind w:right="-263"/>
              <w:jc w:val="both"/>
              <w:rPr>
                <w:sz w:val="24"/>
                <w:szCs w:val="24"/>
              </w:rPr>
            </w:pPr>
            <w:r>
              <w:rPr>
                <w:sz w:val="24"/>
                <w:szCs w:val="24"/>
              </w:rPr>
              <w:t>Ж-5 «Зона индивидуальной усадебной жилой застройки»</w:t>
            </w:r>
          </w:p>
        </w:tc>
      </w:tr>
      <w:tr>
        <w:trPr>
          <w:trHeight w:val="144" w:hRule="atLeast"/>
        </w:trPr>
        <w:tc>
          <w:tcPr>
            <w:tcW w:w="567" w:type="dxa"/>
            <w:vMerge w:val="continue"/>
            <w:tcBorders>
              <w:top w:val="single" w:sz="4" w:space="0" w:color="000000"/>
              <w:left w:val="single" w:sz="4" w:space="0" w:color="000000"/>
              <w:bottom w:val="single" w:sz="4" w:space="0" w:color="000000"/>
              <w:right w:val="single" w:sz="4" w:space="0" w:color="000000"/>
            </w:tcBorders>
          </w:tcPr>
          <w:p>
            <w:pPr>
              <w:pStyle w:val="Normal"/>
              <w:jc w:val="center"/>
              <w:rPr>
                <w:sz w:val="20"/>
              </w:rPr>
            </w:pPr>
            <w:r>
              <w:rPr>
                <w:sz w:val="20"/>
              </w:rPr>
            </w:r>
          </w:p>
        </w:tc>
        <w:tc>
          <w:tcPr>
            <w:tcW w:w="3054" w:type="dxa"/>
            <w:tcBorders>
              <w:top w:val="single" w:sz="4" w:space="0" w:color="000000"/>
              <w:left w:val="single" w:sz="4" w:space="0" w:color="000000"/>
              <w:bottom w:val="single" w:sz="4" w:space="0" w:color="000000"/>
              <w:right w:val="single" w:sz="4" w:space="0" w:color="000000"/>
            </w:tcBorders>
          </w:tcPr>
          <w:p>
            <w:pPr>
              <w:pStyle w:val="Normal"/>
              <w:numPr>
                <w:ilvl w:val="0"/>
                <w:numId w:val="3"/>
              </w:numPr>
              <w:ind w:hanging="277" w:left="419" w:right="-263"/>
              <w:rPr>
                <w:sz w:val="24"/>
                <w:szCs w:val="24"/>
              </w:rPr>
            </w:pPr>
            <w:r>
              <w:rPr>
                <w:sz w:val="24"/>
                <w:szCs w:val="24"/>
              </w:rPr>
              <w:t>ограничение прав</w:t>
            </w:r>
          </w:p>
          <w:p>
            <w:pPr>
              <w:pStyle w:val="Normal"/>
              <w:ind w:left="419" w:right="-263"/>
              <w:rPr>
                <w:sz w:val="24"/>
                <w:szCs w:val="24"/>
              </w:rPr>
            </w:pPr>
            <w:r>
              <w:rPr>
                <w:sz w:val="24"/>
                <w:szCs w:val="24"/>
              </w:rPr>
            </w:r>
          </w:p>
        </w:tc>
        <w:tc>
          <w:tcPr>
            <w:tcW w:w="6864" w:type="dxa"/>
            <w:tcBorders>
              <w:top w:val="single" w:sz="4" w:space="0" w:color="000000"/>
              <w:left w:val="single" w:sz="4" w:space="0" w:color="000000"/>
              <w:bottom w:val="single" w:sz="4" w:space="0" w:color="000000"/>
              <w:right w:val="single" w:sz="4" w:space="0" w:color="000000"/>
            </w:tcBorders>
          </w:tcPr>
          <w:p>
            <w:pPr>
              <w:pStyle w:val="Normal"/>
              <w:ind w:hanging="0"/>
              <w:jc w:val="both"/>
              <w:rPr>
                <w:sz w:val="24"/>
                <w:szCs w:val="24"/>
              </w:rPr>
            </w:pPr>
            <w:r>
              <w:rPr>
                <w:sz w:val="24"/>
                <w:szCs w:val="24"/>
              </w:rPr>
              <w:t>Ограничения прав подробно описаны:</w:t>
            </w:r>
          </w:p>
          <w:p>
            <w:pPr>
              <w:pStyle w:val="Normal"/>
              <w:ind w:firstLine="311"/>
              <w:jc w:val="both"/>
              <w:rPr>
                <w:sz w:val="24"/>
                <w:szCs w:val="24"/>
              </w:rPr>
            </w:pPr>
            <w:r>
              <w:rPr>
                <w:sz w:val="24"/>
                <w:szCs w:val="24"/>
              </w:rPr>
              <w:t>в выписке из Единого государственного реестра недвижимости об объекте недвижимости от 15.06.2026г. № КУВИ-001/2026-80463053 (далее – ЕГРН);</w:t>
            </w:r>
          </w:p>
          <w:p>
            <w:pPr>
              <w:pStyle w:val="Normal"/>
              <w:ind w:firstLine="311"/>
              <w:jc w:val="both"/>
              <w:rPr>
                <w:highlight w:val="none"/>
                <w:shd w:fill="auto" w:val="clear"/>
              </w:rPr>
            </w:pPr>
            <w:r>
              <w:rPr>
                <w:sz w:val="24"/>
                <w:szCs w:val="24"/>
                <w:shd w:fill="auto" w:val="clear"/>
              </w:rPr>
              <w:t>в градостроительном плане земельного участка</w:t>
            </w:r>
          </w:p>
          <w:p>
            <w:pPr>
              <w:pStyle w:val="Normal"/>
              <w:jc w:val="both"/>
              <w:rPr>
                <w:highlight w:val="none"/>
                <w:shd w:fill="auto" w:val="clear"/>
              </w:rPr>
            </w:pPr>
            <w:r>
              <w:rPr>
                <w:sz w:val="24"/>
                <w:szCs w:val="24"/>
                <w:shd w:fill="auto" w:val="clear"/>
              </w:rPr>
              <w:t>от 15.04</w:t>
            </w:r>
            <w:r>
              <w:rPr>
                <w:color w:val="000000"/>
                <w:sz w:val="24"/>
                <w:szCs w:val="24"/>
                <w:shd w:fill="auto" w:val="clear"/>
              </w:rPr>
              <w:t>.2026 № РФ-59-2-03-0-00-2026-0829-0 </w:t>
            </w:r>
            <w:r>
              <w:rPr>
                <w:sz w:val="24"/>
                <w:szCs w:val="24"/>
                <w:shd w:fill="auto" w:val="clear"/>
              </w:rPr>
              <w:t>(далее – ГПЗУ).</w:t>
            </w:r>
          </w:p>
          <w:p>
            <w:pPr>
              <w:pStyle w:val="Normal"/>
              <w:jc w:val="both"/>
              <w:rPr>
                <w:highlight w:val="none"/>
                <w:shd w:fill="auto" w:val="clear"/>
              </w:rPr>
            </w:pPr>
            <w:r>
              <w:rPr>
                <w:sz w:val="24"/>
                <w:szCs w:val="24"/>
                <w:shd w:fill="auto" w:val="clear"/>
              </w:rPr>
              <w:t>(</w:t>
            </w:r>
            <w:r>
              <w:rPr>
                <w:rFonts w:eastAsia="Times New Roman" w:cs="Times New Roman"/>
                <w:b w:val="false"/>
                <w:bCs w:val="false"/>
                <w:color w:val="000000"/>
                <w:sz w:val="24"/>
                <w:szCs w:val="24"/>
                <w:shd w:fill="auto" w:val="clear"/>
              </w:rPr>
              <w:t>Приложение 4 к настоящему извещению)</w:t>
            </w:r>
            <w:r>
              <w:rPr>
                <w:sz w:val="24"/>
                <w:szCs w:val="24"/>
                <w:shd w:fill="auto" w:val="clear"/>
              </w:rPr>
              <w:t>.</w:t>
            </w:r>
          </w:p>
          <w:p>
            <w:pPr>
              <w:pStyle w:val="Normal"/>
              <w:jc w:val="both"/>
              <w:rPr>
                <w:sz w:val="24"/>
                <w:szCs w:val="24"/>
              </w:rPr>
            </w:pPr>
            <w:r>
              <w:rPr>
                <w:sz w:val="24"/>
                <w:szCs w:val="24"/>
              </w:rPr>
            </w:r>
          </w:p>
          <w:p>
            <w:pPr>
              <w:pStyle w:val="Normal"/>
              <w:spacing w:lineRule="auto" w:line="240" w:before="0" w:after="0"/>
              <w:ind w:firstLine="283" w:left="0" w:right="0"/>
              <w:jc w:val="both"/>
              <w:rPr>
                <w:rFonts w:ascii="Times New Roman" w:hAnsi="Times New Roman"/>
                <w:color w:themeColor="text1" w:val="000000"/>
                <w:sz w:val="24"/>
                <w:szCs w:val="24"/>
                <w:highlight w:val="none"/>
              </w:rPr>
            </w:pPr>
            <w:r>
              <w:rPr>
                <w:color w:themeColor="text1" w:val="000000"/>
                <w:sz w:val="24"/>
                <w:szCs w:val="24"/>
              </w:rPr>
              <w:t>Состояние рельефа – уклон. На обследуемом участке произрастают многолетние лиственные и хвойные деревья. Со стороны ул. Набережная установлен деревянный забор, в момент обследования находился в ветхом состоянии.</w:t>
            </w:r>
          </w:p>
          <w:p>
            <w:pPr>
              <w:pStyle w:val="Normal"/>
              <w:spacing w:lineRule="auto" w:line="240" w:before="0" w:after="0"/>
              <w:ind w:firstLine="283" w:left="0" w:right="0"/>
              <w:jc w:val="both"/>
              <w:rPr>
                <w:rFonts w:ascii="Times New Roman" w:hAnsi="Times New Roman"/>
                <w:color w:themeColor="text1" w:val="000000"/>
                <w:sz w:val="24"/>
                <w:szCs w:val="24"/>
                <w:highlight w:val="none"/>
              </w:rPr>
            </w:pPr>
            <w:r>
              <w:rPr>
                <w:color w:themeColor="text1" w:val="000000"/>
                <w:sz w:val="24"/>
                <w:szCs w:val="24"/>
              </w:rPr>
              <w:t xml:space="preserve">Близлежащие пожарные гидранты: Пермский край, </w:t>
              <w:br/>
              <w:t>г. Пермь, Орджоникидзевский район, ул. Ленина (Голованово) между жилыми домами 10 и 12, ул. Зелёная, в непосредственной близости расположен водный объект р. Васильевка.</w:t>
            </w:r>
          </w:p>
          <w:p>
            <w:pPr>
              <w:pStyle w:val="Normal"/>
              <w:tabs>
                <w:tab w:val="clear" w:pos="708"/>
                <w:tab w:val="right" w:pos="6000" w:leader="none"/>
              </w:tabs>
              <w:spacing w:lineRule="auto" w:line="240" w:before="0" w:after="0"/>
              <w:ind w:firstLine="311"/>
              <w:jc w:val="both"/>
              <w:rPr/>
            </w:pPr>
            <w:r>
              <w:rPr>
                <w:sz w:val="24"/>
                <w:szCs w:val="24"/>
                <w:highlight w:val="white"/>
              </w:rPr>
              <w:t xml:space="preserve">(Аналогичная информация отражена в письме </w:t>
            </w:r>
            <w:r>
              <w:rPr>
                <w:b/>
                <w:color w:themeColor="text1" w:val="000000"/>
                <w:sz w:val="24"/>
                <w:szCs w:val="24"/>
                <w:highlight w:val="white"/>
              </w:rPr>
              <w:t>администрации Орджоникидзевского района города Перми</w:t>
            </w:r>
            <w:r>
              <w:rPr>
                <w:color w:themeColor="text1" w:val="000000"/>
                <w:sz w:val="24"/>
                <w:szCs w:val="24"/>
                <w:highlight w:val="white"/>
              </w:rPr>
              <w:t xml:space="preserve"> от 10.04.2026 № 059-37-01-32/3-2056, в акте обследования от 08.04.2026</w:t>
            </w:r>
            <w:r>
              <w:rPr>
                <w:color w:themeColor="text1" w:val="000000"/>
                <w:sz w:val="24"/>
                <w:szCs w:val="24"/>
              </w:rPr>
              <w:t xml:space="preserve"> № 28</w:t>
            </w:r>
            <w:r>
              <w:rPr>
                <w:sz w:val="24"/>
                <w:szCs w:val="24"/>
                <w:highlight w:val="white"/>
              </w:rPr>
              <w:t>).</w:t>
            </w:r>
          </w:p>
          <w:p>
            <w:pPr>
              <w:pStyle w:val="Normal"/>
              <w:tabs>
                <w:tab w:val="clear" w:pos="708"/>
                <w:tab w:val="right" w:pos="6000" w:leader="none"/>
              </w:tabs>
              <w:spacing w:lineRule="auto" w:line="240" w:before="0" w:after="0"/>
              <w:ind w:firstLine="311"/>
              <w:jc w:val="both"/>
              <w:rPr>
                <w:rFonts w:ascii="Times New Roman" w:hAnsi="Times New Roman"/>
                <w:color w:themeColor="text1" w:val="000000"/>
                <w:sz w:val="24"/>
                <w:szCs w:val="24"/>
                <w:highlight w:val="white"/>
              </w:rPr>
            </w:pPr>
            <w:r>
              <w:rPr>
                <w:color w:themeColor="text1" w:val="000000"/>
                <w:sz w:val="24"/>
                <w:szCs w:val="24"/>
                <w:highlight w:val="white"/>
              </w:rPr>
            </w:r>
          </w:p>
          <w:p>
            <w:pPr>
              <w:pStyle w:val="Normal"/>
              <w:spacing w:lineRule="auto" w:line="240" w:before="0" w:after="0"/>
              <w:ind w:firstLine="283" w:left="0" w:right="0"/>
              <w:jc w:val="both"/>
              <w:rPr>
                <w:rFonts w:ascii="Times New Roman" w:hAnsi="Times New Roman"/>
                <w:color w:themeColor="text1" w:val="000000"/>
                <w:sz w:val="24"/>
                <w:szCs w:val="24"/>
                <w:highlight w:val="none"/>
              </w:rPr>
            </w:pPr>
            <w:r>
              <w:rPr>
                <w:color w:themeColor="text1" w:val="000000"/>
                <w:sz w:val="24"/>
                <w:szCs w:val="24"/>
                <w:highlight w:val="white"/>
              </w:rPr>
              <w:t>В соответствии со сведениями ЕГРН объекты капитального/некапитального строительства в границах Участка отсутствуют.</w:t>
            </w:r>
          </w:p>
          <w:p>
            <w:pPr>
              <w:pStyle w:val="Normal"/>
              <w:spacing w:lineRule="auto" w:line="240" w:before="0" w:after="0"/>
              <w:ind w:firstLine="283" w:left="0" w:right="0"/>
              <w:jc w:val="both"/>
              <w:rPr>
                <w:rFonts w:ascii="Times New Roman" w:hAnsi="Times New Roman"/>
                <w:b w:val="false"/>
                <w:bCs w:val="false"/>
                <w:color w:themeColor="text1" w:val="000000"/>
                <w:sz w:val="24"/>
                <w:szCs w:val="24"/>
                <w14:ligatures w14:val="none"/>
              </w:rPr>
            </w:pPr>
            <w:r>
              <w:rPr>
                <w:color w:themeColor="text1" w:val="000000"/>
                <w:sz w:val="24"/>
                <w:szCs w:val="24"/>
                <w:highlight w:val="white"/>
              </w:rPr>
              <w:t>В соответствии с копией планшета М 1:500 (требуется корректура)</w:t>
            </w:r>
            <w:r>
              <w:rPr>
                <w:b w:val="false"/>
                <w:bCs w:val="false"/>
                <w:color w:themeColor="text1" w:val="000000"/>
                <w:sz w:val="24"/>
                <w:szCs w:val="24"/>
              </w:rPr>
              <w:t xml:space="preserve"> с севера пр границе Участка расположено ограждение – деревянный забор. О</w:t>
            </w:r>
            <w:r>
              <w:rPr>
                <w:color w:themeColor="text1" w:val="000000"/>
                <w:sz w:val="24"/>
                <w:szCs w:val="24"/>
                <w:highlight w:val="white"/>
              </w:rPr>
              <w:t>бъекты капитального или некапитального строительства в границах Участка отсутствуют.</w:t>
            </w:r>
          </w:p>
          <w:p>
            <w:pPr>
              <w:pStyle w:val="Normal"/>
              <w:spacing w:lineRule="auto" w:line="240" w:before="0" w:after="0"/>
              <w:ind w:firstLine="283" w:left="0" w:right="0"/>
              <w:jc w:val="both"/>
              <w:rPr>
                <w:rFonts w:ascii="Times New Roman" w:hAnsi="Times New Roman"/>
                <w:color w:themeColor="text1" w:val="000000"/>
                <w:sz w:val="24"/>
                <w:szCs w:val="24"/>
                <w:highlight w:val="white"/>
                <w14:ligatures w14:val="none"/>
              </w:rPr>
            </w:pPr>
            <w:r>
              <w:rPr>
                <w:color w:themeColor="text1" w:val="000000"/>
                <w:sz w:val="24"/>
                <w:szCs w:val="24"/>
                <w:highlight w:val="white"/>
                <w14:ligatures w14:val="none"/>
              </w:rPr>
            </w:r>
          </w:p>
          <w:p>
            <w:pPr>
              <w:pStyle w:val="Normal"/>
              <w:spacing w:lineRule="auto" w:line="240" w:before="0" w:after="0"/>
              <w:ind w:firstLine="283" w:left="0" w:right="0"/>
              <w:jc w:val="both"/>
              <w:rPr>
                <w:rFonts w:ascii="Times New Roman" w:hAnsi="Times New Roman"/>
                <w:color w:themeColor="text1" w:val="000000"/>
                <w:sz w:val="24"/>
                <w:szCs w:val="24"/>
                <w:highlight w:val="none"/>
              </w:rPr>
            </w:pPr>
            <w:r>
              <w:rPr>
                <w:color w:themeColor="text1" w:val="000000"/>
                <w:sz w:val="24"/>
                <w:szCs w:val="24"/>
                <w:highlight w:val="white"/>
              </w:rPr>
              <w:t>Согласно сведениям, содержащимся</w:t>
            </w:r>
            <w:r>
              <w:rPr>
                <w:b w:val="false"/>
                <w:bCs w:val="false"/>
                <w:color w:themeColor="text1" w:val="000000"/>
                <w:sz w:val="24"/>
                <w:szCs w:val="24"/>
              </w:rPr>
              <w:t xml:space="preserve"> в </w:t>
            </w:r>
            <w:r>
              <w:rPr>
                <w:color w:themeColor="text1" w:val="000000"/>
                <w:sz w:val="24"/>
                <w:szCs w:val="24"/>
                <w:highlight w:val="white"/>
              </w:rPr>
              <w:t xml:space="preserve">ЕГРН, ГПЗУ </w:t>
              <w:br/>
              <w:t xml:space="preserve">и справке по градостроительным условиям участка </w:t>
              <w:br/>
              <w:t>от 15.06.2026 № 683257 Участок расположен в границах зоны с особыми условиями использования территории:</w:t>
            </w:r>
          </w:p>
          <w:p>
            <w:pPr>
              <w:pStyle w:val="Normal"/>
              <w:spacing w:lineRule="auto" w:line="240" w:before="0" w:after="0"/>
              <w:ind w:firstLine="425" w:left="0" w:right="0"/>
              <w:jc w:val="both"/>
              <w:rPr>
                <w:rFonts w:ascii="Times New Roman" w:hAnsi="Times New Roman"/>
                <w:color w:themeColor="text1" w:val="000000"/>
                <w:sz w:val="24"/>
                <w:szCs w:val="24"/>
                <w:highlight w:val="none"/>
              </w:rPr>
            </w:pPr>
            <w:r>
              <w:rPr>
                <w:b w:val="false"/>
                <w:bCs w:val="false"/>
                <w:color w:themeColor="text1" w:val="000000"/>
                <w:sz w:val="24"/>
                <w:szCs w:val="24"/>
              </w:rPr>
              <w:t>частично, площадью 245 кв.м, в границах прибрежной защитной полосы Камского</w:t>
            </w:r>
            <w:r>
              <w:rPr>
                <w:color w:themeColor="text1" w:val="000000"/>
                <w:sz w:val="24"/>
                <w:szCs w:val="24"/>
              </w:rPr>
              <w:t xml:space="preserve"> водохранилища, реестровый номер 59:01-6.4321;</w:t>
            </w:r>
          </w:p>
          <w:p>
            <w:pPr>
              <w:pStyle w:val="Normal"/>
              <w:spacing w:lineRule="auto" w:line="240" w:before="0" w:after="0"/>
              <w:ind w:firstLine="425" w:left="0" w:right="0"/>
              <w:jc w:val="both"/>
              <w:rPr>
                <w:rFonts w:ascii="Times New Roman" w:hAnsi="Times New Roman"/>
                <w:color w:themeColor="text1" w:val="000000"/>
                <w:sz w:val="24"/>
                <w:szCs w:val="24"/>
                <w:highlight w:val="none"/>
              </w:rPr>
            </w:pPr>
            <w:r>
              <w:rPr>
                <w:b w:val="false"/>
                <w:bCs w:val="false"/>
                <w:color w:themeColor="text1" w:val="000000"/>
                <w:sz w:val="24"/>
                <w:szCs w:val="24"/>
              </w:rPr>
              <w:t xml:space="preserve">частично, площадью 245 кв.м, в границах </w:t>
            </w:r>
            <w:r>
              <w:rPr>
                <w:color w:themeColor="text1" w:val="000000"/>
                <w:sz w:val="24"/>
                <w:szCs w:val="24"/>
              </w:rPr>
              <w:t>водоохранной зоны Камского водохранилища, реестровый номер 59:01-6.1326.</w:t>
            </w:r>
          </w:p>
          <w:p>
            <w:pPr>
              <w:pStyle w:val="Normal"/>
              <w:spacing w:lineRule="auto" w:line="240" w:before="0" w:after="0"/>
              <w:ind w:firstLine="425" w:left="0" w:right="0"/>
              <w:jc w:val="both"/>
              <w:rPr>
                <w:rFonts w:ascii="Times New Roman" w:hAnsi="Times New Roman"/>
                <w:b w:val="false"/>
                <w:bCs w:val="false"/>
                <w:color w:themeColor="text1" w:val="000000"/>
                <w:sz w:val="24"/>
                <w:szCs w:val="24"/>
                <w:highlight w:val="none"/>
              </w:rPr>
            </w:pPr>
            <w:r>
              <w:rPr>
                <w:b w:val="false"/>
                <w:bCs w:val="false"/>
                <w:color w:themeColor="text1" w:val="000000"/>
                <w:sz w:val="24"/>
                <w:szCs w:val="24"/>
              </w:rPr>
              <w:t>Необходимо соблюдать ограничения, установленные ст. 65 Водного кодекса Российской Федерации от 03.06.2026 г № 74-ФЗ</w:t>
            </w:r>
          </w:p>
          <w:p>
            <w:pPr>
              <w:pStyle w:val="Normal"/>
              <w:spacing w:lineRule="auto" w:line="240" w:before="0" w:after="0"/>
              <w:ind w:firstLine="425" w:left="0" w:right="0"/>
              <w:jc w:val="both"/>
              <w:rPr>
                <w:color w:themeColor="text1" w:val="000000"/>
              </w:rPr>
            </w:pPr>
            <w:r>
              <w:rPr>
                <w:b w:val="false"/>
                <w:bCs w:val="false"/>
                <w:color w:themeColor="text1" w:val="000000"/>
                <w:sz w:val="24"/>
                <w:szCs w:val="24"/>
              </w:rPr>
              <w:t>Проектировании и строительстве вести в соответствии с приказом Камского бассейнового водного управления Федерального агентства водных ресурсов № 163 от 07.07.2014 "Об установлении границ водоохранных зон и 247 прибрежных защитных полос Камского водохранилища".</w:t>
            </w:r>
          </w:p>
          <w:p>
            <w:pPr>
              <w:pStyle w:val="Normal"/>
              <w:spacing w:lineRule="auto" w:line="240" w:before="0" w:after="0"/>
              <w:ind w:firstLine="425" w:left="0" w:right="0"/>
              <w:jc w:val="both"/>
              <w:rPr>
                <w:color w:themeColor="text1" w:val="000000"/>
              </w:rPr>
            </w:pPr>
            <w:r>
              <w:rPr>
                <w:color w:themeColor="text1" w:val="000000"/>
              </w:rPr>
            </w:r>
          </w:p>
          <w:p>
            <w:pPr>
              <w:pStyle w:val="Normal"/>
              <w:spacing w:lineRule="auto" w:line="240" w:before="0" w:after="0"/>
              <w:ind w:firstLine="283" w:left="0" w:right="0"/>
              <w:jc w:val="both"/>
              <w:rPr>
                <w:rFonts w:ascii="Times New Roman" w:hAnsi="Times New Roman"/>
                <w:color w:themeColor="text1" w:val="000000"/>
                <w:sz w:val="24"/>
                <w:szCs w:val="24"/>
              </w:rPr>
            </w:pPr>
            <w:r>
              <w:rPr>
                <w:color w:themeColor="text1" w:val="000000"/>
                <w:sz w:val="24"/>
                <w:szCs w:val="24"/>
              </w:rPr>
              <w:t>На Участке произрастает 40 штук деревьев: черемуха – 2 шт., клен - 2 шт., ель – 4 шт., береза - 7 шт., осина - 8 шт., ива - 17 шт.</w:t>
            </w:r>
          </w:p>
          <w:p>
            <w:pPr>
              <w:pStyle w:val="Normal"/>
              <w:spacing w:lineRule="auto" w:line="240" w:before="0" w:after="0"/>
              <w:ind w:firstLine="283" w:left="0" w:right="0"/>
              <w:jc w:val="both"/>
              <w:rPr>
                <w:rFonts w:ascii="Times New Roman" w:hAnsi="Times New Roman"/>
                <w:color w:themeColor="text1" w:val="000000"/>
                <w:sz w:val="24"/>
                <w:szCs w:val="24"/>
                <w:highlight w:val="none"/>
              </w:rPr>
            </w:pPr>
            <w:r>
              <w:rPr>
                <w:color w:themeColor="text1" w:val="000000"/>
                <w:sz w:val="24"/>
                <w:szCs w:val="24"/>
                <w:highlight w:val="white"/>
              </w:rPr>
              <w:t>Средняя стоимость в ценах 2026 года одного дерева лиственной породы от 25 тыс. руб., а хвойной – от 30 тыс. руб.</w:t>
            </w:r>
          </w:p>
          <w:p>
            <w:pPr>
              <w:pStyle w:val="Normal"/>
              <w:spacing w:lineRule="auto" w:line="240" w:before="0" w:after="0"/>
              <w:ind w:firstLine="283" w:left="0" w:right="0"/>
              <w:jc w:val="both"/>
              <w:rPr>
                <w:rFonts w:ascii="Times New Roman" w:hAnsi="Times New Roman" w:eastAsia="Times New Roman" w:cs="Times New Roman"/>
                <w:color w:themeColor="text1" w:val="000000"/>
                <w:spacing w:val="0"/>
                <w14:ligatures w14:val="none"/>
              </w:rPr>
            </w:pPr>
            <w:r>
              <w:rPr>
                <w:rFonts w:eastAsia="Times New Roman" w:cs="Times New Roman"/>
                <w:color w:themeColor="text1" w:val="000000"/>
                <w:spacing w:val="0"/>
                <w:sz w:val="24"/>
              </w:rPr>
              <w:t xml:space="preserve">Победителю аукциона необходимо соблюдать условия строительства, перечисленные в </w:t>
            </w:r>
            <w:r>
              <w:rPr>
                <w:rFonts w:eastAsia="Times New Roman" w:cs="Times New Roman"/>
                <w:color w:themeColor="text1" w:val="000000"/>
                <w:spacing w:val="0"/>
                <w:sz w:val="24"/>
                <w:szCs w:val="24"/>
              </w:rPr>
              <w:t xml:space="preserve">перечне мероприятий </w:t>
              <w:br/>
              <w:t>по охране окружающей среды от 21.04.2026 № 76.</w:t>
            </w:r>
          </w:p>
          <w:p>
            <w:pPr>
              <w:pStyle w:val="Normal"/>
              <w:tabs>
                <w:tab w:val="clear" w:pos="708"/>
                <w:tab w:val="right" w:pos="6000" w:leader="none"/>
              </w:tabs>
              <w:spacing w:lineRule="auto" w:line="240" w:before="0" w:after="0"/>
              <w:ind w:firstLine="311"/>
              <w:jc w:val="both"/>
              <w:rPr/>
            </w:pPr>
            <w:r>
              <w:rPr>
                <w:sz w:val="24"/>
                <w:szCs w:val="24"/>
                <w:highlight w:val="white"/>
              </w:rPr>
              <w:t xml:space="preserve">(Аналогичная информация отражена в письме </w:t>
            </w:r>
            <w:r>
              <w:rPr>
                <w:b/>
                <w:bCs/>
                <w:sz w:val="24"/>
                <w:szCs w:val="24"/>
                <w:highlight w:val="white"/>
              </w:rPr>
              <w:t>у</w:t>
            </w:r>
            <w:r>
              <w:rPr>
                <w:b/>
                <w:color w:themeColor="text1" w:val="000000"/>
                <w:sz w:val="24"/>
                <w:szCs w:val="24"/>
                <w:highlight w:val="white"/>
              </w:rPr>
              <w:t>правления по экологии и природопользованию администрации города Перми</w:t>
            </w:r>
            <w:r>
              <w:rPr>
                <w:color w:themeColor="text1" w:val="000000"/>
                <w:sz w:val="24"/>
                <w:szCs w:val="24"/>
                <w:highlight w:val="white"/>
              </w:rPr>
              <w:t xml:space="preserve"> от 22.04.2026 № 059-33-01-10/3-226</w:t>
            </w:r>
            <w:r>
              <w:rPr>
                <w:sz w:val="24"/>
                <w:szCs w:val="24"/>
                <w:highlight w:val="white"/>
              </w:rPr>
              <w:t>).</w:t>
            </w:r>
          </w:p>
          <w:p>
            <w:pPr>
              <w:pStyle w:val="Normal"/>
              <w:tabs>
                <w:tab w:val="clear" w:pos="708"/>
                <w:tab w:val="right" w:pos="6000" w:leader="none"/>
              </w:tabs>
              <w:spacing w:lineRule="auto" w:line="240" w:before="0" w:after="0"/>
              <w:ind w:firstLine="311"/>
              <w:jc w:val="both"/>
              <w:rPr>
                <w:rFonts w:ascii="Times New Roman" w:hAnsi="Times New Roman" w:eastAsia="Times New Roman" w:cs="Times New Roman"/>
                <w:color w:themeColor="text1" w:val="000000"/>
                <w:spacing w:val="0"/>
                <w:sz w:val="24"/>
                <w:szCs w:val="24"/>
                <w:highlight w:val="white"/>
              </w:rPr>
            </w:pPr>
            <w:r>
              <w:rPr>
                <w:rFonts w:eastAsia="Times New Roman" w:cs="Times New Roman"/>
                <w:color w:themeColor="text1" w:val="000000"/>
                <w:spacing w:val="0"/>
                <w:sz w:val="24"/>
                <w:szCs w:val="24"/>
                <w:highlight w:val="white"/>
              </w:rPr>
            </w:r>
          </w:p>
          <w:p>
            <w:pPr>
              <w:pStyle w:val="Normal"/>
              <w:spacing w:lineRule="auto" w:line="240" w:before="0" w:after="0"/>
              <w:ind w:firstLine="283" w:left="0" w:right="0"/>
              <w:jc w:val="both"/>
              <w:rPr>
                <w:rFonts w:ascii="Times New Roman" w:hAnsi="Times New Roman"/>
                <w:color w:themeColor="text1" w:val="000000"/>
                <w:sz w:val="24"/>
                <w:szCs w:val="24"/>
                <w:highlight w:val="none"/>
              </w:rPr>
            </w:pPr>
            <w:r>
              <w:rPr>
                <w:color w:themeColor="text1" w:val="000000"/>
                <w:sz w:val="24"/>
                <w:szCs w:val="24"/>
              </w:rPr>
              <w:t xml:space="preserve">Муниципальной программой «Дорожная деятельность и благоустройство города Перми», утвержденной постановлением администрации города Перми от 18.10.2024 № 966 </w:t>
              <w:br/>
              <w:t>«Об утверждении муниципальной программы «Дорожная деятельность и благоустройство города Перми»,</w:t>
            </w:r>
            <w:r>
              <w:rPr>
                <w:color w:themeColor="text1" w:val="000000"/>
                <w:sz w:val="24"/>
                <w:szCs w:val="24"/>
                <w:highlight w:val="white"/>
              </w:rPr>
              <w:t xml:space="preserve"> бюджетом города Перми на период 2025-2029 годы мероприятия по строительству, реконструкции, капитальному ремонту улично-дорожной сети на рассматриваемой территории не предусмотрены.</w:t>
            </w:r>
          </w:p>
          <w:p>
            <w:pPr>
              <w:pStyle w:val="Normal"/>
              <w:spacing w:lineRule="auto" w:line="240" w:beforeAutospacing="0" w:before="0" w:afterAutospacing="0" w:after="0"/>
              <w:ind w:firstLine="283" w:left="0" w:right="0"/>
              <w:jc w:val="both"/>
              <w:rPr>
                <w:color w:themeColor="text1" w:val="000000"/>
              </w:rPr>
            </w:pPr>
            <w:r>
              <w:rPr>
                <w:rFonts w:eastAsia="Times New Roman" w:cs="Times New Roman"/>
                <w:color w:themeColor="text1" w:val="000000"/>
                <w:sz w:val="24"/>
              </w:rPr>
              <w:t>Для примыкания Участка к улично-дорожной сети города Перми необходимо выполнить условия, указанные в письме.</w:t>
            </w:r>
          </w:p>
          <w:p>
            <w:pPr>
              <w:pStyle w:val="Normal"/>
              <w:spacing w:lineRule="auto" w:line="240" w:beforeAutospacing="0" w:before="0" w:afterAutospacing="0" w:after="0"/>
              <w:ind w:firstLine="283" w:left="0" w:right="0"/>
              <w:jc w:val="both"/>
              <w:rPr>
                <w:color w:themeColor="text1" w:val="000000"/>
              </w:rPr>
            </w:pPr>
            <w:r>
              <w:rPr>
                <w:rFonts w:eastAsia="Times New Roman" w:cs="Times New Roman"/>
                <w:color w:themeColor="text1" w:val="000000"/>
                <w:sz w:val="24"/>
              </w:rPr>
              <w:t>Также направлена информация о соблюдении Правил благоустройства территории города Перми, утвержденных решением Пермской городской Думы от 15.12.2020 № 277 «Об утверждении Правил благоустройства территории города Перми», при строительстве объектов недвижимости на земельных участках, предоставленных на торгах.</w:t>
            </w:r>
          </w:p>
          <w:p>
            <w:pPr>
              <w:pStyle w:val="Normal"/>
              <w:spacing w:lineRule="auto" w:line="240" w:before="0" w:after="0"/>
              <w:ind w:firstLine="283" w:left="0" w:right="0"/>
              <w:jc w:val="both"/>
              <w:rPr>
                <w:color w:themeColor="text1" w:val="000000"/>
              </w:rPr>
            </w:pPr>
            <w:r>
              <w:rPr>
                <w:color w:themeColor="text1" w:val="000000"/>
                <w:sz w:val="24"/>
                <w:szCs w:val="24"/>
              </w:rPr>
              <w:t xml:space="preserve">В соответствии с Федеральным Законом от 08.11.2007 </w:t>
              <w:br/>
              <w:t xml:space="preserve">№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расходы на строительство, реконструкцию, капитальный ремонт, ремонт пересечений и примыканий, в том числе расходы на выполнение дополнительных работ, связанных </w:t>
              <w:br/>
              <w:t xml:space="preserve">с обеспечением безопасности дорожного движения, водоотведения и исполнением других установленных техническими регламентами требований, несут лица, </w:t>
              <w:br/>
              <w:t xml:space="preserve">в интересах которых осуществляются строительство, реконструкция, капитальный ремонт, ремонт пересечений </w:t>
              <w:br/>
              <w:t>или примыканий.</w:t>
            </w:r>
          </w:p>
          <w:p>
            <w:pPr>
              <w:pStyle w:val="Normal"/>
              <w:tabs>
                <w:tab w:val="clear" w:pos="708"/>
                <w:tab w:val="right" w:pos="6000" w:leader="none"/>
              </w:tabs>
              <w:spacing w:lineRule="auto" w:line="240" w:before="0" w:after="0"/>
              <w:ind w:firstLine="311"/>
              <w:jc w:val="both"/>
              <w:rPr/>
            </w:pPr>
            <w:r>
              <w:rPr>
                <w:sz w:val="24"/>
                <w:szCs w:val="24"/>
                <w:highlight w:val="white"/>
              </w:rPr>
              <w:t xml:space="preserve">(Аналогичная информация отражена в письме </w:t>
            </w:r>
            <w:r>
              <w:rPr>
                <w:b/>
                <w:bCs/>
                <w:sz w:val="24"/>
                <w:szCs w:val="24"/>
                <w:highlight w:val="white"/>
              </w:rPr>
              <w:t>д</w:t>
            </w:r>
            <w:r>
              <w:rPr>
                <w:b/>
                <w:color w:themeColor="text1" w:val="000000"/>
                <w:sz w:val="24"/>
                <w:szCs w:val="24"/>
                <w:highlight w:val="white"/>
              </w:rPr>
              <w:t>епартамента дорог и благоустройства администрации города Перми</w:t>
            </w:r>
            <w:r>
              <w:rPr>
                <w:color w:themeColor="text1" w:val="000000"/>
                <w:sz w:val="24"/>
                <w:szCs w:val="24"/>
                <w:highlight w:val="white"/>
              </w:rPr>
              <w:t xml:space="preserve"> от 01.04.2026 № 059-24-01-36/3-911</w:t>
            </w:r>
            <w:r>
              <w:rPr>
                <w:sz w:val="24"/>
                <w:szCs w:val="24"/>
                <w:highlight w:val="white"/>
              </w:rPr>
              <w:t>).</w:t>
            </w:r>
          </w:p>
          <w:p>
            <w:pPr>
              <w:pStyle w:val="Normal"/>
              <w:tabs>
                <w:tab w:val="clear" w:pos="708"/>
                <w:tab w:val="right" w:pos="6000" w:leader="none"/>
              </w:tabs>
              <w:spacing w:lineRule="auto" w:line="240" w:before="0" w:after="0"/>
              <w:ind w:firstLine="311"/>
              <w:jc w:val="both"/>
              <w:rPr>
                <w:rFonts w:ascii="Times New Roman" w:hAnsi="Times New Roman"/>
                <w:color w:themeColor="text1" w:val="000000"/>
                <w:sz w:val="24"/>
                <w:szCs w:val="24"/>
                <w:highlight w:val="white"/>
              </w:rPr>
            </w:pPr>
            <w:r>
              <w:rPr>
                <w:color w:themeColor="text1" w:val="000000"/>
                <w:sz w:val="24"/>
                <w:szCs w:val="24"/>
                <w:highlight w:val="white"/>
              </w:rPr>
            </w:r>
          </w:p>
          <w:p>
            <w:pPr>
              <w:pStyle w:val="Normal"/>
              <w:spacing w:lineRule="auto" w:line="240" w:before="0" w:after="0"/>
              <w:ind w:firstLine="283" w:left="0" w:right="0"/>
              <w:jc w:val="both"/>
              <w:rPr>
                <w:rFonts w:ascii="Times New Roman" w:hAnsi="Times New Roman" w:eastAsia="Times New Roman" w:cs="Times New Roman"/>
                <w:color w:themeColor="text1" w:val="000000"/>
                <w:sz w:val="24"/>
                <w:szCs w:val="24"/>
              </w:rPr>
            </w:pPr>
            <w:r>
              <w:rPr>
                <w:rFonts w:eastAsia="Times New Roman" w:cs="Times New Roman"/>
                <w:color w:themeColor="text1" w:val="000000"/>
                <w:sz w:val="24"/>
                <w:szCs w:val="24"/>
              </w:rPr>
              <w:t>Источники противопожарного водоснабжения на указанной территории отсутствуют.</w:t>
            </w:r>
          </w:p>
          <w:p>
            <w:pPr>
              <w:pStyle w:val="Normal"/>
              <w:spacing w:lineRule="auto" w:line="240" w:before="0" w:after="0"/>
              <w:ind w:firstLine="283" w:left="0" w:right="0"/>
              <w:jc w:val="both"/>
              <w:rPr>
                <w:color w:themeColor="text1" w:val="000000"/>
              </w:rPr>
            </w:pPr>
            <w:r>
              <w:rPr>
                <w:rFonts w:eastAsia="Times New Roman" w:cs="Times New Roman"/>
                <w:color w:themeColor="text1" w:val="000000"/>
                <w:sz w:val="24"/>
                <w:szCs w:val="24"/>
              </w:rPr>
              <w:t xml:space="preserve">Информация о подразделениях пожарной охраны </w:t>
              <w:br/>
              <w:t xml:space="preserve">и времени их прибытия содержится в «Расписании выезда подразделений Пермского местного пожарно-спасательного гарнизона для тушения пожаров и проведения аварийно-спасательных работ на территории Пермского городского округа, Пермского муниципального района», утвержденном Главой города Перми 26.04.2024. Подразделение пожарной охраны расположено по адресу: ул. Василия Каменского, 2 </w:t>
              <w:br/>
              <w:t>(ПСЧ-4 10-ПСО).</w:t>
            </w:r>
          </w:p>
          <w:p>
            <w:pPr>
              <w:pStyle w:val="Normal"/>
              <w:spacing w:lineRule="auto" w:line="240" w:before="0" w:after="0"/>
              <w:ind w:firstLine="283" w:left="0" w:right="0"/>
              <w:jc w:val="both"/>
              <w:rPr>
                <w:color w:themeColor="text1" w:val="000000"/>
              </w:rPr>
            </w:pPr>
            <w:r>
              <w:rPr>
                <w:rFonts w:eastAsia="Times New Roman" w:cs="Times New Roman"/>
                <w:color w:themeColor="text1" w:val="000000"/>
                <w:sz w:val="24"/>
                <w:szCs w:val="24"/>
              </w:rPr>
              <w:t>Помещения для аварийно-спасательных служб и (или) аварийно - спасательных формирований на указанной территории отсутствуют.</w:t>
            </w:r>
          </w:p>
          <w:p>
            <w:pPr>
              <w:pStyle w:val="Normal"/>
              <w:spacing w:lineRule="auto" w:line="240" w:before="0" w:after="0"/>
              <w:ind w:firstLine="283" w:left="0" w:right="0"/>
              <w:jc w:val="both"/>
              <w:rPr>
                <w:color w:themeColor="text1" w:val="000000"/>
              </w:rPr>
            </w:pPr>
            <w:r>
              <w:rPr>
                <w:rFonts w:eastAsia="Times New Roman" w:cs="Times New Roman"/>
                <w:color w:themeColor="text1" w:val="000000"/>
                <w:sz w:val="24"/>
                <w:szCs w:val="24"/>
              </w:rPr>
              <w:t>Объекты общественной безопасности, отнесенные к объектам полиции (участковые пункты полиции) в данном микрорайоне (Голованово) отсутствуют. Ближайший участковый пункт расположен по адресу: г. Пермь, ул. Бенгальская, 6 (микрорайон Бумкомбинат, Орджоникидзевский район). В настоящее время в указанном микрорайоне строительство (приобретение) участковых пунктов полиции не планируется.</w:t>
            </w:r>
          </w:p>
          <w:p>
            <w:pPr>
              <w:pStyle w:val="Normal"/>
              <w:spacing w:lineRule="auto" w:line="240" w:before="0" w:after="0"/>
              <w:ind w:firstLine="283" w:left="0" w:right="0"/>
              <w:jc w:val="both"/>
              <w:rPr>
                <w:color w:themeColor="text1" w:val="000000"/>
              </w:rPr>
            </w:pPr>
            <w:r>
              <w:rPr>
                <w:rFonts w:eastAsia="Times New Roman" w:cs="Times New Roman"/>
                <w:color w:themeColor="text1" w:val="000000"/>
                <w:sz w:val="24"/>
                <w:szCs w:val="24"/>
              </w:rPr>
              <w:t>На указанной территории оконечные устройства системы оповещения населения города Перми отсутствуют. Для обеспечения покрытия запланированной территории системой оповещения населения необходимо предусматривать размещение сиренно - речевых узлов согласно пунктам 6.38, 6.39 СП 165.1325800.2014 «Свод правил. Инженерно-технические мероприятия по гражданской обороне. Актуализированная редакция СНиП 2.01.51-90».</w:t>
            </w:r>
          </w:p>
          <w:p>
            <w:pPr>
              <w:pStyle w:val="Normal"/>
              <w:tabs>
                <w:tab w:val="clear" w:pos="708"/>
                <w:tab w:val="right" w:pos="6000" w:leader="none"/>
              </w:tabs>
              <w:spacing w:lineRule="auto" w:line="240" w:before="0" w:after="0"/>
              <w:ind w:firstLine="311"/>
              <w:jc w:val="both"/>
              <w:rPr/>
            </w:pPr>
            <w:r>
              <w:rPr>
                <w:sz w:val="24"/>
                <w:szCs w:val="24"/>
                <w:highlight w:val="white"/>
              </w:rPr>
              <w:t xml:space="preserve">(Аналогичная информация отражена в письме </w:t>
            </w:r>
            <w:r>
              <w:rPr>
                <w:rFonts w:eastAsia="Times New Roman" w:cs="Times New Roman"/>
                <w:b/>
                <w:color w:themeColor="text1" w:val="000000"/>
                <w:sz w:val="24"/>
                <w:szCs w:val="24"/>
                <w:highlight w:val="white"/>
              </w:rPr>
              <w:t>департамента общественной безопасности администрации города Перми</w:t>
            </w:r>
            <w:r>
              <w:rPr>
                <w:rFonts w:eastAsia="Times New Roman" w:cs="Times New Roman"/>
                <w:color w:themeColor="text1" w:val="000000"/>
                <w:sz w:val="24"/>
                <w:szCs w:val="24"/>
                <w:highlight w:val="white"/>
              </w:rPr>
              <w:t xml:space="preserve"> от 31.03.2026 № 059-10-01-27/3-469</w:t>
            </w:r>
            <w:r>
              <w:rPr>
                <w:sz w:val="24"/>
                <w:szCs w:val="24"/>
                <w:highlight w:val="white"/>
              </w:rPr>
              <w:t>).</w:t>
            </w:r>
          </w:p>
          <w:p>
            <w:pPr>
              <w:pStyle w:val="Normal"/>
              <w:tabs>
                <w:tab w:val="clear" w:pos="708"/>
                <w:tab w:val="right" w:pos="6000" w:leader="none"/>
              </w:tabs>
              <w:spacing w:lineRule="auto" w:line="240" w:before="0" w:after="0"/>
              <w:ind w:firstLine="311"/>
              <w:jc w:val="both"/>
              <w:rPr>
                <w:rFonts w:ascii="Times New Roman" w:hAnsi="Times New Roman" w:eastAsia="Times New Roman" w:cs="Times New Roman"/>
                <w:color w:themeColor="text1" w:val="000000"/>
                <w:sz w:val="24"/>
                <w:szCs w:val="24"/>
                <w:highlight w:val="white"/>
              </w:rPr>
            </w:pPr>
            <w:r>
              <w:rPr>
                <w:rFonts w:eastAsia="Times New Roman" w:cs="Times New Roman"/>
                <w:color w:themeColor="text1" w:val="000000"/>
                <w:sz w:val="24"/>
                <w:szCs w:val="24"/>
                <w:highlight w:val="white"/>
              </w:rPr>
            </w:r>
          </w:p>
          <w:p>
            <w:pPr>
              <w:pStyle w:val="Normal"/>
              <w:spacing w:lineRule="auto" w:line="240" w:before="0" w:after="0"/>
              <w:ind w:firstLine="283" w:left="0" w:right="0"/>
              <w:jc w:val="both"/>
              <w:rPr>
                <w:color w:val="auto"/>
              </w:rPr>
            </w:pPr>
            <w:r>
              <w:rPr>
                <w:color w:themeColor="text1" w:val="000000"/>
                <w:sz w:val="24"/>
                <w:szCs w:val="24"/>
              </w:rPr>
              <w:t>На период до 2028 года на территории, где расположен Участок, схемами водоснабжения и водоотведения города Перми, утвержденными постановлением администрации города Перми от 28.12.2018 № 1085, строительство сетей водоснабжения в мкр. Голованово не предусмотрено.</w:t>
            </w:r>
          </w:p>
          <w:p>
            <w:pPr>
              <w:pStyle w:val="Normal"/>
              <w:tabs>
                <w:tab w:val="clear" w:pos="708"/>
                <w:tab w:val="right" w:pos="6000" w:leader="none"/>
              </w:tabs>
              <w:spacing w:lineRule="auto" w:line="240" w:before="0" w:after="0"/>
              <w:ind w:firstLine="311"/>
              <w:jc w:val="both"/>
              <w:rPr/>
            </w:pPr>
            <w:r>
              <w:rPr>
                <w:sz w:val="24"/>
                <w:szCs w:val="24"/>
                <w:highlight w:val="white"/>
              </w:rPr>
              <w:t xml:space="preserve">(Аналогичная информация отражена в письме </w:t>
            </w:r>
            <w:r>
              <w:rPr>
                <w:b/>
                <w:color w:themeColor="text1" w:val="000000"/>
                <w:sz w:val="24"/>
                <w:szCs w:val="24"/>
                <w:highlight w:val="white"/>
              </w:rPr>
              <w:t>департамента жилищно-коммунального хозяйства администрации города Перми</w:t>
            </w:r>
            <w:r>
              <w:rPr>
                <w:color w:themeColor="text1" w:val="000000"/>
                <w:sz w:val="24"/>
                <w:szCs w:val="24"/>
                <w:highlight w:val="white"/>
              </w:rPr>
              <w:t xml:space="preserve"> от 03.04.2026 № 059-04-17/3-265-ри</w:t>
            </w:r>
            <w:r>
              <w:rPr>
                <w:sz w:val="24"/>
                <w:szCs w:val="24"/>
                <w:highlight w:val="white"/>
              </w:rPr>
              <w:t>).</w:t>
            </w:r>
          </w:p>
          <w:p>
            <w:pPr>
              <w:pStyle w:val="Normal"/>
              <w:tabs>
                <w:tab w:val="clear" w:pos="708"/>
                <w:tab w:val="right" w:pos="6000" w:leader="none"/>
              </w:tabs>
              <w:spacing w:lineRule="auto" w:line="240" w:before="0" w:after="0"/>
              <w:ind w:firstLine="311"/>
              <w:jc w:val="both"/>
              <w:rPr>
                <w:rFonts w:ascii="Times New Roman" w:hAnsi="Times New Roman"/>
                <w:color w:themeColor="text1" w:val="000000"/>
                <w:sz w:val="24"/>
                <w:szCs w:val="24"/>
                <w:highlight w:val="white"/>
              </w:rPr>
            </w:pPr>
            <w:r>
              <w:rPr>
                <w:color w:themeColor="text1" w:val="000000"/>
                <w:sz w:val="24"/>
                <w:szCs w:val="24"/>
                <w:highlight w:val="white"/>
              </w:rPr>
            </w:r>
          </w:p>
        </w:tc>
      </w:tr>
      <w:tr>
        <w:trPr>
          <w:trHeight w:val="1087" w:hRule="atLeast"/>
        </w:trPr>
        <w:tc>
          <w:tcPr>
            <w:tcW w:w="567" w:type="dxa"/>
            <w:vMerge w:val="continue"/>
            <w:tcBorders>
              <w:top w:val="single" w:sz="4" w:space="0" w:color="000000"/>
              <w:left w:val="single" w:sz="4" w:space="0" w:color="000000"/>
              <w:bottom w:val="single" w:sz="4" w:space="0" w:color="000000"/>
              <w:right w:val="single" w:sz="4" w:space="0" w:color="000000"/>
            </w:tcBorders>
          </w:tcPr>
          <w:p>
            <w:pPr>
              <w:pStyle w:val="Normal"/>
              <w:jc w:val="center"/>
              <w:rPr>
                <w:sz w:val="20"/>
              </w:rPr>
            </w:pPr>
            <w:r>
              <w:rPr>
                <w:sz w:val="20"/>
              </w:rPr>
            </w:r>
          </w:p>
        </w:tc>
        <w:tc>
          <w:tcPr>
            <w:tcW w:w="3054" w:type="dxa"/>
            <w:tcBorders>
              <w:top w:val="single" w:sz="4" w:space="0" w:color="000000"/>
              <w:left w:val="single" w:sz="4" w:space="0" w:color="000000"/>
              <w:bottom w:val="single" w:sz="4" w:space="0" w:color="000000"/>
              <w:right w:val="single" w:sz="4" w:space="0" w:color="000000"/>
            </w:tcBorders>
          </w:tcPr>
          <w:p>
            <w:pPr>
              <w:pStyle w:val="Normal"/>
              <w:widowControl/>
              <w:numPr>
                <w:ilvl w:val="0"/>
                <w:numId w:val="2"/>
              </w:numPr>
              <w:spacing w:before="0" w:after="0"/>
              <w:ind w:hanging="283" w:left="510" w:right="113"/>
              <w:jc w:val="left"/>
              <w:rPr>
                <w:sz w:val="24"/>
                <w:szCs w:val="24"/>
              </w:rPr>
            </w:pPr>
            <w:r>
              <w:rPr>
                <w:sz w:val="24"/>
                <w:szCs w:val="24"/>
              </w:rPr>
              <w:t xml:space="preserve">максимально и (или) минимально </w:t>
              <w:br/>
              <w:t>допустимые параметры разрешенного строительства объекта капитального строительства</w:t>
            </w:r>
          </w:p>
        </w:tc>
        <w:tc>
          <w:tcPr>
            <w:tcW w:w="6864" w:type="dxa"/>
            <w:tcBorders>
              <w:top w:val="single" w:sz="4" w:space="0" w:color="000000"/>
              <w:left w:val="single" w:sz="4" w:space="0" w:color="000000"/>
              <w:bottom w:val="single" w:sz="4" w:space="0" w:color="000000"/>
              <w:right w:val="single" w:sz="4" w:space="0" w:color="000000"/>
            </w:tcBorders>
          </w:tcPr>
          <w:p>
            <w:pPr>
              <w:pStyle w:val="Normal"/>
              <w:ind w:firstLine="312"/>
              <w:jc w:val="both"/>
              <w:rPr>
                <w:color w:themeColor="text1" w:val="000000"/>
                <w:sz w:val="24"/>
                <w:szCs w:val="24"/>
                <w:highlight w:val="none"/>
                <w:u w:val="none"/>
              </w:rPr>
            </w:pPr>
            <w:r>
              <w:rPr>
                <w:color w:themeColor="text1" w:val="000000"/>
                <w:sz w:val="24"/>
                <w:szCs w:val="24"/>
                <w:u w:val="none"/>
              </w:rPr>
            </w:r>
          </w:p>
          <w:p>
            <w:pPr>
              <w:pStyle w:val="Normal"/>
              <w:ind w:firstLine="312"/>
              <w:jc w:val="both"/>
              <w:rPr>
                <w:color w:themeColor="text1" w:val="000000"/>
                <w:sz w:val="24"/>
                <w:szCs w:val="24"/>
                <w:highlight w:val="none"/>
                <w:u w:val="none"/>
              </w:rPr>
            </w:pPr>
            <w:r>
              <w:rPr>
                <w:szCs w:val="24"/>
              </w:rPr>
              <w:t xml:space="preserve">В </w:t>
            </w:r>
            <w:r>
              <w:rPr>
                <w:szCs w:val="24"/>
                <w:shd w:fill="FFFFFF" w:val="clear"/>
              </w:rPr>
              <w:t>документации по земельному участку, размещенной</w:t>
              <w:br/>
              <w:t xml:space="preserve">с извещением о проведении аукциона в ГИС Торги </w:t>
            </w:r>
            <w:r>
              <w:rPr>
                <w:szCs w:val="24"/>
                <w:lang w:val="en-US"/>
              </w:rPr>
              <w:t>www</w:t>
            </w:r>
            <w:r>
              <w:rPr>
                <w:szCs w:val="24"/>
              </w:rPr>
              <w:t>.</w:t>
            </w:r>
            <w:r>
              <w:rPr>
                <w:szCs w:val="24"/>
                <w:lang w:val="en-US"/>
              </w:rPr>
              <w:t>torgi</w:t>
            </w:r>
            <w:r>
              <w:rPr>
                <w:szCs w:val="24"/>
              </w:rPr>
              <w:t>.</w:t>
            </w:r>
            <w:r>
              <w:rPr>
                <w:szCs w:val="24"/>
                <w:lang w:val="en-US"/>
              </w:rPr>
              <w:t>gov</w:t>
            </w:r>
            <w:r>
              <w:rPr>
                <w:szCs w:val="24"/>
              </w:rPr>
              <w:t>.</w:t>
            </w:r>
            <w:r>
              <w:rPr>
                <w:szCs w:val="24"/>
                <w:lang w:val="en-US"/>
              </w:rPr>
              <w:t>ru</w:t>
            </w:r>
            <w:r>
              <w:rPr>
                <w:szCs w:val="24"/>
                <w:shd w:fill="FFFFFF" w:val="clear"/>
              </w:rPr>
              <w:t xml:space="preserve">, на официальном сайте муниципального образования город Пермь в информационно-телекоммуникационной сети Интернет </w:t>
            </w:r>
            <w:hyperlink r:id="rId13" w:tgtFrame="http://www.gorodperm.ru/">
              <w:r>
                <w:rPr>
                  <w:rStyle w:val="Hyperlink"/>
                  <w:color w:themeColor="text1" w:val="000000"/>
                  <w:szCs w:val="24"/>
                  <w:u w:val="none"/>
                </w:rPr>
                <w:t>www.gorodperm.ru</w:t>
              </w:r>
            </w:hyperlink>
            <w:r>
              <w:rPr>
                <w:color w:themeColor="text1" w:val="000000"/>
                <w:szCs w:val="24"/>
                <w:u w:val="none"/>
              </w:rPr>
              <w:t>.</w:t>
            </w:r>
          </w:p>
          <w:p>
            <w:pPr>
              <w:pStyle w:val="Normal"/>
              <w:ind w:firstLine="312"/>
              <w:jc w:val="both"/>
              <w:rPr>
                <w:sz w:val="24"/>
                <w:szCs w:val="24"/>
                <w:highlight w:val="none"/>
              </w:rPr>
            </w:pPr>
            <w:r>
              <w:rPr>
                <w:sz w:val="24"/>
                <w:szCs w:val="24"/>
              </w:rPr>
            </w:r>
          </w:p>
          <w:p>
            <w:pPr>
              <w:pStyle w:val="Normal"/>
              <w:spacing w:lineRule="auto" w:line="240" w:before="0" w:after="0"/>
              <w:ind w:firstLine="283" w:left="0" w:right="0"/>
              <w:jc w:val="both"/>
              <w:rPr>
                <w:rFonts w:ascii="Times New Roman" w:hAnsi="Times New Roman"/>
                <w:color w:themeColor="text1" w:val="000000"/>
                <w:sz w:val="24"/>
                <w:szCs w:val="24"/>
              </w:rPr>
            </w:pPr>
            <w:r>
              <w:rPr>
                <w:color w:themeColor="text1" w:val="000000"/>
                <w:sz w:val="24"/>
                <w:szCs w:val="24"/>
                <w:lang w:val="en-US"/>
              </w:rPr>
              <w:t xml:space="preserve">Проектирование и строительство необходимо вести </w:t>
              <w:br/>
              <w:t>в соответствии с пунктом 4.5 СП 55.13330.2016 Свода Правил. Дома жилые одноквартирные. СНиП 31-02-2001, утвержденным и введенным в действие Приказом Министерства строительства и жилищно-коммунального хозяйства Российской Федерации от 20.10.2016 № 725/пр. Дом должен включать жилые комнаты – одну или несколько (общую комнату или гостиную, спальню),</w:t>
            </w:r>
            <w:r>
              <w:rPr>
                <w:color w:themeColor="text1" w:val="000000"/>
                <w:sz w:val="24"/>
                <w:szCs w:val="24"/>
              </w:rPr>
              <w:t xml:space="preserve"> </w:t>
              <w:br/>
            </w:r>
            <w:r>
              <w:rPr>
                <w:color w:themeColor="text1" w:val="000000"/>
                <w:sz w:val="24"/>
                <w:szCs w:val="24"/>
                <w:lang w:val="en-US"/>
              </w:rPr>
              <w:t>а также вспомогательные помещения: переднюю, кухню (в том числе кухню-столовую и (или) кухню-нишу), ванные комнаты и (или) душевые, туалет (уборную) или совмещенный санузел</w:t>
            </w:r>
            <w:r>
              <w:rPr>
                <w:color w:themeColor="text1" w:val="000000"/>
                <w:sz w:val="24"/>
                <w:szCs w:val="24"/>
              </w:rPr>
              <w:t>, переднюю.</w:t>
            </w:r>
          </w:p>
          <w:p>
            <w:pPr>
              <w:pStyle w:val="Normal"/>
              <w:spacing w:lineRule="auto" w:line="240" w:before="0" w:after="0"/>
              <w:ind w:firstLine="283" w:left="0" w:right="0"/>
              <w:jc w:val="both"/>
              <w:rPr>
                <w:rFonts w:ascii="Times New Roman" w:hAnsi="Times New Roman"/>
                <w:color w:themeColor="text1" w:val="000000"/>
                <w:sz w:val="24"/>
                <w:szCs w:val="24"/>
              </w:rPr>
            </w:pPr>
            <w:r>
              <w:rPr>
                <w:color w:themeColor="text1" w:val="000000"/>
                <w:sz w:val="24"/>
                <w:szCs w:val="24"/>
                <w:lang w:val="en-US"/>
              </w:rPr>
              <w:t>Согласно пункту 6.1 СП 55.13330.2016 площади помещений строящихся и реконструируемых жилых домов должны быть не менее: общей комнаты в однокомнатном доме - 14 м</w:t>
            </w:r>
            <w:r>
              <w:rPr>
                <w:color w:themeColor="text1" w:val="000000"/>
                <w:sz w:val="24"/>
                <w:szCs w:val="24"/>
                <w:vertAlign w:val="superscript"/>
                <w:lang w:val="en-US"/>
              </w:rPr>
              <w:t>2</w:t>
            </w:r>
            <w:r>
              <w:rPr>
                <w:color w:themeColor="text1" w:val="000000"/>
                <w:sz w:val="24"/>
                <w:szCs w:val="24"/>
                <w:lang w:val="en-US"/>
              </w:rPr>
              <w:t>, общей комнаты в доме с числом комнат две и более - 16 м</w:t>
            </w:r>
            <w:r>
              <w:rPr>
                <w:color w:themeColor="text1" w:val="000000"/>
                <w:sz w:val="24"/>
                <w:szCs w:val="24"/>
                <w:vertAlign w:val="superscript"/>
                <w:lang w:val="en-US"/>
              </w:rPr>
              <w:t>2</w:t>
            </w:r>
            <w:r>
              <w:rPr>
                <w:color w:themeColor="text1" w:val="000000"/>
                <w:sz w:val="24"/>
                <w:szCs w:val="24"/>
                <w:lang w:val="en-US"/>
              </w:rPr>
              <w:t>, спальни - 8 м</w:t>
            </w:r>
            <w:r>
              <w:rPr>
                <w:color w:themeColor="text1" w:val="000000"/>
                <w:sz w:val="24"/>
                <w:szCs w:val="24"/>
                <w:vertAlign w:val="superscript"/>
                <w:lang w:val="en-US"/>
              </w:rPr>
              <w:t>2</w:t>
            </w:r>
            <w:r>
              <w:rPr>
                <w:color w:themeColor="text1" w:val="000000"/>
                <w:sz w:val="24"/>
                <w:szCs w:val="24"/>
                <w:lang w:val="en-US"/>
              </w:rPr>
              <w:t xml:space="preserve"> (на двух человек - 10 м</w:t>
            </w:r>
            <w:r>
              <w:rPr>
                <w:color w:themeColor="text1" w:val="000000"/>
                <w:sz w:val="24"/>
                <w:szCs w:val="24"/>
                <w:vertAlign w:val="superscript"/>
                <w:lang w:val="en-US"/>
              </w:rPr>
              <w:t>2</w:t>
            </w:r>
            <w:r>
              <w:rPr>
                <w:color w:themeColor="text1" w:val="000000"/>
                <w:sz w:val="24"/>
                <w:szCs w:val="24"/>
                <w:lang w:val="en-US"/>
              </w:rPr>
              <w:t>); кухни - 8 м</w:t>
            </w:r>
            <w:r>
              <w:rPr>
                <w:color w:themeColor="text1" w:val="000000"/>
                <w:sz w:val="24"/>
                <w:szCs w:val="24"/>
                <w:vertAlign w:val="superscript"/>
                <w:lang w:val="en-US"/>
              </w:rPr>
              <w:t>2</w:t>
            </w:r>
            <w:r>
              <w:rPr>
                <w:color w:themeColor="text1" w:val="000000"/>
                <w:sz w:val="24"/>
                <w:szCs w:val="24"/>
                <w:lang w:val="en-US"/>
              </w:rPr>
              <w:t xml:space="preserve">; кухонной зоны </w:t>
              <w:br/>
              <w:t>в кухне-столовой - 6 м</w:t>
            </w:r>
            <w:r>
              <w:rPr>
                <w:color w:themeColor="text1" w:val="000000"/>
                <w:sz w:val="24"/>
                <w:szCs w:val="24"/>
                <w:vertAlign w:val="superscript"/>
                <w:lang w:val="en-US"/>
              </w:rPr>
              <w:t>2</w:t>
            </w:r>
            <w:r>
              <w:rPr>
                <w:color w:themeColor="text1" w:val="000000"/>
                <w:sz w:val="24"/>
                <w:szCs w:val="24"/>
                <w:lang w:val="en-US"/>
              </w:rPr>
              <w:t>.</w:t>
            </w:r>
            <w:r>
              <w:rPr>
                <w:color w:themeColor="text1" w:val="000000"/>
                <w:sz w:val="24"/>
                <w:szCs w:val="24"/>
              </w:rPr>
              <w:t xml:space="preserve"> </w:t>
            </w:r>
            <w:r>
              <w:rPr>
                <w:color w:themeColor="text1" w:val="000000"/>
                <w:sz w:val="24"/>
                <w:szCs w:val="24"/>
                <w:lang w:val="en-US"/>
              </w:rPr>
              <w:t>В домах с одной комнатой допускается проектировать кухни или кухни-ниши площадью не менее 5 м</w:t>
            </w:r>
            <w:r>
              <w:rPr>
                <w:color w:themeColor="text1" w:val="000000"/>
                <w:sz w:val="24"/>
                <w:szCs w:val="24"/>
                <w:vertAlign w:val="superscript"/>
                <w:lang w:val="en-US"/>
              </w:rPr>
              <w:t>2</w:t>
            </w:r>
            <w:r>
              <w:rPr>
                <w:color w:themeColor="text1" w:val="000000"/>
                <w:sz w:val="24"/>
                <w:szCs w:val="24"/>
                <w:lang w:val="en-US"/>
              </w:rPr>
              <w:t>.</w:t>
            </w:r>
            <w:r>
              <w:rPr>
                <w:color w:themeColor="text1" w:val="000000"/>
                <w:sz w:val="24"/>
                <w:szCs w:val="24"/>
              </w:rPr>
              <w:t xml:space="preserve"> </w:t>
            </w:r>
            <w:r>
              <w:rPr>
                <w:color w:themeColor="text1" w:val="000000"/>
                <w:sz w:val="24"/>
                <w:szCs w:val="24"/>
                <w:lang w:val="en-US"/>
              </w:rPr>
              <w:t>Площадь спальни и кухни в мансардном этаже (или этаже с наклонными ограждающими конструкциями) допускается не менее 7 м</w:t>
            </w:r>
            <w:r>
              <w:rPr>
                <w:color w:themeColor="text1" w:val="000000"/>
                <w:sz w:val="24"/>
                <w:szCs w:val="24"/>
                <w:vertAlign w:val="superscript"/>
                <w:lang w:val="en-US"/>
              </w:rPr>
              <w:t>2</w:t>
            </w:r>
            <w:r>
              <w:rPr>
                <w:color w:themeColor="text1" w:val="000000"/>
                <w:sz w:val="24"/>
                <w:szCs w:val="24"/>
                <w:lang w:val="en-US"/>
              </w:rPr>
              <w:t xml:space="preserve"> при условии, что общая жилая комната имеет площадь не менее 16 м</w:t>
            </w:r>
            <w:r>
              <w:rPr>
                <w:color w:themeColor="text1" w:val="000000"/>
                <w:sz w:val="24"/>
                <w:szCs w:val="24"/>
                <w:vertAlign w:val="superscript"/>
                <w:lang w:val="en-US"/>
              </w:rPr>
              <w:t>2</w:t>
            </w:r>
            <w:r>
              <w:rPr>
                <w:color w:themeColor="text1" w:val="000000"/>
                <w:sz w:val="24"/>
                <w:szCs w:val="24"/>
                <w:lang w:val="en-US"/>
              </w:rPr>
              <w:t>.</w:t>
            </w:r>
          </w:p>
          <w:p>
            <w:pPr>
              <w:pStyle w:val="Normal"/>
              <w:spacing w:lineRule="auto" w:line="240" w:before="0" w:after="0"/>
              <w:ind w:firstLine="283" w:left="0" w:right="0"/>
              <w:jc w:val="both"/>
              <w:rPr>
                <w:rFonts w:ascii="Times New Roman" w:hAnsi="Times New Roman"/>
                <w:color w:themeColor="text1" w:val="000000"/>
                <w:sz w:val="24"/>
                <w:szCs w:val="24"/>
              </w:rPr>
            </w:pPr>
            <w:r>
              <w:rPr>
                <w:color w:themeColor="text1" w:val="000000"/>
                <w:sz w:val="24"/>
                <w:szCs w:val="24"/>
                <w:lang w:val="en-US"/>
              </w:rPr>
              <w:t xml:space="preserve">Согласно пункту 6.2 СП 55.13330.2016 высота (от пола </w:t>
              <w:br/>
              <w:t xml:space="preserve">до потолка) комнат и кухни (кухни-столовой) </w:t>
              <w:br/>
              <w:t xml:space="preserve">в климатических районах строительства IА, IБ, IГ, IД, определяемых по СП 131.13330, должна быть не менее </w:t>
              <w:br/>
              <w:t xml:space="preserve">2,7 м, а в других климатических районах строительства - не менее 2,5 м. Высота внутридомовых коридоров, холлов, передних, </w:t>
            </w:r>
            <w:r>
              <w:rPr>
                <w:color w:themeColor="text1" w:val="000000"/>
                <w:spacing w:val="-2"/>
                <w:sz w:val="24"/>
                <w:szCs w:val="24"/>
                <w:lang w:val="en-US"/>
              </w:rPr>
              <w:t>антресолей должна составлять не менее 2,1 м,</w:t>
            </w:r>
            <w:r>
              <w:rPr>
                <w:color w:themeColor="text1" w:val="000000"/>
                <w:spacing w:val="-2"/>
                <w:sz w:val="24"/>
                <w:szCs w:val="24"/>
              </w:rPr>
              <w:t xml:space="preserve"> </w:t>
            </w:r>
            <w:r>
              <w:rPr>
                <w:color w:themeColor="text1" w:val="000000"/>
                <w:spacing w:val="-2"/>
                <w:sz w:val="24"/>
                <w:szCs w:val="24"/>
                <w:lang w:val="en-US"/>
              </w:rPr>
              <w:t>а высота пути эвакуации -</w:t>
            </w:r>
            <w:r>
              <w:rPr>
                <w:color w:themeColor="text1" w:val="000000"/>
                <w:sz w:val="24"/>
                <w:szCs w:val="24"/>
                <w:lang w:val="en-US"/>
              </w:rPr>
              <w:t xml:space="preserve"> не менее</w:t>
            </w:r>
            <w:r>
              <w:rPr>
                <w:color w:themeColor="text1" w:val="000000"/>
                <w:sz w:val="24"/>
                <w:szCs w:val="24"/>
              </w:rPr>
              <w:t xml:space="preserve"> </w:t>
            </w:r>
            <w:r>
              <w:rPr>
                <w:color w:themeColor="text1" w:val="000000"/>
                <w:sz w:val="24"/>
                <w:szCs w:val="24"/>
                <w:lang w:val="en-US"/>
              </w:rPr>
              <w:t>2,2 м.</w:t>
            </w:r>
          </w:p>
          <w:p>
            <w:pPr>
              <w:pStyle w:val="Normal"/>
              <w:spacing w:lineRule="auto" w:line="240" w:before="0" w:after="0"/>
              <w:ind w:firstLine="283" w:left="0" w:right="0"/>
              <w:jc w:val="both"/>
              <w:rPr>
                <w:rFonts w:ascii="Times New Roman" w:hAnsi="Times New Roman"/>
                <w:color w:themeColor="text1" w:val="000000"/>
                <w:sz w:val="24"/>
                <w:szCs w:val="24"/>
                <w:highlight w:val="none"/>
              </w:rPr>
            </w:pPr>
            <w:r>
              <w:rPr>
                <w:color w:themeColor="text1" w:val="000000"/>
                <w:sz w:val="24"/>
                <w:szCs w:val="24"/>
                <w:lang w:val="en-US"/>
              </w:rPr>
              <w:t xml:space="preserve">В жилых комнатах и кухнях, расположенных в этажах </w:t>
            </w:r>
            <w:r>
              <w:rPr>
                <w:color w:themeColor="text1" w:val="000000"/>
                <w:sz w:val="24"/>
                <w:szCs w:val="24"/>
              </w:rPr>
              <w:br/>
            </w:r>
            <w:r>
              <w:rPr>
                <w:color w:themeColor="text1" w:val="000000"/>
                <w:sz w:val="24"/>
                <w:szCs w:val="24"/>
                <w:lang w:val="en-US"/>
              </w:rPr>
              <w:t xml:space="preserve">с наклонными ограждающими конструкциями или </w:t>
              <w:br/>
              <w:t>в мансардном этаже, допускается уменьшение высоты помещений (от пола</w:t>
            </w:r>
            <w:r>
              <w:rPr>
                <w:color w:themeColor="text1" w:val="000000"/>
                <w:sz w:val="24"/>
                <w:szCs w:val="24"/>
              </w:rPr>
              <w:t xml:space="preserve"> </w:t>
            </w:r>
            <w:r>
              <w:rPr>
                <w:color w:themeColor="text1" w:val="000000"/>
                <w:sz w:val="24"/>
                <w:szCs w:val="24"/>
                <w:lang w:val="en-US"/>
              </w:rPr>
              <w:t>до потолка), относительно нормируемой на площади, не превышающей 50%.</w:t>
            </w:r>
          </w:p>
          <w:p>
            <w:pPr>
              <w:pStyle w:val="Normal"/>
              <w:spacing w:lineRule="auto" w:line="240" w:before="0" w:after="0"/>
              <w:ind w:firstLine="283" w:left="0" w:right="0"/>
              <w:jc w:val="both"/>
              <w:rPr>
                <w:rFonts w:ascii="Times New Roman" w:hAnsi="Times New Roman"/>
                <w:color w:themeColor="text1" w:val="000000"/>
                <w:sz w:val="24"/>
                <w:szCs w:val="24"/>
              </w:rPr>
            </w:pPr>
            <w:r>
              <w:rPr>
                <w:color w:themeColor="text1" w:val="000000"/>
                <w:sz w:val="24"/>
                <w:szCs w:val="24"/>
              </w:rPr>
              <w:t>Согласно ГПЗУ:</w:t>
            </w:r>
          </w:p>
          <w:p>
            <w:pPr>
              <w:pStyle w:val="Normal"/>
              <w:spacing w:lineRule="auto" w:line="240" w:before="0" w:after="0"/>
              <w:ind w:firstLine="283" w:left="0" w:right="0"/>
              <w:jc w:val="both"/>
              <w:rPr>
                <w:rFonts w:ascii="Times New Roman" w:hAnsi="Times New Roman"/>
                <w:color w:themeColor="text1" w:val="000000"/>
                <w:sz w:val="24"/>
                <w:szCs w:val="24"/>
                <w:highlight w:val="none"/>
              </w:rPr>
            </w:pPr>
            <w:r>
              <w:rPr>
                <w:color w:themeColor="text1" w:val="000000"/>
                <w:sz w:val="24"/>
                <w:szCs w:val="24"/>
              </w:rPr>
              <w:t xml:space="preserve">минимальный отступ от границ Участка до места допустимого размещения зданий, строений </w:t>
              <w:br/>
              <w:t>(за исключением границ со стороны территории общего пользования, где отступ определяется с учетом красных линий и линий регулирования застройки, установленных проектом планировки территории, а также границ смежных земельных участков при блокированной жилой застройке) – 3 м;</w:t>
            </w:r>
          </w:p>
          <w:p>
            <w:pPr>
              <w:pStyle w:val="Normal"/>
              <w:tabs>
                <w:tab w:val="clear" w:pos="708"/>
                <w:tab w:val="right" w:pos="6000" w:leader="none"/>
              </w:tabs>
              <w:spacing w:lineRule="auto" w:line="240" w:before="0" w:after="0"/>
              <w:ind w:firstLine="283" w:left="0" w:right="0"/>
              <w:jc w:val="both"/>
              <w:rPr>
                <w:rFonts w:ascii="Times New Roman" w:hAnsi="Times New Roman"/>
                <w:color w:themeColor="text1" w:val="000000"/>
                <w:sz w:val="24"/>
                <w:szCs w:val="24"/>
                <w:highlight w:val="none"/>
              </w:rPr>
            </w:pPr>
            <w:r>
              <w:rPr>
                <w:color w:themeColor="text1" w:val="000000"/>
                <w:sz w:val="24"/>
              </w:rPr>
              <w:t>м</w:t>
            </w:r>
            <w:r>
              <w:rPr>
                <w:color w:themeColor="text1" w:val="000000"/>
                <w:sz w:val="24"/>
                <w:highlight w:val="white"/>
              </w:rPr>
              <w:t>аксимальный выступ за красную линию нависающих частей здания наземных уровней, выступающих из плоскости наружной стены фасада здания на высоте не менее 4,5 м над территорией общего пользования, составляет не более 1,2 м от красной линии. В случаях, когда линия регулирования застройки отличается от красной линии, указанный выступ может быть произведен за линию регулирования застройки;</w:t>
            </w:r>
          </w:p>
          <w:p>
            <w:pPr>
              <w:pStyle w:val="Normal"/>
              <w:tabs>
                <w:tab w:val="clear" w:pos="708"/>
                <w:tab w:val="right" w:pos="6000" w:leader="none"/>
              </w:tabs>
              <w:spacing w:lineRule="auto" w:line="240" w:before="0" w:after="0"/>
              <w:ind w:firstLine="283" w:left="0" w:right="0"/>
              <w:jc w:val="both"/>
              <w:rPr>
                <w:rFonts w:ascii="Times New Roman" w:hAnsi="Times New Roman"/>
                <w:color w:themeColor="text1" w:val="000000"/>
                <w:sz w:val="24"/>
                <w:szCs w:val="24"/>
                <w:highlight w:val="white"/>
              </w:rPr>
            </w:pPr>
            <w:r>
              <w:rPr>
                <w:color w:themeColor="text1" w:val="000000"/>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40%;</w:t>
            </w:r>
          </w:p>
          <w:p>
            <w:pPr>
              <w:pStyle w:val="Normal"/>
              <w:spacing w:lineRule="auto" w:line="240" w:before="0" w:after="0"/>
              <w:ind w:firstLine="283" w:left="0" w:right="0"/>
              <w:jc w:val="both"/>
              <w:rPr>
                <w:color w:themeColor="text1" w:val="000000"/>
              </w:rPr>
            </w:pPr>
            <w:r>
              <w:rPr>
                <w:color w:themeColor="text1" w:val="000000"/>
                <w:sz w:val="24"/>
                <w:szCs w:val="24"/>
              </w:rPr>
              <w:t>Согласно документации по планировке территории, утвержденной постановлением администрации города Перми от 22.12.2017 № 1178, предельная высота жилой застройки – до 10,5 м.</w:t>
            </w:r>
          </w:p>
          <w:p>
            <w:pPr>
              <w:pStyle w:val="Normal"/>
              <w:spacing w:lineRule="auto" w:line="240" w:before="0" w:after="0"/>
              <w:ind w:firstLine="283" w:left="0" w:right="0"/>
              <w:jc w:val="both"/>
              <w:rPr>
                <w:rFonts w:ascii="Times New Roman" w:hAnsi="Times New Roman"/>
                <w:color w:themeColor="text1" w:val="000000"/>
                <w:sz w:val="24"/>
                <w:szCs w:val="24"/>
              </w:rPr>
            </w:pPr>
            <w:r>
              <w:rPr>
                <w:color w:themeColor="text1" w:val="000000"/>
                <w:sz w:val="24"/>
                <w:szCs w:val="24"/>
              </w:rPr>
              <w:t xml:space="preserve">Победителю аукциона (единственному участнику) рекомендовано обратиться в уполномоченный орган </w:t>
              <w:br/>
              <w:t>с уведомлением о планируемом строительстве жилого дома.</w:t>
            </w:r>
          </w:p>
        </w:tc>
      </w:tr>
      <w:tr>
        <w:trPr>
          <w:trHeight w:val="144" w:hRule="atLeast"/>
        </w:trPr>
        <w:tc>
          <w:tcPr>
            <w:tcW w:w="567" w:type="dxa"/>
            <w:vMerge w:val="continue"/>
            <w:tcBorders>
              <w:top w:val="single" w:sz="4" w:space="0" w:color="000000"/>
              <w:left w:val="single" w:sz="4" w:space="0" w:color="000000"/>
              <w:bottom w:val="single" w:sz="4" w:space="0" w:color="000000"/>
              <w:right w:val="single" w:sz="4" w:space="0" w:color="000000"/>
            </w:tcBorders>
          </w:tcPr>
          <w:p>
            <w:pPr>
              <w:pStyle w:val="Normal"/>
              <w:jc w:val="center"/>
              <w:rPr>
                <w:sz w:val="20"/>
              </w:rPr>
            </w:pPr>
            <w:r>
              <w:rPr>
                <w:sz w:val="20"/>
              </w:rPr>
            </w:r>
          </w:p>
        </w:tc>
        <w:tc>
          <w:tcPr>
            <w:tcW w:w="3054" w:type="dxa"/>
            <w:tcBorders>
              <w:top w:val="single" w:sz="4" w:space="0" w:color="000000"/>
              <w:left w:val="single" w:sz="4" w:space="0" w:color="000000"/>
              <w:bottom w:val="single" w:sz="4" w:space="0" w:color="000000"/>
              <w:right w:val="single" w:sz="4" w:space="0" w:color="000000"/>
            </w:tcBorders>
          </w:tcPr>
          <w:p>
            <w:pPr>
              <w:pStyle w:val="Normal"/>
              <w:numPr>
                <w:ilvl w:val="0"/>
                <w:numId w:val="2"/>
              </w:numPr>
              <w:ind w:hanging="284" w:left="410" w:right="23"/>
              <w:rPr>
                <w:sz w:val="24"/>
                <w:szCs w:val="24"/>
              </w:rPr>
            </w:pPr>
            <w:r>
              <w:rPr>
                <w:sz w:val="24"/>
                <w:szCs w:val="24"/>
              </w:rPr>
              <w:t>возможность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w:t>
            </w:r>
          </w:p>
        </w:tc>
        <w:tc>
          <w:tcPr>
            <w:tcW w:w="6864" w:type="dxa"/>
            <w:tcBorders>
              <w:top w:val="single" w:sz="4" w:space="0" w:color="000000"/>
              <w:left w:val="single" w:sz="4" w:space="0" w:color="000000"/>
              <w:bottom w:val="single" w:sz="4" w:space="0" w:color="000000"/>
              <w:right w:val="single" w:sz="4" w:space="0" w:color="000000"/>
            </w:tcBorders>
          </w:tcPr>
          <w:p>
            <w:pPr>
              <w:pStyle w:val="Normal"/>
              <w:ind w:firstLine="312"/>
              <w:jc w:val="both"/>
              <w:rPr>
                <w:sz w:val="24"/>
                <w:szCs w:val="24"/>
                <w:highlight w:val="none"/>
                <w:u w:val="none"/>
              </w:rPr>
            </w:pPr>
            <w:r>
              <w:rPr>
                <w:sz w:val="24"/>
                <w:szCs w:val="24"/>
                <w:u w:val="none"/>
              </w:rPr>
            </w:r>
          </w:p>
          <w:p>
            <w:pPr>
              <w:pStyle w:val="Normal"/>
              <w:ind w:firstLine="312"/>
              <w:jc w:val="both"/>
              <w:rPr>
                <w:sz w:val="24"/>
                <w:szCs w:val="24"/>
                <w:highlight w:val="none"/>
                <w:u w:val="none"/>
              </w:rPr>
            </w:pPr>
            <w:r>
              <w:rPr/>
              <w:t xml:space="preserve">В </w:t>
            </w:r>
            <w:r>
              <w:rPr>
                <w:shd w:fill="FFFFFF" w:val="clear"/>
              </w:rPr>
              <w:t xml:space="preserve">документации по земельному участку, размещенной </w:t>
              <w:br/>
              <w:t xml:space="preserve">с извещением о проведении аукциона в ГИС Торги </w:t>
            </w:r>
            <w:r>
              <w:rPr>
                <w:lang w:val="en-US"/>
              </w:rPr>
              <w:t>www</w:t>
            </w:r>
            <w:r>
              <w:rPr/>
              <w:t>.</w:t>
            </w:r>
            <w:r>
              <w:rPr>
                <w:lang w:val="en-US"/>
              </w:rPr>
              <w:t>torgi</w:t>
            </w:r>
            <w:r>
              <w:rPr/>
              <w:t>.</w:t>
            </w:r>
            <w:r>
              <w:rPr>
                <w:lang w:val="en-US"/>
              </w:rPr>
              <w:t>gov</w:t>
            </w:r>
            <w:r>
              <w:rPr/>
              <w:t>.</w:t>
            </w:r>
            <w:r>
              <w:rPr>
                <w:lang w:val="en-US"/>
              </w:rPr>
              <w:t>ru</w:t>
            </w:r>
            <w:r>
              <w:rPr>
                <w:shd w:fill="FFFFFF" w:val="clear"/>
              </w:rPr>
              <w:t xml:space="preserve">, на официальном сайте муниципального образования город Пермь в информационно-телекоммуникационной сети Интернет </w:t>
            </w:r>
            <w:hyperlink r:id="rId14" w:tgtFrame="http://www.gorodperm.ru/">
              <w:r>
                <w:rPr>
                  <w:rStyle w:val="Hyperlink"/>
                  <w:color w:themeColor="text1" w:val="000000"/>
                  <w:u w:val="none"/>
                </w:rPr>
                <w:t>www.gorodperm.ru</w:t>
              </w:r>
            </w:hyperlink>
            <w:r>
              <w:rPr>
                <w:color w:themeColor="text1" w:val="000000"/>
                <w:u w:val="none"/>
              </w:rPr>
              <w:t>.</w:t>
            </w:r>
          </w:p>
          <w:p>
            <w:pPr>
              <w:pStyle w:val="Normal"/>
              <w:ind w:firstLine="312"/>
              <w:jc w:val="both"/>
              <w:rPr>
                <w:sz w:val="24"/>
                <w:szCs w:val="24"/>
                <w:highlight w:val="none"/>
              </w:rPr>
            </w:pPr>
            <w:r>
              <w:rPr>
                <w:sz w:val="24"/>
                <w:szCs w:val="24"/>
              </w:rPr>
            </w:r>
          </w:p>
          <w:p>
            <w:pPr>
              <w:pStyle w:val="Normal"/>
              <w:spacing w:lineRule="auto" w:line="240" w:before="0" w:after="0"/>
              <w:ind w:firstLine="283" w:left="0" w:right="0"/>
              <w:jc w:val="both"/>
              <w:rPr>
                <w:rFonts w:ascii="Times New Roman" w:hAnsi="Times New Roman"/>
                <w:color w:themeColor="text1" w:val="000000"/>
                <w:sz w:val="24"/>
                <w:szCs w:val="24"/>
                <w:highlight w:val="none"/>
              </w:rPr>
            </w:pPr>
            <w:r>
              <w:rPr>
                <w:color w:themeColor="text1" w:val="000000"/>
                <w:sz w:val="24"/>
                <w:szCs w:val="24"/>
              </w:rPr>
              <w:t>О наличии технической возможности технологического присоединения к электросетям филиала энергопринимающего устройства объекта капитального строительства с предполагаемой максимальной мощностью 15 кВт сообщает следующее.</w:t>
            </w:r>
          </w:p>
          <w:p>
            <w:pPr>
              <w:pStyle w:val="Normal"/>
              <w:spacing w:lineRule="auto" w:line="240" w:before="0" w:after="0"/>
              <w:ind w:firstLine="283" w:left="0" w:right="0"/>
              <w:jc w:val="both"/>
              <w:rPr>
                <w:rFonts w:ascii="Times New Roman" w:hAnsi="Times New Roman"/>
                <w:color w:themeColor="text1" w:val="000000"/>
                <w:sz w:val="24"/>
                <w:szCs w:val="24"/>
              </w:rPr>
            </w:pPr>
            <w:r>
              <w:rPr>
                <w:color w:themeColor="text1" w:val="000000"/>
                <w:sz w:val="24"/>
                <w:szCs w:val="24"/>
              </w:rPr>
              <w:t xml:space="preserve">В границах участка отсутствуют сети и охранные зоны </w:t>
              <w:br/>
              <w:t>ПАО «Россети Урал».</w:t>
            </w:r>
          </w:p>
          <w:p>
            <w:pPr>
              <w:pStyle w:val="Normal"/>
              <w:spacing w:lineRule="auto" w:line="240" w:before="0" w:after="0"/>
              <w:ind w:firstLine="283" w:left="0" w:right="0"/>
              <w:jc w:val="both"/>
              <w:rPr>
                <w:rFonts w:ascii="Times New Roman" w:hAnsi="Times New Roman"/>
                <w:color w:themeColor="text1" w:val="000000"/>
                <w:sz w:val="24"/>
                <w:szCs w:val="24"/>
              </w:rPr>
            </w:pPr>
            <w:r>
              <w:rPr>
                <w:color w:themeColor="text1" w:val="000000"/>
                <w:sz w:val="24"/>
                <w:szCs w:val="24"/>
              </w:rPr>
              <w:t>Порядок технологического присоединения к электрическим сетям регламентирован Правилами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 к электрическим сетям, утвержденными постановлением Правительства РФ от 27.12.2004 № 861 (далее – Правила ТП).</w:t>
            </w:r>
          </w:p>
          <w:p>
            <w:pPr>
              <w:pStyle w:val="Normal"/>
              <w:spacing w:lineRule="auto" w:line="240" w:before="0" w:after="0"/>
              <w:ind w:firstLine="283" w:left="0" w:right="0"/>
              <w:jc w:val="both"/>
              <w:rPr>
                <w:rFonts w:ascii="Times New Roman" w:hAnsi="Times New Roman"/>
                <w:color w:themeColor="text1" w:val="000000"/>
                <w:sz w:val="24"/>
                <w:szCs w:val="24"/>
                <w:highlight w:val="none"/>
              </w:rPr>
            </w:pPr>
            <w:r>
              <w:rPr>
                <w:color w:themeColor="text1" w:val="000000"/>
                <w:sz w:val="24"/>
                <w:szCs w:val="24"/>
              </w:rPr>
              <w:t>В силу пункта 6 Правил ТП технологическое присоединение осуществляется на основании договора заключаемого между сетевой организацией и юридическим или физическим лицом. Перечень мероприятий по технологическому присоединению определяется в технических условиях.</w:t>
            </w:r>
          </w:p>
          <w:p>
            <w:pPr>
              <w:pStyle w:val="Normal"/>
              <w:spacing w:lineRule="auto" w:line="240" w:before="0" w:after="0"/>
              <w:ind w:firstLine="283" w:left="0" w:right="0"/>
              <w:jc w:val="both"/>
              <w:rPr>
                <w:rFonts w:ascii="Times New Roman" w:hAnsi="Times New Roman"/>
                <w:color w:themeColor="text1" w:val="000000"/>
                <w:sz w:val="24"/>
                <w:szCs w:val="24"/>
              </w:rPr>
            </w:pPr>
            <w:r>
              <w:rPr>
                <w:color w:themeColor="text1" w:val="000000"/>
                <w:sz w:val="24"/>
                <w:szCs w:val="24"/>
              </w:rPr>
              <w:t xml:space="preserve">Согласно пунктам 15, 25, 25.1 Правил ТП технические условия являются неотъемлемым приложением </w:t>
              <w:br/>
              <w:t>к соответствующему договору технологического присоединения и представляют собой техническое решение присоединения конкретного энергопринимающего устройства к сетям электросетевой организации, которое предусматривают точки присоединения, требования к усилению существующей сети, иные технические требования. Следовательно, технические условия для технологического присоединения предоставляются заявителю сетевой организацией вместе с договором о технологическом присоединении.</w:t>
            </w:r>
          </w:p>
          <w:p>
            <w:pPr>
              <w:pStyle w:val="Normal"/>
              <w:spacing w:lineRule="auto" w:line="240" w:before="0" w:after="0"/>
              <w:ind w:firstLine="283" w:left="0" w:right="0"/>
              <w:jc w:val="both"/>
              <w:rPr>
                <w:rFonts w:ascii="Times New Roman" w:hAnsi="Times New Roman"/>
                <w:color w:themeColor="text1" w:val="000000"/>
                <w:sz w:val="24"/>
                <w:szCs w:val="24"/>
                <w:highlight w:val="none"/>
              </w:rPr>
            </w:pPr>
            <w:r>
              <w:rPr>
                <w:color w:themeColor="text1" w:val="000000"/>
                <w:sz w:val="24"/>
                <w:szCs w:val="24"/>
              </w:rPr>
              <w:t xml:space="preserve">Для получения технических условий и заключения договора на технологическое присоединении необходимо направить в адрес филиала ПАО «Россети Урал» - «Пермэнерго» соответствующую заявку с указанием сведений и приложением необходимых документов в соответствии с Правилами ТП через единый федеральный портал электросетевых услуг группы компаний «Россети» на сайте: </w:t>
            </w:r>
            <w:hyperlink r:id="rId15" w:tgtFrame="https://">
              <w:r>
                <w:rPr>
                  <w:rStyle w:val="Hyperlink"/>
                  <w:color w:themeColor="text1" w:val="000000"/>
                  <w:sz w:val="24"/>
                  <w:szCs w:val="24"/>
                </w:rPr>
                <w:t>https://</w:t>
              </w:r>
            </w:hyperlink>
            <w:r>
              <w:rPr>
                <w:color w:themeColor="text1" w:val="000000"/>
                <w:sz w:val="24"/>
                <w:szCs w:val="24"/>
              </w:rPr>
              <w:t xml:space="preserve"> портал-тп.рф, через Мобильное приложение ПАО «Россети» или при очном приеме в Центре обслуживания клиентов филиала «Россети» или рот очном приеме в Центре обслуживания клиентов филиала «Россети Урал» - «Пермэнерго» по адресу: г. Пермь, ул. Камчатовская, д. 26, а также почтовым отправлением по адресу: 614016, г. Пермь, ул. Камчатовская, 26. По дополнительным вопросам телефон контакт-центра: 8-800-220-0-220 (круглосуточно и бесплатно).</w:t>
            </w:r>
          </w:p>
          <w:p>
            <w:pPr>
              <w:pStyle w:val="Normal"/>
              <w:spacing w:lineRule="auto" w:line="240" w:before="0" w:after="0"/>
              <w:ind w:firstLine="283" w:left="0" w:right="0"/>
              <w:jc w:val="both"/>
              <w:rPr>
                <w:rFonts w:ascii="Times New Roman" w:hAnsi="Times New Roman"/>
                <w:color w:themeColor="text1" w:val="000000"/>
                <w:sz w:val="24"/>
                <w:szCs w:val="24"/>
              </w:rPr>
            </w:pPr>
            <w:r>
              <w:rPr>
                <w:color w:themeColor="text1" w:val="000000"/>
                <w:sz w:val="24"/>
                <w:szCs w:val="24"/>
              </w:rPr>
              <w:t xml:space="preserve">При подготовке градостроительного плана земельного участка необходимо предусмотреть коридоры </w:t>
              <w:br/>
              <w:t>для строительства кабельных линий и место для размещения трансформаторных подстанций.</w:t>
            </w:r>
          </w:p>
          <w:p>
            <w:pPr>
              <w:pStyle w:val="Normal"/>
              <w:tabs>
                <w:tab w:val="clear" w:pos="708"/>
                <w:tab w:val="right" w:pos="6000" w:leader="none"/>
              </w:tabs>
              <w:spacing w:lineRule="auto" w:line="240" w:before="0" w:after="0"/>
              <w:ind w:firstLine="311"/>
              <w:jc w:val="both"/>
              <w:rPr/>
            </w:pPr>
            <w:r>
              <w:rPr>
                <w:sz w:val="24"/>
                <w:szCs w:val="24"/>
                <w:highlight w:val="white"/>
              </w:rPr>
              <w:t xml:space="preserve">(Аналогичная информация отражена в письме </w:t>
            </w:r>
            <w:r>
              <w:rPr>
                <w:color w:themeColor="text1" w:val="000000"/>
                <w:sz w:val="24"/>
                <w:szCs w:val="24"/>
                <w:highlight w:val="white"/>
              </w:rPr>
              <w:t xml:space="preserve">филиала </w:t>
            </w:r>
            <w:r>
              <w:rPr>
                <w:b/>
                <w:bCs/>
                <w:color w:themeColor="text1" w:val="000000"/>
                <w:sz w:val="24"/>
                <w:szCs w:val="24"/>
                <w:highlight w:val="white"/>
              </w:rPr>
              <w:t xml:space="preserve">ПАО «Россети Урал» - «Пермэнерго» Пермские </w:t>
            </w:r>
            <w:r>
              <w:rPr>
                <w:b/>
                <w:color w:themeColor="text1" w:val="000000"/>
                <w:sz w:val="24"/>
                <w:szCs w:val="24"/>
                <w:highlight w:val="white"/>
              </w:rPr>
              <w:t>городские электрические сети»</w:t>
            </w:r>
            <w:r>
              <w:rPr>
                <w:color w:themeColor="text1" w:val="000000"/>
                <w:sz w:val="24"/>
                <w:szCs w:val="24"/>
                <w:highlight w:val="white"/>
              </w:rPr>
              <w:t xml:space="preserve"> от 09.04.2026 № ПЭ/ПГЭС/01/22/4983</w:t>
            </w:r>
            <w:r>
              <w:rPr>
                <w:sz w:val="24"/>
                <w:szCs w:val="24"/>
                <w:highlight w:val="white"/>
              </w:rPr>
              <w:t>).</w:t>
            </w:r>
          </w:p>
          <w:p>
            <w:pPr>
              <w:pStyle w:val="Normal"/>
              <w:tabs>
                <w:tab w:val="clear" w:pos="708"/>
                <w:tab w:val="right" w:pos="6000" w:leader="none"/>
              </w:tabs>
              <w:spacing w:lineRule="auto" w:line="240" w:before="0" w:after="0"/>
              <w:ind w:firstLine="311"/>
              <w:jc w:val="both"/>
              <w:rPr>
                <w:rFonts w:ascii="Times New Roman" w:hAnsi="Times New Roman"/>
                <w:color w:themeColor="text1" w:val="000000"/>
                <w:sz w:val="24"/>
                <w:szCs w:val="24"/>
                <w:highlight w:val="white"/>
              </w:rPr>
            </w:pPr>
            <w:r>
              <w:rPr>
                <w:color w:themeColor="text1" w:val="000000"/>
                <w:sz w:val="24"/>
                <w:szCs w:val="24"/>
                <w:highlight w:val="white"/>
              </w:rPr>
            </w:r>
          </w:p>
          <w:p>
            <w:pPr>
              <w:pStyle w:val="Normal"/>
              <w:spacing w:lineRule="auto" w:line="240" w:before="0" w:after="0"/>
              <w:ind w:firstLine="283" w:left="0" w:right="0"/>
              <w:jc w:val="both"/>
              <w:rPr>
                <w:rFonts w:ascii="Times New Roman" w:hAnsi="Times New Roman"/>
                <w:color w:themeColor="text1" w:val="000000"/>
                <w:sz w:val="24"/>
                <w:szCs w:val="24"/>
                <w:highlight w:val="none"/>
                <w14:ligatures w14:val="none"/>
              </w:rPr>
            </w:pPr>
            <w:r>
              <w:rPr>
                <w:color w:themeColor="text1" w:val="000000"/>
                <w:sz w:val="24"/>
                <w:szCs w:val="24"/>
              </w:rPr>
              <w:t>Участок находится вне зоны теплоснабжения ПАО «Т Плюс».</w:t>
            </w:r>
          </w:p>
          <w:p>
            <w:pPr>
              <w:pStyle w:val="Normal"/>
              <w:spacing w:lineRule="auto" w:line="240" w:before="0" w:after="0"/>
              <w:ind w:firstLine="283" w:left="0" w:right="0"/>
              <w:jc w:val="both"/>
              <w:rPr>
                <w:rFonts w:ascii="Times New Roman" w:hAnsi="Times New Roman"/>
                <w:color w:themeColor="text1" w:val="000000"/>
                <w:sz w:val="24"/>
                <w:szCs w:val="24"/>
                <w:highlight w:val="none"/>
                <w14:ligatures w14:val="none"/>
              </w:rPr>
            </w:pPr>
            <w:r>
              <w:rPr>
                <w:color w:themeColor="text1" w:val="000000"/>
                <w:sz w:val="24"/>
                <w:szCs w:val="24"/>
              </w:rPr>
              <w:t xml:space="preserve">Для запроса информации о возможности подключения земельного участка рекомендуется обратиться </w:t>
              <w:br/>
              <w:t>к собственникам близлежащих тепловых сетей/источников теплоснабжения или рассмотреть возможность альтернативного источника теплоснабжения.</w:t>
            </w:r>
          </w:p>
          <w:p>
            <w:pPr>
              <w:pStyle w:val="Normal"/>
              <w:tabs>
                <w:tab w:val="clear" w:pos="708"/>
                <w:tab w:val="right" w:pos="6000" w:leader="none"/>
              </w:tabs>
              <w:spacing w:lineRule="auto" w:line="240" w:before="0" w:after="0"/>
              <w:ind w:firstLine="311"/>
              <w:jc w:val="both"/>
              <w:rPr/>
            </w:pPr>
            <w:r>
              <w:rPr>
                <w:sz w:val="24"/>
                <w:szCs w:val="24"/>
                <w:highlight w:val="white"/>
              </w:rPr>
              <w:t xml:space="preserve">(Аналогичная информация отражена в письме </w:t>
            </w:r>
            <w:r>
              <w:rPr>
                <w:b/>
                <w:color w:themeColor="text1" w:val="000000"/>
                <w:sz w:val="24"/>
                <w:szCs w:val="24"/>
                <w:highlight w:val="white"/>
              </w:rPr>
              <w:t>ПАО «Т Плюс»</w:t>
            </w:r>
            <w:r>
              <w:rPr>
                <w:color w:themeColor="text1" w:val="000000"/>
                <w:sz w:val="24"/>
                <w:szCs w:val="24"/>
                <w:highlight w:val="white"/>
              </w:rPr>
              <w:t xml:space="preserve"> от 03.04.2026 № 51000-32-01295</w:t>
            </w:r>
            <w:r>
              <w:rPr>
                <w:sz w:val="24"/>
                <w:szCs w:val="24"/>
                <w:highlight w:val="white"/>
              </w:rPr>
              <w:t>).</w:t>
            </w:r>
          </w:p>
          <w:p>
            <w:pPr>
              <w:pStyle w:val="Normal"/>
              <w:tabs>
                <w:tab w:val="clear" w:pos="708"/>
                <w:tab w:val="right" w:pos="6000" w:leader="none"/>
              </w:tabs>
              <w:spacing w:lineRule="auto" w:line="240" w:before="0" w:after="0"/>
              <w:ind w:firstLine="311"/>
              <w:jc w:val="both"/>
              <w:rPr>
                <w:rFonts w:ascii="Times New Roman" w:hAnsi="Times New Roman"/>
                <w:color w:themeColor="text1" w:val="000000"/>
                <w:sz w:val="24"/>
                <w:szCs w:val="24"/>
                <w:highlight w:val="white"/>
              </w:rPr>
            </w:pPr>
            <w:r>
              <w:rPr>
                <w:color w:themeColor="text1" w:val="000000"/>
                <w:sz w:val="24"/>
                <w:szCs w:val="24"/>
                <w:highlight w:val="white"/>
              </w:rPr>
            </w:r>
          </w:p>
          <w:p>
            <w:pPr>
              <w:pStyle w:val="Normal"/>
              <w:spacing w:lineRule="auto" w:line="240" w:before="0" w:after="0"/>
              <w:ind w:firstLine="283" w:left="0" w:right="0"/>
              <w:jc w:val="both"/>
              <w:rPr>
                <w:rFonts w:ascii="Times New Roman" w:hAnsi="Times New Roman"/>
                <w:color w:themeColor="text1" w:val="000000"/>
                <w:sz w:val="24"/>
                <w:szCs w:val="24"/>
                <w:highlight w:val="none"/>
              </w:rPr>
            </w:pPr>
            <w:r>
              <w:rPr>
                <w:color w:themeColor="text1" w:val="000000"/>
                <w:sz w:val="24"/>
                <w:szCs w:val="24"/>
              </w:rPr>
              <w:t>Техническая возможность подключения к сетям теплоснабжения отсутствует. Рекомендовано рассмотреть альтернативный источник теплоснабжения – газ, электричество, дрова, пеллеты.</w:t>
            </w:r>
          </w:p>
          <w:p>
            <w:pPr>
              <w:pStyle w:val="Normal"/>
              <w:tabs>
                <w:tab w:val="clear" w:pos="708"/>
                <w:tab w:val="right" w:pos="6000" w:leader="none"/>
              </w:tabs>
              <w:spacing w:lineRule="auto" w:line="240" w:before="0" w:after="0"/>
              <w:ind w:firstLine="311"/>
              <w:jc w:val="both"/>
              <w:rPr/>
            </w:pPr>
            <w:r>
              <w:rPr>
                <w:sz w:val="24"/>
                <w:szCs w:val="24"/>
                <w:highlight w:val="white"/>
              </w:rPr>
              <w:t xml:space="preserve">(Аналогичная информация отражена в письме </w:t>
            </w:r>
            <w:r>
              <w:rPr>
                <w:b/>
                <w:color w:themeColor="text1" w:val="000000"/>
                <w:sz w:val="24"/>
                <w:szCs w:val="24"/>
                <w:highlight w:val="white"/>
              </w:rPr>
              <w:t xml:space="preserve">департамента жилищно-коммунального хозяйства администрации города Перми </w:t>
            </w:r>
            <w:r>
              <w:rPr>
                <w:color w:themeColor="text1" w:val="000000"/>
                <w:sz w:val="24"/>
                <w:szCs w:val="24"/>
                <w:highlight w:val="white"/>
              </w:rPr>
              <w:t>от 17.04.2026 № 059-04-25/3-62-ри</w:t>
            </w:r>
            <w:r>
              <w:rPr>
                <w:sz w:val="24"/>
                <w:szCs w:val="24"/>
                <w:highlight w:val="white"/>
              </w:rPr>
              <w:t>).</w:t>
            </w:r>
          </w:p>
          <w:p>
            <w:pPr>
              <w:pStyle w:val="Normal"/>
              <w:tabs>
                <w:tab w:val="clear" w:pos="708"/>
                <w:tab w:val="right" w:pos="6000" w:leader="none"/>
              </w:tabs>
              <w:spacing w:lineRule="auto" w:line="240" w:before="0" w:after="0"/>
              <w:ind w:firstLine="311"/>
              <w:jc w:val="both"/>
              <w:rPr>
                <w:rFonts w:ascii="Times New Roman" w:hAnsi="Times New Roman"/>
                <w:color w:themeColor="text1" w:val="000000"/>
                <w:sz w:val="24"/>
                <w:szCs w:val="24"/>
                <w:highlight w:val="white"/>
              </w:rPr>
            </w:pPr>
            <w:r>
              <w:rPr>
                <w:color w:themeColor="text1" w:val="000000"/>
                <w:sz w:val="24"/>
                <w:szCs w:val="24"/>
                <w:highlight w:val="white"/>
              </w:rPr>
            </w:r>
          </w:p>
          <w:p>
            <w:pPr>
              <w:pStyle w:val="Normal"/>
              <w:spacing w:lineRule="auto" w:line="240" w:before="0" w:after="0"/>
              <w:ind w:firstLine="283" w:left="0" w:right="0"/>
              <w:jc w:val="both"/>
              <w:rPr>
                <w:rFonts w:ascii="Times New Roman" w:hAnsi="Times New Roman"/>
                <w:color w:themeColor="text1" w:val="000000"/>
                <w:sz w:val="24"/>
                <w:szCs w:val="24"/>
              </w:rPr>
            </w:pPr>
            <w:r>
              <w:rPr>
                <w:color w:themeColor="text1" w:val="000000"/>
                <w:sz w:val="24"/>
                <w:szCs w:val="24"/>
              </w:rPr>
              <w:t>Техническая возможность подключения объекта капитального строительства с предполагаемой максимальной нагрузкой 8 куб.м/час к существующим сетям газораспределения имеется.</w:t>
            </w:r>
          </w:p>
          <w:p>
            <w:pPr>
              <w:pStyle w:val="Normal"/>
              <w:spacing w:lineRule="auto" w:line="240" w:before="0" w:after="0"/>
              <w:ind w:firstLine="283" w:left="0" w:right="0"/>
              <w:jc w:val="both"/>
              <w:rPr>
                <w:rFonts w:ascii="Times New Roman" w:hAnsi="Times New Roman"/>
                <w:color w:themeColor="text1" w:val="000000"/>
                <w:sz w:val="24"/>
                <w:szCs w:val="24"/>
                <w:highlight w:val="none"/>
                <w14:ligatures w14:val="none"/>
              </w:rPr>
            </w:pPr>
            <w:r>
              <w:rPr>
                <w:color w:themeColor="text1" w:val="000000"/>
                <w:sz w:val="24"/>
                <w:szCs w:val="24"/>
              </w:rPr>
              <w:t>Для рассмотрения вопроса о предоставлении технических условий на подключение (технологическое присоединение) необходимо направить запрос с приложением необходимых документов и сведений на электронную почту post@pf.ugaz.ru, либо почтовым отправлением по адресу: г. Пермь, ул. Уральская, 104, через Единый центр предоставления услуг по адресу: г. Пермь, ул. Уральская, д. 104, каб. 101.</w:t>
            </w:r>
          </w:p>
          <w:p>
            <w:pPr>
              <w:pStyle w:val="Normal"/>
              <w:tabs>
                <w:tab w:val="clear" w:pos="708"/>
                <w:tab w:val="right" w:pos="6000" w:leader="none"/>
              </w:tabs>
              <w:spacing w:lineRule="auto" w:line="240" w:before="0" w:after="0"/>
              <w:ind w:firstLine="311"/>
              <w:jc w:val="both"/>
              <w:rPr/>
            </w:pPr>
            <w:r>
              <w:rPr>
                <w:sz w:val="24"/>
                <w:szCs w:val="24"/>
                <w:highlight w:val="white"/>
              </w:rPr>
              <w:t xml:space="preserve">(Аналогичная информация отражена в письме </w:t>
            </w:r>
            <w:r>
              <w:rPr>
                <w:b/>
                <w:bCs/>
                <w:color w:themeColor="text1" w:val="000000"/>
                <w:sz w:val="24"/>
                <w:szCs w:val="24"/>
              </w:rPr>
              <w:t xml:space="preserve">АО «Газпром газораспределение Пермь» </w:t>
            </w:r>
            <w:r>
              <w:rPr>
                <w:color w:themeColor="text1" w:val="000000"/>
                <w:sz w:val="24"/>
                <w:szCs w:val="24"/>
              </w:rPr>
              <w:t>от 27.05.2026 № ПФ-3960</w:t>
            </w:r>
            <w:r>
              <w:rPr>
                <w:sz w:val="24"/>
                <w:szCs w:val="24"/>
                <w:highlight w:val="white"/>
              </w:rPr>
              <w:t>).</w:t>
            </w:r>
          </w:p>
          <w:p>
            <w:pPr>
              <w:pStyle w:val="Normal"/>
              <w:tabs>
                <w:tab w:val="clear" w:pos="708"/>
                <w:tab w:val="right" w:pos="6000" w:leader="none"/>
              </w:tabs>
              <w:spacing w:lineRule="auto" w:line="240" w:before="0" w:after="0"/>
              <w:ind w:firstLine="311"/>
              <w:jc w:val="both"/>
              <w:rPr>
                <w:rFonts w:ascii="Times New Roman" w:hAnsi="Times New Roman"/>
                <w:color w:themeColor="text1" w:val="000000"/>
                <w:sz w:val="24"/>
                <w:szCs w:val="24"/>
                <w:highlight w:val="white"/>
              </w:rPr>
            </w:pPr>
            <w:r>
              <w:rPr>
                <w:color w:themeColor="text1" w:val="000000"/>
                <w:sz w:val="24"/>
                <w:szCs w:val="24"/>
                <w:highlight w:val="white"/>
              </w:rPr>
            </w:r>
          </w:p>
          <w:p>
            <w:pPr>
              <w:pStyle w:val="Normal"/>
              <w:spacing w:lineRule="auto" w:line="240" w:before="0" w:after="0"/>
              <w:ind w:firstLine="283" w:left="0" w:right="0"/>
              <w:jc w:val="both"/>
              <w:rPr>
                <w:rFonts w:ascii="Times New Roman" w:hAnsi="Times New Roman"/>
                <w:color w:themeColor="text1" w:val="000000"/>
                <w:sz w:val="24"/>
                <w:szCs w:val="24"/>
                <w:highlight w:val="none"/>
              </w:rPr>
            </w:pPr>
            <w:r>
              <w:rPr>
                <w:color w:themeColor="text1" w:val="000000"/>
                <w:sz w:val="24"/>
                <w:szCs w:val="24"/>
              </w:rPr>
              <w:t>О наличии технической возможности для подключения сетей водоснабжения и водоотведения с предполагаемой величиной нагрузки 1,0 м3/сут. сообщается следующее.</w:t>
            </w:r>
          </w:p>
          <w:p>
            <w:pPr>
              <w:pStyle w:val="Normal"/>
              <w:spacing w:lineRule="auto" w:line="240" w:before="0" w:after="0"/>
              <w:ind w:firstLine="283" w:left="0" w:right="0"/>
              <w:jc w:val="both"/>
              <w:rPr>
                <w:rFonts w:ascii="Times New Roman" w:hAnsi="Times New Roman"/>
                <w:color w:themeColor="text1" w:val="000000"/>
                <w:sz w:val="24"/>
                <w:szCs w:val="24"/>
                <w14:ligatures w14:val="none"/>
              </w:rPr>
            </w:pPr>
            <w:r>
              <w:rPr>
                <w:color w:themeColor="text1" w:val="000000"/>
                <w:sz w:val="24"/>
                <w:szCs w:val="24"/>
              </w:rPr>
              <w:t>Ближайшей точкой подключения к сетям водоснабжения, эксплуатируемой ООО «НОВОГОР - Прикамье» является сеть водопровода Д - 100 мм по ул. Набережная, з/у 30a ориентировочное расстояние от земельного участка - 70 м.</w:t>
            </w:r>
          </w:p>
          <w:p>
            <w:pPr>
              <w:pStyle w:val="Normal"/>
              <w:spacing w:lineRule="auto" w:line="240" w:before="0" w:after="0"/>
              <w:ind w:firstLine="283" w:left="0" w:right="0"/>
              <w:jc w:val="both"/>
              <w:rPr>
                <w:rFonts w:ascii="Times New Roman" w:hAnsi="Times New Roman"/>
                <w:color w:themeColor="text1" w:val="000000"/>
                <w:sz w:val="24"/>
                <w:szCs w:val="24"/>
                <w14:ligatures w14:val="none"/>
              </w:rPr>
            </w:pPr>
            <w:r>
              <w:rPr>
                <w:color w:themeColor="text1" w:val="000000"/>
                <w:sz w:val="24"/>
                <w:szCs w:val="24"/>
              </w:rPr>
              <w:t>В районе вышеуказанного земельного участка отсутствуют центральные сети канализации эксплуатируемые ООО «Новогор-Прикамье».</w:t>
            </w:r>
          </w:p>
          <w:p>
            <w:pPr>
              <w:pStyle w:val="Normal"/>
              <w:spacing w:lineRule="auto" w:line="240" w:before="0" w:after="0"/>
              <w:ind w:firstLine="283" w:left="0" w:right="0"/>
              <w:jc w:val="both"/>
              <w:rPr>
                <w:rFonts w:ascii="Times New Roman" w:hAnsi="Times New Roman"/>
                <w:color w:themeColor="text1" w:val="000000"/>
                <w:sz w:val="24"/>
                <w:szCs w:val="24"/>
                <w14:ligatures w14:val="none"/>
              </w:rPr>
            </w:pPr>
            <w:r>
              <w:rPr>
                <w:color w:themeColor="text1" w:val="000000"/>
                <w:sz w:val="24"/>
                <w:szCs w:val="24"/>
              </w:rPr>
              <w:t xml:space="preserve">Альтернативный способ канализования, </w:t>
              <w:br/>
              <w:t>без подключения к централизованной системе канализации г. Перми (отвод стоков возможен на локальные очистные сооружения либо в выгребную яму с последующим вывозом стоков спец. машинами), который должен соответствовать всем нормативным требованиям Российской Федерации.</w:t>
            </w:r>
          </w:p>
          <w:p>
            <w:pPr>
              <w:pStyle w:val="Normal"/>
              <w:spacing w:lineRule="auto" w:line="240" w:before="0" w:after="0"/>
              <w:ind w:firstLine="283" w:left="0" w:right="0"/>
              <w:jc w:val="both"/>
              <w:rPr>
                <w:rFonts w:ascii="Times New Roman" w:hAnsi="Times New Roman"/>
                <w:color w:themeColor="text1" w:val="000000"/>
                <w:sz w:val="24"/>
                <w:szCs w:val="24"/>
                <w14:ligatures w14:val="none"/>
              </w:rPr>
            </w:pPr>
            <w:r>
              <w:rPr>
                <w:color w:themeColor="text1" w:val="000000"/>
                <w:sz w:val="24"/>
                <w:szCs w:val="24"/>
              </w:rPr>
              <w:t>В границах земельного участка отсутствуют сети водопровода и канализации, эксплуатируемые ООО «НОВОГОР - Прикамье».</w:t>
            </w:r>
          </w:p>
          <w:p>
            <w:pPr>
              <w:pStyle w:val="Normal"/>
              <w:spacing w:lineRule="auto" w:line="240" w:before="0" w:after="0"/>
              <w:ind w:firstLine="283" w:left="0" w:right="0"/>
              <w:jc w:val="both"/>
              <w:rPr>
                <w:rFonts w:ascii="Times New Roman" w:hAnsi="Times New Roman"/>
                <w:color w:themeColor="text1" w:val="000000"/>
                <w:sz w:val="24"/>
                <w:szCs w:val="24"/>
                <w14:ligatures w14:val="none"/>
              </w:rPr>
            </w:pPr>
            <w:r>
              <w:rPr>
                <w:color w:themeColor="text1" w:val="000000"/>
                <w:sz w:val="24"/>
                <w:szCs w:val="24"/>
              </w:rPr>
              <w:t xml:space="preserve">При этом обращаем Ваше внимание, размещение объекта необходимо предусматривать строго за пределами охранных зон сетей водопровода и канализации в соответствии норм CП, в том числе в соответствии таблицы 12.5 CП 42.13330.2016 «Градостроительство планировка и застройка городских </w:t>
              <w:br/>
              <w:t>и сельских поселений».</w:t>
            </w:r>
          </w:p>
          <w:p>
            <w:pPr>
              <w:pStyle w:val="Normal"/>
              <w:tabs>
                <w:tab w:val="clear" w:pos="708"/>
                <w:tab w:val="right" w:pos="6000" w:leader="none"/>
              </w:tabs>
              <w:spacing w:lineRule="auto" w:line="240" w:before="0" w:after="0"/>
              <w:ind w:firstLine="311"/>
              <w:jc w:val="both"/>
              <w:rPr/>
            </w:pPr>
            <w:r>
              <w:rPr>
                <w:sz w:val="24"/>
                <w:szCs w:val="24"/>
                <w:highlight w:val="white"/>
              </w:rPr>
              <w:t xml:space="preserve">(Аналогичная информация отражена в письме </w:t>
            </w:r>
            <w:r>
              <w:rPr>
                <w:b/>
                <w:color w:themeColor="text1" w:val="000000"/>
                <w:sz w:val="24"/>
                <w:szCs w:val="24"/>
                <w:highlight w:val="white"/>
              </w:rPr>
              <w:t xml:space="preserve">ООО «НОВОГОР - Прикамье» </w:t>
            </w:r>
            <w:r>
              <w:rPr>
                <w:color w:themeColor="text1" w:val="000000"/>
                <w:sz w:val="24"/>
                <w:szCs w:val="24"/>
                <w:highlight w:val="white"/>
              </w:rPr>
              <w:t>от 02.04.2026 № 110-4614</w:t>
            </w:r>
            <w:r>
              <w:rPr>
                <w:sz w:val="24"/>
                <w:szCs w:val="24"/>
                <w:highlight w:val="white"/>
              </w:rPr>
              <w:t>).</w:t>
            </w:r>
          </w:p>
          <w:p>
            <w:pPr>
              <w:pStyle w:val="Normal"/>
              <w:tabs>
                <w:tab w:val="clear" w:pos="708"/>
                <w:tab w:val="right" w:pos="6000" w:leader="none"/>
              </w:tabs>
              <w:spacing w:lineRule="auto" w:line="240" w:before="0" w:after="0"/>
              <w:ind w:firstLine="311"/>
              <w:jc w:val="both"/>
              <w:rPr>
                <w:rFonts w:ascii="Times New Roman" w:hAnsi="Times New Roman"/>
                <w:color w:themeColor="text1" w:val="000000"/>
                <w:sz w:val="24"/>
                <w:szCs w:val="24"/>
                <w:highlight w:val="white"/>
              </w:rPr>
            </w:pPr>
            <w:r>
              <w:rPr>
                <w:color w:themeColor="text1" w:val="000000"/>
                <w:sz w:val="24"/>
                <w:szCs w:val="24"/>
                <w:highlight w:val="white"/>
              </w:rPr>
            </w:r>
          </w:p>
          <w:p>
            <w:pPr>
              <w:pStyle w:val="Normal"/>
              <w:spacing w:lineRule="auto" w:line="240" w:before="0" w:after="0"/>
              <w:ind w:firstLine="283" w:left="0" w:right="0"/>
              <w:jc w:val="both"/>
              <w:rPr>
                <w:color w:themeColor="text1" w:val="000000"/>
              </w:rPr>
            </w:pPr>
            <w:r>
              <w:rPr>
                <w:b w:val="false"/>
                <w:bCs w:val="false"/>
                <w:color w:themeColor="text1" w:val="000000"/>
                <w:sz w:val="24"/>
                <w:szCs w:val="24"/>
              </w:rPr>
              <w:t>Технологическое присоединение к сетям связи ПАО «Ростелеком» может быть произведено к узлу ВОЛС (г. Пермь, ул. Бенгальская, д. 14а), максимальную нагрузку в точке подключения (технологического присоединения) необходимо определить на стадии проектирования.</w:t>
            </w:r>
          </w:p>
          <w:p>
            <w:pPr>
              <w:pStyle w:val="Normal"/>
              <w:spacing w:lineRule="auto" w:line="240" w:before="0" w:after="0"/>
              <w:ind w:firstLine="283" w:left="0" w:right="0"/>
              <w:jc w:val="both"/>
              <w:rPr>
                <w:b w:val="false"/>
                <w:bCs w:val="false"/>
                <w:color w:themeColor="text1" w:val="000000"/>
              </w:rPr>
            </w:pPr>
            <w:r>
              <w:rPr>
                <w:b w:val="false"/>
                <w:bCs w:val="false"/>
                <w:color w:themeColor="text1" w:val="000000"/>
                <w:sz w:val="24"/>
                <w:szCs w:val="24"/>
              </w:rPr>
              <w:t xml:space="preserve">Для получения технических условий на подключение </w:t>
              <w:br/>
              <w:t>к сетям связи необходимо направить запрос по адресу:</w:t>
              <w:br/>
              <w:t xml:space="preserve">г. Пермь, ул. Крупской, 2, тел.: (342) 235-57-34 или на </w:t>
            </w:r>
            <w:hyperlink r:id="rId16" w:tgtFrame="http://perm-mail@ural.rt.ru">
              <w:r>
                <w:rPr>
                  <w:rStyle w:val="Hyperlink"/>
                  <w:b w:val="false"/>
                  <w:bCs w:val="false"/>
                  <w:color w:themeColor="text1" w:val="000000"/>
                  <w:sz w:val="24"/>
                  <w:szCs w:val="24"/>
                </w:rPr>
                <w:t>perm-mail@ural.rt.ru</w:t>
              </w:r>
            </w:hyperlink>
            <w:r>
              <w:rPr>
                <w:b w:val="false"/>
                <w:bCs w:val="false"/>
                <w:color w:themeColor="text1" w:val="000000"/>
                <w:sz w:val="24"/>
                <w:szCs w:val="24"/>
              </w:rPr>
              <w:t>.</w:t>
            </w:r>
          </w:p>
          <w:p>
            <w:pPr>
              <w:pStyle w:val="Normal"/>
              <w:tabs>
                <w:tab w:val="clear" w:pos="708"/>
                <w:tab w:val="right" w:pos="6000" w:leader="none"/>
              </w:tabs>
              <w:spacing w:lineRule="auto" w:line="240" w:before="0" w:after="0"/>
              <w:ind w:firstLine="311"/>
              <w:jc w:val="both"/>
              <w:rPr/>
            </w:pPr>
            <w:r>
              <w:rPr>
                <w:sz w:val="24"/>
                <w:szCs w:val="24"/>
                <w:highlight w:val="white"/>
              </w:rPr>
              <w:t xml:space="preserve">(Аналогичная информация отражена в письме </w:t>
            </w:r>
            <w:r>
              <w:rPr>
                <w:b/>
                <w:bCs/>
                <w:color w:themeColor="text1" w:val="000000"/>
                <w:sz w:val="24"/>
                <w:szCs w:val="24"/>
              </w:rPr>
              <w:t xml:space="preserve">ПАО «Ростелеком» </w:t>
            </w:r>
            <w:r>
              <w:rPr>
                <w:b w:val="false"/>
                <w:bCs w:val="false"/>
                <w:color w:themeColor="text1" w:val="000000"/>
                <w:sz w:val="24"/>
                <w:szCs w:val="24"/>
              </w:rPr>
              <w:t>от 01.04.2026 № 01/05/49802/26</w:t>
            </w:r>
            <w:r>
              <w:rPr>
                <w:sz w:val="24"/>
                <w:szCs w:val="24"/>
                <w:highlight w:val="white"/>
              </w:rPr>
              <w:t>).</w:t>
            </w:r>
          </w:p>
          <w:p>
            <w:pPr>
              <w:pStyle w:val="Normal"/>
              <w:tabs>
                <w:tab w:val="clear" w:pos="708"/>
                <w:tab w:val="right" w:pos="6000" w:leader="none"/>
              </w:tabs>
              <w:spacing w:lineRule="auto" w:line="240" w:before="0" w:after="0"/>
              <w:ind w:firstLine="311"/>
              <w:jc w:val="both"/>
              <w:rPr>
                <w:rFonts w:ascii="Times New Roman" w:hAnsi="Times New Roman"/>
                <w:sz w:val="24"/>
                <w:szCs w:val="24"/>
                <w:highlight w:val="white"/>
              </w:rPr>
            </w:pPr>
            <w:r>
              <w:rPr>
                <w:sz w:val="24"/>
                <w:szCs w:val="24"/>
                <w:highlight w:val="white"/>
              </w:rPr>
            </w:r>
          </w:p>
        </w:tc>
      </w:tr>
      <w:tr>
        <w:trPr>
          <w:trHeight w:val="225" w:hRule="atLeast"/>
        </w:trPr>
        <w:tc>
          <w:tcPr>
            <w:tcW w:w="567"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3</w:t>
            </w:r>
          </w:p>
        </w:tc>
        <w:tc>
          <w:tcPr>
            <w:tcW w:w="3054" w:type="dxa"/>
            <w:tcBorders>
              <w:top w:val="single" w:sz="4" w:space="0" w:color="000000"/>
              <w:left w:val="single" w:sz="4" w:space="0" w:color="000000"/>
              <w:bottom w:val="single" w:sz="4" w:space="0" w:color="000000"/>
              <w:right w:val="single" w:sz="4" w:space="0" w:color="000000"/>
            </w:tcBorders>
          </w:tcPr>
          <w:p>
            <w:pPr>
              <w:pStyle w:val="Normal"/>
              <w:ind w:right="0"/>
              <w:rPr>
                <w:sz w:val="24"/>
                <w:szCs w:val="24"/>
              </w:rPr>
            </w:pPr>
            <w:r>
              <w:rPr>
                <w:sz w:val="24"/>
                <w:szCs w:val="24"/>
              </w:rPr>
              <w:t>Начальная цена предмета аукциона</w:t>
            </w:r>
          </w:p>
          <w:p>
            <w:pPr>
              <w:pStyle w:val="Normal"/>
              <w:ind w:right="0"/>
              <w:rPr>
                <w:sz w:val="24"/>
                <w:szCs w:val="24"/>
              </w:rPr>
            </w:pPr>
            <w:r>
              <w:rPr>
                <w:b/>
                <w:sz w:val="24"/>
                <w:szCs w:val="24"/>
              </w:rPr>
              <w:t>(размер ежегодной арендной платы)</w:t>
            </w:r>
          </w:p>
          <w:p>
            <w:pPr>
              <w:pStyle w:val="Normal"/>
              <w:ind w:right="0"/>
              <w:rPr>
                <w:sz w:val="24"/>
                <w:szCs w:val="24"/>
              </w:rPr>
            </w:pPr>
            <w:r>
              <w:rPr>
                <w:sz w:val="24"/>
                <w:szCs w:val="24"/>
              </w:rPr>
            </w:r>
          </w:p>
          <w:p>
            <w:pPr>
              <w:pStyle w:val="Normal"/>
              <w:ind w:right="0"/>
              <w:rPr/>
            </w:pPr>
            <w:r>
              <w:rPr>
                <w:b w:val="false"/>
                <w:bCs w:val="false"/>
                <w:sz w:val="24"/>
                <w:szCs w:val="24"/>
                <w:shd w:fill="auto" w:val="clear"/>
              </w:rPr>
              <w:t>По условиям пункта 4.3 проекта договора аренды земельного участка, приобретаемого на торгах в форме аукциона, для строительства (Приложение 3</w:t>
              <w:br/>
              <w:t xml:space="preserve">к настоящему извещению), победитель аукциона, иное лицо, с которым договор заключается </w:t>
              <w:br/>
              <w:t xml:space="preserve">в соответствии с п.13, п.14, п. 20 или п. 25  ст. 39.12 Земельного Кодекса Российской Федерации (далее – ЗК РФ), обязан </w:t>
              <w:br/>
              <w:t xml:space="preserve">до подписания договора уплатить ежегодный размер арендной платы, указанный в п. 4.2 договора (за вычетом задатка, внесенного для участия в аукционе) </w:t>
              <w:br/>
            </w:r>
            <w:r>
              <w:rPr>
                <w:b/>
                <w:bCs/>
                <w:sz w:val="24"/>
                <w:szCs w:val="24"/>
                <w:shd w:fill="auto" w:val="clear"/>
              </w:rPr>
              <w:t xml:space="preserve">за 1 год </w:t>
            </w:r>
            <w:r>
              <w:rPr>
                <w:b w:val="false"/>
                <w:bCs w:val="false"/>
                <w:sz w:val="24"/>
                <w:szCs w:val="24"/>
                <w:shd w:fill="auto" w:val="clear"/>
              </w:rPr>
              <w:t xml:space="preserve">на счет департамента земельных отношений администрации города Перми, 614000, </w:t>
              <w:br/>
              <w:t xml:space="preserve">ул. Сибирская,15, </w:t>
              <w:br/>
              <w:t xml:space="preserve">тел. 212-61-90 (отдел договоров), реквизиты которого указаны </w:t>
              <w:br/>
              <w:t>в проекте договора аренды земельного участка (Приложение 3</w:t>
              <w:br/>
              <w:t>к настоящему извещению)</w:t>
            </w:r>
          </w:p>
        </w:tc>
        <w:tc>
          <w:tcPr>
            <w:tcW w:w="6864"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rFonts w:eastAsia="Times New Roman" w:cs="Times New Roman"/>
                <w:color w:val="000000"/>
                <w:kern w:val="0"/>
                <w:sz w:val="24"/>
                <w:szCs w:val="24"/>
                <w:shd w:fill="auto" w:val="clear"/>
                <w:lang w:val="ru-RU" w:eastAsia="ru-RU" w:bidi="ar-SA"/>
              </w:rPr>
              <w:t xml:space="preserve">201 900 </w:t>
            </w:r>
            <w:r>
              <w:rPr>
                <w:sz w:val="24"/>
                <w:szCs w:val="24"/>
              </w:rPr>
              <w:t>руб.</w:t>
            </w:r>
          </w:p>
        </w:tc>
      </w:tr>
      <w:tr>
        <w:trPr>
          <w:trHeight w:val="225" w:hRule="atLeast"/>
        </w:trPr>
        <w:tc>
          <w:tcPr>
            <w:tcW w:w="567"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4</w:t>
            </w:r>
          </w:p>
        </w:tc>
        <w:tc>
          <w:tcPr>
            <w:tcW w:w="3054" w:type="dxa"/>
            <w:tcBorders>
              <w:top w:val="single" w:sz="4" w:space="0" w:color="000000"/>
              <w:left w:val="single" w:sz="4" w:space="0" w:color="000000"/>
              <w:bottom w:val="single" w:sz="4" w:space="0" w:color="000000"/>
              <w:right w:val="single" w:sz="4" w:space="0" w:color="000000"/>
            </w:tcBorders>
          </w:tcPr>
          <w:p>
            <w:pPr>
              <w:pStyle w:val="Normal"/>
              <w:ind w:right="23"/>
              <w:rPr>
                <w:sz w:val="24"/>
                <w:szCs w:val="24"/>
              </w:rPr>
            </w:pPr>
            <w:r>
              <w:rPr>
                <w:sz w:val="24"/>
                <w:szCs w:val="24"/>
              </w:rPr>
              <w:t xml:space="preserve">«Шаг аукциона» (5% от начальной цены </w:t>
            </w:r>
            <w:r>
              <w:rPr>
                <w:sz w:val="24"/>
                <w:szCs w:val="24"/>
                <w:shd w:fill="auto" w:val="clear"/>
              </w:rPr>
              <w:t>предмета аукциона)</w:t>
            </w:r>
          </w:p>
        </w:tc>
        <w:tc>
          <w:tcPr>
            <w:tcW w:w="6864"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rFonts w:eastAsia="Times New Roman" w:cs="Times New Roman"/>
                <w:color w:val="000000"/>
                <w:kern w:val="0"/>
                <w:sz w:val="24"/>
                <w:szCs w:val="24"/>
                <w:shd w:fill="auto" w:val="clear"/>
                <w:lang w:val="ru-RU" w:eastAsia="ru-RU" w:bidi="ar-SA"/>
              </w:rPr>
              <w:t>10 095</w:t>
            </w:r>
            <w:r>
              <w:rPr>
                <w:sz w:val="24"/>
                <w:szCs w:val="24"/>
              </w:rPr>
              <w:t xml:space="preserve"> руб.</w:t>
            </w:r>
          </w:p>
        </w:tc>
      </w:tr>
      <w:tr>
        <w:trPr>
          <w:trHeight w:val="416" w:hRule="atLeast"/>
        </w:trPr>
        <w:tc>
          <w:tcPr>
            <w:tcW w:w="567"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5</w:t>
            </w:r>
          </w:p>
        </w:tc>
        <w:tc>
          <w:tcPr>
            <w:tcW w:w="3054"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ind w:hanging="0" w:left="113" w:right="113"/>
              <w:jc w:val="left"/>
              <w:rPr>
                <w:sz w:val="24"/>
                <w:szCs w:val="24"/>
              </w:rPr>
            </w:pPr>
            <w:r>
              <w:rPr>
                <w:sz w:val="24"/>
                <w:szCs w:val="24"/>
              </w:rPr>
              <w:t>Форма заявки на участие в аукционе</w:t>
            </w:r>
          </w:p>
          <w:p>
            <w:pPr>
              <w:pStyle w:val="Normal"/>
              <w:ind w:right="-263"/>
              <w:rPr>
                <w:sz w:val="24"/>
                <w:szCs w:val="24"/>
              </w:rPr>
            </w:pPr>
            <w:r>
              <w:rPr>
                <w:sz w:val="24"/>
                <w:szCs w:val="24"/>
              </w:rPr>
            </w:r>
          </w:p>
        </w:tc>
        <w:tc>
          <w:tcPr>
            <w:tcW w:w="6864" w:type="dxa"/>
            <w:tcBorders>
              <w:top w:val="single" w:sz="4" w:space="0" w:color="000000"/>
              <w:left w:val="single" w:sz="4" w:space="0" w:color="000000"/>
              <w:bottom w:val="single" w:sz="4" w:space="0" w:color="000000"/>
              <w:right w:val="single" w:sz="4" w:space="0" w:color="000000"/>
            </w:tcBorders>
          </w:tcPr>
          <w:p>
            <w:pPr>
              <w:pStyle w:val="Normal"/>
              <w:jc w:val="both"/>
              <w:rPr>
                <w:rFonts w:ascii="Times New Roman" w:hAnsi="Times New Roman" w:eastAsia="Droid Sans Fallback" w:cs="Lohit Devanagari"/>
                <w:color w:val="auto"/>
                <w:sz w:val="24"/>
                <w:szCs w:val="24"/>
                <w:lang w:val="ru-RU" w:eastAsia="zh-CN" w:bidi="ar-SA"/>
              </w:rPr>
            </w:pPr>
            <w:r>
              <w:rPr>
                <w:rFonts w:eastAsia="Droid Sans Fallback" w:cs="Lohit Devanagari"/>
                <w:color w:val="auto"/>
                <w:sz w:val="24"/>
                <w:szCs w:val="24"/>
                <w:lang w:val="ru-RU" w:eastAsia="zh-CN" w:bidi="ar-SA"/>
              </w:rPr>
              <w:t xml:space="preserve">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 указанных в подпунктах 2-4 пункта 1, пункте 1.1 статьи 39.12 Земельного кодекса Российской Федерации (копии документов, удостоверяющих личность заявителя (для граждан); надлежащим образом заверенный перевод на русский язык документов </w:t>
              <w:br/>
              <w:t xml:space="preserve">о государственной регистрации юридического лица </w:t>
              <w:br/>
              <w:t xml:space="preserve">в соответствии с законодательством иностранного государства </w:t>
              <w:br/>
              <w:t>в случае, если заявителем является иностранное юридическое лицо; документы, подтверждающие внесение задатка). Заявка на участие в электронном аукционе, а также прилагаемые к ней документы подписываются усиленной квалифицированной электронной подписью заявителя.</w:t>
            </w:r>
          </w:p>
          <w:p>
            <w:pPr>
              <w:pStyle w:val="Normal"/>
              <w:jc w:val="both"/>
              <w:rPr>
                <w:sz w:val="24"/>
                <w:szCs w:val="24"/>
              </w:rPr>
            </w:pPr>
            <w:r>
              <w:rPr>
                <w:sz w:val="24"/>
                <w:szCs w:val="24"/>
              </w:rPr>
            </w:r>
          </w:p>
          <w:p>
            <w:pPr>
              <w:pStyle w:val="Normal"/>
              <w:jc w:val="both"/>
              <w:rPr>
                <w:sz w:val="24"/>
                <w:szCs w:val="24"/>
              </w:rPr>
            </w:pPr>
            <w:r>
              <w:rPr>
                <w:sz w:val="24"/>
                <w:szCs w:val="24"/>
              </w:rPr>
              <w:t>На каждый лот представляется отдельный пакет документов.</w:t>
            </w:r>
          </w:p>
          <w:p>
            <w:pPr>
              <w:pStyle w:val="Normal"/>
              <w:jc w:val="both"/>
              <w:rPr>
                <w:sz w:val="24"/>
                <w:szCs w:val="24"/>
              </w:rPr>
            </w:pPr>
            <w:r>
              <w:rPr>
                <w:sz w:val="24"/>
                <w:szCs w:val="24"/>
              </w:rPr>
            </w:r>
          </w:p>
          <w:p>
            <w:pPr>
              <w:pStyle w:val="Normal"/>
              <w:spacing w:lineRule="auto" w:line="240" w:before="0" w:after="0"/>
              <w:ind w:hanging="0" w:left="0" w:right="0"/>
              <w:jc w:val="both"/>
              <w:rPr>
                <w:rFonts w:ascii="Times New Roman" w:hAnsi="Times New Roman"/>
                <w:strike/>
                <w:color w:val="auto"/>
                <w:sz w:val="24"/>
                <w:szCs w:val="24"/>
              </w:rPr>
            </w:pPr>
            <w:r>
              <w:rPr>
                <w:b/>
                <w:bCs/>
                <w:strike w:val="false"/>
                <w:dstrike w:val="false"/>
                <w:color w:val="000000"/>
                <w:sz w:val="24"/>
                <w:szCs w:val="24"/>
                <w:shd w:fill="auto" w:val="clear"/>
              </w:rPr>
              <w:t>Решение о проведении аукциона принято в соответствии со статьей 39.11 Земельного кодекса Российской Федерации, аукцион является открытым по составу участников.</w:t>
            </w:r>
          </w:p>
          <w:p>
            <w:pPr>
              <w:pStyle w:val="BodyText"/>
              <w:jc w:val="both"/>
              <w:rPr>
                <w:highlight w:val="none"/>
                <w:shd w:fill="auto" w:val="clear"/>
              </w:rPr>
            </w:pPr>
            <w:r>
              <w:rPr>
                <w:shd w:fill="auto" w:val="clear"/>
              </w:rPr>
            </w:r>
          </w:p>
        </w:tc>
      </w:tr>
      <w:tr>
        <w:trPr>
          <w:trHeight w:val="236" w:hRule="atLeast"/>
        </w:trPr>
        <w:tc>
          <w:tcPr>
            <w:tcW w:w="567"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6</w:t>
            </w:r>
          </w:p>
        </w:tc>
        <w:tc>
          <w:tcPr>
            <w:tcW w:w="3054" w:type="dxa"/>
            <w:tcBorders>
              <w:top w:val="single" w:sz="4" w:space="0" w:color="000000"/>
              <w:left w:val="single" w:sz="4" w:space="0" w:color="000000"/>
              <w:bottom w:val="single" w:sz="4" w:space="0" w:color="000000"/>
              <w:right w:val="single" w:sz="4" w:space="0" w:color="000000"/>
            </w:tcBorders>
          </w:tcPr>
          <w:p>
            <w:pPr>
              <w:pStyle w:val="Normal"/>
              <w:ind w:right="23"/>
              <w:rPr>
                <w:sz w:val="24"/>
                <w:szCs w:val="24"/>
              </w:rPr>
            </w:pPr>
            <w:r>
              <w:rPr>
                <w:sz w:val="24"/>
                <w:szCs w:val="24"/>
              </w:rPr>
              <w:t xml:space="preserve">Размер задатка (50% от начальной цены </w:t>
            </w:r>
            <w:r>
              <w:rPr>
                <w:sz w:val="24"/>
                <w:szCs w:val="24"/>
                <w:shd w:fill="auto" w:val="clear"/>
              </w:rPr>
              <w:t>предмета аукциона)</w:t>
            </w:r>
          </w:p>
          <w:p>
            <w:pPr>
              <w:pStyle w:val="Normal"/>
              <w:ind w:right="-263"/>
              <w:rPr>
                <w:sz w:val="24"/>
                <w:szCs w:val="24"/>
              </w:rPr>
            </w:pPr>
            <w:r>
              <w:rPr>
                <w:sz w:val="24"/>
                <w:szCs w:val="24"/>
              </w:rPr>
            </w:r>
          </w:p>
        </w:tc>
        <w:tc>
          <w:tcPr>
            <w:tcW w:w="6864"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rFonts w:eastAsia="Times New Roman" w:cs="Times New Roman"/>
                <w:color w:val="000000"/>
                <w:kern w:val="0"/>
                <w:sz w:val="24"/>
                <w:szCs w:val="24"/>
                <w:shd w:fill="auto" w:val="clear"/>
                <w:lang w:val="ru-RU" w:eastAsia="ru-RU" w:bidi="ar-SA"/>
              </w:rPr>
              <w:t>100 950</w:t>
            </w:r>
            <w:r>
              <w:rPr>
                <w:sz w:val="24"/>
                <w:szCs w:val="24"/>
              </w:rPr>
              <w:t xml:space="preserve"> руб.</w:t>
            </w:r>
          </w:p>
          <w:p>
            <w:pPr>
              <w:pStyle w:val="Normal"/>
              <w:jc w:val="both"/>
              <w:rPr>
                <w:sz w:val="24"/>
                <w:szCs w:val="24"/>
              </w:rPr>
            </w:pPr>
            <w:r>
              <w:rPr>
                <w:sz w:val="24"/>
                <w:szCs w:val="24"/>
              </w:rPr>
            </w:r>
          </w:p>
        </w:tc>
      </w:tr>
      <w:tr>
        <w:trPr>
          <w:trHeight w:val="236" w:hRule="atLeast"/>
        </w:trPr>
        <w:tc>
          <w:tcPr>
            <w:tcW w:w="567" w:type="dxa"/>
            <w:tcBorders>
              <w:left w:val="single" w:sz="4" w:space="0" w:color="000000"/>
              <w:bottom w:val="single" w:sz="4" w:space="0" w:color="000000"/>
              <w:right w:val="single" w:sz="4" w:space="0" w:color="000000"/>
            </w:tcBorders>
          </w:tcPr>
          <w:p>
            <w:pPr>
              <w:pStyle w:val="Normal"/>
              <w:jc w:val="center"/>
              <w:rPr>
                <w:sz w:val="24"/>
                <w:szCs w:val="24"/>
              </w:rPr>
            </w:pPr>
            <w:r>
              <w:rPr>
                <w:sz w:val="24"/>
                <w:szCs w:val="24"/>
              </w:rPr>
              <w:t>7</w:t>
            </w:r>
          </w:p>
        </w:tc>
        <w:tc>
          <w:tcPr>
            <w:tcW w:w="3054" w:type="dxa"/>
            <w:tcBorders>
              <w:left w:val="single" w:sz="4" w:space="0" w:color="000000"/>
              <w:bottom w:val="single" w:sz="4" w:space="0" w:color="000000"/>
              <w:right w:val="single" w:sz="4" w:space="0" w:color="000000"/>
            </w:tcBorders>
          </w:tcPr>
          <w:p>
            <w:pPr>
              <w:pStyle w:val="Normal"/>
              <w:ind w:right="0"/>
              <w:rPr>
                <w:sz w:val="24"/>
                <w:szCs w:val="24"/>
              </w:rPr>
            </w:pPr>
            <w:r>
              <w:rPr>
                <w:sz w:val="24"/>
                <w:szCs w:val="24"/>
              </w:rPr>
              <w:t>Срок аренды земельного участка</w:t>
            </w:r>
          </w:p>
          <w:p>
            <w:pPr>
              <w:pStyle w:val="Normal"/>
              <w:ind w:right="0"/>
              <w:rPr>
                <w:sz w:val="24"/>
                <w:szCs w:val="24"/>
              </w:rPr>
            </w:pPr>
            <w:r>
              <w:rPr>
                <w:sz w:val="24"/>
                <w:szCs w:val="24"/>
              </w:rPr>
            </w:r>
          </w:p>
        </w:tc>
        <w:tc>
          <w:tcPr>
            <w:tcW w:w="6864" w:type="dxa"/>
            <w:tcBorders>
              <w:left w:val="single" w:sz="4" w:space="0" w:color="000000"/>
              <w:bottom w:val="single" w:sz="4" w:space="0" w:color="000000"/>
              <w:right w:val="single" w:sz="4" w:space="0" w:color="000000"/>
            </w:tcBorders>
          </w:tcPr>
          <w:p>
            <w:pPr>
              <w:pStyle w:val="Normal"/>
              <w:jc w:val="both"/>
              <w:rPr>
                <w:sz w:val="24"/>
                <w:szCs w:val="24"/>
              </w:rPr>
            </w:pPr>
            <w:r>
              <w:rPr>
                <w:sz w:val="24"/>
                <w:szCs w:val="24"/>
              </w:rPr>
              <w:t>20 лет</w:t>
            </w:r>
          </w:p>
        </w:tc>
      </w:tr>
      <w:tr>
        <w:trPr>
          <w:trHeight w:val="1884" w:hRule="atLeast"/>
        </w:trPr>
        <w:tc>
          <w:tcPr>
            <w:tcW w:w="567"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8</w:t>
            </w:r>
          </w:p>
        </w:tc>
        <w:tc>
          <w:tcPr>
            <w:tcW w:w="3054" w:type="dxa"/>
            <w:tcBorders>
              <w:top w:val="single" w:sz="4" w:space="0" w:color="000000"/>
              <w:left w:val="single" w:sz="4" w:space="0" w:color="000000"/>
              <w:bottom w:val="single" w:sz="4" w:space="0" w:color="000000"/>
              <w:right w:val="single" w:sz="4" w:space="0" w:color="000000"/>
            </w:tcBorders>
          </w:tcPr>
          <w:p>
            <w:pPr>
              <w:pStyle w:val="Normal"/>
              <w:ind w:right="-263"/>
              <w:rPr>
                <w:sz w:val="24"/>
                <w:szCs w:val="24"/>
              </w:rPr>
            </w:pPr>
            <w:r>
              <w:rPr>
                <w:sz w:val="24"/>
                <w:szCs w:val="24"/>
              </w:rPr>
              <w:t>Проект договора аренды земельного участка</w:t>
            </w:r>
          </w:p>
        </w:tc>
        <w:tc>
          <w:tcPr>
            <w:tcW w:w="6864"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 xml:space="preserve">Проект договора аренды земельного участка, приобретаемого на торгах в форме аукциона, для строительства, является Приложением 3 к настоящему извещению и размещен на сайтах </w:t>
            </w:r>
            <w:r>
              <w:rPr>
                <w:sz w:val="24"/>
                <w:szCs w:val="24"/>
                <w:lang w:val="en-US"/>
              </w:rPr>
              <w:t>www</w:t>
            </w:r>
            <w:r>
              <w:rPr>
                <w:sz w:val="24"/>
                <w:szCs w:val="24"/>
              </w:rPr>
              <w:t>.</w:t>
            </w:r>
            <w:r>
              <w:rPr>
                <w:sz w:val="24"/>
                <w:szCs w:val="24"/>
                <w:lang w:val="en-US"/>
              </w:rPr>
              <w:t>torgi</w:t>
            </w:r>
            <w:r>
              <w:rPr>
                <w:sz w:val="24"/>
                <w:szCs w:val="24"/>
              </w:rPr>
              <w:t>.</w:t>
            </w:r>
            <w:r>
              <w:rPr>
                <w:sz w:val="24"/>
                <w:szCs w:val="24"/>
                <w:lang w:val="en-US"/>
              </w:rPr>
              <w:t>gov</w:t>
            </w:r>
            <w:r>
              <w:rPr>
                <w:sz w:val="24"/>
                <w:szCs w:val="24"/>
              </w:rPr>
              <w:t>.</w:t>
            </w:r>
            <w:r>
              <w:rPr>
                <w:sz w:val="24"/>
                <w:szCs w:val="24"/>
                <w:lang w:val="en-US"/>
              </w:rPr>
              <w:t>ru</w:t>
            </w:r>
            <w:r>
              <w:rPr>
                <w:sz w:val="24"/>
                <w:szCs w:val="24"/>
              </w:rPr>
              <w:t xml:space="preserve">, </w:t>
            </w:r>
            <w:r>
              <w:rPr>
                <w:sz w:val="24"/>
                <w:szCs w:val="24"/>
                <w:lang w:val="en-US"/>
              </w:rPr>
              <w:t>www</w:t>
            </w:r>
            <w:r>
              <w:rPr>
                <w:sz w:val="24"/>
                <w:szCs w:val="24"/>
              </w:rPr>
              <w:t>.</w:t>
            </w:r>
            <w:r>
              <w:rPr>
                <w:sz w:val="24"/>
                <w:szCs w:val="24"/>
                <w:lang w:val="en-US"/>
              </w:rPr>
              <w:t>gorodperm</w:t>
            </w:r>
            <w:r>
              <w:rPr>
                <w:sz w:val="24"/>
                <w:szCs w:val="24"/>
              </w:rPr>
              <w:t>.</w:t>
            </w:r>
            <w:r>
              <w:rPr>
                <w:sz w:val="24"/>
                <w:szCs w:val="24"/>
                <w:lang w:val="en-US"/>
              </w:rPr>
              <w:t>ru</w:t>
            </w:r>
            <w:r>
              <w:rPr>
                <w:sz w:val="24"/>
                <w:szCs w:val="24"/>
              </w:rPr>
              <w:t xml:space="preserve"> (раздел Деятельность/ муниципальная собственность/ Торговая площадка/Вид торгов Продажа и аренда земельных участков).</w:t>
            </w:r>
          </w:p>
        </w:tc>
      </w:tr>
      <w:tr>
        <w:trPr>
          <w:trHeight w:val="144" w:hRule="atLeast"/>
        </w:trPr>
        <w:tc>
          <w:tcPr>
            <w:tcW w:w="567"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9</w:t>
            </w:r>
          </w:p>
        </w:tc>
        <w:tc>
          <w:tcPr>
            <w:tcW w:w="3054" w:type="dxa"/>
            <w:tcBorders>
              <w:top w:val="single" w:sz="4" w:space="0" w:color="000000"/>
              <w:left w:val="single" w:sz="4" w:space="0" w:color="000000"/>
              <w:bottom w:val="single" w:sz="4" w:space="0" w:color="000000"/>
              <w:right w:val="single" w:sz="4" w:space="0" w:color="000000"/>
            </w:tcBorders>
          </w:tcPr>
          <w:p>
            <w:pPr>
              <w:pStyle w:val="Normal"/>
              <w:ind w:hanging="0" w:left="0" w:right="-42"/>
              <w:rPr>
                <w:sz w:val="24"/>
                <w:szCs w:val="24"/>
              </w:rPr>
            </w:pPr>
            <w:r>
              <w:rPr>
                <w:sz w:val="24"/>
                <w:szCs w:val="24"/>
              </w:rPr>
              <w:t xml:space="preserve">Порядок осмотра земельного участка </w:t>
              <w:br/>
              <w:t>на местности</w:t>
            </w:r>
          </w:p>
        </w:tc>
        <w:tc>
          <w:tcPr>
            <w:tcW w:w="6864"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 xml:space="preserve">Осмотр земельного участка производится заявителем </w:t>
              <w:br/>
              <w:t>самостоятельно в любое время с даты опубликования настоящего извещения.</w:t>
            </w:r>
          </w:p>
        </w:tc>
      </w:tr>
    </w:tbl>
    <w:p>
      <w:pPr>
        <w:pStyle w:val="Normal"/>
        <w:spacing w:lineRule="exact" w:line="240"/>
        <w:ind w:hanging="0" w:left="1134"/>
        <w:jc w:val="left"/>
        <w:rPr>
          <w:rFonts w:ascii="Times New Roman" w:hAnsi="Times New Roman" w:cs="Times New Roman"/>
        </w:rPr>
      </w:pPr>
      <w:r>
        <w:rPr>
          <w:rFonts w:cs="Times New Roman"/>
        </w:rPr>
      </w:r>
    </w:p>
    <w:p>
      <w:pPr>
        <w:pStyle w:val="PlainText"/>
        <w:spacing w:lineRule="exact" w:line="240"/>
        <w:ind w:hanging="1134" w:left="1134"/>
        <w:jc w:val="left"/>
        <w:rPr/>
      </w:pPr>
      <w:r>
        <w:rPr>
          <w:rFonts w:cs="Times New Roman" w:ascii="Times New Roman" w:hAnsi="Times New Roman"/>
          <w:b/>
          <w:sz w:val="24"/>
          <w:szCs w:val="28"/>
          <w:lang w:val="ru-RU"/>
        </w:rPr>
        <w:t>Лот № 3</w:t>
      </w:r>
    </w:p>
    <w:tbl>
      <w:tblPr>
        <w:tblW w:w="10485" w:type="dxa"/>
        <w:jc w:val="left"/>
        <w:tblInd w:w="-473" w:type="dxa"/>
        <w:tblLayout w:type="fixed"/>
        <w:tblCellMar>
          <w:top w:w="0" w:type="dxa"/>
          <w:left w:w="108" w:type="dxa"/>
          <w:bottom w:w="0" w:type="dxa"/>
          <w:right w:w="108" w:type="dxa"/>
        </w:tblCellMar>
        <w:tblLook w:val="01e0" w:noHBand="0" w:noVBand="0" w:firstColumn="1" w:lastRow="1" w:lastColumn="1" w:firstRow="1"/>
      </w:tblPr>
      <w:tblGrid>
        <w:gridCol w:w="567"/>
        <w:gridCol w:w="3054"/>
        <w:gridCol w:w="6864"/>
      </w:tblGrid>
      <w:tr>
        <w:trPr>
          <w:trHeight w:val="877" w:hRule="atLeast"/>
        </w:trPr>
        <w:tc>
          <w:tcPr>
            <w:tcW w:w="567"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1</w:t>
            </w:r>
          </w:p>
        </w:tc>
        <w:tc>
          <w:tcPr>
            <w:tcW w:w="3054" w:type="dxa"/>
            <w:tcBorders>
              <w:top w:val="single" w:sz="4" w:space="0" w:color="000000"/>
              <w:left w:val="single" w:sz="4" w:space="0" w:color="000000"/>
              <w:bottom w:val="single" w:sz="4" w:space="0" w:color="000000"/>
              <w:right w:val="single" w:sz="4" w:space="0" w:color="000000"/>
            </w:tcBorders>
          </w:tcPr>
          <w:p>
            <w:pPr>
              <w:pStyle w:val="Normal"/>
              <w:ind w:right="0"/>
              <w:rPr>
                <w:sz w:val="24"/>
                <w:szCs w:val="24"/>
              </w:rPr>
            </w:pPr>
            <w:r>
              <w:rPr>
                <w:sz w:val="24"/>
                <w:szCs w:val="24"/>
              </w:rPr>
              <w:t xml:space="preserve">Наименование органа местного самоуправления, принявшего решение </w:t>
              <w:br/>
              <w:t>о проведении аукциона,</w:t>
            </w:r>
          </w:p>
          <w:p>
            <w:pPr>
              <w:pStyle w:val="Normal"/>
              <w:ind w:right="0"/>
              <w:rPr>
                <w:sz w:val="24"/>
                <w:szCs w:val="24"/>
              </w:rPr>
            </w:pPr>
            <w:r>
              <w:rPr>
                <w:sz w:val="24"/>
                <w:szCs w:val="24"/>
              </w:rPr>
              <w:t xml:space="preserve">реквизиты указанного </w:t>
              <w:br/>
              <w:t>решения</w:t>
            </w:r>
          </w:p>
        </w:tc>
        <w:tc>
          <w:tcPr>
            <w:tcW w:w="6864"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 xml:space="preserve">Администрация города Перми, распоряжение начальника </w:t>
              <w:br/>
              <w:t>департамента земельных отношений администрации город</w:t>
            </w:r>
            <w:r>
              <w:rPr>
                <w:rFonts w:eastAsia="Droid Sans Fallback" w:cs="Lohit Devanagari"/>
                <w:color w:val="auto"/>
                <w:sz w:val="24"/>
                <w:szCs w:val="24"/>
                <w:lang w:val="ru-RU" w:eastAsia="zh-CN" w:bidi="ar-SA"/>
              </w:rPr>
              <w:t xml:space="preserve">а Перми </w:t>
            </w:r>
            <w:r>
              <w:rPr>
                <w:rFonts w:eastAsia="Times New Roman" w:cs="Times New Roman"/>
                <w:color w:val="000000"/>
                <w:kern w:val="0"/>
                <w:sz w:val="24"/>
                <w:szCs w:val="20"/>
                <w:lang w:val="ru-RU" w:eastAsia="ru-RU" w:bidi="ar-SA"/>
              </w:rPr>
              <w:t xml:space="preserve">от 27 марта 2026 г. № 21-01-03-1985 </w:t>
            </w:r>
            <w:r>
              <w:rPr>
                <w:rFonts w:eastAsia="Droid Sans Fallback" w:cs="Lohit Devanagari"/>
                <w:color w:val="000000"/>
                <w:kern w:val="0"/>
                <w:sz w:val="24"/>
                <w:szCs w:val="28"/>
                <w:shd w:fill="auto" w:val="clear"/>
                <w:lang w:val="ru-RU" w:eastAsia="zh-CN" w:bidi="ar-SA"/>
              </w:rPr>
              <w:t xml:space="preserve">«О проведении аукциона на право заключения договора аренды земельного участка в </w:t>
            </w:r>
            <w:r>
              <w:rPr>
                <w:rFonts w:eastAsia="Times New Roman" w:cs="Times New Roman"/>
                <w:color w:val="000000"/>
                <w:kern w:val="0"/>
                <w:sz w:val="24"/>
                <w:szCs w:val="20"/>
                <w:shd w:fill="auto" w:val="clear"/>
                <w:lang w:val="ru-RU" w:eastAsia="ru-RU" w:bidi="ar-SA"/>
              </w:rPr>
              <w:t>Кировском</w:t>
            </w:r>
            <w:r>
              <w:rPr>
                <w:rFonts w:eastAsia="Droid Sans Fallback" w:cs="Lohit Devanagari"/>
                <w:color w:val="000000"/>
                <w:kern w:val="0"/>
                <w:sz w:val="24"/>
                <w:szCs w:val="28"/>
                <w:shd w:fill="auto" w:val="clear"/>
                <w:lang w:val="ru-RU" w:eastAsia="zh-CN" w:bidi="ar-SA"/>
              </w:rPr>
              <w:t xml:space="preserve"> районе города Перми»</w:t>
            </w:r>
          </w:p>
        </w:tc>
      </w:tr>
      <w:tr>
        <w:trPr>
          <w:trHeight w:val="225" w:hRule="atLeast"/>
        </w:trPr>
        <w:tc>
          <w:tcPr>
            <w:tcW w:w="567"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2</w:t>
            </w:r>
          </w:p>
        </w:tc>
        <w:tc>
          <w:tcPr>
            <w:tcW w:w="3054" w:type="dxa"/>
            <w:tcBorders>
              <w:top w:val="single" w:sz="4" w:space="0" w:color="000000"/>
              <w:left w:val="single" w:sz="4" w:space="0" w:color="000000"/>
              <w:bottom w:val="single" w:sz="4" w:space="0" w:color="000000"/>
              <w:right w:val="single" w:sz="4" w:space="0" w:color="000000"/>
            </w:tcBorders>
          </w:tcPr>
          <w:p>
            <w:pPr>
              <w:pStyle w:val="Normal"/>
              <w:ind w:right="0"/>
              <w:rPr>
                <w:sz w:val="24"/>
                <w:szCs w:val="24"/>
              </w:rPr>
            </w:pPr>
            <w:r>
              <w:rPr>
                <w:sz w:val="24"/>
                <w:szCs w:val="24"/>
              </w:rPr>
              <w:t xml:space="preserve">Предмет аукциона </w:t>
              <w:br/>
              <w:t xml:space="preserve">на право заключения </w:t>
              <w:br/>
              <w:t>договора аренды земельного участка</w:t>
            </w:r>
          </w:p>
        </w:tc>
        <w:tc>
          <w:tcPr>
            <w:tcW w:w="6864"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r>
          </w:p>
        </w:tc>
      </w:tr>
      <w:tr>
        <w:trPr>
          <w:trHeight w:val="493" w:hRule="atLeast"/>
        </w:trPr>
        <w:tc>
          <w:tcPr>
            <w:tcW w:w="567" w:type="dxa"/>
            <w:vMerge w:val="restart"/>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r>
          </w:p>
        </w:tc>
        <w:tc>
          <w:tcPr>
            <w:tcW w:w="3054" w:type="dxa"/>
            <w:tcBorders>
              <w:top w:val="single" w:sz="4" w:space="0" w:color="000000"/>
              <w:left w:val="single" w:sz="4" w:space="0" w:color="000000"/>
              <w:bottom w:val="single" w:sz="4" w:space="0" w:color="000000"/>
              <w:right w:val="single" w:sz="4" w:space="0" w:color="000000"/>
            </w:tcBorders>
          </w:tcPr>
          <w:p>
            <w:pPr>
              <w:pStyle w:val="Normal"/>
              <w:numPr>
                <w:ilvl w:val="0"/>
                <w:numId w:val="2"/>
              </w:numPr>
              <w:ind w:hanging="277" w:left="419" w:right="-263"/>
              <w:jc w:val="both"/>
              <w:rPr>
                <w:sz w:val="24"/>
                <w:szCs w:val="24"/>
              </w:rPr>
            </w:pPr>
            <w:r>
              <w:rPr>
                <w:sz w:val="24"/>
                <w:szCs w:val="24"/>
              </w:rPr>
              <w:t>местоположение</w:t>
            </w:r>
          </w:p>
        </w:tc>
        <w:tc>
          <w:tcPr>
            <w:tcW w:w="6864"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8256" w:leader="none"/>
              </w:tabs>
              <w:jc w:val="both"/>
              <w:rPr>
                <w:sz w:val="24"/>
                <w:szCs w:val="24"/>
              </w:rPr>
            </w:pPr>
            <w:r>
              <w:rPr>
                <w:sz w:val="24"/>
                <w:szCs w:val="24"/>
              </w:rPr>
              <w:t>Российская Федерация, Пермский край, городской округ Пермский, город Пермь, улица Нижнекамская, з/у 24а</w:t>
            </w:r>
          </w:p>
        </w:tc>
      </w:tr>
      <w:tr>
        <w:trPr>
          <w:trHeight w:val="148" w:hRule="atLeast"/>
        </w:trPr>
        <w:tc>
          <w:tcPr>
            <w:tcW w:w="567" w:type="dxa"/>
            <w:vMerge w:val="continue"/>
            <w:tcBorders>
              <w:top w:val="single" w:sz="4" w:space="0" w:color="000000"/>
              <w:left w:val="single" w:sz="4" w:space="0" w:color="000000"/>
              <w:bottom w:val="single" w:sz="4" w:space="0" w:color="000000"/>
              <w:right w:val="single" w:sz="4" w:space="0" w:color="000000"/>
            </w:tcBorders>
          </w:tcPr>
          <w:p>
            <w:pPr>
              <w:pStyle w:val="Normal"/>
              <w:jc w:val="center"/>
              <w:rPr>
                <w:sz w:val="20"/>
              </w:rPr>
            </w:pPr>
            <w:r>
              <w:rPr>
                <w:sz w:val="20"/>
              </w:rPr>
            </w:r>
          </w:p>
        </w:tc>
        <w:tc>
          <w:tcPr>
            <w:tcW w:w="3054" w:type="dxa"/>
            <w:tcBorders>
              <w:top w:val="single" w:sz="4" w:space="0" w:color="000000"/>
              <w:left w:val="single" w:sz="4" w:space="0" w:color="000000"/>
              <w:bottom w:val="single" w:sz="4" w:space="0" w:color="000000"/>
              <w:right w:val="single" w:sz="4" w:space="0" w:color="000000"/>
            </w:tcBorders>
          </w:tcPr>
          <w:p>
            <w:pPr>
              <w:pStyle w:val="Normal"/>
              <w:numPr>
                <w:ilvl w:val="0"/>
                <w:numId w:val="2"/>
              </w:numPr>
              <w:ind w:hanging="277" w:left="419" w:right="-263"/>
              <w:rPr>
                <w:sz w:val="24"/>
                <w:szCs w:val="24"/>
              </w:rPr>
            </w:pPr>
            <w:r>
              <w:rPr>
                <w:sz w:val="24"/>
                <w:szCs w:val="24"/>
                <w:lang w:val="en-US"/>
              </w:rPr>
              <w:t>площадь</w:t>
            </w:r>
          </w:p>
        </w:tc>
        <w:tc>
          <w:tcPr>
            <w:tcW w:w="6864"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940 кв. м</w:t>
            </w:r>
          </w:p>
        </w:tc>
      </w:tr>
      <w:tr>
        <w:trPr>
          <w:trHeight w:val="155" w:hRule="atLeast"/>
        </w:trPr>
        <w:tc>
          <w:tcPr>
            <w:tcW w:w="567" w:type="dxa"/>
            <w:vMerge w:val="continue"/>
            <w:tcBorders>
              <w:top w:val="single" w:sz="4" w:space="0" w:color="000000"/>
              <w:left w:val="single" w:sz="4" w:space="0" w:color="000000"/>
              <w:bottom w:val="single" w:sz="4" w:space="0" w:color="000000"/>
              <w:right w:val="single" w:sz="4" w:space="0" w:color="000000"/>
            </w:tcBorders>
          </w:tcPr>
          <w:p>
            <w:pPr>
              <w:pStyle w:val="Normal"/>
              <w:jc w:val="center"/>
              <w:rPr>
                <w:sz w:val="20"/>
              </w:rPr>
            </w:pPr>
            <w:r>
              <w:rPr>
                <w:sz w:val="20"/>
              </w:rPr>
            </w:r>
          </w:p>
        </w:tc>
        <w:tc>
          <w:tcPr>
            <w:tcW w:w="3054" w:type="dxa"/>
            <w:tcBorders>
              <w:top w:val="single" w:sz="4" w:space="0" w:color="000000"/>
              <w:left w:val="single" w:sz="4" w:space="0" w:color="000000"/>
              <w:bottom w:val="single" w:sz="4" w:space="0" w:color="000000"/>
              <w:right w:val="single" w:sz="4" w:space="0" w:color="000000"/>
            </w:tcBorders>
          </w:tcPr>
          <w:p>
            <w:pPr>
              <w:pStyle w:val="Normal"/>
              <w:numPr>
                <w:ilvl w:val="0"/>
                <w:numId w:val="2"/>
              </w:numPr>
              <w:ind w:hanging="277" w:left="419" w:right="-263"/>
              <w:rPr>
                <w:sz w:val="24"/>
                <w:szCs w:val="24"/>
              </w:rPr>
            </w:pPr>
            <w:r>
              <w:rPr>
                <w:sz w:val="24"/>
                <w:szCs w:val="24"/>
                <w:lang w:val="en-US"/>
              </w:rPr>
              <w:t>кадастровый номер</w:t>
            </w:r>
          </w:p>
        </w:tc>
        <w:tc>
          <w:tcPr>
            <w:tcW w:w="6864"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59:01:1717003:142</w:t>
            </w:r>
          </w:p>
        </w:tc>
      </w:tr>
      <w:tr>
        <w:trPr>
          <w:trHeight w:val="144" w:hRule="atLeast"/>
        </w:trPr>
        <w:tc>
          <w:tcPr>
            <w:tcW w:w="567" w:type="dxa"/>
            <w:vMerge w:val="continue"/>
            <w:tcBorders>
              <w:top w:val="single" w:sz="4" w:space="0" w:color="000000"/>
              <w:left w:val="single" w:sz="4" w:space="0" w:color="000000"/>
              <w:bottom w:val="single" w:sz="4" w:space="0" w:color="000000"/>
              <w:right w:val="single" w:sz="4" w:space="0" w:color="000000"/>
            </w:tcBorders>
          </w:tcPr>
          <w:p>
            <w:pPr>
              <w:pStyle w:val="Normal"/>
              <w:jc w:val="center"/>
              <w:rPr>
                <w:sz w:val="20"/>
              </w:rPr>
            </w:pPr>
            <w:r>
              <w:rPr>
                <w:sz w:val="20"/>
              </w:rPr>
            </w:r>
          </w:p>
        </w:tc>
        <w:tc>
          <w:tcPr>
            <w:tcW w:w="3054" w:type="dxa"/>
            <w:tcBorders>
              <w:top w:val="single" w:sz="4" w:space="0" w:color="000000"/>
              <w:left w:val="single" w:sz="4" w:space="0" w:color="000000"/>
              <w:bottom w:val="single" w:sz="4" w:space="0" w:color="000000"/>
              <w:right w:val="single" w:sz="4" w:space="0" w:color="000000"/>
            </w:tcBorders>
          </w:tcPr>
          <w:p>
            <w:pPr>
              <w:pStyle w:val="Normal"/>
              <w:numPr>
                <w:ilvl w:val="0"/>
                <w:numId w:val="2"/>
              </w:numPr>
              <w:ind w:hanging="284" w:left="419" w:right="0"/>
              <w:rPr>
                <w:sz w:val="24"/>
                <w:szCs w:val="24"/>
              </w:rPr>
            </w:pPr>
            <w:r>
              <w:rPr>
                <w:sz w:val="24"/>
                <w:szCs w:val="24"/>
              </w:rPr>
              <w:t>права на земельный участок</w:t>
            </w:r>
          </w:p>
        </w:tc>
        <w:tc>
          <w:tcPr>
            <w:tcW w:w="6864" w:type="dxa"/>
            <w:tcBorders>
              <w:top w:val="single" w:sz="4" w:space="0" w:color="000000"/>
              <w:left w:val="single" w:sz="4" w:space="0" w:color="000000"/>
              <w:bottom w:val="single" w:sz="4" w:space="0" w:color="000000"/>
              <w:right w:val="single" w:sz="4" w:space="0" w:color="000000"/>
            </w:tcBorders>
          </w:tcPr>
          <w:p>
            <w:pPr>
              <w:pStyle w:val="Normal"/>
              <w:ind w:right="-263"/>
              <w:jc w:val="both"/>
              <w:rPr>
                <w:sz w:val="24"/>
                <w:szCs w:val="24"/>
              </w:rPr>
            </w:pPr>
            <w:r>
              <w:rPr>
                <w:sz w:val="24"/>
                <w:szCs w:val="24"/>
                <w:lang w:val="en-US"/>
              </w:rPr>
              <w:t>государственная собственность не разграничена</w:t>
            </w:r>
          </w:p>
        </w:tc>
      </w:tr>
      <w:tr>
        <w:trPr>
          <w:trHeight w:val="144" w:hRule="atLeast"/>
        </w:trPr>
        <w:tc>
          <w:tcPr>
            <w:tcW w:w="567" w:type="dxa"/>
            <w:vMerge w:val="continue"/>
            <w:tcBorders>
              <w:top w:val="single" w:sz="4" w:space="0" w:color="000000"/>
              <w:left w:val="single" w:sz="4" w:space="0" w:color="000000"/>
              <w:bottom w:val="single" w:sz="4" w:space="0" w:color="000000"/>
              <w:right w:val="single" w:sz="4" w:space="0" w:color="000000"/>
            </w:tcBorders>
          </w:tcPr>
          <w:p>
            <w:pPr>
              <w:pStyle w:val="Normal"/>
              <w:jc w:val="center"/>
              <w:rPr>
                <w:sz w:val="20"/>
              </w:rPr>
            </w:pPr>
            <w:r>
              <w:rPr>
                <w:sz w:val="20"/>
              </w:rPr>
            </w:r>
          </w:p>
        </w:tc>
        <w:tc>
          <w:tcPr>
            <w:tcW w:w="3054" w:type="dxa"/>
            <w:tcBorders>
              <w:top w:val="single" w:sz="4" w:space="0" w:color="000000"/>
              <w:left w:val="single" w:sz="4" w:space="0" w:color="000000"/>
              <w:bottom w:val="single" w:sz="4" w:space="0" w:color="000000"/>
              <w:right w:val="single" w:sz="4" w:space="0" w:color="000000"/>
            </w:tcBorders>
          </w:tcPr>
          <w:p>
            <w:pPr>
              <w:pStyle w:val="Normal"/>
              <w:numPr>
                <w:ilvl w:val="0"/>
                <w:numId w:val="2"/>
              </w:numPr>
              <w:ind w:hanging="277" w:left="419" w:right="0"/>
              <w:rPr>
                <w:sz w:val="24"/>
                <w:szCs w:val="24"/>
              </w:rPr>
            </w:pPr>
            <w:r>
              <w:rPr>
                <w:sz w:val="24"/>
                <w:szCs w:val="24"/>
                <w:lang w:val="en-US"/>
              </w:rPr>
              <w:t>вид разрешенного использования</w:t>
            </w:r>
          </w:p>
        </w:tc>
        <w:tc>
          <w:tcPr>
            <w:tcW w:w="6864"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lang w:val="en-US"/>
              </w:rPr>
              <w:t>для индивидуального жилищного строительства</w:t>
            </w:r>
          </w:p>
        </w:tc>
      </w:tr>
      <w:tr>
        <w:trPr>
          <w:trHeight w:val="576" w:hRule="atLeast"/>
        </w:trPr>
        <w:tc>
          <w:tcPr>
            <w:tcW w:w="567" w:type="dxa"/>
            <w:vMerge w:val="continue"/>
            <w:tcBorders>
              <w:top w:val="single" w:sz="4" w:space="0" w:color="000000"/>
              <w:left w:val="single" w:sz="4" w:space="0" w:color="000000"/>
              <w:bottom w:val="single" w:sz="4" w:space="0" w:color="000000"/>
              <w:right w:val="single" w:sz="4" w:space="0" w:color="000000"/>
            </w:tcBorders>
          </w:tcPr>
          <w:p>
            <w:pPr>
              <w:pStyle w:val="Normal"/>
              <w:jc w:val="center"/>
              <w:rPr>
                <w:sz w:val="20"/>
              </w:rPr>
            </w:pPr>
            <w:r>
              <w:rPr>
                <w:sz w:val="20"/>
              </w:rPr>
            </w:r>
          </w:p>
        </w:tc>
        <w:tc>
          <w:tcPr>
            <w:tcW w:w="3054" w:type="dxa"/>
            <w:tcBorders>
              <w:top w:val="single" w:sz="4" w:space="0" w:color="000000"/>
              <w:left w:val="single" w:sz="4" w:space="0" w:color="000000"/>
              <w:bottom w:val="single" w:sz="4" w:space="0" w:color="000000"/>
              <w:right w:val="single" w:sz="4" w:space="0" w:color="000000"/>
            </w:tcBorders>
          </w:tcPr>
          <w:p>
            <w:pPr>
              <w:pStyle w:val="Normal"/>
              <w:numPr>
                <w:ilvl w:val="0"/>
                <w:numId w:val="2"/>
              </w:numPr>
              <w:ind w:hanging="284" w:left="419" w:right="-263"/>
              <w:rPr>
                <w:sz w:val="24"/>
                <w:szCs w:val="24"/>
              </w:rPr>
            </w:pPr>
            <w:r>
              <w:rPr>
                <w:sz w:val="24"/>
                <w:szCs w:val="24"/>
              </w:rPr>
              <w:t xml:space="preserve">принадлежность к определенной  </w:t>
              <w:br/>
              <w:t>категории земель</w:t>
            </w:r>
          </w:p>
        </w:tc>
        <w:tc>
          <w:tcPr>
            <w:tcW w:w="6864" w:type="dxa"/>
            <w:tcBorders>
              <w:top w:val="single" w:sz="4" w:space="0" w:color="000000"/>
              <w:left w:val="single" w:sz="4" w:space="0" w:color="000000"/>
              <w:bottom w:val="single" w:sz="4" w:space="0" w:color="000000"/>
              <w:right w:val="single" w:sz="4" w:space="0" w:color="000000"/>
            </w:tcBorders>
          </w:tcPr>
          <w:p>
            <w:pPr>
              <w:pStyle w:val="Normal"/>
              <w:ind w:right="-263"/>
              <w:jc w:val="both"/>
              <w:rPr>
                <w:sz w:val="24"/>
                <w:szCs w:val="24"/>
              </w:rPr>
            </w:pPr>
            <w:r>
              <w:rPr>
                <w:sz w:val="24"/>
                <w:szCs w:val="24"/>
              </w:rPr>
              <w:t>земли населенных пунктов</w:t>
            </w:r>
          </w:p>
        </w:tc>
      </w:tr>
      <w:tr>
        <w:trPr>
          <w:trHeight w:val="576" w:hRule="atLeast"/>
        </w:trPr>
        <w:tc>
          <w:tcPr>
            <w:tcW w:w="567" w:type="dxa"/>
            <w:vMerge w:val="continue"/>
            <w:tcBorders>
              <w:left w:val="single" w:sz="4" w:space="0" w:color="000000"/>
              <w:bottom w:val="single" w:sz="4" w:space="0" w:color="000000"/>
              <w:right w:val="single" w:sz="4" w:space="0" w:color="000000"/>
            </w:tcBorders>
          </w:tcPr>
          <w:p>
            <w:pPr>
              <w:pStyle w:val="Normal"/>
              <w:jc w:val="center"/>
              <w:rPr>
                <w:sz w:val="20"/>
              </w:rPr>
            </w:pPr>
            <w:r>
              <w:rPr>
                <w:sz w:val="20"/>
              </w:rPr>
            </w:r>
          </w:p>
        </w:tc>
        <w:tc>
          <w:tcPr>
            <w:tcW w:w="3054" w:type="dxa"/>
            <w:tcBorders>
              <w:left w:val="single" w:sz="4" w:space="0" w:color="000000"/>
              <w:bottom w:val="single" w:sz="4" w:space="0" w:color="000000"/>
              <w:right w:val="single" w:sz="4" w:space="0" w:color="000000"/>
            </w:tcBorders>
          </w:tcPr>
          <w:p>
            <w:pPr>
              <w:pStyle w:val="Normal"/>
              <w:numPr>
                <w:ilvl w:val="0"/>
                <w:numId w:val="2"/>
              </w:numPr>
              <w:ind w:hanging="284" w:left="419" w:right="-263"/>
              <w:rPr>
                <w:sz w:val="24"/>
                <w:szCs w:val="24"/>
              </w:rPr>
            </w:pPr>
            <w:r>
              <w:rPr>
                <w:sz w:val="24"/>
                <w:szCs w:val="24"/>
              </w:rPr>
              <w:t>принадлежность к определенной территориальной зоне</w:t>
            </w:r>
          </w:p>
        </w:tc>
        <w:tc>
          <w:tcPr>
            <w:tcW w:w="6864" w:type="dxa"/>
            <w:tcBorders>
              <w:left w:val="single" w:sz="4" w:space="0" w:color="000000"/>
              <w:bottom w:val="single" w:sz="4" w:space="0" w:color="000000"/>
              <w:right w:val="single" w:sz="4" w:space="0" w:color="000000"/>
            </w:tcBorders>
          </w:tcPr>
          <w:p>
            <w:pPr>
              <w:pStyle w:val="Normal"/>
              <w:ind w:right="-263"/>
              <w:jc w:val="both"/>
              <w:rPr>
                <w:sz w:val="24"/>
                <w:szCs w:val="24"/>
              </w:rPr>
            </w:pPr>
            <w:r>
              <w:rPr>
                <w:sz w:val="24"/>
                <w:szCs w:val="24"/>
              </w:rPr>
              <w:t>Ж-5 «Зона индивидуальной усадебной жилой застройки»</w:t>
            </w:r>
          </w:p>
        </w:tc>
      </w:tr>
      <w:tr>
        <w:trPr>
          <w:trHeight w:val="144" w:hRule="atLeast"/>
        </w:trPr>
        <w:tc>
          <w:tcPr>
            <w:tcW w:w="567" w:type="dxa"/>
            <w:vMerge w:val="continue"/>
            <w:tcBorders>
              <w:top w:val="single" w:sz="4" w:space="0" w:color="000000"/>
              <w:left w:val="single" w:sz="4" w:space="0" w:color="000000"/>
              <w:bottom w:val="single" w:sz="4" w:space="0" w:color="000000"/>
              <w:right w:val="single" w:sz="4" w:space="0" w:color="000000"/>
            </w:tcBorders>
          </w:tcPr>
          <w:p>
            <w:pPr>
              <w:pStyle w:val="Normal"/>
              <w:jc w:val="center"/>
              <w:rPr>
                <w:sz w:val="20"/>
              </w:rPr>
            </w:pPr>
            <w:r>
              <w:rPr>
                <w:sz w:val="20"/>
              </w:rPr>
            </w:r>
          </w:p>
        </w:tc>
        <w:tc>
          <w:tcPr>
            <w:tcW w:w="3054" w:type="dxa"/>
            <w:tcBorders>
              <w:top w:val="single" w:sz="4" w:space="0" w:color="000000"/>
              <w:left w:val="single" w:sz="4" w:space="0" w:color="000000"/>
              <w:bottom w:val="single" w:sz="4" w:space="0" w:color="000000"/>
              <w:right w:val="single" w:sz="4" w:space="0" w:color="000000"/>
            </w:tcBorders>
          </w:tcPr>
          <w:p>
            <w:pPr>
              <w:pStyle w:val="Normal"/>
              <w:numPr>
                <w:ilvl w:val="0"/>
                <w:numId w:val="3"/>
              </w:numPr>
              <w:ind w:hanging="277" w:left="419" w:right="-263"/>
              <w:rPr>
                <w:sz w:val="24"/>
                <w:szCs w:val="24"/>
              </w:rPr>
            </w:pPr>
            <w:r>
              <w:rPr>
                <w:sz w:val="24"/>
                <w:szCs w:val="24"/>
              </w:rPr>
              <w:t>ограничение прав</w:t>
            </w:r>
          </w:p>
          <w:p>
            <w:pPr>
              <w:pStyle w:val="Normal"/>
              <w:ind w:left="419" w:right="-263"/>
              <w:rPr>
                <w:sz w:val="24"/>
                <w:szCs w:val="24"/>
              </w:rPr>
            </w:pPr>
            <w:r>
              <w:rPr>
                <w:sz w:val="24"/>
                <w:szCs w:val="24"/>
              </w:rPr>
            </w:r>
          </w:p>
        </w:tc>
        <w:tc>
          <w:tcPr>
            <w:tcW w:w="6864" w:type="dxa"/>
            <w:tcBorders>
              <w:top w:val="single" w:sz="4" w:space="0" w:color="000000"/>
              <w:left w:val="single" w:sz="4" w:space="0" w:color="000000"/>
              <w:bottom w:val="single" w:sz="4" w:space="0" w:color="000000"/>
              <w:right w:val="single" w:sz="4" w:space="0" w:color="000000"/>
            </w:tcBorders>
          </w:tcPr>
          <w:p>
            <w:pPr>
              <w:pStyle w:val="Normal"/>
              <w:ind w:hanging="0"/>
              <w:jc w:val="both"/>
              <w:rPr>
                <w:sz w:val="24"/>
                <w:szCs w:val="24"/>
              </w:rPr>
            </w:pPr>
            <w:r>
              <w:rPr>
                <w:sz w:val="24"/>
                <w:szCs w:val="24"/>
              </w:rPr>
              <w:t>Ограничения прав подробно описаны:</w:t>
            </w:r>
          </w:p>
          <w:p>
            <w:pPr>
              <w:pStyle w:val="Normal"/>
              <w:ind w:firstLine="311"/>
              <w:jc w:val="both"/>
              <w:rPr>
                <w:sz w:val="24"/>
                <w:szCs w:val="24"/>
              </w:rPr>
            </w:pPr>
            <w:r>
              <w:rPr>
                <w:sz w:val="24"/>
                <w:szCs w:val="24"/>
              </w:rPr>
              <w:t>в выписке из Единого государственного реестра недвижимости об объекте недвижимости от 27.05.2026г. № КУВИ-001/2026-71922446 (далее – ЕГРН);</w:t>
            </w:r>
          </w:p>
          <w:p>
            <w:pPr>
              <w:pStyle w:val="Normal"/>
              <w:ind w:firstLine="311"/>
              <w:jc w:val="both"/>
              <w:rPr>
                <w:highlight w:val="none"/>
                <w:shd w:fill="auto" w:val="clear"/>
              </w:rPr>
            </w:pPr>
            <w:r>
              <w:rPr>
                <w:sz w:val="24"/>
                <w:szCs w:val="24"/>
                <w:shd w:fill="auto" w:val="clear"/>
              </w:rPr>
              <w:t>в градостроительном плане земельного участка</w:t>
            </w:r>
          </w:p>
          <w:p>
            <w:pPr>
              <w:pStyle w:val="Normal"/>
              <w:jc w:val="both"/>
              <w:rPr>
                <w:highlight w:val="none"/>
                <w:shd w:fill="auto" w:val="clear"/>
              </w:rPr>
            </w:pPr>
            <w:r>
              <w:rPr>
                <w:sz w:val="24"/>
                <w:szCs w:val="24"/>
                <w:shd w:fill="auto" w:val="clear"/>
              </w:rPr>
              <w:t>от 19.03</w:t>
            </w:r>
            <w:r>
              <w:rPr>
                <w:color w:val="000000"/>
                <w:sz w:val="24"/>
                <w:szCs w:val="24"/>
                <w:shd w:fill="auto" w:val="clear"/>
              </w:rPr>
              <w:t>.2026 № РФ-59-2-03-0-00-2026-0544-0 </w:t>
            </w:r>
            <w:r>
              <w:rPr>
                <w:sz w:val="24"/>
                <w:szCs w:val="24"/>
                <w:shd w:fill="auto" w:val="clear"/>
              </w:rPr>
              <w:t>(далее – ГПЗУ).</w:t>
            </w:r>
          </w:p>
          <w:p>
            <w:pPr>
              <w:pStyle w:val="Normal"/>
              <w:jc w:val="both"/>
              <w:rPr>
                <w:highlight w:val="none"/>
                <w:shd w:fill="auto" w:val="clear"/>
              </w:rPr>
            </w:pPr>
            <w:r>
              <w:rPr>
                <w:sz w:val="24"/>
                <w:szCs w:val="24"/>
                <w:shd w:fill="auto" w:val="clear"/>
              </w:rPr>
              <w:t>(</w:t>
            </w:r>
            <w:r>
              <w:rPr>
                <w:rFonts w:eastAsia="Times New Roman" w:cs="Times New Roman"/>
                <w:b w:val="false"/>
                <w:bCs w:val="false"/>
                <w:color w:val="000000"/>
                <w:sz w:val="24"/>
                <w:szCs w:val="24"/>
                <w:shd w:fill="auto" w:val="clear"/>
              </w:rPr>
              <w:t>Приложение 6 к настоящему извещению)</w:t>
            </w:r>
            <w:r>
              <w:rPr>
                <w:sz w:val="24"/>
                <w:szCs w:val="24"/>
                <w:shd w:fill="auto" w:val="clear"/>
              </w:rPr>
              <w:t>.</w:t>
            </w:r>
          </w:p>
          <w:p>
            <w:pPr>
              <w:pStyle w:val="Normal"/>
              <w:jc w:val="both"/>
              <w:rPr>
                <w:sz w:val="24"/>
                <w:szCs w:val="24"/>
              </w:rPr>
            </w:pPr>
            <w:r>
              <w:rPr>
                <w:sz w:val="24"/>
                <w:szCs w:val="24"/>
              </w:rPr>
            </w:r>
          </w:p>
          <w:p>
            <w:pPr>
              <w:pStyle w:val="Normal"/>
              <w:spacing w:lineRule="auto" w:line="240" w:before="0" w:after="0"/>
              <w:ind w:firstLine="283" w:left="0" w:right="0"/>
              <w:jc w:val="both"/>
              <w:rPr>
                <w:rFonts w:ascii="Times New Roman" w:hAnsi="Times New Roman"/>
                <w:color w:val="auto"/>
                <w:sz w:val="24"/>
                <w:szCs w:val="24"/>
                <w:highlight w:val="none"/>
              </w:rPr>
            </w:pPr>
            <w:r>
              <w:rPr>
                <w:color w:val="auto"/>
                <w:sz w:val="24"/>
                <w:szCs w:val="24"/>
              </w:rPr>
              <w:t>Земельный участок огорожен деревянным забором, доступ на участок ограничен. К</w:t>
            </w:r>
            <w:r>
              <w:rPr>
                <w:color w:val="auto"/>
                <w:sz w:val="24"/>
                <w:szCs w:val="24"/>
                <w:highlight w:val="white"/>
              </w:rPr>
              <w:t>апитальные/некапитальные строения на Участке отсутствуют.</w:t>
            </w:r>
          </w:p>
          <w:p>
            <w:pPr>
              <w:pStyle w:val="Normal"/>
              <w:spacing w:lineRule="auto" w:line="240" w:before="0" w:after="0"/>
              <w:ind w:firstLine="283" w:left="0" w:right="0"/>
              <w:jc w:val="both"/>
              <w:rPr/>
            </w:pPr>
            <w:r>
              <w:rPr>
                <w:color w:val="auto"/>
                <w:sz w:val="24"/>
                <w:szCs w:val="24"/>
              </w:rPr>
              <w:t xml:space="preserve"> </w:t>
            </w:r>
            <w:r>
              <w:rPr>
                <w:color w:val="auto"/>
                <w:sz w:val="24"/>
                <w:szCs w:val="24"/>
              </w:rPr>
              <w:t>Капитальные/некапитальные объекты на земельном участке отсутствуют.</w:t>
            </w:r>
          </w:p>
          <w:p>
            <w:pPr>
              <w:pStyle w:val="Normal"/>
              <w:spacing w:lineRule="auto" w:line="240" w:before="0" w:after="0"/>
              <w:ind w:firstLine="283" w:left="0" w:right="0"/>
              <w:jc w:val="both"/>
              <w:rPr/>
            </w:pPr>
            <w:r>
              <w:rPr>
                <w:color w:val="auto"/>
                <w:sz w:val="24"/>
                <w:szCs w:val="24"/>
              </w:rPr>
              <w:t>Близлежащий источник противопожарного водоснабжения относительно земельного участка с кадастровым номером 59:01:1717003:142 расположен по ул. Нижнекамская, 25а (пожарный гидрант).</w:t>
            </w:r>
          </w:p>
          <w:p>
            <w:pPr>
              <w:pStyle w:val="Normal"/>
              <w:tabs>
                <w:tab w:val="clear" w:pos="708"/>
                <w:tab w:val="right" w:pos="6000" w:leader="none"/>
              </w:tabs>
              <w:spacing w:lineRule="auto" w:line="240" w:before="0" w:after="0"/>
              <w:ind w:firstLine="311"/>
              <w:jc w:val="both"/>
              <w:rPr/>
            </w:pPr>
            <w:r>
              <w:rPr>
                <w:sz w:val="24"/>
                <w:szCs w:val="24"/>
                <w:highlight w:val="white"/>
              </w:rPr>
              <w:t xml:space="preserve">(Аналогичная информация отражена в письме </w:t>
            </w:r>
            <w:r>
              <w:rPr>
                <w:b/>
                <w:color w:val="auto"/>
                <w:sz w:val="24"/>
                <w:szCs w:val="24"/>
                <w:highlight w:val="white"/>
              </w:rPr>
              <w:t>администрации Кировского района города Перми</w:t>
            </w:r>
            <w:r>
              <w:rPr>
                <w:color w:val="auto"/>
                <w:sz w:val="24"/>
                <w:szCs w:val="24"/>
                <w:highlight w:val="white"/>
              </w:rPr>
              <w:t xml:space="preserve"> от 10.03.2026 № 059-23-01-25/3-75, в акте обследования от 06.03.2026 № б/н</w:t>
            </w:r>
            <w:r>
              <w:rPr>
                <w:sz w:val="24"/>
                <w:szCs w:val="24"/>
                <w:highlight w:val="white"/>
              </w:rPr>
              <w:t>).</w:t>
            </w:r>
          </w:p>
          <w:p>
            <w:pPr>
              <w:pStyle w:val="Normal"/>
              <w:tabs>
                <w:tab w:val="clear" w:pos="708"/>
                <w:tab w:val="right" w:pos="6000" w:leader="none"/>
              </w:tabs>
              <w:spacing w:lineRule="auto" w:line="240" w:before="0" w:after="0"/>
              <w:ind w:firstLine="311"/>
              <w:jc w:val="both"/>
              <w:rPr>
                <w:rFonts w:ascii="Times New Roman" w:hAnsi="Times New Roman"/>
                <w:color w:val="auto"/>
                <w:sz w:val="24"/>
                <w:szCs w:val="24"/>
                <w:highlight w:val="white"/>
              </w:rPr>
            </w:pPr>
            <w:r>
              <w:rPr>
                <w:color w:val="auto"/>
                <w:sz w:val="24"/>
                <w:szCs w:val="24"/>
                <w:highlight w:val="white"/>
              </w:rPr>
            </w:r>
          </w:p>
          <w:p>
            <w:pPr>
              <w:pStyle w:val="Normal"/>
              <w:spacing w:lineRule="auto" w:line="240" w:before="0" w:after="0"/>
              <w:ind w:firstLine="283" w:left="0" w:right="0"/>
              <w:jc w:val="both"/>
              <w:rPr>
                <w:rFonts w:ascii="Times New Roman" w:hAnsi="Times New Roman"/>
                <w:color w:val="auto"/>
                <w:sz w:val="24"/>
                <w:szCs w:val="24"/>
                <w:highlight w:val="none"/>
              </w:rPr>
            </w:pPr>
            <w:r>
              <w:rPr>
                <w:color w:val="auto"/>
                <w:sz w:val="24"/>
                <w:szCs w:val="24"/>
                <w:highlight w:val="white"/>
              </w:rPr>
              <w:t xml:space="preserve">В соответствии со сведениями ЕГРН </w:t>
            </w:r>
            <w:r>
              <w:rPr>
                <w:color w:val="auto"/>
                <w:sz w:val="24"/>
                <w:szCs w:val="24"/>
              </w:rPr>
              <w:t>на участке расположено сооружение электроэнергетики с кадастровым номером 59:01:0000000:46572.</w:t>
            </w:r>
          </w:p>
          <w:p>
            <w:pPr>
              <w:pStyle w:val="Normal"/>
              <w:spacing w:lineRule="auto" w:line="240" w:before="0" w:after="0"/>
              <w:ind w:firstLine="283" w:left="0" w:right="0"/>
              <w:jc w:val="both"/>
              <w:rPr>
                <w:rFonts w:ascii="Times New Roman" w:hAnsi="Times New Roman"/>
                <w:b w:val="false"/>
                <w:bCs w:val="false"/>
                <w:color w:val="auto"/>
                <w:sz w:val="24"/>
                <w:szCs w:val="24"/>
                <w:highlight w:val="none"/>
              </w:rPr>
            </w:pPr>
            <w:r>
              <w:rPr>
                <w:color w:val="auto"/>
                <w:sz w:val="24"/>
                <w:szCs w:val="24"/>
              </w:rPr>
              <w:t xml:space="preserve">В соответствии с </w:t>
            </w:r>
            <w:r>
              <w:rPr>
                <w:color w:val="auto"/>
                <w:sz w:val="24"/>
                <w:szCs w:val="24"/>
                <w:highlight w:val="white"/>
              </w:rPr>
              <w:t xml:space="preserve">геодезической съемкой, выполненной в 2025 году </w:t>
            </w:r>
            <w:r>
              <w:rPr>
                <w:b w:val="false"/>
                <w:bCs w:val="false"/>
                <w:color w:val="auto"/>
                <w:sz w:val="24"/>
                <w:szCs w:val="24"/>
                <w:highlight w:val="white"/>
              </w:rPr>
              <w:t xml:space="preserve">с запада на восток Участок пересекают сети электроснабжения. </w:t>
            </w:r>
            <w:r>
              <w:rPr>
                <w:b w:val="false"/>
                <w:bCs w:val="false"/>
                <w:color w:val="auto"/>
                <w:sz w:val="24"/>
                <w:szCs w:val="24"/>
              </w:rPr>
              <w:t xml:space="preserve">На участке произрастают отдельно стоящие деревья породы сосна. С северо-восточной стороны в границах участка частично расположено ограждение – деревянный забор смежного землепользования, расположенного по адресу: г. Пермь, ул. Нижнекамская, 24. С юга-западной стороны </w:t>
              <w:br/>
              <w:t xml:space="preserve">в границах участка частично расположено ограждение – деревянный забор смежного землепользования </w:t>
              <w:br/>
              <w:t xml:space="preserve">с кадастровым номером 59:01:1717003:4. </w:t>
              <w:br/>
              <w:t>Д</w:t>
            </w:r>
            <w:r>
              <w:rPr>
                <w:color w:val="auto"/>
                <w:sz w:val="24"/>
                <w:szCs w:val="24"/>
              </w:rPr>
              <w:t>оступ на участок ограничен.</w:t>
            </w:r>
          </w:p>
          <w:p>
            <w:pPr>
              <w:pStyle w:val="Normal"/>
              <w:spacing w:lineRule="auto" w:line="240" w:before="0" w:after="0"/>
              <w:ind w:firstLine="283" w:left="0" w:right="0"/>
              <w:jc w:val="both"/>
              <w:rPr>
                <w:rFonts w:ascii="Times New Roman" w:hAnsi="Times New Roman"/>
                <w:color w:val="auto"/>
                <w:sz w:val="24"/>
                <w:szCs w:val="24"/>
                <w:highlight w:val="none"/>
              </w:rPr>
            </w:pPr>
            <w:r>
              <w:rPr>
                <w:color w:val="auto"/>
                <w:sz w:val="24"/>
                <w:szCs w:val="24"/>
              </w:rPr>
              <w:t>Согласно копии планшета М 1:500,</w:t>
            </w:r>
            <w:r>
              <w:rPr>
                <w:color w:val="auto"/>
                <w:sz w:val="24"/>
                <w:szCs w:val="24"/>
                <w:highlight w:val="white"/>
              </w:rPr>
              <w:t xml:space="preserve"> требующего корректуры, с </w:t>
            </w:r>
            <w:r>
              <w:rPr>
                <w:b w:val="false"/>
                <w:bCs w:val="false"/>
                <w:color w:val="auto"/>
                <w:sz w:val="24"/>
                <w:szCs w:val="24"/>
                <w:highlight w:val="white"/>
              </w:rPr>
              <w:t>запада на восток Участок пересекают сети электроснабжения.</w:t>
            </w:r>
            <w:r>
              <w:rPr>
                <w:color w:val="auto"/>
                <w:sz w:val="24"/>
                <w:szCs w:val="24"/>
                <w:highlight w:val="white"/>
              </w:rPr>
              <w:t xml:space="preserve"> </w:t>
            </w:r>
            <w:r>
              <w:rPr>
                <w:b w:val="false"/>
                <w:bCs w:val="false"/>
                <w:color w:val="auto"/>
                <w:sz w:val="24"/>
                <w:szCs w:val="24"/>
              </w:rPr>
              <w:t xml:space="preserve">С юга - западной стороны в границах участка частично расположено ограждение – деревянный забор смежного землепользования с кадастровым номером 59:01:1717003:4. </w:t>
            </w:r>
            <w:r>
              <w:rPr>
                <w:color w:val="auto"/>
                <w:sz w:val="24"/>
                <w:szCs w:val="24"/>
              </w:rPr>
              <w:t>К</w:t>
            </w:r>
            <w:r>
              <w:rPr>
                <w:color w:val="auto"/>
                <w:sz w:val="24"/>
                <w:szCs w:val="24"/>
                <w:highlight w:val="white"/>
              </w:rPr>
              <w:t>апитальные/некапитальные строения в границах Участка отсутствуют.</w:t>
            </w:r>
          </w:p>
          <w:p>
            <w:pPr>
              <w:pStyle w:val="Normal"/>
              <w:spacing w:lineRule="auto" w:line="240" w:before="0" w:after="0"/>
              <w:ind w:firstLine="311"/>
              <w:jc w:val="both"/>
              <w:rPr>
                <w:rFonts w:ascii="Times New Roman" w:hAnsi="Times New Roman"/>
                <w:color w:themeColor="accent5" w:themeShade="bf" w:val="auto"/>
                <w:sz w:val="24"/>
                <w:szCs w:val="24"/>
                <w:highlight w:val="white"/>
              </w:rPr>
            </w:pPr>
            <w:r>
              <w:rPr>
                <w:color w:themeColor="accent5" w:themeShade="bf" w:val="auto"/>
                <w:sz w:val="24"/>
                <w:szCs w:val="24"/>
                <w:highlight w:val="white"/>
              </w:rPr>
            </w:r>
          </w:p>
          <w:p>
            <w:pPr>
              <w:pStyle w:val="Normal"/>
              <w:spacing w:lineRule="auto" w:line="240" w:before="0" w:after="0"/>
              <w:ind w:firstLine="283" w:left="0" w:right="0"/>
              <w:jc w:val="both"/>
              <w:rPr>
                <w:rFonts w:ascii="Times New Roman" w:hAnsi="Times New Roman"/>
                <w:color w:val="auto"/>
                <w:sz w:val="24"/>
                <w:szCs w:val="24"/>
                <w:highlight w:val="none"/>
              </w:rPr>
            </w:pPr>
            <w:r>
              <w:rPr>
                <w:color w:val="auto"/>
                <w:sz w:val="24"/>
                <w:szCs w:val="24"/>
                <w:highlight w:val="white"/>
              </w:rPr>
              <w:t>Согласно сведениям, содержащимся</w:t>
            </w:r>
            <w:r>
              <w:rPr>
                <w:b w:val="false"/>
                <w:bCs w:val="false"/>
                <w:color w:val="auto"/>
                <w:sz w:val="24"/>
                <w:szCs w:val="24"/>
              </w:rPr>
              <w:t xml:space="preserve"> в </w:t>
            </w:r>
            <w:r>
              <w:rPr>
                <w:color w:val="auto"/>
                <w:sz w:val="24"/>
                <w:szCs w:val="24"/>
                <w:highlight w:val="white"/>
              </w:rPr>
              <w:t xml:space="preserve">ЕГРН, ГПЗУ </w:t>
              <w:br/>
              <w:t xml:space="preserve">и справке по градостроительным условиям участка </w:t>
              <w:br/>
              <w:t>о</w:t>
            </w:r>
            <w:r>
              <w:rPr>
                <w:color w:themeColor="text1" w:val="000000"/>
                <w:sz w:val="24"/>
                <w:szCs w:val="24"/>
                <w:highlight w:val="white"/>
              </w:rPr>
              <w:t>т 27.05.2026 № 681123</w:t>
            </w:r>
            <w:r>
              <w:rPr>
                <w:color w:val="auto"/>
                <w:sz w:val="24"/>
                <w:szCs w:val="24"/>
                <w:highlight w:val="white"/>
              </w:rPr>
              <w:t xml:space="preserve"> Участок расположен в границах зон с особыми условиями использования территории:</w:t>
            </w:r>
          </w:p>
          <w:p>
            <w:pPr>
              <w:pStyle w:val="Normal"/>
              <w:spacing w:lineRule="auto" w:line="240" w:before="0" w:after="0"/>
              <w:ind w:firstLine="283" w:left="0" w:right="0"/>
              <w:jc w:val="both"/>
              <w:rPr>
                <w:rFonts w:ascii="Times New Roman" w:hAnsi="Times New Roman"/>
                <w:color w:val="auto"/>
                <w:sz w:val="24"/>
                <w:szCs w:val="24"/>
                <w:highlight w:val="white"/>
                <w14:ligatures w14:val="none"/>
              </w:rPr>
            </w:pPr>
            <w:r>
              <w:rPr>
                <w:color w:val="auto"/>
                <w:sz w:val="24"/>
                <w:szCs w:val="24"/>
                <w:highlight w:val="white"/>
              </w:rPr>
              <w:t>частично площадью 90 кв.м охранная зона ВЛ 0.4 кВ от ТП 1704, реестровый номер 59:01-6.3582;</w:t>
            </w:r>
          </w:p>
          <w:p>
            <w:pPr>
              <w:pStyle w:val="Normal"/>
              <w:spacing w:lineRule="auto" w:line="240" w:before="0" w:after="0"/>
              <w:ind w:firstLine="283" w:left="0" w:right="0"/>
              <w:jc w:val="both"/>
              <w:rPr>
                <w:rFonts w:ascii="Times New Roman" w:hAnsi="Times New Roman"/>
                <w:b w:val="false"/>
                <w:bCs w:val="false"/>
                <w:color w:val="auto"/>
                <w:sz w:val="24"/>
                <w:szCs w:val="24"/>
                <w:highlight w:val="none"/>
                <w14:ligatures w14:val="none"/>
              </w:rPr>
            </w:pPr>
            <w:r>
              <w:rPr>
                <w:b w:val="false"/>
                <w:bCs w:val="false"/>
                <w:color w:val="auto"/>
                <w:sz w:val="24"/>
                <w:szCs w:val="24"/>
              </w:rPr>
              <w:t>частично площадью 8 кв.м зона затопления территории, прилегающих к зарегулированной р. Кама (Воткинскому водохранилищу) в нижнем бьефе Камского гидроузла в г. Перми Пермского края, затапливаемых при пропуске Камским гидроузлом паводков расчетной обеспеченности 1%, реестровый номер 59:00-6.2017;</w:t>
            </w:r>
          </w:p>
          <w:p>
            <w:pPr>
              <w:pStyle w:val="Normal"/>
              <w:spacing w:lineRule="auto" w:line="240" w:before="0" w:after="0"/>
              <w:ind w:firstLine="283" w:left="0" w:right="0"/>
              <w:jc w:val="both"/>
              <w:rPr>
                <w:rFonts w:ascii="Times New Roman" w:hAnsi="Times New Roman"/>
                <w:color w:themeColor="accent4" w:themeShade="bf" w:val="auto"/>
                <w:sz w:val="24"/>
                <w:szCs w:val="24"/>
                <w:highlight w:val="none"/>
                <w14:ligatures w14:val="none"/>
              </w:rPr>
            </w:pPr>
            <w:r>
              <w:rPr>
                <w:color w:val="auto"/>
                <w:sz w:val="24"/>
                <w:szCs w:val="24"/>
              </w:rPr>
              <w:t xml:space="preserve">частично площадью 90 кв.м в границах зоны действия публичного сервитута, установленного распоряжением начальника департамента  земельных отношений </w:t>
              <w:br/>
              <w:t>от 12.01.2022 № 21-01-03-92 «Об установлении публичного сервитута в отдельных целях», в целях эксплуатации линейного объекта ВЛ-0,4 кВ ТП 1704, входящего в состав электросетевого комплекса «Крым» с кадастровым номером 59:01:0000000:46572, реестровый номер 59:01-6.8727;</w:t>
            </w:r>
          </w:p>
          <w:p>
            <w:pPr>
              <w:pStyle w:val="Normal"/>
              <w:spacing w:lineRule="auto" w:line="240" w:before="0" w:after="0"/>
              <w:ind w:firstLine="283" w:left="0" w:right="0"/>
              <w:jc w:val="both"/>
              <w:rPr>
                <w:rFonts w:ascii="Times New Roman" w:hAnsi="Times New Roman"/>
                <w:color w:val="auto"/>
                <w:sz w:val="24"/>
                <w:szCs w:val="24"/>
                <w:highlight w:val="none"/>
                <w14:ligatures w14:val="none"/>
              </w:rPr>
            </w:pPr>
            <w:r>
              <w:rPr>
                <w:color w:val="auto"/>
                <w:sz w:val="24"/>
                <w:szCs w:val="24"/>
              </w:rPr>
              <w:t xml:space="preserve">полностью </w:t>
            </w:r>
            <w:r>
              <w:rPr>
                <w:b w:val="false"/>
                <w:bCs w:val="false"/>
                <w:color w:val="auto"/>
                <w:sz w:val="24"/>
                <w:szCs w:val="24"/>
              </w:rPr>
              <w:t>приаэродромная территория аэродрома аэропорта Большое Савино, реестровый номер 59:32-6.55</w:t>
            </w:r>
            <w:r>
              <w:rPr>
                <w:color w:val="auto"/>
                <w:sz w:val="24"/>
                <w:szCs w:val="24"/>
                <w:highlight w:val="white"/>
              </w:rPr>
              <w:t>3</w:t>
            </w:r>
            <w:r>
              <w:rPr>
                <w:color w:val="auto"/>
                <w:sz w:val="24"/>
                <w:szCs w:val="24"/>
              </w:rPr>
              <w:t>;</w:t>
            </w:r>
          </w:p>
          <w:p>
            <w:pPr>
              <w:pStyle w:val="Normal"/>
              <w:spacing w:lineRule="auto" w:line="240" w:before="0" w:after="0"/>
              <w:ind w:firstLine="283" w:left="0" w:right="0"/>
              <w:jc w:val="both"/>
              <w:rPr>
                <w:rFonts w:ascii="Times New Roman" w:hAnsi="Times New Roman"/>
                <w:color w:val="auto"/>
                <w:sz w:val="24"/>
                <w:szCs w:val="24"/>
                <w:highlight w:val="none"/>
                <w14:ligatures w14:val="none"/>
              </w:rPr>
            </w:pPr>
            <w:r>
              <w:rPr>
                <w:b w:val="false"/>
                <w:bCs w:val="false"/>
                <w:color w:val="auto"/>
                <w:sz w:val="24"/>
                <w:szCs w:val="24"/>
              </w:rPr>
              <w:t xml:space="preserve">полностью в границах Прибрежной защитной полосы </w:t>
            </w:r>
            <w:r>
              <w:rPr>
                <w:color w:val="auto"/>
                <w:sz w:val="24"/>
                <w:szCs w:val="24"/>
              </w:rPr>
              <w:t>Воткинского водохранилища, реестровый номер 59:01-6.3928;</w:t>
            </w:r>
          </w:p>
          <w:p>
            <w:pPr>
              <w:pStyle w:val="Normal"/>
              <w:spacing w:lineRule="auto" w:line="240" w:before="0" w:after="0"/>
              <w:ind w:firstLine="283" w:left="0" w:right="0"/>
              <w:jc w:val="both"/>
              <w:rPr>
                <w:rFonts w:ascii="Times New Roman" w:hAnsi="Times New Roman"/>
                <w:color w:val="auto"/>
                <w:sz w:val="24"/>
                <w:szCs w:val="24"/>
                <w:highlight w:val="none"/>
                <w14:ligatures w14:val="none"/>
              </w:rPr>
            </w:pPr>
            <w:r>
              <w:rPr>
                <w:b w:val="false"/>
                <w:bCs w:val="false"/>
                <w:color w:val="auto"/>
                <w:sz w:val="24"/>
                <w:szCs w:val="24"/>
              </w:rPr>
              <w:t xml:space="preserve">полностью в границах </w:t>
            </w:r>
            <w:r>
              <w:rPr>
                <w:color w:val="auto"/>
                <w:sz w:val="24"/>
                <w:szCs w:val="24"/>
              </w:rPr>
              <w:t>водоохранной зоны Воткинского водохранилища, реестровый номер 59:01-6.2096.</w:t>
            </w:r>
          </w:p>
          <w:p>
            <w:pPr>
              <w:pStyle w:val="Normal"/>
              <w:spacing w:lineRule="auto" w:line="240" w:before="0" w:after="0"/>
              <w:ind w:firstLine="283" w:left="0" w:right="0"/>
              <w:jc w:val="both"/>
              <w:rPr>
                <w:rFonts w:ascii="Times New Roman" w:hAnsi="Times New Roman"/>
                <w:color w:val="auto"/>
                <w:sz w:val="24"/>
                <w:szCs w:val="24"/>
                <w:highlight w:val="none"/>
                <w14:ligatures w14:val="none"/>
              </w:rPr>
            </w:pPr>
            <w:r>
              <w:rPr>
                <w:b/>
                <w:bCs/>
                <w:color w:val="auto"/>
                <w:sz w:val="24"/>
                <w:szCs w:val="24"/>
              </w:rPr>
              <w:t>Необходимо соблюдать ограничения, установленные ст. 65 Водного кодекса Российской Федерации от 03.06.2026 г № 74-ФЗ</w:t>
            </w:r>
          </w:p>
          <w:p>
            <w:pPr>
              <w:pStyle w:val="Normal"/>
              <w:spacing w:lineRule="auto" w:line="240" w:before="0" w:after="0"/>
              <w:ind w:firstLine="283" w:left="0" w:right="0"/>
              <w:jc w:val="both"/>
              <w:rPr>
                <w:rFonts w:ascii="Times New Roman" w:hAnsi="Times New Roman"/>
                <w:color w:themeColor="accent4" w:themeShade="bf" w:val="auto"/>
                <w:sz w:val="24"/>
                <w:szCs w:val="24"/>
                <w:highlight w:val="none"/>
              </w:rPr>
            </w:pPr>
            <w:r>
              <w:rPr>
                <w:color w:val="auto"/>
                <w:sz w:val="24"/>
                <w:szCs w:val="24"/>
                <w:highlight w:val="white"/>
              </w:rPr>
              <w:t>Проектирование и строительство вести в соответствии:</w:t>
            </w:r>
          </w:p>
          <w:p>
            <w:pPr>
              <w:pStyle w:val="Normal"/>
              <w:spacing w:lineRule="auto" w:line="240" w:before="0" w:after="0"/>
              <w:ind w:firstLine="283" w:left="0" w:right="0"/>
              <w:jc w:val="both"/>
              <w:rPr>
                <w:rFonts w:ascii="Times New Roman" w:hAnsi="Times New Roman"/>
                <w:color w:themeColor="accent4" w:themeShade="bf" w:val="auto"/>
                <w:sz w:val="24"/>
                <w:szCs w:val="24"/>
                <w:highlight w:val="none"/>
              </w:rPr>
            </w:pPr>
            <w:r>
              <w:rPr>
                <w:color w:val="auto"/>
                <w:sz w:val="24"/>
                <w:szCs w:val="24"/>
              </w:rPr>
              <w:t>с п</w:t>
            </w:r>
            <w:r>
              <w:rPr>
                <w:color w:val="auto"/>
                <w:sz w:val="24"/>
                <w:szCs w:val="24"/>
                <w:highlight w:val="white"/>
              </w:rPr>
              <w:t xml:space="preserve">остановлением Правительства Российской Федерации от 24.02.2009 № 160 «О порядке установления охранных зон объектов электросетевого хозяйства </w:t>
              <w:br/>
              <w:t>и особых условий использования земельных участков, расположенных в границах таких зон»;</w:t>
            </w:r>
          </w:p>
          <w:p>
            <w:pPr>
              <w:pStyle w:val="Normal"/>
              <w:spacing w:lineRule="auto" w:line="240" w:before="0" w:after="0"/>
              <w:ind w:firstLine="283" w:left="0" w:right="0"/>
              <w:jc w:val="both"/>
              <w:rPr>
                <w:rFonts w:ascii="Times New Roman" w:hAnsi="Times New Roman"/>
                <w:color w:val="auto"/>
                <w:sz w:val="24"/>
                <w:szCs w:val="24"/>
                <w:highlight w:val="none"/>
              </w:rPr>
            </w:pPr>
            <w:r>
              <w:rPr>
                <w:color w:val="auto"/>
                <w:sz w:val="24"/>
                <w:szCs w:val="24"/>
                <w:highlight w:val="white"/>
              </w:rPr>
              <w:t xml:space="preserve">с </w:t>
            </w:r>
            <w:r>
              <w:rPr>
                <w:color w:val="auto"/>
                <w:sz w:val="24"/>
                <w:szCs w:val="24"/>
              </w:rPr>
              <w:t xml:space="preserve">приказом Камского бассейного водного управления Федерального агентства водных ресурсов от 21.11.2022 </w:t>
              <w:br/>
              <w:t xml:space="preserve">№ 239 «Об установлении границ зон затопления </w:t>
              <w:br/>
              <w:t>на территориях, прилегающих к зарегулированной р. Кама (воткинскому водохранилищу) в нижнем бьефе Камского гидроузла в г. Перми Пермского края, затапливаемых при пропуске Камским гидроузлом паводком расчетной обеспеченности 1%, ограничения использования объектов недвижимости в соответствии с частью 3 статьи 67.1 Водного кодекса Российской Федерации);</w:t>
            </w:r>
          </w:p>
          <w:p>
            <w:pPr>
              <w:pStyle w:val="Normal"/>
              <w:spacing w:lineRule="auto" w:line="240" w:before="0" w:after="0"/>
              <w:ind w:firstLine="283" w:left="0" w:right="0"/>
              <w:jc w:val="both"/>
              <w:rPr>
                <w:rFonts w:ascii="Times New Roman" w:hAnsi="Times New Roman"/>
                <w:b w:val="false"/>
                <w:bCs w:val="false"/>
                <w:color w:themeColor="accent3" w:themeShade="bf" w:val="auto"/>
                <w:sz w:val="24"/>
                <w:szCs w:val="24"/>
                <w:highlight w:val="none"/>
              </w:rPr>
            </w:pPr>
            <w:r>
              <w:rPr>
                <w:b w:val="false"/>
                <w:bCs w:val="false"/>
                <w:color w:val="auto"/>
                <w:sz w:val="24"/>
                <w:szCs w:val="24"/>
              </w:rPr>
              <w:t xml:space="preserve">с </w:t>
            </w:r>
            <w:r>
              <w:rPr>
                <w:color w:val="auto"/>
                <w:sz w:val="24"/>
                <w:szCs w:val="24"/>
                <w:highlight w:val="white"/>
              </w:rPr>
              <w:t>постановлением Правительства Российской Федерации от 11.03.2010 № 138 «Об утверждении Федеральных правил использования воздушного пространства Российской Федерации»: «Запрещается размещать в полосах воздушных подходов на удалении до 30 км, а вне полос воздушных подходов – до 15 км от контрольной точки аэродрома объекты выбросов (размещения) отходов, животноводческие фермы, скотобойни и другие объекты, способствующие привлечению и массовому скоплению птиц»</w:t>
            </w:r>
            <w:r>
              <w:rPr>
                <w:b w:val="false"/>
                <w:bCs w:val="false"/>
                <w:color w:val="auto"/>
                <w:sz w:val="24"/>
                <w:szCs w:val="24"/>
              </w:rPr>
              <w:t>;</w:t>
            </w:r>
          </w:p>
          <w:p>
            <w:pPr>
              <w:pStyle w:val="Normal"/>
              <w:spacing w:lineRule="auto" w:line="240" w:before="0" w:after="0"/>
              <w:ind w:firstLine="283" w:left="0" w:right="0"/>
              <w:jc w:val="both"/>
              <w:rPr>
                <w:rFonts w:ascii="Times New Roman" w:hAnsi="Times New Roman"/>
                <w:color w:val="auto"/>
                <w:sz w:val="24"/>
                <w:szCs w:val="24"/>
                <w:highlight w:val="none"/>
              </w:rPr>
            </w:pPr>
            <w:r>
              <w:rPr>
                <w:b w:val="false"/>
                <w:bCs w:val="false"/>
                <w:color w:val="auto"/>
                <w:sz w:val="24"/>
                <w:szCs w:val="24"/>
              </w:rPr>
              <w:t xml:space="preserve">с приказом Камского бассейного водного управления Федерального агентства водных ресурсов № 164 </w:t>
              <w:br/>
              <w:t>от 07.07.2014 «Об установлении границ водоохранных зон и прибрежных защитных полос Воткинского водохранилища».</w:t>
            </w:r>
          </w:p>
          <w:p>
            <w:pPr>
              <w:pStyle w:val="Normal"/>
              <w:spacing w:lineRule="auto" w:line="240" w:before="0" w:after="0"/>
              <w:ind w:firstLine="283" w:left="0" w:right="0"/>
              <w:jc w:val="both"/>
              <w:rPr>
                <w:rFonts w:ascii="Times New Roman" w:hAnsi="Times New Roman"/>
                <w:color w:val="auto"/>
                <w:sz w:val="24"/>
                <w:szCs w:val="24"/>
                <w:highlight w:val="none"/>
              </w:rPr>
            </w:pPr>
            <w:r>
              <w:rPr>
                <w:color w:val="auto"/>
                <w:sz w:val="24"/>
                <w:szCs w:val="24"/>
              </w:rPr>
            </w:r>
          </w:p>
          <w:p>
            <w:pPr>
              <w:pStyle w:val="Normal"/>
              <w:spacing w:lineRule="auto" w:line="240" w:before="0" w:after="0"/>
              <w:ind w:firstLine="283" w:left="0" w:right="0"/>
              <w:jc w:val="both"/>
              <w:rPr>
                <w:rFonts w:ascii="Times New Roman" w:hAnsi="Times New Roman"/>
                <w:color w:val="auto"/>
                <w:sz w:val="24"/>
                <w:szCs w:val="24"/>
              </w:rPr>
            </w:pPr>
            <w:r>
              <w:rPr>
                <w:color w:val="auto"/>
                <w:sz w:val="24"/>
                <w:szCs w:val="24"/>
              </w:rPr>
              <w:t>На Участке произрастает 111 деревьев: сосна - 24 шт., клен ясенелистный - 56 шт., береза - 31 шт.</w:t>
            </w:r>
          </w:p>
          <w:p>
            <w:pPr>
              <w:pStyle w:val="Normal"/>
              <w:spacing w:lineRule="auto" w:line="240" w:before="0" w:after="0"/>
              <w:ind w:firstLine="283" w:left="0" w:right="0"/>
              <w:jc w:val="both"/>
              <w:rPr>
                <w:rFonts w:ascii="Times New Roman" w:hAnsi="Times New Roman"/>
                <w:color w:val="auto"/>
                <w:sz w:val="24"/>
                <w:szCs w:val="24"/>
                <w:highlight w:val="none"/>
              </w:rPr>
            </w:pPr>
            <w:r>
              <w:rPr>
                <w:color w:val="auto"/>
                <w:sz w:val="24"/>
                <w:szCs w:val="24"/>
                <w:highlight w:val="white"/>
              </w:rPr>
              <w:t>Средняя стоимость в ценах 2025 года одного дерева лиственной породы от 25 тыс. руб., а хвойной – от 30 тыс. руб.</w:t>
            </w:r>
          </w:p>
          <w:p>
            <w:pPr>
              <w:pStyle w:val="Normal"/>
              <w:spacing w:lineRule="auto" w:line="240" w:before="0" w:after="0"/>
              <w:ind w:firstLine="283" w:left="0" w:right="0"/>
              <w:jc w:val="both"/>
              <w:rPr>
                <w:rFonts w:ascii="Times New Roman" w:hAnsi="Times New Roman" w:eastAsia="Times New Roman" w:cs="Times New Roman"/>
                <w:color w:val="auto"/>
                <w:spacing w:val="0"/>
                <w14:ligatures w14:val="none"/>
              </w:rPr>
            </w:pPr>
            <w:r>
              <w:rPr>
                <w:rFonts w:eastAsia="Times New Roman" w:cs="Times New Roman"/>
                <w:color w:val="auto"/>
                <w:spacing w:val="0"/>
                <w:sz w:val="24"/>
              </w:rPr>
              <w:t xml:space="preserve">Победителю аукциона необходимо соблюдать условия строительства, перечисленные в </w:t>
            </w:r>
            <w:r>
              <w:rPr>
                <w:rFonts w:eastAsia="Times New Roman" w:cs="Times New Roman"/>
                <w:color w:val="auto"/>
                <w:spacing w:val="0"/>
                <w:sz w:val="24"/>
                <w:szCs w:val="24"/>
              </w:rPr>
              <w:t>перечне мероприятий по охране окружающей среды от 13.03.2026 № 53.</w:t>
            </w:r>
          </w:p>
          <w:p>
            <w:pPr>
              <w:pStyle w:val="Normal"/>
              <w:tabs>
                <w:tab w:val="clear" w:pos="708"/>
                <w:tab w:val="right" w:pos="6000" w:leader="none"/>
              </w:tabs>
              <w:spacing w:lineRule="auto" w:line="240" w:before="0" w:after="0"/>
              <w:ind w:firstLine="311"/>
              <w:jc w:val="both"/>
              <w:rPr/>
            </w:pPr>
            <w:r>
              <w:rPr>
                <w:sz w:val="24"/>
                <w:szCs w:val="24"/>
                <w:highlight w:val="white"/>
              </w:rPr>
              <w:t xml:space="preserve">(Аналогичная информация отражена в письме </w:t>
            </w:r>
            <w:r>
              <w:rPr>
                <w:b/>
                <w:bCs/>
                <w:color w:val="auto"/>
                <w:sz w:val="24"/>
                <w:szCs w:val="24"/>
                <w:highlight w:val="white"/>
              </w:rPr>
              <w:t>у</w:t>
            </w:r>
            <w:r>
              <w:rPr>
                <w:b/>
                <w:color w:val="auto"/>
                <w:sz w:val="24"/>
                <w:szCs w:val="24"/>
                <w:highlight w:val="white"/>
              </w:rPr>
              <w:t>правления по экологии и природопользованию администрации города Перми</w:t>
            </w:r>
            <w:r>
              <w:rPr>
                <w:color w:val="auto"/>
                <w:sz w:val="24"/>
                <w:szCs w:val="24"/>
                <w:highlight w:val="white"/>
              </w:rPr>
              <w:t xml:space="preserve"> от 13.03.2026 № 059-33-01-10/3-152</w:t>
            </w:r>
            <w:r>
              <w:rPr>
                <w:sz w:val="24"/>
                <w:szCs w:val="24"/>
                <w:highlight w:val="white"/>
              </w:rPr>
              <w:t>).</w:t>
            </w:r>
          </w:p>
          <w:p>
            <w:pPr>
              <w:pStyle w:val="Normal"/>
              <w:tabs>
                <w:tab w:val="clear" w:pos="708"/>
                <w:tab w:val="right" w:pos="6000" w:leader="none"/>
              </w:tabs>
              <w:spacing w:lineRule="auto" w:line="240" w:before="0" w:after="0"/>
              <w:ind w:firstLine="311"/>
              <w:jc w:val="both"/>
              <w:rPr>
                <w:rFonts w:ascii="Times New Roman" w:hAnsi="Times New Roman" w:eastAsia="Times New Roman" w:cs="Times New Roman"/>
                <w:color w:val="auto"/>
                <w:spacing w:val="0"/>
                <w:sz w:val="24"/>
                <w:szCs w:val="24"/>
                <w:highlight w:val="white"/>
              </w:rPr>
            </w:pPr>
            <w:r>
              <w:rPr>
                <w:rFonts w:eastAsia="Times New Roman" w:cs="Times New Roman"/>
                <w:color w:val="auto"/>
                <w:spacing w:val="0"/>
                <w:sz w:val="24"/>
                <w:szCs w:val="24"/>
                <w:highlight w:val="white"/>
              </w:rPr>
            </w:r>
          </w:p>
          <w:p>
            <w:pPr>
              <w:pStyle w:val="Normal"/>
              <w:spacing w:lineRule="auto" w:line="240" w:before="0" w:after="0"/>
              <w:ind w:firstLine="283" w:left="0" w:right="0"/>
              <w:jc w:val="both"/>
              <w:rPr>
                <w:rFonts w:ascii="Times New Roman" w:hAnsi="Times New Roman"/>
                <w:color w:val="auto"/>
                <w:sz w:val="24"/>
                <w:szCs w:val="24"/>
                <w:highlight w:val="none"/>
              </w:rPr>
            </w:pPr>
            <w:r>
              <w:rPr>
                <w:color w:val="auto"/>
                <w:sz w:val="24"/>
                <w:szCs w:val="24"/>
              </w:rPr>
              <w:t xml:space="preserve">Муниципальной программой «Дорожная деятельность и благоустройство города Перми», утвержденной постановлением администрации города Перми от 18.10.2024 № 966 </w:t>
              <w:br/>
              <w:t>«Об утверждении муниципальной программы «Дорожная деятельность и благоустройство города Перми»,</w:t>
            </w:r>
            <w:r>
              <w:rPr>
                <w:color w:val="auto"/>
                <w:sz w:val="24"/>
                <w:szCs w:val="24"/>
                <w:highlight w:val="white"/>
              </w:rPr>
              <w:t xml:space="preserve"> бюджетом города Перми на период 2025-2029 годы мероприятия по строительству, реконструкции, капитал</w:t>
            </w:r>
            <w:r>
              <w:rPr>
                <w:color w:val="auto"/>
                <w:sz w:val="24"/>
                <w:szCs w:val="24"/>
              </w:rPr>
              <w:t>ьному ремонту улично-дорожной сети на рассматриваемой терр</w:t>
            </w:r>
            <w:r>
              <w:rPr>
                <w:color w:val="auto"/>
                <w:sz w:val="24"/>
                <w:szCs w:val="24"/>
                <w:highlight w:val="white"/>
              </w:rPr>
              <w:t>итории не предусмотрены.</w:t>
            </w:r>
          </w:p>
          <w:p>
            <w:pPr>
              <w:pStyle w:val="Normal"/>
              <w:spacing w:lineRule="auto" w:line="240" w:beforeAutospacing="0" w:before="0" w:afterAutospacing="0" w:after="0"/>
              <w:ind w:firstLine="283" w:left="0" w:right="0"/>
              <w:jc w:val="both"/>
              <w:rPr>
                <w:color w:val="auto"/>
              </w:rPr>
            </w:pPr>
            <w:r>
              <w:rPr>
                <w:rFonts w:eastAsia="Times New Roman" w:cs="Times New Roman"/>
                <w:color w:val="auto"/>
                <w:sz w:val="24"/>
              </w:rPr>
              <w:t>Для примыкания Участка к улично-дорожной сети города Перми необходимо выполнить условия, указанные в письме.</w:t>
            </w:r>
          </w:p>
          <w:p>
            <w:pPr>
              <w:pStyle w:val="Normal"/>
              <w:spacing w:lineRule="auto" w:line="240" w:beforeAutospacing="0" w:before="0" w:afterAutospacing="0" w:after="0"/>
              <w:ind w:firstLine="283" w:left="0" w:right="0"/>
              <w:jc w:val="both"/>
              <w:rPr>
                <w:color w:val="auto"/>
              </w:rPr>
            </w:pPr>
            <w:r>
              <w:rPr>
                <w:rFonts w:eastAsia="Times New Roman" w:cs="Times New Roman"/>
                <w:color w:val="auto"/>
                <w:sz w:val="24"/>
              </w:rPr>
              <w:t>Также направлена информация о соблюдении Правил благоустройства территории города Перми, утвержденных решением Пермской городской Думы от 15.12.2020 № 277 «Об утверждении Правил благоустройства территории города Перми», при строительстве объектов недвижимости на земельных участках, предоставленных на торгах.</w:t>
            </w:r>
          </w:p>
          <w:p>
            <w:pPr>
              <w:pStyle w:val="Normal"/>
              <w:spacing w:lineRule="auto" w:line="240" w:before="0" w:after="0"/>
              <w:ind w:firstLine="283" w:left="0" w:right="0"/>
              <w:jc w:val="both"/>
              <w:rPr>
                <w:color w:val="auto"/>
              </w:rPr>
            </w:pPr>
            <w:r>
              <w:rPr>
                <w:color w:val="auto"/>
                <w:sz w:val="24"/>
                <w:szCs w:val="24"/>
              </w:rPr>
              <w:t xml:space="preserve">В соответствии с Федеральным Законом от 08.11.2007 </w:t>
              <w:br/>
              <w:t xml:space="preserve">№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расходы на строительство, реконструкцию, капитальный ремонт, ремонт пересечений и примыканий, в том числе расходы на выполнение дополнительных работ, связанных </w:t>
              <w:br/>
              <w:t xml:space="preserve">с обеспечением безопасности дорожного движения, водоотведения и исполнением других установленных техническими регламентами требований, несут лица, </w:t>
              <w:br/>
              <w:t xml:space="preserve">в интересах которых осуществляются строительство, реконструкция, капитальный ремонт, ремонт пересечений </w:t>
              <w:br/>
              <w:t>или примыканий.</w:t>
            </w:r>
          </w:p>
          <w:p>
            <w:pPr>
              <w:pStyle w:val="Normal"/>
              <w:tabs>
                <w:tab w:val="clear" w:pos="708"/>
                <w:tab w:val="right" w:pos="6000" w:leader="none"/>
              </w:tabs>
              <w:spacing w:lineRule="auto" w:line="240" w:before="0" w:after="0"/>
              <w:ind w:firstLine="311"/>
              <w:jc w:val="both"/>
              <w:rPr/>
            </w:pPr>
            <w:r>
              <w:rPr>
                <w:sz w:val="24"/>
                <w:szCs w:val="24"/>
                <w:highlight w:val="white"/>
              </w:rPr>
              <w:t xml:space="preserve">(Аналогичная информация отражена в письме </w:t>
            </w:r>
            <w:r>
              <w:rPr>
                <w:b/>
                <w:color w:val="auto"/>
                <w:sz w:val="24"/>
                <w:szCs w:val="24"/>
                <w:highlight w:val="white"/>
              </w:rPr>
              <w:t>департамента дорог и благоустройства администрации города Перми</w:t>
            </w:r>
            <w:r>
              <w:rPr>
                <w:color w:val="auto"/>
                <w:sz w:val="24"/>
                <w:szCs w:val="24"/>
                <w:highlight w:val="white"/>
              </w:rPr>
              <w:t xml:space="preserve"> от 10.03.2026 № 059-24-01-36/3-640</w:t>
            </w:r>
            <w:r>
              <w:rPr>
                <w:sz w:val="24"/>
                <w:szCs w:val="24"/>
                <w:highlight w:val="white"/>
              </w:rPr>
              <w:t>).</w:t>
            </w:r>
          </w:p>
          <w:p>
            <w:pPr>
              <w:pStyle w:val="Normal"/>
              <w:tabs>
                <w:tab w:val="clear" w:pos="708"/>
                <w:tab w:val="right" w:pos="6000" w:leader="none"/>
              </w:tabs>
              <w:spacing w:lineRule="auto" w:line="240" w:before="0" w:after="0"/>
              <w:ind w:firstLine="311"/>
              <w:jc w:val="both"/>
              <w:rPr>
                <w:rFonts w:ascii="Times New Roman" w:hAnsi="Times New Roman"/>
                <w:color w:val="auto"/>
                <w:sz w:val="24"/>
                <w:szCs w:val="24"/>
                <w:highlight w:val="white"/>
              </w:rPr>
            </w:pPr>
            <w:r>
              <w:rPr>
                <w:color w:val="auto"/>
                <w:sz w:val="24"/>
                <w:szCs w:val="24"/>
                <w:highlight w:val="white"/>
              </w:rPr>
            </w:r>
          </w:p>
          <w:p>
            <w:pPr>
              <w:pStyle w:val="Normal"/>
              <w:spacing w:lineRule="auto" w:line="240" w:before="0" w:after="0"/>
              <w:ind w:firstLine="283" w:left="0" w:right="0"/>
              <w:jc w:val="both"/>
              <w:rPr>
                <w:rFonts w:ascii="Times New Roman" w:hAnsi="Times New Roman" w:eastAsia="Times New Roman" w:cs="Times New Roman"/>
                <w:color w:val="auto"/>
                <w:sz w:val="24"/>
                <w:szCs w:val="24"/>
                <w:highlight w:val="none"/>
              </w:rPr>
            </w:pPr>
            <w:r>
              <w:rPr>
                <w:rFonts w:eastAsia="Times New Roman" w:cs="Times New Roman"/>
                <w:color w:val="auto"/>
                <w:sz w:val="24"/>
                <w:szCs w:val="24"/>
              </w:rPr>
              <w:t>Источники противопожарного водоснабжения (далее - ИПВ) на указанной территории отсутствует.</w:t>
            </w:r>
          </w:p>
          <w:p>
            <w:pPr>
              <w:pStyle w:val="Normal"/>
              <w:spacing w:lineRule="auto" w:line="240" w:before="0" w:after="0"/>
              <w:ind w:firstLine="283" w:left="0" w:right="0"/>
              <w:jc w:val="both"/>
              <w:rPr>
                <w:color w:val="auto"/>
              </w:rPr>
            </w:pPr>
            <w:r>
              <w:rPr>
                <w:rFonts w:eastAsia="Times New Roman" w:cs="Times New Roman"/>
                <w:color w:val="auto"/>
                <w:sz w:val="24"/>
                <w:szCs w:val="24"/>
              </w:rPr>
              <w:t xml:space="preserve">Информация о подразделениях пожарной охраны </w:t>
              <w:br/>
              <w:t xml:space="preserve">и времени их прибытия содержится в «Расписании выезда подразделений Пермского местного пожарно - спасательного гарнизона для тушения пожаров и проведения аварийно - спасательных работ на территории Пермского городского округа, Пермского муниципального района», утвержденном Главой города Перми 26.04.2024. Подразделение пожарной охраны расположено по адресу: ул. Сысольская, 16 (ПСЧ-6 </w:t>
              <w:br/>
              <w:t>10-ПСО).</w:t>
            </w:r>
          </w:p>
          <w:p>
            <w:pPr>
              <w:pStyle w:val="Normal"/>
              <w:spacing w:lineRule="auto" w:line="240" w:before="0" w:after="0"/>
              <w:ind w:firstLine="283" w:left="0" w:right="0"/>
              <w:jc w:val="both"/>
              <w:rPr>
                <w:color w:val="auto"/>
              </w:rPr>
            </w:pPr>
            <w:r>
              <w:rPr>
                <w:rFonts w:eastAsia="Times New Roman" w:cs="Times New Roman"/>
                <w:color w:val="auto"/>
                <w:sz w:val="24"/>
                <w:szCs w:val="24"/>
              </w:rPr>
              <w:t>Помещения для аварийно-спасательных служб и (или) аварийно-спасательных формирований на указанной территории отсутствуют.</w:t>
            </w:r>
          </w:p>
          <w:p>
            <w:pPr>
              <w:pStyle w:val="Normal"/>
              <w:spacing w:lineRule="auto" w:line="240" w:before="0" w:after="0"/>
              <w:ind w:firstLine="283" w:left="0" w:right="0"/>
              <w:jc w:val="both"/>
              <w:rPr>
                <w:color w:val="auto"/>
              </w:rPr>
            </w:pPr>
            <w:r>
              <w:rPr>
                <w:rFonts w:eastAsia="Times New Roman" w:cs="Times New Roman"/>
                <w:color w:val="auto"/>
                <w:sz w:val="24"/>
                <w:szCs w:val="24"/>
              </w:rPr>
              <w:t>При планировке и размещении объектов на вышеуказанной территории необходимо соблюдать нормы и требования действующего законодательства: федеральных законов от 21 декабря 1994 г. № 69-ФЗ «О пожарной безопасности» и от 22 июля 2008 г. № 123-ФЗ «Технический регламент о требованиях пожарной безопасности», Свода правил 8.13130. «Системы противопожарной защиты. Источники наружного противопожарного водоснабжения. Требования пожарной безопасности», утвержденных приказом МЧС России от 30.03.2020 № 225, Свода правил 4.13130 «Системы противопожарной защиты. Ограничение распространения пожара на объектах защиты. Требования к объемно - планировочным и конструктивным решениям», утвержденных Приказом МЧС России от 24.04.2013 № 288 и иной документации, касающейся норм противопожарной безопасности.</w:t>
            </w:r>
          </w:p>
          <w:p>
            <w:pPr>
              <w:pStyle w:val="Normal"/>
              <w:spacing w:lineRule="auto" w:line="240" w:before="0" w:after="0"/>
              <w:ind w:firstLine="283" w:left="0" w:right="0"/>
              <w:jc w:val="both"/>
              <w:rPr>
                <w:color w:val="auto"/>
              </w:rPr>
            </w:pPr>
            <w:r>
              <w:rPr>
                <w:rFonts w:eastAsia="Times New Roman" w:cs="Times New Roman"/>
                <w:color w:val="auto"/>
                <w:sz w:val="24"/>
                <w:szCs w:val="24"/>
              </w:rPr>
              <w:t xml:space="preserve">Объекты общественной безопасности, отнесенные </w:t>
              <w:br/>
              <w:t xml:space="preserve">к объектам полиции (участковые пункты полиции), </w:t>
              <w:br/>
              <w:t>в данном микрорайоне расположены по адресу: г. Пермь, ул. Генерала Панфилова, 6/1 (микрорайон Крым, Кировский район). В настоящее время в указанном микрорайоне строительство (приобретение)участковых пунктов полиции не планируется.</w:t>
            </w:r>
          </w:p>
          <w:p>
            <w:pPr>
              <w:pStyle w:val="Normal"/>
              <w:spacing w:lineRule="auto" w:line="240" w:before="0" w:after="0"/>
              <w:ind w:firstLine="283" w:left="0" w:right="0"/>
              <w:jc w:val="both"/>
              <w:rPr>
                <w:color w:val="auto"/>
              </w:rPr>
            </w:pPr>
            <w:r>
              <w:rPr>
                <w:rFonts w:eastAsia="Times New Roman" w:cs="Times New Roman"/>
                <w:color w:val="auto"/>
                <w:sz w:val="24"/>
                <w:szCs w:val="24"/>
              </w:rPr>
              <w:t>В соответствии с информацией, предоставленной Министерством территориальной безопасности Пермского края (письмо от 07.10.2020 № 964-с), данная территория попадает в зону возможного химического заражения в особый период.</w:t>
            </w:r>
          </w:p>
          <w:p>
            <w:pPr>
              <w:pStyle w:val="Normal"/>
              <w:spacing w:lineRule="auto" w:line="240" w:before="0" w:after="0"/>
              <w:ind w:firstLine="283" w:left="0" w:right="0"/>
              <w:jc w:val="both"/>
              <w:rPr>
                <w:color w:val="auto"/>
              </w:rPr>
            </w:pPr>
            <w:r>
              <w:rPr>
                <w:rFonts w:eastAsia="Times New Roman" w:cs="Times New Roman"/>
                <w:color w:val="auto"/>
                <w:sz w:val="24"/>
                <w:szCs w:val="24"/>
              </w:rPr>
              <w:t>Территория находится в зоне действия региональной автоматизированной системы централизованного оповещения населения города Перми, установленной по адресу: ул. Генерала Панфилова, 10 – 1500 метров.</w:t>
            </w:r>
          </w:p>
          <w:p>
            <w:pPr>
              <w:pStyle w:val="Normal"/>
              <w:tabs>
                <w:tab w:val="clear" w:pos="708"/>
                <w:tab w:val="right" w:pos="6000" w:leader="none"/>
              </w:tabs>
              <w:spacing w:lineRule="auto" w:line="240" w:before="0" w:after="0"/>
              <w:ind w:firstLine="311"/>
              <w:jc w:val="both"/>
              <w:rPr/>
            </w:pPr>
            <w:r>
              <w:rPr>
                <w:sz w:val="24"/>
                <w:szCs w:val="24"/>
                <w:highlight w:val="white"/>
              </w:rPr>
              <w:t xml:space="preserve">(Аналогичная информация отражена в письме </w:t>
            </w:r>
            <w:r>
              <w:rPr>
                <w:rFonts w:eastAsia="Times New Roman" w:cs="Times New Roman"/>
                <w:b/>
                <w:color w:val="auto"/>
                <w:sz w:val="24"/>
                <w:szCs w:val="24"/>
                <w:highlight w:val="white"/>
              </w:rPr>
              <w:t>департамента общественной безопасности администрации города Перми</w:t>
            </w:r>
            <w:r>
              <w:rPr>
                <w:rFonts w:eastAsia="Times New Roman" w:cs="Times New Roman"/>
                <w:color w:val="auto"/>
                <w:sz w:val="24"/>
                <w:szCs w:val="24"/>
                <w:highlight w:val="white"/>
              </w:rPr>
              <w:t xml:space="preserve"> от 10.03.2026 № 059-10-01-27/3-349</w:t>
            </w:r>
            <w:r>
              <w:rPr>
                <w:sz w:val="24"/>
                <w:szCs w:val="24"/>
                <w:highlight w:val="white"/>
              </w:rPr>
              <w:t>).</w:t>
            </w:r>
          </w:p>
          <w:p>
            <w:pPr>
              <w:pStyle w:val="Normal"/>
              <w:tabs>
                <w:tab w:val="clear" w:pos="708"/>
                <w:tab w:val="right" w:pos="6000" w:leader="none"/>
              </w:tabs>
              <w:spacing w:lineRule="auto" w:line="240" w:before="0" w:after="0"/>
              <w:ind w:firstLine="311"/>
              <w:jc w:val="both"/>
              <w:rPr>
                <w:rFonts w:ascii="Times New Roman" w:hAnsi="Times New Roman" w:eastAsia="Times New Roman" w:cs="Times New Roman"/>
                <w:color w:val="auto"/>
                <w:sz w:val="24"/>
                <w:szCs w:val="24"/>
                <w:highlight w:val="white"/>
              </w:rPr>
            </w:pPr>
            <w:r>
              <w:rPr>
                <w:rFonts w:eastAsia="Times New Roman" w:cs="Times New Roman"/>
                <w:color w:val="auto"/>
                <w:sz w:val="24"/>
                <w:szCs w:val="24"/>
                <w:highlight w:val="white"/>
              </w:rPr>
            </w:r>
          </w:p>
          <w:p>
            <w:pPr>
              <w:pStyle w:val="Normal"/>
              <w:spacing w:lineRule="auto" w:line="240" w:before="0" w:after="0"/>
              <w:ind w:firstLine="283" w:left="0" w:right="0"/>
              <w:jc w:val="both"/>
              <w:rPr>
                <w:color w:val="auto"/>
              </w:rPr>
            </w:pPr>
            <w:r>
              <w:rPr>
                <w:sz w:val="24"/>
                <w:szCs w:val="24"/>
              </w:rPr>
              <w:t>На период до 2028 года на территории, где расположен Участок, схемами предусмотрено строительство сетей водоснабжения в мкр. Крым.</w:t>
            </w:r>
          </w:p>
          <w:p>
            <w:pPr>
              <w:pStyle w:val="Normal"/>
              <w:tabs>
                <w:tab w:val="clear" w:pos="708"/>
                <w:tab w:val="right" w:pos="6000" w:leader="none"/>
              </w:tabs>
              <w:spacing w:lineRule="auto" w:line="240" w:before="0" w:after="0"/>
              <w:ind w:firstLine="311"/>
              <w:jc w:val="both"/>
              <w:rPr/>
            </w:pPr>
            <w:r>
              <w:rPr>
                <w:sz w:val="24"/>
                <w:szCs w:val="24"/>
                <w:highlight w:val="white"/>
              </w:rPr>
              <w:t xml:space="preserve">(Аналогичная информация отражена в письме </w:t>
            </w:r>
            <w:r>
              <w:rPr>
                <w:b/>
                <w:sz w:val="24"/>
                <w:szCs w:val="24"/>
                <w:highlight w:val="white"/>
              </w:rPr>
              <w:t>департамента жилищно-коммунального хозяйства администрации города Перми</w:t>
            </w:r>
            <w:r>
              <w:rPr>
                <w:sz w:val="24"/>
                <w:szCs w:val="24"/>
                <w:highlight w:val="white"/>
              </w:rPr>
              <w:t xml:space="preserve"> от 11.03.2026 № 059-04-17/3-185-ри).</w:t>
            </w:r>
          </w:p>
          <w:p>
            <w:pPr>
              <w:pStyle w:val="Normal"/>
              <w:tabs>
                <w:tab w:val="clear" w:pos="708"/>
                <w:tab w:val="right" w:pos="6000" w:leader="none"/>
              </w:tabs>
              <w:spacing w:lineRule="auto" w:line="240" w:before="0" w:after="0"/>
              <w:ind w:firstLine="311"/>
              <w:jc w:val="both"/>
              <w:rPr>
                <w:rFonts w:ascii="Times New Roman" w:hAnsi="Times New Roman"/>
                <w:sz w:val="24"/>
                <w:szCs w:val="24"/>
                <w:highlight w:val="white"/>
              </w:rPr>
            </w:pPr>
            <w:r>
              <w:rPr>
                <w:sz w:val="24"/>
                <w:szCs w:val="24"/>
                <w:highlight w:val="white"/>
              </w:rPr>
            </w:r>
          </w:p>
        </w:tc>
      </w:tr>
      <w:tr>
        <w:trPr>
          <w:trHeight w:val="1087" w:hRule="atLeast"/>
        </w:trPr>
        <w:tc>
          <w:tcPr>
            <w:tcW w:w="567" w:type="dxa"/>
            <w:vMerge w:val="continue"/>
            <w:tcBorders>
              <w:top w:val="single" w:sz="4" w:space="0" w:color="000000"/>
              <w:left w:val="single" w:sz="4" w:space="0" w:color="000000"/>
              <w:bottom w:val="single" w:sz="4" w:space="0" w:color="000000"/>
              <w:right w:val="single" w:sz="4" w:space="0" w:color="000000"/>
            </w:tcBorders>
          </w:tcPr>
          <w:p>
            <w:pPr>
              <w:pStyle w:val="Normal"/>
              <w:jc w:val="center"/>
              <w:rPr>
                <w:sz w:val="20"/>
              </w:rPr>
            </w:pPr>
            <w:r>
              <w:rPr>
                <w:sz w:val="20"/>
              </w:rPr>
            </w:r>
          </w:p>
        </w:tc>
        <w:tc>
          <w:tcPr>
            <w:tcW w:w="3054" w:type="dxa"/>
            <w:tcBorders>
              <w:top w:val="single" w:sz="4" w:space="0" w:color="000000"/>
              <w:left w:val="single" w:sz="4" w:space="0" w:color="000000"/>
              <w:bottom w:val="single" w:sz="4" w:space="0" w:color="000000"/>
              <w:right w:val="single" w:sz="4" w:space="0" w:color="000000"/>
            </w:tcBorders>
          </w:tcPr>
          <w:p>
            <w:pPr>
              <w:pStyle w:val="Normal"/>
              <w:widowControl/>
              <w:numPr>
                <w:ilvl w:val="0"/>
                <w:numId w:val="2"/>
              </w:numPr>
              <w:spacing w:before="0" w:after="0"/>
              <w:ind w:hanging="283" w:left="510" w:right="113"/>
              <w:jc w:val="left"/>
              <w:rPr>
                <w:sz w:val="24"/>
                <w:szCs w:val="24"/>
              </w:rPr>
            </w:pPr>
            <w:r>
              <w:rPr>
                <w:sz w:val="24"/>
                <w:szCs w:val="24"/>
              </w:rPr>
              <w:t xml:space="preserve">максимально и (или) минимально </w:t>
              <w:br/>
              <w:t>допустимые параметры разрешенного строительства объекта капитального строительства</w:t>
            </w:r>
          </w:p>
        </w:tc>
        <w:tc>
          <w:tcPr>
            <w:tcW w:w="6864" w:type="dxa"/>
            <w:tcBorders>
              <w:top w:val="single" w:sz="4" w:space="0" w:color="000000"/>
              <w:left w:val="single" w:sz="4" w:space="0" w:color="000000"/>
              <w:bottom w:val="single" w:sz="4" w:space="0" w:color="000000"/>
              <w:right w:val="single" w:sz="4" w:space="0" w:color="000000"/>
            </w:tcBorders>
          </w:tcPr>
          <w:p>
            <w:pPr>
              <w:pStyle w:val="Normal"/>
              <w:ind w:firstLine="312"/>
              <w:jc w:val="both"/>
              <w:rPr>
                <w:color w:themeColor="text1" w:val="000000"/>
                <w:sz w:val="24"/>
                <w:szCs w:val="24"/>
                <w:highlight w:val="none"/>
                <w:u w:val="none"/>
              </w:rPr>
            </w:pPr>
            <w:r>
              <w:rPr>
                <w:color w:themeColor="text1" w:val="000000"/>
                <w:sz w:val="24"/>
                <w:szCs w:val="24"/>
                <w:u w:val="none"/>
              </w:rPr>
            </w:r>
          </w:p>
          <w:p>
            <w:pPr>
              <w:pStyle w:val="Normal"/>
              <w:ind w:firstLine="312"/>
              <w:jc w:val="both"/>
              <w:rPr>
                <w:color w:themeColor="text1" w:val="000000"/>
                <w:sz w:val="24"/>
                <w:szCs w:val="24"/>
                <w:highlight w:val="none"/>
                <w:u w:val="none"/>
              </w:rPr>
            </w:pPr>
            <w:r>
              <w:rPr>
                <w:szCs w:val="24"/>
              </w:rPr>
              <w:t xml:space="preserve">В </w:t>
            </w:r>
            <w:r>
              <w:rPr>
                <w:szCs w:val="24"/>
                <w:shd w:fill="FFFFFF" w:val="clear"/>
              </w:rPr>
              <w:t>документации по земельному участку, размещенной</w:t>
              <w:br/>
              <w:t xml:space="preserve">с извещением о проведении аукциона в ГИС Торги </w:t>
            </w:r>
            <w:r>
              <w:rPr>
                <w:szCs w:val="24"/>
                <w:lang w:val="en-US"/>
              </w:rPr>
              <w:t>www</w:t>
            </w:r>
            <w:r>
              <w:rPr>
                <w:szCs w:val="24"/>
              </w:rPr>
              <w:t>.</w:t>
            </w:r>
            <w:r>
              <w:rPr>
                <w:szCs w:val="24"/>
                <w:lang w:val="en-US"/>
              </w:rPr>
              <w:t>torgi</w:t>
            </w:r>
            <w:r>
              <w:rPr>
                <w:szCs w:val="24"/>
              </w:rPr>
              <w:t>.</w:t>
            </w:r>
            <w:r>
              <w:rPr>
                <w:szCs w:val="24"/>
                <w:lang w:val="en-US"/>
              </w:rPr>
              <w:t>gov</w:t>
            </w:r>
            <w:r>
              <w:rPr>
                <w:szCs w:val="24"/>
              </w:rPr>
              <w:t>.</w:t>
            </w:r>
            <w:r>
              <w:rPr>
                <w:szCs w:val="24"/>
                <w:lang w:val="en-US"/>
              </w:rPr>
              <w:t>ru</w:t>
            </w:r>
            <w:r>
              <w:rPr>
                <w:szCs w:val="24"/>
                <w:shd w:fill="FFFFFF" w:val="clear"/>
              </w:rPr>
              <w:t xml:space="preserve">, на официальном сайте муниципального образования город Пермь в информационно-телекоммуникационной сети Интернет </w:t>
            </w:r>
            <w:hyperlink r:id="rId17" w:tgtFrame="http://www.gorodperm.ru/">
              <w:r>
                <w:rPr>
                  <w:rStyle w:val="Hyperlink"/>
                  <w:color w:themeColor="text1" w:val="000000"/>
                  <w:szCs w:val="24"/>
                  <w:u w:val="none"/>
                </w:rPr>
                <w:t>www.gorodperm.ru</w:t>
              </w:r>
            </w:hyperlink>
            <w:r>
              <w:rPr>
                <w:color w:themeColor="text1" w:val="000000"/>
                <w:szCs w:val="24"/>
                <w:u w:val="none"/>
              </w:rPr>
              <w:t>.</w:t>
            </w:r>
          </w:p>
          <w:p>
            <w:pPr>
              <w:pStyle w:val="Normal"/>
              <w:ind w:firstLine="312"/>
              <w:jc w:val="both"/>
              <w:rPr>
                <w:sz w:val="24"/>
                <w:szCs w:val="24"/>
                <w:highlight w:val="none"/>
              </w:rPr>
            </w:pPr>
            <w:r>
              <w:rPr>
                <w:sz w:val="24"/>
                <w:szCs w:val="24"/>
              </w:rPr>
            </w:r>
          </w:p>
          <w:p>
            <w:pPr>
              <w:pStyle w:val="Normal"/>
              <w:spacing w:lineRule="auto" w:line="240" w:before="0" w:after="0"/>
              <w:ind w:firstLine="283" w:left="0" w:right="0"/>
              <w:jc w:val="both"/>
              <w:rPr>
                <w:rFonts w:ascii="Times New Roman" w:hAnsi="Times New Roman"/>
                <w:color w:val="auto"/>
                <w:sz w:val="24"/>
                <w:szCs w:val="24"/>
              </w:rPr>
            </w:pPr>
            <w:r>
              <w:rPr>
                <w:color w:val="auto"/>
                <w:sz w:val="24"/>
                <w:szCs w:val="24"/>
                <w:lang w:val="en-US"/>
              </w:rPr>
              <w:t xml:space="preserve">Проектирование и строительство необходимо вести </w:t>
              <w:br/>
              <w:t>в соответствии с пунктом 4.5 СП 55.13330.2016 Свода Правил. Дома жилые одноквартирные. СНиП 31-02-2001, утвержденным и введенным в действие Приказом Министерства строительства и жилищно-коммунального хозяйства Российской Федерации от 20.10.2016 № 725/пр. Дом должен включать жилые комнаты – одну или несколько (общую комнату или гостиную, спальню),</w:t>
            </w:r>
            <w:r>
              <w:rPr>
                <w:color w:val="auto"/>
                <w:sz w:val="24"/>
                <w:szCs w:val="24"/>
              </w:rPr>
              <w:t xml:space="preserve"> </w:t>
              <w:br/>
            </w:r>
            <w:r>
              <w:rPr>
                <w:color w:val="auto"/>
                <w:sz w:val="24"/>
                <w:szCs w:val="24"/>
                <w:lang w:val="en-US"/>
              </w:rPr>
              <w:t>а также вспомогательные помещения: переднюю, кухню (в том числе кухню-столовую и (или) кухню-нишу), ванные комнаты и (или) душевые, туалет (уборную) или совмещенный санузел</w:t>
            </w:r>
            <w:r>
              <w:rPr>
                <w:color w:val="auto"/>
                <w:sz w:val="24"/>
                <w:szCs w:val="24"/>
              </w:rPr>
              <w:t>, переднюю.</w:t>
            </w:r>
          </w:p>
          <w:p>
            <w:pPr>
              <w:pStyle w:val="Normal"/>
              <w:spacing w:lineRule="auto" w:line="240" w:before="0" w:after="0"/>
              <w:ind w:firstLine="283" w:left="0" w:right="0"/>
              <w:jc w:val="both"/>
              <w:rPr>
                <w:rFonts w:ascii="Times New Roman" w:hAnsi="Times New Roman"/>
                <w:color w:val="auto"/>
                <w:sz w:val="24"/>
                <w:szCs w:val="24"/>
              </w:rPr>
            </w:pPr>
            <w:r>
              <w:rPr>
                <w:color w:val="auto"/>
                <w:sz w:val="24"/>
                <w:szCs w:val="24"/>
                <w:lang w:val="en-US"/>
              </w:rPr>
              <w:t>Согласно пункту 6.1 СП 55.13330.2016 площади помещений строящихся и реконструируемых жилых домов должны быть не менее: общей комнаты в однокомнатном доме - 14 м</w:t>
            </w:r>
            <w:r>
              <w:rPr>
                <w:color w:val="auto"/>
                <w:sz w:val="24"/>
                <w:szCs w:val="24"/>
                <w:vertAlign w:val="superscript"/>
                <w:lang w:val="en-US"/>
              </w:rPr>
              <w:t>2</w:t>
            </w:r>
            <w:r>
              <w:rPr>
                <w:color w:val="auto"/>
                <w:sz w:val="24"/>
                <w:szCs w:val="24"/>
                <w:lang w:val="en-US"/>
              </w:rPr>
              <w:t>, общей комнаты в доме с числом комнат две и более - 16 м</w:t>
            </w:r>
            <w:r>
              <w:rPr>
                <w:color w:val="auto"/>
                <w:sz w:val="24"/>
                <w:szCs w:val="24"/>
                <w:vertAlign w:val="superscript"/>
                <w:lang w:val="en-US"/>
              </w:rPr>
              <w:t>2</w:t>
            </w:r>
            <w:r>
              <w:rPr>
                <w:color w:val="auto"/>
                <w:sz w:val="24"/>
                <w:szCs w:val="24"/>
                <w:lang w:val="en-US"/>
              </w:rPr>
              <w:t>, спальни - 8 м</w:t>
            </w:r>
            <w:r>
              <w:rPr>
                <w:color w:val="auto"/>
                <w:sz w:val="24"/>
                <w:szCs w:val="24"/>
                <w:vertAlign w:val="superscript"/>
                <w:lang w:val="en-US"/>
              </w:rPr>
              <w:t>2</w:t>
            </w:r>
            <w:r>
              <w:rPr>
                <w:color w:val="auto"/>
                <w:sz w:val="24"/>
                <w:szCs w:val="24"/>
                <w:lang w:val="en-US"/>
              </w:rPr>
              <w:t xml:space="preserve"> (на двух человек - 10 м</w:t>
            </w:r>
            <w:r>
              <w:rPr>
                <w:color w:val="auto"/>
                <w:sz w:val="24"/>
                <w:szCs w:val="24"/>
                <w:vertAlign w:val="superscript"/>
                <w:lang w:val="en-US"/>
              </w:rPr>
              <w:t>2</w:t>
            </w:r>
            <w:r>
              <w:rPr>
                <w:color w:val="auto"/>
                <w:sz w:val="24"/>
                <w:szCs w:val="24"/>
                <w:lang w:val="en-US"/>
              </w:rPr>
              <w:t>); кухни - 8 м</w:t>
            </w:r>
            <w:r>
              <w:rPr>
                <w:color w:val="auto"/>
                <w:sz w:val="24"/>
                <w:szCs w:val="24"/>
                <w:vertAlign w:val="superscript"/>
                <w:lang w:val="en-US"/>
              </w:rPr>
              <w:t>2</w:t>
            </w:r>
            <w:r>
              <w:rPr>
                <w:color w:val="auto"/>
                <w:sz w:val="24"/>
                <w:szCs w:val="24"/>
                <w:lang w:val="en-US"/>
              </w:rPr>
              <w:t xml:space="preserve">; кухонной зоны </w:t>
              <w:br/>
              <w:t>в кухне-столовой - 6 м</w:t>
            </w:r>
            <w:r>
              <w:rPr>
                <w:color w:val="auto"/>
                <w:sz w:val="24"/>
                <w:szCs w:val="24"/>
                <w:vertAlign w:val="superscript"/>
                <w:lang w:val="en-US"/>
              </w:rPr>
              <w:t>2</w:t>
            </w:r>
            <w:r>
              <w:rPr>
                <w:color w:val="auto"/>
                <w:sz w:val="24"/>
                <w:szCs w:val="24"/>
                <w:lang w:val="en-US"/>
              </w:rPr>
              <w:t>.</w:t>
            </w:r>
            <w:r>
              <w:rPr>
                <w:color w:val="auto"/>
                <w:sz w:val="24"/>
                <w:szCs w:val="24"/>
              </w:rPr>
              <w:t xml:space="preserve"> </w:t>
            </w:r>
            <w:r>
              <w:rPr>
                <w:color w:val="auto"/>
                <w:sz w:val="24"/>
                <w:szCs w:val="24"/>
                <w:lang w:val="en-US"/>
              </w:rPr>
              <w:t>В домах с одной комнатой допускается проектировать кухни или кухни-ниши площадью не менее 5 м</w:t>
            </w:r>
            <w:r>
              <w:rPr>
                <w:color w:val="auto"/>
                <w:sz w:val="24"/>
                <w:szCs w:val="24"/>
                <w:vertAlign w:val="superscript"/>
                <w:lang w:val="en-US"/>
              </w:rPr>
              <w:t>2</w:t>
            </w:r>
            <w:r>
              <w:rPr>
                <w:color w:val="auto"/>
                <w:sz w:val="24"/>
                <w:szCs w:val="24"/>
                <w:lang w:val="en-US"/>
              </w:rPr>
              <w:t>.</w:t>
            </w:r>
            <w:r>
              <w:rPr>
                <w:color w:val="auto"/>
                <w:sz w:val="24"/>
                <w:szCs w:val="24"/>
              </w:rPr>
              <w:t xml:space="preserve"> </w:t>
            </w:r>
            <w:r>
              <w:rPr>
                <w:color w:val="auto"/>
                <w:sz w:val="24"/>
                <w:szCs w:val="24"/>
                <w:lang w:val="en-US"/>
              </w:rPr>
              <w:t>Площадь спальни и кухни в мансардном этаже (или этаже с наклонными ограждающими конструкциями) допускается не менее 7 м</w:t>
            </w:r>
            <w:r>
              <w:rPr>
                <w:color w:val="auto"/>
                <w:sz w:val="24"/>
                <w:szCs w:val="24"/>
                <w:vertAlign w:val="superscript"/>
                <w:lang w:val="en-US"/>
              </w:rPr>
              <w:t>2</w:t>
            </w:r>
            <w:r>
              <w:rPr>
                <w:color w:val="auto"/>
                <w:sz w:val="24"/>
                <w:szCs w:val="24"/>
                <w:lang w:val="en-US"/>
              </w:rPr>
              <w:t xml:space="preserve"> при условии, что общая жилая комната имеет площадь не менее 16 м</w:t>
            </w:r>
            <w:r>
              <w:rPr>
                <w:color w:val="auto"/>
                <w:sz w:val="24"/>
                <w:szCs w:val="24"/>
                <w:vertAlign w:val="superscript"/>
                <w:lang w:val="en-US"/>
              </w:rPr>
              <w:t>2</w:t>
            </w:r>
            <w:r>
              <w:rPr>
                <w:color w:val="auto"/>
                <w:sz w:val="24"/>
                <w:szCs w:val="24"/>
                <w:lang w:val="en-US"/>
              </w:rPr>
              <w:t>.</w:t>
            </w:r>
          </w:p>
          <w:p>
            <w:pPr>
              <w:pStyle w:val="Normal"/>
              <w:spacing w:lineRule="auto" w:line="240" w:before="0" w:after="0"/>
              <w:ind w:firstLine="283" w:left="0" w:right="0"/>
              <w:jc w:val="both"/>
              <w:rPr>
                <w:rFonts w:ascii="Times New Roman" w:hAnsi="Times New Roman"/>
                <w:color w:val="auto"/>
                <w:sz w:val="24"/>
                <w:szCs w:val="24"/>
              </w:rPr>
            </w:pPr>
            <w:r>
              <w:rPr>
                <w:color w:val="auto"/>
                <w:sz w:val="24"/>
                <w:szCs w:val="24"/>
                <w:lang w:val="en-US"/>
              </w:rPr>
              <w:t xml:space="preserve">Согласно пункту 6.2 СП 55.13330.2016 высота (от пола </w:t>
              <w:br/>
              <w:t xml:space="preserve">до потолка) комнат и кухни (кухни-столовой) </w:t>
              <w:br/>
              <w:t xml:space="preserve">в климатических районах строительства IА, IБ, IГ, IД, определяемых по СП 131.13330, должна быть не менее </w:t>
              <w:br/>
              <w:t xml:space="preserve">2,7 м, а в других климатических районах строительства - </w:t>
              <w:br/>
              <w:t xml:space="preserve">не менее 2,5 м. Высота внутридомовых коридоров, холлов, передних, </w:t>
            </w:r>
            <w:r>
              <w:rPr>
                <w:color w:val="auto"/>
                <w:spacing w:val="-2"/>
                <w:sz w:val="24"/>
                <w:szCs w:val="24"/>
                <w:lang w:val="en-US"/>
              </w:rPr>
              <w:t>антресолей должна составлять не менее 2,1 м,</w:t>
            </w:r>
            <w:r>
              <w:rPr>
                <w:color w:val="auto"/>
                <w:spacing w:val="-2"/>
                <w:sz w:val="24"/>
                <w:szCs w:val="24"/>
              </w:rPr>
              <w:t xml:space="preserve"> </w:t>
            </w:r>
            <w:r>
              <w:rPr>
                <w:color w:val="auto"/>
                <w:spacing w:val="-2"/>
                <w:sz w:val="24"/>
                <w:szCs w:val="24"/>
                <w:lang w:val="en-US"/>
              </w:rPr>
              <w:t>а высота пути эвакуации -</w:t>
            </w:r>
            <w:r>
              <w:rPr>
                <w:color w:val="auto"/>
                <w:sz w:val="24"/>
                <w:szCs w:val="24"/>
                <w:lang w:val="en-US"/>
              </w:rPr>
              <w:t xml:space="preserve"> не менее</w:t>
            </w:r>
            <w:r>
              <w:rPr>
                <w:color w:val="auto"/>
                <w:sz w:val="24"/>
                <w:szCs w:val="24"/>
              </w:rPr>
              <w:t xml:space="preserve"> </w:t>
            </w:r>
            <w:r>
              <w:rPr>
                <w:color w:val="auto"/>
                <w:sz w:val="24"/>
                <w:szCs w:val="24"/>
                <w:lang w:val="en-US"/>
              </w:rPr>
              <w:t>2,2 м.</w:t>
            </w:r>
          </w:p>
          <w:p>
            <w:pPr>
              <w:pStyle w:val="Normal"/>
              <w:spacing w:lineRule="auto" w:line="240" w:before="0" w:after="0"/>
              <w:ind w:firstLine="283" w:left="0" w:right="0"/>
              <w:jc w:val="both"/>
              <w:rPr>
                <w:rFonts w:ascii="Times New Roman" w:hAnsi="Times New Roman"/>
                <w:color w:val="auto"/>
                <w:sz w:val="24"/>
                <w:szCs w:val="24"/>
                <w:highlight w:val="none"/>
              </w:rPr>
            </w:pPr>
            <w:r>
              <w:rPr>
                <w:color w:val="auto"/>
                <w:sz w:val="24"/>
                <w:szCs w:val="24"/>
                <w:lang w:val="en-US"/>
              </w:rPr>
              <w:t xml:space="preserve">В жилых комнатах и кухнях, расположенных в этажах </w:t>
            </w:r>
            <w:r>
              <w:rPr>
                <w:color w:val="auto"/>
                <w:sz w:val="24"/>
                <w:szCs w:val="24"/>
              </w:rPr>
              <w:br/>
            </w:r>
            <w:r>
              <w:rPr>
                <w:color w:val="auto"/>
                <w:sz w:val="24"/>
                <w:szCs w:val="24"/>
                <w:lang w:val="en-US"/>
              </w:rPr>
              <w:t xml:space="preserve">с наклонными ограждающими конструкциями или </w:t>
              <w:br/>
              <w:t>в мансардном этаже, допускается уменьшение высоты помещений (от пола</w:t>
            </w:r>
            <w:r>
              <w:rPr>
                <w:color w:val="auto"/>
                <w:sz w:val="24"/>
                <w:szCs w:val="24"/>
              </w:rPr>
              <w:t xml:space="preserve"> </w:t>
            </w:r>
            <w:r>
              <w:rPr>
                <w:color w:val="auto"/>
                <w:sz w:val="24"/>
                <w:szCs w:val="24"/>
                <w:lang w:val="en-US"/>
              </w:rPr>
              <w:t>до потолка), относительно нормируемой на площади, не превышающей 50%.</w:t>
            </w:r>
          </w:p>
          <w:p>
            <w:pPr>
              <w:pStyle w:val="Normal"/>
              <w:spacing w:lineRule="auto" w:line="240" w:before="0" w:after="0"/>
              <w:ind w:firstLine="283" w:left="0" w:right="0"/>
              <w:jc w:val="both"/>
              <w:rPr>
                <w:rFonts w:ascii="Times New Roman" w:hAnsi="Times New Roman"/>
                <w:color w:val="auto"/>
                <w:sz w:val="24"/>
                <w:szCs w:val="24"/>
              </w:rPr>
            </w:pPr>
            <w:r>
              <w:rPr>
                <w:color w:val="auto"/>
                <w:sz w:val="24"/>
                <w:szCs w:val="24"/>
              </w:rPr>
              <w:t>Согласно ГПЗУ:</w:t>
            </w:r>
          </w:p>
          <w:p>
            <w:pPr>
              <w:pStyle w:val="Normal"/>
              <w:spacing w:lineRule="auto" w:line="240" w:before="0" w:after="0"/>
              <w:ind w:firstLine="283" w:left="0" w:right="0"/>
              <w:jc w:val="both"/>
              <w:rPr>
                <w:rFonts w:ascii="Times New Roman" w:hAnsi="Times New Roman"/>
                <w:color w:val="auto"/>
                <w:sz w:val="24"/>
                <w:szCs w:val="24"/>
                <w:highlight w:val="none"/>
              </w:rPr>
            </w:pPr>
            <w:r>
              <w:rPr>
                <w:color w:val="auto"/>
                <w:sz w:val="24"/>
                <w:szCs w:val="24"/>
              </w:rPr>
              <w:t>минимальный отступ от границ Участка до места допустимого размещения зданий, строений (за исключением границ со стороны территории общего пользования, где отступ определяется с учетом красных линий и линий регулирования застройки, установленных проектом планировки территории, а также границ смежных земельных участков при блокированной жилой застройке) – 3 м;</w:t>
            </w:r>
          </w:p>
          <w:p>
            <w:pPr>
              <w:pStyle w:val="Normal"/>
              <w:tabs>
                <w:tab w:val="clear" w:pos="708"/>
                <w:tab w:val="right" w:pos="6000" w:leader="none"/>
              </w:tabs>
              <w:spacing w:lineRule="auto" w:line="240" w:before="0" w:after="0"/>
              <w:ind w:firstLine="283" w:left="0" w:right="0"/>
              <w:jc w:val="both"/>
              <w:rPr>
                <w:rFonts w:ascii="Times New Roman" w:hAnsi="Times New Roman"/>
                <w:color w:val="auto"/>
                <w:sz w:val="24"/>
                <w:szCs w:val="24"/>
                <w:highlight w:val="none"/>
              </w:rPr>
            </w:pPr>
            <w:r>
              <w:rPr>
                <w:color w:val="auto"/>
                <w:sz w:val="24"/>
              </w:rPr>
              <w:t>м</w:t>
            </w:r>
            <w:r>
              <w:rPr>
                <w:color w:val="auto"/>
                <w:sz w:val="24"/>
                <w:highlight w:val="white"/>
              </w:rPr>
              <w:t>аксимальный выступ за красную линию нависающих частей здания наземных уровней, выступающих из плоскости наружной стены фасада здания на высоте</w:t>
              <w:br/>
              <w:t>не менее 4,5 м над территорией общего пользования, составляет не более 1,2 м от красной линии. В случаях, когда линия регулирования застройки отличается от красной линии, указанный выступ может быть произведен за линию регулирования застройки;</w:t>
            </w:r>
          </w:p>
          <w:p>
            <w:pPr>
              <w:pStyle w:val="Normal"/>
              <w:tabs>
                <w:tab w:val="clear" w:pos="708"/>
                <w:tab w:val="right" w:pos="6000" w:leader="none"/>
              </w:tabs>
              <w:spacing w:lineRule="auto" w:line="240" w:before="0" w:after="0"/>
              <w:ind w:firstLine="283" w:left="0" w:right="0"/>
              <w:jc w:val="both"/>
              <w:rPr>
                <w:rFonts w:ascii="Times New Roman" w:hAnsi="Times New Roman"/>
                <w:color w:val="auto"/>
                <w:sz w:val="24"/>
                <w:szCs w:val="24"/>
                <w:highlight w:val="white"/>
              </w:rPr>
            </w:pPr>
            <w:r>
              <w:rPr>
                <w:color w:val="auto"/>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40%;</w:t>
            </w:r>
          </w:p>
          <w:p>
            <w:pPr>
              <w:pStyle w:val="Normal"/>
              <w:spacing w:lineRule="auto" w:line="240" w:before="0" w:after="0"/>
              <w:ind w:firstLine="283" w:left="0" w:right="0"/>
              <w:jc w:val="both"/>
              <w:rPr>
                <w:rFonts w:ascii="Times New Roman" w:hAnsi="Times New Roman"/>
                <w:color w:val="auto"/>
                <w:sz w:val="24"/>
                <w:szCs w:val="24"/>
                <w:highlight w:val="none"/>
              </w:rPr>
            </w:pPr>
            <w:r>
              <w:rPr>
                <w:color w:val="auto"/>
                <w:sz w:val="24"/>
                <w:szCs w:val="24"/>
              </w:rPr>
              <w:t xml:space="preserve">предельная высота зданий, строений – согласно документации по планировке территории, утвержденной постановлением администрации города Перми </w:t>
              <w:br/>
              <w:t>от 17.12.2018 № 986, до 10,5 м.</w:t>
            </w:r>
          </w:p>
          <w:p>
            <w:pPr>
              <w:pStyle w:val="Normal"/>
              <w:spacing w:lineRule="auto" w:line="240" w:before="0" w:after="0"/>
              <w:ind w:firstLine="283" w:left="0" w:right="0"/>
              <w:jc w:val="both"/>
              <w:rPr>
                <w:rFonts w:ascii="Times New Roman" w:hAnsi="Times New Roman"/>
                <w:color w:val="auto"/>
                <w:sz w:val="24"/>
                <w:szCs w:val="24"/>
              </w:rPr>
            </w:pPr>
            <w:r>
              <w:rPr>
                <w:color w:val="auto"/>
                <w:sz w:val="24"/>
                <w:szCs w:val="24"/>
              </w:rPr>
              <w:t xml:space="preserve">Победителю аукциона (единственному участнику) рекомендовано обратиться в уполномоченный орган </w:t>
              <w:br/>
              <w:t>с уведомлением о планируемом строительстве жилого дома.</w:t>
            </w:r>
          </w:p>
        </w:tc>
      </w:tr>
      <w:tr>
        <w:trPr>
          <w:trHeight w:val="144" w:hRule="atLeast"/>
        </w:trPr>
        <w:tc>
          <w:tcPr>
            <w:tcW w:w="567" w:type="dxa"/>
            <w:vMerge w:val="continue"/>
            <w:tcBorders>
              <w:top w:val="single" w:sz="4" w:space="0" w:color="000000"/>
              <w:left w:val="single" w:sz="4" w:space="0" w:color="000000"/>
              <w:bottom w:val="single" w:sz="4" w:space="0" w:color="000000"/>
              <w:right w:val="single" w:sz="4" w:space="0" w:color="000000"/>
            </w:tcBorders>
          </w:tcPr>
          <w:p>
            <w:pPr>
              <w:pStyle w:val="Normal"/>
              <w:jc w:val="center"/>
              <w:rPr>
                <w:sz w:val="20"/>
              </w:rPr>
            </w:pPr>
            <w:r>
              <w:rPr>
                <w:sz w:val="20"/>
              </w:rPr>
            </w:r>
          </w:p>
        </w:tc>
        <w:tc>
          <w:tcPr>
            <w:tcW w:w="3054" w:type="dxa"/>
            <w:tcBorders>
              <w:top w:val="single" w:sz="4" w:space="0" w:color="000000"/>
              <w:left w:val="single" w:sz="4" w:space="0" w:color="000000"/>
              <w:bottom w:val="single" w:sz="4" w:space="0" w:color="000000"/>
              <w:right w:val="single" w:sz="4" w:space="0" w:color="000000"/>
            </w:tcBorders>
          </w:tcPr>
          <w:p>
            <w:pPr>
              <w:pStyle w:val="Normal"/>
              <w:numPr>
                <w:ilvl w:val="0"/>
                <w:numId w:val="2"/>
              </w:numPr>
              <w:ind w:hanging="284" w:left="410" w:right="23"/>
              <w:rPr>
                <w:sz w:val="24"/>
                <w:szCs w:val="24"/>
              </w:rPr>
            </w:pPr>
            <w:r>
              <w:rPr>
                <w:sz w:val="24"/>
                <w:szCs w:val="24"/>
              </w:rPr>
              <w:t>возможность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w:t>
            </w:r>
          </w:p>
        </w:tc>
        <w:tc>
          <w:tcPr>
            <w:tcW w:w="6864" w:type="dxa"/>
            <w:tcBorders>
              <w:top w:val="single" w:sz="4" w:space="0" w:color="000000"/>
              <w:left w:val="single" w:sz="4" w:space="0" w:color="000000"/>
              <w:bottom w:val="single" w:sz="4" w:space="0" w:color="000000"/>
              <w:right w:val="single" w:sz="4" w:space="0" w:color="000000"/>
            </w:tcBorders>
          </w:tcPr>
          <w:p>
            <w:pPr>
              <w:pStyle w:val="Normal"/>
              <w:ind w:firstLine="312"/>
              <w:jc w:val="both"/>
              <w:rPr>
                <w:sz w:val="24"/>
                <w:szCs w:val="24"/>
                <w:highlight w:val="none"/>
                <w:u w:val="none"/>
              </w:rPr>
            </w:pPr>
            <w:r>
              <w:rPr>
                <w:sz w:val="24"/>
                <w:szCs w:val="24"/>
                <w:u w:val="none"/>
              </w:rPr>
            </w:r>
          </w:p>
          <w:p>
            <w:pPr>
              <w:pStyle w:val="Normal"/>
              <w:ind w:firstLine="312"/>
              <w:jc w:val="both"/>
              <w:rPr>
                <w:sz w:val="24"/>
                <w:szCs w:val="24"/>
                <w:highlight w:val="none"/>
                <w:u w:val="none"/>
              </w:rPr>
            </w:pPr>
            <w:r>
              <w:rPr/>
              <w:t xml:space="preserve">В </w:t>
            </w:r>
            <w:r>
              <w:rPr>
                <w:shd w:fill="FFFFFF" w:val="clear"/>
              </w:rPr>
              <w:t xml:space="preserve">документации по земельному участку, размещенной </w:t>
              <w:br/>
              <w:t xml:space="preserve">с извещением о проведении аукциона в ГИС Торги </w:t>
            </w:r>
            <w:r>
              <w:rPr>
                <w:lang w:val="en-US"/>
              </w:rPr>
              <w:t>www</w:t>
            </w:r>
            <w:r>
              <w:rPr/>
              <w:t>.</w:t>
            </w:r>
            <w:r>
              <w:rPr>
                <w:lang w:val="en-US"/>
              </w:rPr>
              <w:t>torgi</w:t>
            </w:r>
            <w:r>
              <w:rPr/>
              <w:t>.</w:t>
            </w:r>
            <w:r>
              <w:rPr>
                <w:lang w:val="en-US"/>
              </w:rPr>
              <w:t>gov</w:t>
            </w:r>
            <w:r>
              <w:rPr/>
              <w:t>.</w:t>
            </w:r>
            <w:r>
              <w:rPr>
                <w:lang w:val="en-US"/>
              </w:rPr>
              <w:t>ru</w:t>
            </w:r>
            <w:r>
              <w:rPr>
                <w:shd w:fill="FFFFFF" w:val="clear"/>
              </w:rPr>
              <w:t xml:space="preserve">, на официальном сайте муниципального образования город Пермь в информационно-телекоммуникационной сети Интернет </w:t>
            </w:r>
            <w:hyperlink r:id="rId18" w:tgtFrame="http://www.gorodperm.ru/">
              <w:r>
                <w:rPr>
                  <w:rStyle w:val="Hyperlink"/>
                  <w:color w:themeColor="text1" w:val="000000"/>
                  <w:u w:val="none"/>
                </w:rPr>
                <w:t>www.gorodperm.ru</w:t>
              </w:r>
            </w:hyperlink>
            <w:r>
              <w:rPr>
                <w:color w:themeColor="text1" w:val="000000"/>
                <w:u w:val="none"/>
              </w:rPr>
              <w:t>.</w:t>
            </w:r>
          </w:p>
          <w:p>
            <w:pPr>
              <w:pStyle w:val="Normal"/>
              <w:ind w:firstLine="312"/>
              <w:jc w:val="both"/>
              <w:rPr>
                <w:sz w:val="24"/>
                <w:szCs w:val="24"/>
                <w:highlight w:val="none"/>
              </w:rPr>
            </w:pPr>
            <w:r>
              <w:rPr>
                <w:sz w:val="24"/>
                <w:szCs w:val="24"/>
              </w:rPr>
            </w:r>
          </w:p>
          <w:p>
            <w:pPr>
              <w:pStyle w:val="Normal"/>
              <w:spacing w:lineRule="auto" w:line="240" w:before="0" w:after="0"/>
              <w:ind w:firstLine="283" w:left="0" w:right="0"/>
              <w:jc w:val="both"/>
              <w:rPr>
                <w:rFonts w:ascii="Times New Roman" w:hAnsi="Times New Roman"/>
                <w:color w:val="auto"/>
                <w:sz w:val="24"/>
                <w:szCs w:val="24"/>
                <w:highlight w:val="none"/>
              </w:rPr>
            </w:pPr>
            <w:r>
              <w:rPr>
                <w:color w:val="auto"/>
                <w:sz w:val="24"/>
                <w:szCs w:val="24"/>
              </w:rPr>
            </w:r>
          </w:p>
          <w:p>
            <w:pPr>
              <w:pStyle w:val="Normal"/>
              <w:spacing w:lineRule="auto" w:line="240" w:before="0" w:after="0"/>
              <w:ind w:firstLine="283" w:left="0" w:right="0"/>
              <w:jc w:val="both"/>
              <w:rPr>
                <w:rFonts w:ascii="Times New Roman" w:hAnsi="Times New Roman"/>
                <w:color w:themeColor="accent3" w:themeShade="bf" w:val="auto"/>
                <w:sz w:val="24"/>
                <w:szCs w:val="24"/>
              </w:rPr>
            </w:pPr>
            <w:r>
              <w:rPr>
                <w:color w:val="auto"/>
                <w:sz w:val="24"/>
                <w:szCs w:val="24"/>
              </w:rPr>
              <w:t>О наличии технической возможности технологического присоединения к электросетям филиала энергопринимающего устройства объекта капитального строительства с предполагаемой максимальной мощностью 15 кВт сообщает следующее.</w:t>
            </w:r>
          </w:p>
          <w:p>
            <w:pPr>
              <w:pStyle w:val="Normal"/>
              <w:spacing w:lineRule="auto" w:line="240" w:before="0" w:after="0"/>
              <w:ind w:firstLine="283" w:left="0" w:right="0"/>
              <w:jc w:val="both"/>
              <w:rPr>
                <w:rFonts w:ascii="Times New Roman" w:hAnsi="Times New Roman"/>
                <w:color w:themeColor="accent3" w:themeShade="bf" w:val="auto"/>
                <w:sz w:val="24"/>
                <w:szCs w:val="24"/>
              </w:rPr>
            </w:pPr>
            <w:r>
              <w:rPr>
                <w:color w:val="auto"/>
                <w:sz w:val="24"/>
                <w:szCs w:val="24"/>
              </w:rPr>
              <w:t xml:space="preserve">Порядок технологического присоединения </w:t>
              <w:br/>
              <w:t xml:space="preserve">к электрическим сетям регламентирован Правилами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 к электрическим сетям, утвержденными постановлением Правительства РФ </w:t>
              <w:br/>
              <w:t>от 27.12.2004 № 861 (далее – Правила ТП).</w:t>
            </w:r>
          </w:p>
          <w:p>
            <w:pPr>
              <w:pStyle w:val="Normal"/>
              <w:spacing w:lineRule="auto" w:line="240" w:before="0" w:after="0"/>
              <w:ind w:firstLine="283" w:left="0" w:right="0"/>
              <w:jc w:val="both"/>
              <w:rPr>
                <w:rFonts w:ascii="Times New Roman" w:hAnsi="Times New Roman"/>
                <w:color w:themeColor="accent3" w:themeShade="bf" w:val="auto"/>
                <w:sz w:val="24"/>
                <w:szCs w:val="24"/>
                <w:highlight w:val="none"/>
              </w:rPr>
            </w:pPr>
            <w:r>
              <w:rPr>
                <w:color w:val="auto"/>
                <w:sz w:val="24"/>
                <w:szCs w:val="24"/>
              </w:rPr>
              <w:t>В силу пункта 6 Правил ТП технологическое присоединение осуществляется на основании договора заключаемого между сетевой организацией и юридическим или физическим лицом. Перечень мероприятий по технологическому присоединению определяется в технических условиях.</w:t>
            </w:r>
          </w:p>
          <w:p>
            <w:pPr>
              <w:pStyle w:val="Normal"/>
              <w:spacing w:lineRule="auto" w:line="240" w:before="0" w:after="0"/>
              <w:ind w:firstLine="283" w:left="0" w:right="0"/>
              <w:jc w:val="both"/>
              <w:rPr>
                <w:rFonts w:ascii="Times New Roman" w:hAnsi="Times New Roman"/>
                <w:color w:themeColor="accent3" w:themeShade="bf" w:val="auto"/>
                <w:sz w:val="24"/>
                <w:szCs w:val="24"/>
              </w:rPr>
            </w:pPr>
            <w:r>
              <w:rPr>
                <w:color w:val="auto"/>
                <w:sz w:val="24"/>
                <w:szCs w:val="24"/>
              </w:rPr>
              <w:t>Согласно пунктам 15, 25, 25.1 Правил ТП технические условия являются неотъемлемым приложением к соответствующему договору технологического присоединения и представляют собой техническое решение присоединения конкретного энергопринимающего устройства к сетям электросетевой организации, которое предусматривают точки присоединения, требования к усилению существующей сети, иные технические требования. Следовательно, технические условия для технологического присоединения предоставляются заявителю сетевой организацией вместе с договором о технологическом присоединении.</w:t>
            </w:r>
          </w:p>
          <w:p>
            <w:pPr>
              <w:pStyle w:val="Normal"/>
              <w:spacing w:lineRule="auto" w:line="240" w:before="0" w:after="0"/>
              <w:ind w:firstLine="283" w:left="0" w:right="0"/>
              <w:jc w:val="both"/>
              <w:rPr>
                <w:rFonts w:ascii="Times New Roman" w:hAnsi="Times New Roman"/>
                <w:color w:themeColor="accent3" w:themeShade="bf" w:val="auto"/>
                <w:sz w:val="24"/>
                <w:szCs w:val="24"/>
                <w:highlight w:val="none"/>
              </w:rPr>
            </w:pPr>
            <w:r>
              <w:rPr>
                <w:color w:val="auto"/>
                <w:sz w:val="24"/>
                <w:szCs w:val="24"/>
              </w:rPr>
              <w:t xml:space="preserve">Для получения технических условий и заключения договора на технологическое присоединении необходимо направить в адрес филиала ПАО «Россети Урал» - «Пермэнерго» соответствующую заявку с указанием сведений и приложением необходимых документов в соответствии с Правилами ТП через единый федеральный портал электросетевых услуг группы компаний «Россети» на сайте: </w:t>
            </w:r>
            <w:hyperlink r:id="rId19" w:tgtFrame="https://">
              <w:r>
                <w:rPr>
                  <w:rStyle w:val="Hyperlink"/>
                  <w:color w:val="auto"/>
                  <w:sz w:val="24"/>
                  <w:szCs w:val="24"/>
                </w:rPr>
                <w:t>https://</w:t>
              </w:r>
            </w:hyperlink>
            <w:r>
              <w:rPr>
                <w:color w:val="auto"/>
                <w:sz w:val="24"/>
                <w:szCs w:val="24"/>
              </w:rPr>
              <w:t xml:space="preserve"> портал-тп.рф, через Мобильное приложение ПАО «Россети» или при очном приеме в Центре обслуживания клиентов филиала «Россети» или рот очном приеме в Центре обслуживания клиентов филиала «Россети Урал» - «Пермэнерго» по адресу: г. Пермь, ул. Камчатовская, д. 26, а также почтовым отправлением по адресу: 614016, г. Пермь, ул. Камчатовская, 26. По дополнительным вопросам телефон контакт-центра: 8-800-220-0-220 (круглосуточно и бесплатно).</w:t>
            </w:r>
          </w:p>
          <w:p>
            <w:pPr>
              <w:pStyle w:val="Normal"/>
              <w:spacing w:lineRule="auto" w:line="240" w:before="0" w:after="0"/>
              <w:ind w:firstLine="283" w:left="0" w:right="0"/>
              <w:jc w:val="both"/>
              <w:rPr>
                <w:rFonts w:ascii="Times New Roman" w:hAnsi="Times New Roman"/>
                <w:color w:themeColor="accent3" w:themeShade="bf" w:val="auto"/>
                <w:sz w:val="24"/>
                <w:szCs w:val="24"/>
              </w:rPr>
            </w:pPr>
            <w:r>
              <w:rPr>
                <w:color w:val="auto"/>
                <w:sz w:val="24"/>
                <w:szCs w:val="24"/>
              </w:rPr>
              <w:t>При подготовке градостроительного плана земельного участка необходимо предусмотреть коридоры для строительства кабельных линий и место для размещения трансформаторных подстанций.</w:t>
            </w:r>
          </w:p>
          <w:p>
            <w:pPr>
              <w:pStyle w:val="Normal"/>
              <w:tabs>
                <w:tab w:val="clear" w:pos="708"/>
                <w:tab w:val="right" w:pos="6000" w:leader="none"/>
              </w:tabs>
              <w:spacing w:lineRule="auto" w:line="240" w:before="0" w:after="0"/>
              <w:ind w:firstLine="311"/>
              <w:jc w:val="both"/>
              <w:rPr/>
            </w:pPr>
            <w:r>
              <w:rPr>
                <w:sz w:val="24"/>
                <w:szCs w:val="24"/>
                <w:highlight w:val="white"/>
              </w:rPr>
              <w:t xml:space="preserve">(Аналогичная информация отражена в письме </w:t>
            </w:r>
            <w:r>
              <w:rPr>
                <w:color w:val="auto"/>
                <w:sz w:val="24"/>
                <w:szCs w:val="24"/>
                <w:highlight w:val="white"/>
              </w:rPr>
              <w:t xml:space="preserve">филиала </w:t>
            </w:r>
            <w:r>
              <w:rPr>
                <w:b/>
                <w:bCs/>
                <w:color w:val="auto"/>
                <w:sz w:val="24"/>
                <w:szCs w:val="24"/>
                <w:highlight w:val="white"/>
              </w:rPr>
              <w:t xml:space="preserve">ПАО «Россети Урал» - «Пермэнерго» Пермские </w:t>
            </w:r>
            <w:r>
              <w:rPr>
                <w:b/>
                <w:color w:val="auto"/>
                <w:sz w:val="24"/>
                <w:szCs w:val="24"/>
                <w:highlight w:val="white"/>
              </w:rPr>
              <w:t>городские электрические сети»</w:t>
            </w:r>
            <w:r>
              <w:rPr>
                <w:color w:val="auto"/>
                <w:sz w:val="24"/>
                <w:szCs w:val="24"/>
                <w:highlight w:val="white"/>
              </w:rPr>
              <w:t xml:space="preserve"> от 18.03.2026 № ПЭ/ПГЭС/22/8</w:t>
            </w:r>
            <w:r>
              <w:rPr>
                <w:sz w:val="24"/>
                <w:szCs w:val="24"/>
                <w:highlight w:val="white"/>
              </w:rPr>
              <w:t>).</w:t>
            </w:r>
          </w:p>
          <w:p>
            <w:pPr>
              <w:pStyle w:val="Normal"/>
              <w:tabs>
                <w:tab w:val="clear" w:pos="708"/>
                <w:tab w:val="right" w:pos="6000" w:leader="none"/>
              </w:tabs>
              <w:spacing w:lineRule="auto" w:line="240" w:before="0" w:after="0"/>
              <w:ind w:firstLine="311"/>
              <w:jc w:val="both"/>
              <w:rPr>
                <w:rFonts w:ascii="Times New Roman" w:hAnsi="Times New Roman"/>
                <w:color w:val="auto"/>
                <w:sz w:val="24"/>
                <w:szCs w:val="24"/>
                <w:highlight w:val="white"/>
              </w:rPr>
            </w:pPr>
            <w:r>
              <w:rPr>
                <w:color w:val="auto"/>
                <w:sz w:val="24"/>
                <w:szCs w:val="24"/>
                <w:highlight w:val="white"/>
              </w:rPr>
            </w:r>
          </w:p>
          <w:p>
            <w:pPr>
              <w:pStyle w:val="Normal"/>
              <w:spacing w:lineRule="auto" w:line="240" w:before="0" w:after="0"/>
              <w:ind w:firstLine="317"/>
              <w:jc w:val="both"/>
              <w:rPr>
                <w:rFonts w:ascii="Times New Roman" w:hAnsi="Times New Roman"/>
                <w:color w:val="auto"/>
                <w:sz w:val="24"/>
                <w:szCs w:val="24"/>
              </w:rPr>
            </w:pPr>
            <w:r>
              <w:rPr>
                <w:color w:val="auto"/>
                <w:sz w:val="24"/>
                <w:szCs w:val="24"/>
              </w:rPr>
              <w:t>Возможность технического подключения имеется. Возможные точки присоединения на существующих тепловых сетях: Т-30-28 на М4-02 (разв.) 2Ду200мм. Источник теплоснабжения:ТЭЦ-14. Размер подключаемой нагрузки 0,05 Гкал/ч.</w:t>
            </w:r>
          </w:p>
          <w:p>
            <w:pPr>
              <w:pStyle w:val="Normal"/>
              <w:tabs>
                <w:tab w:val="clear" w:pos="708"/>
                <w:tab w:val="right" w:pos="6000" w:leader="none"/>
              </w:tabs>
              <w:spacing w:lineRule="auto" w:line="240" w:before="0" w:after="0"/>
              <w:ind w:firstLine="311"/>
              <w:jc w:val="both"/>
              <w:rPr/>
            </w:pPr>
            <w:r>
              <w:rPr>
                <w:sz w:val="24"/>
                <w:szCs w:val="24"/>
                <w:highlight w:val="white"/>
              </w:rPr>
              <w:t xml:space="preserve">(Аналогичная информация отражена в письме </w:t>
            </w:r>
            <w:r>
              <w:rPr>
                <w:b/>
                <w:color w:val="auto"/>
                <w:sz w:val="24"/>
                <w:szCs w:val="24"/>
                <w:highlight w:val="white"/>
              </w:rPr>
              <w:t>ПАО «Т Плюс»</w:t>
            </w:r>
            <w:r>
              <w:rPr>
                <w:color w:val="auto"/>
                <w:sz w:val="24"/>
                <w:szCs w:val="24"/>
                <w:highlight w:val="white"/>
              </w:rPr>
              <w:t xml:space="preserve"> от 11.03.2026 № 51030-01-01395</w:t>
            </w:r>
            <w:r>
              <w:rPr>
                <w:sz w:val="24"/>
                <w:szCs w:val="24"/>
                <w:highlight w:val="white"/>
              </w:rPr>
              <w:t>).</w:t>
            </w:r>
          </w:p>
          <w:p>
            <w:pPr>
              <w:pStyle w:val="Normal"/>
              <w:tabs>
                <w:tab w:val="clear" w:pos="708"/>
                <w:tab w:val="right" w:pos="6000" w:leader="none"/>
              </w:tabs>
              <w:spacing w:lineRule="auto" w:line="240" w:before="0" w:after="0"/>
              <w:ind w:firstLine="311"/>
              <w:jc w:val="both"/>
              <w:rPr>
                <w:rFonts w:ascii="Times New Roman" w:hAnsi="Times New Roman"/>
                <w:color w:val="auto"/>
                <w:sz w:val="24"/>
                <w:szCs w:val="24"/>
                <w:highlight w:val="white"/>
              </w:rPr>
            </w:pPr>
            <w:r>
              <w:rPr>
                <w:color w:val="auto"/>
                <w:sz w:val="24"/>
                <w:szCs w:val="24"/>
                <w:highlight w:val="white"/>
              </w:rPr>
            </w:r>
          </w:p>
          <w:p>
            <w:pPr>
              <w:pStyle w:val="Normal"/>
              <w:spacing w:lineRule="auto" w:line="240" w:before="0" w:after="0"/>
              <w:ind w:firstLine="283" w:left="0" w:right="0"/>
              <w:jc w:val="both"/>
              <w:rPr>
                <w:rFonts w:ascii="Times New Roman" w:hAnsi="Times New Roman"/>
                <w:color w:val="auto"/>
                <w:sz w:val="24"/>
                <w:szCs w:val="24"/>
                <w:highlight w:val="none"/>
                <w14:ligatures w14:val="none"/>
              </w:rPr>
            </w:pPr>
            <w:r>
              <w:rPr>
                <w:color w:val="auto"/>
                <w:sz w:val="24"/>
                <w:szCs w:val="24"/>
              </w:rPr>
              <w:t>Техническая возможность подключения объекта капитального строительства с предполагаемой максимальной нагрузкой 8 куб.м/час к существующим сетям газораспределения имеется.</w:t>
            </w:r>
          </w:p>
          <w:p>
            <w:pPr>
              <w:pStyle w:val="Normal"/>
              <w:spacing w:lineRule="auto" w:line="240" w:before="0" w:after="0"/>
              <w:ind w:firstLine="283" w:left="0" w:right="0"/>
              <w:jc w:val="both"/>
              <w:rPr>
                <w:rFonts w:ascii="Times New Roman" w:hAnsi="Times New Roman"/>
                <w:color w:val="auto"/>
                <w:sz w:val="24"/>
                <w:szCs w:val="24"/>
                <w:highlight w:val="none"/>
                <w14:ligatures w14:val="none"/>
              </w:rPr>
            </w:pPr>
            <w:r>
              <w:rPr>
                <w:color w:val="auto"/>
                <w:sz w:val="24"/>
                <w:szCs w:val="24"/>
              </w:rPr>
              <w:t>Для рассмотрения вопроса о предоставлении технических условий на подключение (технологическое присоединение) необходимо направить запрос с приложением необходимых документов и сведений на электронную почту post@pf.ugaz.ru, либо почтовым отправлением по адресу: г. Пермь, ул. Уральская, 104, через Единый центр предоставления услуг по адресу: г. Пермь, ул. Уральская, д. 104, каб. 101.</w:t>
            </w:r>
          </w:p>
          <w:p>
            <w:pPr>
              <w:pStyle w:val="Normal"/>
              <w:tabs>
                <w:tab w:val="clear" w:pos="708"/>
                <w:tab w:val="right" w:pos="6000" w:leader="none"/>
              </w:tabs>
              <w:spacing w:lineRule="auto" w:line="240" w:before="0" w:after="0"/>
              <w:ind w:firstLine="311"/>
              <w:jc w:val="both"/>
              <w:rPr/>
            </w:pPr>
            <w:r>
              <w:rPr>
                <w:sz w:val="24"/>
                <w:szCs w:val="24"/>
                <w:highlight w:val="white"/>
              </w:rPr>
              <w:t xml:space="preserve">(Аналогичная информация отражена в письме </w:t>
            </w:r>
            <w:r>
              <w:rPr>
                <w:b/>
                <w:bCs/>
                <w:color w:val="auto"/>
                <w:sz w:val="24"/>
                <w:szCs w:val="24"/>
              </w:rPr>
              <w:t xml:space="preserve">АО «Газпром газораспределение Пермь» </w:t>
            </w:r>
            <w:r>
              <w:rPr>
                <w:color w:val="auto"/>
                <w:sz w:val="24"/>
                <w:szCs w:val="24"/>
              </w:rPr>
              <w:t>от 13.03.2026 № ПФ-1666</w:t>
            </w:r>
            <w:r>
              <w:rPr>
                <w:sz w:val="24"/>
                <w:szCs w:val="24"/>
                <w:highlight w:val="white"/>
              </w:rPr>
              <w:t>).</w:t>
            </w:r>
          </w:p>
          <w:p>
            <w:pPr>
              <w:pStyle w:val="Normal"/>
              <w:tabs>
                <w:tab w:val="clear" w:pos="708"/>
                <w:tab w:val="right" w:pos="6000" w:leader="none"/>
              </w:tabs>
              <w:spacing w:lineRule="auto" w:line="240" w:before="0" w:after="0"/>
              <w:ind w:firstLine="311"/>
              <w:jc w:val="both"/>
              <w:rPr>
                <w:rFonts w:ascii="Times New Roman" w:hAnsi="Times New Roman"/>
                <w:color w:val="auto"/>
                <w:sz w:val="24"/>
                <w:szCs w:val="24"/>
                <w:highlight w:val="white"/>
              </w:rPr>
            </w:pPr>
            <w:r>
              <w:rPr>
                <w:color w:val="auto"/>
                <w:sz w:val="24"/>
                <w:szCs w:val="24"/>
                <w:highlight w:val="white"/>
              </w:rPr>
            </w:r>
          </w:p>
          <w:p>
            <w:pPr>
              <w:pStyle w:val="Normal"/>
              <w:spacing w:lineRule="auto" w:line="240" w:before="0" w:after="0"/>
              <w:ind w:firstLine="283" w:left="0" w:right="0"/>
              <w:jc w:val="both"/>
              <w:rPr>
                <w:rFonts w:ascii="Times New Roman" w:hAnsi="Times New Roman"/>
                <w:color w:val="auto"/>
                <w:sz w:val="24"/>
                <w:szCs w:val="24"/>
                <w:highlight w:val="none"/>
              </w:rPr>
            </w:pPr>
            <w:r>
              <w:rPr>
                <w:color w:val="auto"/>
                <w:sz w:val="24"/>
                <w:szCs w:val="24"/>
              </w:rPr>
              <w:t>О наличии технической возможности для подключения сетей водоснабжения и водоотведения с предполагаемой величиной нагрузки 1,0 м3/сут. сообщается следующее.</w:t>
            </w:r>
          </w:p>
          <w:p>
            <w:pPr>
              <w:pStyle w:val="Normal"/>
              <w:spacing w:lineRule="auto" w:line="240" w:before="0" w:after="0"/>
              <w:ind w:firstLine="283" w:left="0" w:right="0"/>
              <w:jc w:val="both"/>
              <w:rPr>
                <w:rFonts w:ascii="Times New Roman" w:hAnsi="Times New Roman"/>
                <w:color w:val="auto"/>
                <w:sz w:val="26"/>
                <w14:ligatures w14:val="none"/>
              </w:rPr>
            </w:pPr>
            <w:r>
              <w:rPr>
                <w:color w:val="auto"/>
                <w:sz w:val="24"/>
                <w:szCs w:val="24"/>
              </w:rPr>
              <w:t xml:space="preserve">Для возможности подключения Объекта необходимо выполнить мероприятия по ликвидации технологических разрывов по сетям водопровода и канализации, то есть создание водопроводных и/или канализационных сетей </w:t>
              <w:br/>
              <w:t xml:space="preserve">и объектов на них от существующих сетей централизованной системы холодного водоснабжения и/или водоотведения (объектов такой системы) до точек подключения (технологического присоединения) объектов капитального строительства заявителя (п. 13 ст. 18 Федерального закона от 07.12.2011 г. № 416 - ФЗ «О водоснабжении и водоотведении», п. 85 Основ ценообразования в сфере водоснабжения </w:t>
              <w:br/>
              <w:t>и водоотведения, утвержденного постановлением Правительства РФ от 13.05.2013 г. N 406), а именно:</w:t>
            </w:r>
          </w:p>
          <w:p>
            <w:pPr>
              <w:pStyle w:val="Normal"/>
              <w:spacing w:lineRule="auto" w:line="240" w:before="0" w:after="0"/>
              <w:ind w:firstLine="283" w:left="0" w:right="0"/>
              <w:jc w:val="both"/>
              <w:rPr>
                <w:rFonts w:ascii="Times New Roman" w:hAnsi="Times New Roman"/>
                <w:color w:val="auto"/>
                <w:sz w:val="25"/>
                <w14:ligatures w14:val="none"/>
              </w:rPr>
            </w:pPr>
            <w:r>
              <w:rPr>
                <w:color w:val="auto"/>
                <w:sz w:val="24"/>
                <w:szCs w:val="24"/>
              </w:rPr>
              <w:t xml:space="preserve">1. Запроектировать и построить сеть водопровода </w:t>
              <w:br/>
              <w:t xml:space="preserve">от точки подключения Объекта до сети водопровода </w:t>
              <w:br/>
              <w:t>Д-300 мм по ул. Генерала Панфилова, ориентировочной протяженностью - 500,0 м.</w:t>
            </w:r>
          </w:p>
          <w:p>
            <w:pPr>
              <w:pStyle w:val="Normal"/>
              <w:spacing w:lineRule="auto" w:line="240" w:before="0" w:after="0"/>
              <w:ind w:firstLine="283" w:left="0" w:right="0"/>
              <w:jc w:val="both"/>
              <w:rPr>
                <w:rFonts w:ascii="Times New Roman" w:hAnsi="Times New Roman"/>
                <w:color w:val="auto"/>
                <w:sz w:val="24"/>
                <w:szCs w:val="24"/>
                <w14:ligatures w14:val="none"/>
              </w:rPr>
            </w:pPr>
            <w:r>
              <w:rPr>
                <w:color w:val="auto"/>
                <w:sz w:val="24"/>
                <w:szCs w:val="24"/>
              </w:rPr>
              <w:t xml:space="preserve">2. Запроектировать и построить сеть водоотведения </w:t>
              <w:br/>
              <w:t>от точки подключения стоков Объекта до сети канализации Д-200 мм по ул. Генерала Панфилова, ориентировочной протяженностью - 570,0 м</w:t>
            </w:r>
          </w:p>
          <w:p>
            <w:pPr>
              <w:pStyle w:val="Normal"/>
              <w:spacing w:lineRule="auto" w:line="240" w:before="0" w:after="0"/>
              <w:ind w:firstLine="283" w:left="0" w:right="0"/>
              <w:jc w:val="both"/>
              <w:rPr>
                <w:rFonts w:ascii="Times New Roman" w:hAnsi="Times New Roman"/>
                <w:color w:val="auto"/>
                <w:sz w:val="24"/>
                <w:szCs w:val="24"/>
                <w14:ligatures w14:val="none"/>
              </w:rPr>
            </w:pPr>
            <w:r>
              <w:rPr>
                <w:color w:val="auto"/>
                <w:sz w:val="24"/>
                <w:szCs w:val="24"/>
              </w:rPr>
              <w:t>Ввиду отсутствия данных о посадке проектируемого объекта, длины технологических разрывов до сетей водоснабжения и водоотведения указаны ориентировочно.</w:t>
            </w:r>
          </w:p>
          <w:p>
            <w:pPr>
              <w:pStyle w:val="Normal"/>
              <w:spacing w:lineRule="auto" w:line="240" w:before="0" w:after="0"/>
              <w:ind w:firstLine="283" w:left="0" w:right="0"/>
              <w:jc w:val="both"/>
              <w:rPr>
                <w:rFonts w:ascii="Times New Roman" w:hAnsi="Times New Roman"/>
                <w:color w:val="auto"/>
                <w:sz w:val="24"/>
                <w:szCs w:val="24"/>
                <w14:ligatures w14:val="none"/>
              </w:rPr>
            </w:pPr>
            <w:r>
              <w:rPr>
                <w:color w:val="auto"/>
                <w:sz w:val="24"/>
                <w:szCs w:val="24"/>
              </w:rPr>
              <w:t>В случае наличия в границах земельного участка существующих сетей водоснабжения и (или) водоотведения размещение объекта предусмотреть строго за пределами охранных зон сетей в соответствии норм CП.</w:t>
            </w:r>
          </w:p>
          <w:p>
            <w:pPr>
              <w:pStyle w:val="Normal"/>
              <w:spacing w:lineRule="auto" w:line="240" w:before="0" w:after="0"/>
              <w:ind w:firstLine="283" w:left="0" w:right="0"/>
              <w:jc w:val="both"/>
              <w:rPr>
                <w:rFonts w:ascii="Times New Roman" w:hAnsi="Times New Roman"/>
                <w:color w:val="auto"/>
                <w:sz w:val="24"/>
                <w:szCs w:val="24"/>
                <w14:ligatures w14:val="none"/>
              </w:rPr>
            </w:pPr>
            <w:r>
              <w:rPr>
                <w:color w:val="auto"/>
                <w:sz w:val="24"/>
                <w:szCs w:val="24"/>
              </w:rPr>
              <w:t xml:space="preserve">Ввиду отсутствия данных о посадке объекта </w:t>
              <w:br/>
              <w:t xml:space="preserve">и, соответственно, точных длин технологических разрывов до сетей водоснабжения и водоотведения, </w:t>
              <w:br/>
              <w:t xml:space="preserve">а так же информации о технических характеристиках </w:t>
              <w:br/>
              <w:t xml:space="preserve">и параметрах объекта, исходя из  которых  определяются  планируемые  расходы на  нужды наружного </w:t>
              <w:br/>
              <w:t>и внутреннего пожаротушения (класс функциональной пожарной опасности объекта, степень огнестойкости здания, класс конструктивной пожарной опасности, категория зданий и сооружений по взрывопожарной и пожарной опасности, этажность, строительный объем (мЗ) здания, количество пожарных кранов в проектируемом объекте и т.д.), ООО «НОВОГОР -Прикамье» не может определить точные объемы мероприятий для наличия технической возможности подключения объекта.</w:t>
            </w:r>
          </w:p>
          <w:p>
            <w:pPr>
              <w:pStyle w:val="Normal"/>
              <w:spacing w:lineRule="auto" w:line="240" w:before="0" w:after="0"/>
              <w:ind w:firstLine="283" w:left="0" w:right="0"/>
              <w:jc w:val="both"/>
              <w:rPr>
                <w:rFonts w:ascii="Times New Roman" w:hAnsi="Times New Roman"/>
                <w:color w:val="auto"/>
                <w:sz w:val="24"/>
                <w:szCs w:val="24"/>
                <w14:ligatures w14:val="none"/>
              </w:rPr>
            </w:pPr>
            <w:r>
              <w:rPr>
                <w:color w:val="auto"/>
                <w:sz w:val="24"/>
                <w:szCs w:val="24"/>
              </w:rPr>
              <w:t>Подключение земельного участка с кадастровым номером 59:01:1717003:142, площадью 940 кв. м., расположенного по адресу: Российская Федерация, Пермский край, городской округ Пермский, город Пермь, улица Нижнекамская, 24a, с видом разрешенного использования «для индивидуального жилищного строительства», к сетям водоснабжения и водоотведения будет возможно только после выполнения вышеуказанных мероприятий.</w:t>
            </w:r>
          </w:p>
          <w:p>
            <w:pPr>
              <w:pStyle w:val="Normal"/>
              <w:spacing w:lineRule="auto" w:line="240" w:before="0" w:after="0"/>
              <w:ind w:firstLine="283" w:left="0" w:right="0"/>
              <w:jc w:val="both"/>
              <w:rPr>
                <w:rFonts w:ascii="Times New Roman" w:hAnsi="Times New Roman"/>
                <w:color w:val="auto"/>
                <w:sz w:val="24"/>
                <w:szCs w:val="24"/>
                <w14:ligatures w14:val="none"/>
              </w:rPr>
            </w:pPr>
            <w:r>
              <w:rPr>
                <w:color w:val="auto"/>
                <w:sz w:val="24"/>
                <w:szCs w:val="24"/>
              </w:rPr>
              <w:t>Сведениями о наличии сетей 3-x лиц в границах вышеуказанного земельного участка ООО «НОВОГОР-Прикамье» не располагает.</w:t>
            </w:r>
          </w:p>
          <w:p>
            <w:pPr>
              <w:pStyle w:val="Normal"/>
              <w:spacing w:lineRule="auto" w:line="240" w:before="0" w:after="0"/>
              <w:ind w:firstLine="283" w:left="0" w:right="0"/>
              <w:jc w:val="both"/>
              <w:rPr>
                <w:rFonts w:ascii="Times New Roman" w:hAnsi="Times New Roman"/>
                <w:color w:val="auto"/>
                <w:sz w:val="24"/>
                <w:szCs w:val="24"/>
                <w:highlight w:val="none"/>
              </w:rPr>
            </w:pPr>
            <w:r>
              <w:rPr>
                <w:color w:val="auto"/>
                <w:sz w:val="24"/>
                <w:szCs w:val="24"/>
              </w:rPr>
              <w:t xml:space="preserve">В случае намерения строительства на данном земельном участке, Заявитель (правообладатель земельного участка), в соответствии с Постановлением Правительства РФ от 30.11.2021 N 2130 "Об утверждении Правил подключения (технологического присоединения) объектов капитального строительства </w:t>
              <w:br/>
              <w:t>к централизованным системам горячего водоснабжения, холодного водоснабжения и (или) водоотведения», должен получить технические условия на присоединение к сетям водопровода и канализации в ООО «НОВОГОР -Прикамье». При этом обязательства ООО «НОВОГОР - Прикамье» по обеспечению подключения объекта капитального строительства к сетям водопровода и канализации в соответствии с выданными Заявителю техническими условиями прекращаются в случае, если в течение 12 календарных месяцев (при комплексном развитии территории в течение 36 календарных месяцев) со дня выдачи технических условий, Заявителем не будет подано заявление о подключении. В случае заключения договора о подключении технические условия, являющиеся приложением к такому договору, действуют до окончания срока действия такого договора.</w:t>
            </w:r>
          </w:p>
          <w:p>
            <w:pPr>
              <w:pStyle w:val="Normal"/>
              <w:tabs>
                <w:tab w:val="clear" w:pos="708"/>
                <w:tab w:val="right" w:pos="6000" w:leader="none"/>
              </w:tabs>
              <w:spacing w:lineRule="auto" w:line="240" w:before="0" w:after="0"/>
              <w:ind w:firstLine="311"/>
              <w:jc w:val="both"/>
              <w:rPr/>
            </w:pPr>
            <w:r>
              <w:rPr>
                <w:sz w:val="24"/>
                <w:szCs w:val="24"/>
                <w:highlight w:val="white"/>
              </w:rPr>
              <w:t xml:space="preserve">(Аналогичная информация отражена в письме </w:t>
            </w:r>
            <w:r>
              <w:rPr>
                <w:b/>
                <w:color w:val="auto"/>
                <w:sz w:val="24"/>
                <w:szCs w:val="24"/>
                <w:highlight w:val="white"/>
              </w:rPr>
              <w:t xml:space="preserve">ООО «НОВОГОР - Прикамье» </w:t>
            </w:r>
            <w:r>
              <w:rPr>
                <w:color w:val="auto"/>
                <w:sz w:val="24"/>
                <w:szCs w:val="24"/>
                <w:highlight w:val="white"/>
              </w:rPr>
              <w:t>от 10.03.2026 № 110-3186</w:t>
            </w:r>
            <w:r>
              <w:rPr>
                <w:sz w:val="24"/>
                <w:szCs w:val="24"/>
                <w:highlight w:val="white"/>
              </w:rPr>
              <w:t>).</w:t>
            </w:r>
          </w:p>
          <w:p>
            <w:pPr>
              <w:pStyle w:val="Normal"/>
              <w:tabs>
                <w:tab w:val="clear" w:pos="708"/>
                <w:tab w:val="right" w:pos="6000" w:leader="none"/>
              </w:tabs>
              <w:spacing w:lineRule="auto" w:line="240" w:before="0" w:after="0"/>
              <w:ind w:firstLine="311"/>
              <w:jc w:val="both"/>
              <w:rPr>
                <w:rFonts w:ascii="Times New Roman" w:hAnsi="Times New Roman"/>
                <w:color w:val="auto"/>
                <w:sz w:val="24"/>
                <w:szCs w:val="24"/>
                <w:highlight w:val="white"/>
              </w:rPr>
            </w:pPr>
            <w:r>
              <w:rPr>
                <w:color w:val="auto"/>
                <w:sz w:val="24"/>
                <w:szCs w:val="24"/>
                <w:highlight w:val="white"/>
              </w:rPr>
            </w:r>
          </w:p>
          <w:p>
            <w:pPr>
              <w:pStyle w:val="Normal"/>
              <w:spacing w:lineRule="auto" w:line="240" w:before="0" w:after="0"/>
              <w:ind w:firstLine="283" w:left="0" w:right="0"/>
              <w:jc w:val="both"/>
              <w:rPr>
                <w:color w:val="auto"/>
              </w:rPr>
            </w:pPr>
            <w:r>
              <w:rPr>
                <w:b w:val="false"/>
                <w:bCs w:val="false"/>
                <w:color w:val="auto"/>
                <w:sz w:val="24"/>
                <w:szCs w:val="24"/>
              </w:rPr>
              <w:t>Технологическое присоединение к сетям связи ПАО «Ростелеком» может быть произведено к узлу ВОЛС (г. Пермь, ул. Генерала Панфилова, 8В), максимальную нагрузку в точке подключения (технологического присоединения) необходимо определить на стадии проектирования.</w:t>
            </w:r>
          </w:p>
          <w:p>
            <w:pPr>
              <w:pStyle w:val="Normal"/>
              <w:spacing w:lineRule="auto" w:line="240" w:before="0" w:after="0"/>
              <w:ind w:firstLine="283" w:left="0" w:right="0"/>
              <w:jc w:val="both"/>
              <w:rPr>
                <w:b w:val="false"/>
                <w:bCs w:val="false"/>
                <w:color w:val="auto"/>
              </w:rPr>
            </w:pPr>
            <w:r>
              <w:rPr>
                <w:b w:val="false"/>
                <w:bCs w:val="false"/>
                <w:color w:val="auto"/>
                <w:sz w:val="24"/>
                <w:szCs w:val="24"/>
              </w:rPr>
              <w:t xml:space="preserve">В границах Участка сетей связи ПАО «Ростелеком» </w:t>
              <w:br/>
              <w:t>и их охранных зон нет.</w:t>
            </w:r>
          </w:p>
          <w:p>
            <w:pPr>
              <w:pStyle w:val="Normal"/>
              <w:spacing w:lineRule="auto" w:line="240" w:before="0" w:after="0"/>
              <w:ind w:firstLine="283" w:left="0" w:right="0"/>
              <w:jc w:val="both"/>
              <w:rPr>
                <w:b w:val="false"/>
                <w:bCs w:val="false"/>
                <w:color w:val="auto"/>
              </w:rPr>
            </w:pPr>
            <w:r>
              <w:rPr>
                <w:b w:val="false"/>
                <w:bCs w:val="false"/>
                <w:sz w:val="24"/>
                <w:szCs w:val="24"/>
              </w:rPr>
              <w:t>Для получения технических условий на подключение</w:t>
              <w:br/>
              <w:t xml:space="preserve">к сетям связи необходимо направить запрос по адресу: </w:t>
              <w:br/>
              <w:t xml:space="preserve">г. Пермь, ул. Крупской, 2, тел.: (342) 235-57-34 или на </w:t>
            </w:r>
            <w:hyperlink r:id="rId20">
              <w:r>
                <w:rPr>
                  <w:rStyle w:val="Hyperlink"/>
                  <w:b w:val="false"/>
                  <w:bCs w:val="false"/>
                  <w:color w:val="auto"/>
                  <w:sz w:val="24"/>
                  <w:szCs w:val="24"/>
                </w:rPr>
                <w:t>perm-mail@ural.rt.ru</w:t>
              </w:r>
            </w:hyperlink>
            <w:r>
              <w:rPr>
                <w:b w:val="false"/>
                <w:bCs w:val="false"/>
                <w:sz w:val="24"/>
                <w:szCs w:val="24"/>
              </w:rPr>
              <w:t>.</w:t>
            </w:r>
          </w:p>
          <w:p>
            <w:pPr>
              <w:pStyle w:val="Normal"/>
              <w:tabs>
                <w:tab w:val="clear" w:pos="708"/>
                <w:tab w:val="right" w:pos="6000" w:leader="none"/>
              </w:tabs>
              <w:spacing w:lineRule="auto" w:line="240" w:before="0" w:after="0"/>
              <w:ind w:firstLine="311"/>
              <w:jc w:val="both"/>
              <w:rPr/>
            </w:pPr>
            <w:r>
              <w:rPr>
                <w:sz w:val="24"/>
                <w:szCs w:val="24"/>
                <w:highlight w:val="white"/>
              </w:rPr>
              <w:t xml:space="preserve">(Аналогичная информация отражена в письме </w:t>
            </w:r>
            <w:r>
              <w:rPr>
                <w:b/>
                <w:bCs/>
                <w:color w:val="auto"/>
                <w:sz w:val="24"/>
                <w:szCs w:val="24"/>
              </w:rPr>
              <w:t xml:space="preserve">ПАО «Ростелеком» </w:t>
            </w:r>
            <w:r>
              <w:rPr>
                <w:b w:val="false"/>
                <w:bCs w:val="false"/>
                <w:color w:val="auto"/>
                <w:sz w:val="24"/>
                <w:szCs w:val="24"/>
              </w:rPr>
              <w:t>от 11.03.2026 № 01/05/35349/26</w:t>
            </w:r>
            <w:r>
              <w:rPr>
                <w:sz w:val="24"/>
                <w:szCs w:val="24"/>
                <w:highlight w:val="white"/>
              </w:rPr>
              <w:t>).</w:t>
            </w:r>
          </w:p>
          <w:p>
            <w:pPr>
              <w:pStyle w:val="Normal"/>
              <w:tabs>
                <w:tab w:val="clear" w:pos="708"/>
                <w:tab w:val="right" w:pos="6000" w:leader="none"/>
              </w:tabs>
              <w:spacing w:lineRule="auto" w:line="240" w:before="0" w:after="0"/>
              <w:ind w:firstLine="311"/>
              <w:jc w:val="both"/>
              <w:rPr>
                <w:rFonts w:ascii="Times New Roman" w:hAnsi="Times New Roman"/>
                <w:b w:val="false"/>
                <w:bCs w:val="false"/>
                <w:sz w:val="24"/>
                <w:szCs w:val="24"/>
                <w:highlight w:val="white"/>
              </w:rPr>
            </w:pPr>
            <w:r>
              <w:rPr>
                <w:b w:val="false"/>
                <w:bCs w:val="false"/>
                <w:sz w:val="24"/>
                <w:szCs w:val="24"/>
                <w:highlight w:val="white"/>
              </w:rPr>
            </w:r>
          </w:p>
        </w:tc>
      </w:tr>
      <w:tr>
        <w:trPr>
          <w:trHeight w:val="225" w:hRule="atLeast"/>
        </w:trPr>
        <w:tc>
          <w:tcPr>
            <w:tcW w:w="567"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3</w:t>
            </w:r>
          </w:p>
        </w:tc>
        <w:tc>
          <w:tcPr>
            <w:tcW w:w="3054" w:type="dxa"/>
            <w:tcBorders>
              <w:top w:val="single" w:sz="4" w:space="0" w:color="000000"/>
              <w:left w:val="single" w:sz="4" w:space="0" w:color="000000"/>
              <w:bottom w:val="single" w:sz="4" w:space="0" w:color="000000"/>
              <w:right w:val="single" w:sz="4" w:space="0" w:color="000000"/>
            </w:tcBorders>
          </w:tcPr>
          <w:p>
            <w:pPr>
              <w:pStyle w:val="Normal"/>
              <w:ind w:right="0"/>
              <w:rPr>
                <w:sz w:val="24"/>
                <w:szCs w:val="24"/>
              </w:rPr>
            </w:pPr>
            <w:r>
              <w:rPr>
                <w:sz w:val="24"/>
                <w:szCs w:val="24"/>
              </w:rPr>
              <w:t>Начальная цена предмета аукциона</w:t>
            </w:r>
          </w:p>
          <w:p>
            <w:pPr>
              <w:pStyle w:val="Normal"/>
              <w:ind w:right="0"/>
              <w:rPr>
                <w:sz w:val="24"/>
                <w:szCs w:val="24"/>
              </w:rPr>
            </w:pPr>
            <w:r>
              <w:rPr>
                <w:b/>
                <w:sz w:val="24"/>
                <w:szCs w:val="24"/>
              </w:rPr>
              <w:t>(размер ежегодной арендной платы)</w:t>
            </w:r>
          </w:p>
          <w:p>
            <w:pPr>
              <w:pStyle w:val="Normal"/>
              <w:ind w:right="0"/>
              <w:rPr>
                <w:sz w:val="24"/>
                <w:szCs w:val="24"/>
              </w:rPr>
            </w:pPr>
            <w:r>
              <w:rPr>
                <w:sz w:val="24"/>
                <w:szCs w:val="24"/>
              </w:rPr>
            </w:r>
          </w:p>
          <w:p>
            <w:pPr>
              <w:pStyle w:val="Normal"/>
              <w:ind w:right="0"/>
              <w:rPr/>
            </w:pPr>
            <w:r>
              <w:rPr>
                <w:b w:val="false"/>
                <w:bCs w:val="false"/>
                <w:sz w:val="24"/>
                <w:szCs w:val="24"/>
                <w:shd w:fill="auto" w:val="clear"/>
              </w:rPr>
              <w:t>По условиям пункта 4.3 проекта договора аренды земельного участка, приобретаемого на торгах в форме аукциона, для строительства (Приложение 5</w:t>
              <w:br/>
              <w:t xml:space="preserve">к настоящему извещению), победитель аукциона, иное лицо, с которым договор заключается </w:t>
              <w:br/>
              <w:t xml:space="preserve">в соответствии с п.13, п.14, п. 20 или п. 25  ст. 39.12 Земельного Кодекса Российской Федерации (далее – ЗК РФ), обязан </w:t>
              <w:br/>
              <w:t xml:space="preserve">до подписания договора уплатить ежегодный размер арендной платы, указанный в п. 4.2 договора (за вычетом задатка, внесенного для участия в аукционе) </w:t>
              <w:br/>
            </w:r>
            <w:r>
              <w:rPr>
                <w:b/>
                <w:bCs/>
                <w:sz w:val="24"/>
                <w:szCs w:val="24"/>
                <w:shd w:fill="auto" w:val="clear"/>
              </w:rPr>
              <w:t xml:space="preserve">за 1 год </w:t>
            </w:r>
            <w:r>
              <w:rPr>
                <w:b w:val="false"/>
                <w:bCs w:val="false"/>
                <w:sz w:val="24"/>
                <w:szCs w:val="24"/>
                <w:shd w:fill="auto" w:val="clear"/>
              </w:rPr>
              <w:t xml:space="preserve">на счет департамента земельных отношений администрации города Перми, 614000, </w:t>
              <w:br/>
              <w:t xml:space="preserve">ул. Сибирская,15, </w:t>
              <w:br/>
              <w:t xml:space="preserve">тел. 212-61-90 (отдел договоров), реквизиты которого указаны </w:t>
              <w:br/>
              <w:t>в проекте договора аренды земельного участка (Приложение 5</w:t>
              <w:br/>
              <w:t>к настоящему извещению)</w:t>
            </w:r>
          </w:p>
        </w:tc>
        <w:tc>
          <w:tcPr>
            <w:tcW w:w="6864"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rFonts w:eastAsia="Times New Roman" w:cs="Times New Roman"/>
                <w:color w:val="000000"/>
                <w:kern w:val="0"/>
                <w:sz w:val="24"/>
                <w:szCs w:val="24"/>
                <w:shd w:fill="auto" w:val="clear"/>
                <w:lang w:val="ru-RU" w:eastAsia="ru-RU" w:bidi="ar-SA"/>
              </w:rPr>
              <w:t xml:space="preserve">161 700 </w:t>
            </w:r>
            <w:r>
              <w:rPr>
                <w:sz w:val="24"/>
                <w:szCs w:val="24"/>
              </w:rPr>
              <w:t>руб.</w:t>
            </w:r>
          </w:p>
        </w:tc>
      </w:tr>
      <w:tr>
        <w:trPr>
          <w:trHeight w:val="225" w:hRule="atLeast"/>
        </w:trPr>
        <w:tc>
          <w:tcPr>
            <w:tcW w:w="567"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4</w:t>
            </w:r>
          </w:p>
        </w:tc>
        <w:tc>
          <w:tcPr>
            <w:tcW w:w="3054" w:type="dxa"/>
            <w:tcBorders>
              <w:top w:val="single" w:sz="4" w:space="0" w:color="000000"/>
              <w:left w:val="single" w:sz="4" w:space="0" w:color="000000"/>
              <w:bottom w:val="single" w:sz="4" w:space="0" w:color="000000"/>
              <w:right w:val="single" w:sz="4" w:space="0" w:color="000000"/>
            </w:tcBorders>
          </w:tcPr>
          <w:p>
            <w:pPr>
              <w:pStyle w:val="Normal"/>
              <w:ind w:right="23"/>
              <w:rPr>
                <w:sz w:val="24"/>
                <w:szCs w:val="24"/>
              </w:rPr>
            </w:pPr>
            <w:r>
              <w:rPr>
                <w:sz w:val="24"/>
                <w:szCs w:val="24"/>
              </w:rPr>
              <w:t xml:space="preserve">«Шаг аукциона» (5% от начальной цены </w:t>
            </w:r>
            <w:r>
              <w:rPr>
                <w:sz w:val="24"/>
                <w:szCs w:val="24"/>
                <w:shd w:fill="auto" w:val="clear"/>
              </w:rPr>
              <w:t>предмета аукциона)</w:t>
            </w:r>
          </w:p>
        </w:tc>
        <w:tc>
          <w:tcPr>
            <w:tcW w:w="6864"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rFonts w:eastAsia="Times New Roman" w:cs="Times New Roman"/>
                <w:color w:val="000000"/>
                <w:kern w:val="0"/>
                <w:sz w:val="24"/>
                <w:szCs w:val="24"/>
                <w:shd w:fill="auto" w:val="clear"/>
                <w:lang w:val="ru-RU" w:eastAsia="ru-RU" w:bidi="ar-SA"/>
              </w:rPr>
              <w:t>8 085</w:t>
            </w:r>
            <w:r>
              <w:rPr>
                <w:sz w:val="24"/>
                <w:szCs w:val="24"/>
              </w:rPr>
              <w:t xml:space="preserve"> руб.</w:t>
            </w:r>
          </w:p>
        </w:tc>
      </w:tr>
      <w:tr>
        <w:trPr>
          <w:trHeight w:val="416" w:hRule="atLeast"/>
        </w:trPr>
        <w:tc>
          <w:tcPr>
            <w:tcW w:w="567"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5</w:t>
            </w:r>
          </w:p>
        </w:tc>
        <w:tc>
          <w:tcPr>
            <w:tcW w:w="3054"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ind w:hanging="0" w:left="113" w:right="113"/>
              <w:jc w:val="left"/>
              <w:rPr>
                <w:sz w:val="24"/>
                <w:szCs w:val="24"/>
              </w:rPr>
            </w:pPr>
            <w:r>
              <w:rPr>
                <w:sz w:val="24"/>
                <w:szCs w:val="24"/>
              </w:rPr>
              <w:t>Форма заявки на участие в аукционе</w:t>
            </w:r>
          </w:p>
          <w:p>
            <w:pPr>
              <w:pStyle w:val="Normal"/>
              <w:ind w:right="-263"/>
              <w:rPr>
                <w:sz w:val="24"/>
                <w:szCs w:val="24"/>
              </w:rPr>
            </w:pPr>
            <w:r>
              <w:rPr>
                <w:sz w:val="24"/>
                <w:szCs w:val="24"/>
              </w:rPr>
            </w:r>
          </w:p>
        </w:tc>
        <w:tc>
          <w:tcPr>
            <w:tcW w:w="6864" w:type="dxa"/>
            <w:tcBorders>
              <w:top w:val="single" w:sz="4" w:space="0" w:color="000000"/>
              <w:left w:val="single" w:sz="4" w:space="0" w:color="000000"/>
              <w:bottom w:val="single" w:sz="4" w:space="0" w:color="000000"/>
              <w:right w:val="single" w:sz="4" w:space="0" w:color="000000"/>
            </w:tcBorders>
          </w:tcPr>
          <w:p>
            <w:pPr>
              <w:pStyle w:val="Normal"/>
              <w:jc w:val="both"/>
              <w:rPr>
                <w:rFonts w:ascii="Times New Roman" w:hAnsi="Times New Roman" w:eastAsia="Droid Sans Fallback" w:cs="Lohit Devanagari"/>
                <w:color w:val="auto"/>
                <w:sz w:val="24"/>
                <w:szCs w:val="24"/>
                <w:lang w:val="ru-RU" w:eastAsia="zh-CN" w:bidi="ar-SA"/>
              </w:rPr>
            </w:pPr>
            <w:r>
              <w:rPr>
                <w:rFonts w:eastAsia="Droid Sans Fallback" w:cs="Lohit Devanagari"/>
                <w:color w:val="auto"/>
                <w:sz w:val="24"/>
                <w:szCs w:val="24"/>
                <w:lang w:val="ru-RU" w:eastAsia="zh-CN" w:bidi="ar-SA"/>
              </w:rPr>
              <w:t xml:space="preserve">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 указанных в подпунктах 2-4 пункта 1, пункте 1.1 статьи 39.12 Земельного кодекса Российской Федерации (копии документов, удостоверяющих личность заявителя (для граждан); надлежащим образом заверенный перевод на русский язык документов </w:t>
              <w:br/>
              <w:t xml:space="preserve">о государственной регистрации юридического лица </w:t>
              <w:br/>
              <w:t xml:space="preserve">в соответствии с законодательством иностранного государства </w:t>
              <w:br/>
              <w:t>в случае, если заявителем является иностранное юридическое лицо; документы, подтверждающие внесение задатка). Заявка на участие в электронном аукционе, а также прилагаемые к ней документы подписываются усиленной квалифицированной электронной подписью заявителя.</w:t>
            </w:r>
          </w:p>
          <w:p>
            <w:pPr>
              <w:pStyle w:val="Normal"/>
              <w:jc w:val="both"/>
              <w:rPr>
                <w:sz w:val="24"/>
                <w:szCs w:val="24"/>
              </w:rPr>
            </w:pPr>
            <w:r>
              <w:rPr>
                <w:sz w:val="24"/>
                <w:szCs w:val="24"/>
              </w:rPr>
            </w:r>
          </w:p>
          <w:p>
            <w:pPr>
              <w:pStyle w:val="Normal"/>
              <w:jc w:val="both"/>
              <w:rPr>
                <w:sz w:val="24"/>
                <w:szCs w:val="24"/>
              </w:rPr>
            </w:pPr>
            <w:r>
              <w:rPr>
                <w:sz w:val="24"/>
                <w:szCs w:val="24"/>
              </w:rPr>
              <w:t>На каждый лот представляется отдельный пакет документов.</w:t>
            </w:r>
          </w:p>
          <w:p>
            <w:pPr>
              <w:pStyle w:val="Normal"/>
              <w:jc w:val="both"/>
              <w:rPr>
                <w:sz w:val="24"/>
                <w:szCs w:val="24"/>
              </w:rPr>
            </w:pPr>
            <w:r>
              <w:rPr>
                <w:sz w:val="24"/>
                <w:szCs w:val="24"/>
              </w:rPr>
            </w:r>
          </w:p>
          <w:p>
            <w:pPr>
              <w:pStyle w:val="Normal"/>
              <w:jc w:val="both"/>
              <w:rPr>
                <w:b/>
                <w:sz w:val="24"/>
                <w:szCs w:val="24"/>
              </w:rPr>
            </w:pPr>
            <w:r>
              <w:rPr>
                <w:b/>
                <w:bCs/>
                <w:color w:val="000000"/>
                <w:sz w:val="24"/>
                <w:szCs w:val="24"/>
                <w:shd w:fill="auto" w:val="clear"/>
              </w:rPr>
              <w:t>Решение о проведении аукциона принято в соответствии со статьей 39.18 Земельного кодекса Российской Федерации, участниками аукциона могут являться только граждане.</w:t>
            </w:r>
          </w:p>
          <w:p>
            <w:pPr>
              <w:pStyle w:val="BodyText"/>
              <w:jc w:val="both"/>
              <w:rPr>
                <w:highlight w:val="none"/>
                <w:shd w:fill="auto" w:val="clear"/>
              </w:rPr>
            </w:pPr>
            <w:r>
              <w:rPr>
                <w:shd w:fill="auto" w:val="clear"/>
              </w:rPr>
            </w:r>
          </w:p>
        </w:tc>
      </w:tr>
      <w:tr>
        <w:trPr>
          <w:trHeight w:val="236" w:hRule="atLeast"/>
        </w:trPr>
        <w:tc>
          <w:tcPr>
            <w:tcW w:w="567"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6</w:t>
            </w:r>
          </w:p>
        </w:tc>
        <w:tc>
          <w:tcPr>
            <w:tcW w:w="3054" w:type="dxa"/>
            <w:tcBorders>
              <w:top w:val="single" w:sz="4" w:space="0" w:color="000000"/>
              <w:left w:val="single" w:sz="4" w:space="0" w:color="000000"/>
              <w:bottom w:val="single" w:sz="4" w:space="0" w:color="000000"/>
              <w:right w:val="single" w:sz="4" w:space="0" w:color="000000"/>
            </w:tcBorders>
          </w:tcPr>
          <w:p>
            <w:pPr>
              <w:pStyle w:val="Normal"/>
              <w:ind w:right="23"/>
              <w:rPr>
                <w:sz w:val="24"/>
                <w:szCs w:val="24"/>
              </w:rPr>
            </w:pPr>
            <w:r>
              <w:rPr>
                <w:sz w:val="24"/>
                <w:szCs w:val="24"/>
              </w:rPr>
              <w:t xml:space="preserve">Размер задатка (50% от начальной цены </w:t>
            </w:r>
            <w:r>
              <w:rPr>
                <w:sz w:val="24"/>
                <w:szCs w:val="24"/>
                <w:shd w:fill="auto" w:val="clear"/>
              </w:rPr>
              <w:t>предмета аукциона)</w:t>
            </w:r>
          </w:p>
          <w:p>
            <w:pPr>
              <w:pStyle w:val="Normal"/>
              <w:ind w:right="-263"/>
              <w:rPr>
                <w:sz w:val="24"/>
                <w:szCs w:val="24"/>
              </w:rPr>
            </w:pPr>
            <w:r>
              <w:rPr>
                <w:sz w:val="24"/>
                <w:szCs w:val="24"/>
              </w:rPr>
            </w:r>
          </w:p>
        </w:tc>
        <w:tc>
          <w:tcPr>
            <w:tcW w:w="6864"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rFonts w:eastAsia="Times New Roman" w:cs="Times New Roman"/>
                <w:color w:val="000000"/>
                <w:kern w:val="0"/>
                <w:sz w:val="24"/>
                <w:szCs w:val="24"/>
                <w:shd w:fill="auto" w:val="clear"/>
                <w:lang w:val="ru-RU" w:eastAsia="ru-RU" w:bidi="ar-SA"/>
              </w:rPr>
              <w:t>80 850</w:t>
            </w:r>
            <w:r>
              <w:rPr>
                <w:sz w:val="24"/>
                <w:szCs w:val="24"/>
              </w:rPr>
              <w:t xml:space="preserve"> руб.</w:t>
            </w:r>
          </w:p>
          <w:p>
            <w:pPr>
              <w:pStyle w:val="Normal"/>
              <w:jc w:val="both"/>
              <w:rPr>
                <w:sz w:val="24"/>
                <w:szCs w:val="24"/>
              </w:rPr>
            </w:pPr>
            <w:r>
              <w:rPr>
                <w:sz w:val="24"/>
                <w:szCs w:val="24"/>
              </w:rPr>
            </w:r>
          </w:p>
        </w:tc>
      </w:tr>
      <w:tr>
        <w:trPr>
          <w:trHeight w:val="236" w:hRule="atLeast"/>
        </w:trPr>
        <w:tc>
          <w:tcPr>
            <w:tcW w:w="567" w:type="dxa"/>
            <w:tcBorders>
              <w:left w:val="single" w:sz="4" w:space="0" w:color="000000"/>
              <w:bottom w:val="single" w:sz="4" w:space="0" w:color="000000"/>
              <w:right w:val="single" w:sz="4" w:space="0" w:color="000000"/>
            </w:tcBorders>
          </w:tcPr>
          <w:p>
            <w:pPr>
              <w:pStyle w:val="Normal"/>
              <w:jc w:val="center"/>
              <w:rPr>
                <w:sz w:val="24"/>
                <w:szCs w:val="24"/>
              </w:rPr>
            </w:pPr>
            <w:r>
              <w:rPr>
                <w:sz w:val="24"/>
                <w:szCs w:val="24"/>
              </w:rPr>
              <w:t>7</w:t>
            </w:r>
          </w:p>
        </w:tc>
        <w:tc>
          <w:tcPr>
            <w:tcW w:w="3054" w:type="dxa"/>
            <w:tcBorders>
              <w:left w:val="single" w:sz="4" w:space="0" w:color="000000"/>
              <w:bottom w:val="single" w:sz="4" w:space="0" w:color="000000"/>
              <w:right w:val="single" w:sz="4" w:space="0" w:color="000000"/>
            </w:tcBorders>
          </w:tcPr>
          <w:p>
            <w:pPr>
              <w:pStyle w:val="Normal"/>
              <w:ind w:right="0"/>
              <w:rPr>
                <w:sz w:val="24"/>
                <w:szCs w:val="24"/>
              </w:rPr>
            </w:pPr>
            <w:r>
              <w:rPr>
                <w:sz w:val="24"/>
                <w:szCs w:val="24"/>
              </w:rPr>
              <w:t>Срок аренды земельного участка</w:t>
            </w:r>
          </w:p>
          <w:p>
            <w:pPr>
              <w:pStyle w:val="Normal"/>
              <w:ind w:right="0"/>
              <w:rPr>
                <w:sz w:val="24"/>
                <w:szCs w:val="24"/>
              </w:rPr>
            </w:pPr>
            <w:r>
              <w:rPr>
                <w:sz w:val="24"/>
                <w:szCs w:val="24"/>
              </w:rPr>
            </w:r>
          </w:p>
        </w:tc>
        <w:tc>
          <w:tcPr>
            <w:tcW w:w="6864" w:type="dxa"/>
            <w:tcBorders>
              <w:left w:val="single" w:sz="4" w:space="0" w:color="000000"/>
              <w:bottom w:val="single" w:sz="4" w:space="0" w:color="000000"/>
              <w:right w:val="single" w:sz="4" w:space="0" w:color="000000"/>
            </w:tcBorders>
          </w:tcPr>
          <w:p>
            <w:pPr>
              <w:pStyle w:val="Normal"/>
              <w:jc w:val="both"/>
              <w:rPr>
                <w:sz w:val="24"/>
                <w:szCs w:val="24"/>
              </w:rPr>
            </w:pPr>
            <w:r>
              <w:rPr>
                <w:sz w:val="24"/>
                <w:szCs w:val="24"/>
              </w:rPr>
              <w:t>20 лет</w:t>
            </w:r>
          </w:p>
        </w:tc>
      </w:tr>
      <w:tr>
        <w:trPr>
          <w:trHeight w:val="236" w:hRule="atLeast"/>
        </w:trPr>
        <w:tc>
          <w:tcPr>
            <w:tcW w:w="567" w:type="dxa"/>
            <w:tcBorders>
              <w:left w:val="single" w:sz="4" w:space="0" w:color="000000"/>
              <w:bottom w:val="single" w:sz="4" w:space="0" w:color="000000"/>
              <w:right w:val="single" w:sz="4" w:space="0" w:color="000000"/>
            </w:tcBorders>
          </w:tcPr>
          <w:p>
            <w:pPr>
              <w:pStyle w:val="Normal"/>
              <w:jc w:val="center"/>
              <w:rPr>
                <w:sz w:val="24"/>
                <w:szCs w:val="24"/>
              </w:rPr>
            </w:pPr>
            <w:r>
              <w:rPr>
                <w:sz w:val="24"/>
                <w:szCs w:val="24"/>
              </w:rPr>
              <w:t>8</w:t>
            </w:r>
          </w:p>
        </w:tc>
        <w:tc>
          <w:tcPr>
            <w:tcW w:w="3054" w:type="dxa"/>
            <w:tcBorders>
              <w:left w:val="single" w:sz="4" w:space="0" w:color="000000"/>
              <w:bottom w:val="single" w:sz="4" w:space="0" w:color="000000"/>
              <w:right w:val="single" w:sz="4" w:space="0" w:color="000000"/>
            </w:tcBorders>
          </w:tcPr>
          <w:p>
            <w:pPr>
              <w:pStyle w:val="Normal"/>
              <w:widowControl/>
              <w:spacing w:before="0" w:after="0"/>
              <w:ind w:hanging="0" w:left="113" w:right="113"/>
              <w:jc w:val="left"/>
              <w:rPr/>
            </w:pPr>
            <w:r>
              <w:rPr>
                <w:shd w:fill="auto" w:val="clear"/>
              </w:rPr>
              <w:t xml:space="preserve">Дата </w:t>
            </w:r>
            <w:r>
              <w:rPr>
                <w:b w:val="false"/>
                <w:shd w:fill="auto" w:val="clear"/>
              </w:rPr>
              <w:t xml:space="preserve">размещения извещения в соответствии с пп. 1 п. 1 ст. 39.18 Земельного кодекса Российской Федерации на  </w:t>
            </w:r>
            <w:r>
              <w:rPr>
                <w:b w:val="false"/>
                <w:shd w:fill="auto" w:val="clear"/>
                <w:lang w:val="en-US" w:eastAsia="en-US"/>
              </w:rPr>
              <w:t>сайтах www.torgi.gov.ru, www.gorodperm.ru</w:t>
            </w:r>
          </w:p>
        </w:tc>
        <w:tc>
          <w:tcPr>
            <w:tcW w:w="6864" w:type="dxa"/>
            <w:tcBorders>
              <w:left w:val="single" w:sz="4" w:space="0" w:color="000000"/>
              <w:bottom w:val="single" w:sz="4" w:space="0" w:color="000000"/>
              <w:right w:val="single" w:sz="4" w:space="0" w:color="000000"/>
            </w:tcBorders>
          </w:tcPr>
          <w:p>
            <w:pPr>
              <w:pStyle w:val="Normal"/>
              <w:jc w:val="both"/>
              <w:rPr>
                <w:sz w:val="24"/>
                <w:szCs w:val="24"/>
              </w:rPr>
            </w:pPr>
            <w:r>
              <w:rPr>
                <w:sz w:val="24"/>
                <w:szCs w:val="24"/>
              </w:rPr>
              <w:t>21.11.2025</w:t>
            </w:r>
          </w:p>
        </w:tc>
      </w:tr>
      <w:tr>
        <w:trPr>
          <w:trHeight w:val="1884" w:hRule="atLeast"/>
        </w:trPr>
        <w:tc>
          <w:tcPr>
            <w:tcW w:w="567"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9</w:t>
            </w:r>
          </w:p>
        </w:tc>
        <w:tc>
          <w:tcPr>
            <w:tcW w:w="3054" w:type="dxa"/>
            <w:tcBorders>
              <w:top w:val="single" w:sz="4" w:space="0" w:color="000000"/>
              <w:left w:val="single" w:sz="4" w:space="0" w:color="000000"/>
              <w:bottom w:val="single" w:sz="4" w:space="0" w:color="000000"/>
              <w:right w:val="single" w:sz="4" w:space="0" w:color="000000"/>
            </w:tcBorders>
          </w:tcPr>
          <w:p>
            <w:pPr>
              <w:pStyle w:val="Normal"/>
              <w:ind w:right="-263"/>
              <w:rPr>
                <w:sz w:val="24"/>
                <w:szCs w:val="24"/>
              </w:rPr>
            </w:pPr>
            <w:r>
              <w:rPr>
                <w:sz w:val="24"/>
                <w:szCs w:val="24"/>
              </w:rPr>
              <w:t>Проект договора аренды земельного участка</w:t>
            </w:r>
          </w:p>
        </w:tc>
        <w:tc>
          <w:tcPr>
            <w:tcW w:w="6864"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 xml:space="preserve">Проект договора аренды земельного участка, приобретаемого на торгах в форме аукциона, для строительства, является Приложением 5 к настоящему извещению и размещен на сайтах </w:t>
            </w:r>
            <w:r>
              <w:rPr>
                <w:sz w:val="24"/>
                <w:szCs w:val="24"/>
                <w:lang w:val="en-US"/>
              </w:rPr>
              <w:t>www</w:t>
            </w:r>
            <w:r>
              <w:rPr>
                <w:sz w:val="24"/>
                <w:szCs w:val="24"/>
              </w:rPr>
              <w:t>.</w:t>
            </w:r>
            <w:r>
              <w:rPr>
                <w:sz w:val="24"/>
                <w:szCs w:val="24"/>
                <w:lang w:val="en-US"/>
              </w:rPr>
              <w:t>torgi</w:t>
            </w:r>
            <w:r>
              <w:rPr>
                <w:sz w:val="24"/>
                <w:szCs w:val="24"/>
              </w:rPr>
              <w:t>.</w:t>
            </w:r>
            <w:r>
              <w:rPr>
                <w:sz w:val="24"/>
                <w:szCs w:val="24"/>
                <w:lang w:val="en-US"/>
              </w:rPr>
              <w:t>gov</w:t>
            </w:r>
            <w:r>
              <w:rPr>
                <w:sz w:val="24"/>
                <w:szCs w:val="24"/>
              </w:rPr>
              <w:t>.</w:t>
            </w:r>
            <w:r>
              <w:rPr>
                <w:sz w:val="24"/>
                <w:szCs w:val="24"/>
                <w:lang w:val="en-US"/>
              </w:rPr>
              <w:t>ru</w:t>
            </w:r>
            <w:r>
              <w:rPr>
                <w:sz w:val="24"/>
                <w:szCs w:val="24"/>
              </w:rPr>
              <w:t xml:space="preserve">, </w:t>
            </w:r>
            <w:r>
              <w:rPr>
                <w:sz w:val="24"/>
                <w:szCs w:val="24"/>
                <w:lang w:val="en-US"/>
              </w:rPr>
              <w:t>www</w:t>
            </w:r>
            <w:r>
              <w:rPr>
                <w:sz w:val="24"/>
                <w:szCs w:val="24"/>
              </w:rPr>
              <w:t>.</w:t>
            </w:r>
            <w:r>
              <w:rPr>
                <w:sz w:val="24"/>
                <w:szCs w:val="24"/>
                <w:lang w:val="en-US"/>
              </w:rPr>
              <w:t>gorodperm</w:t>
            </w:r>
            <w:r>
              <w:rPr>
                <w:sz w:val="24"/>
                <w:szCs w:val="24"/>
              </w:rPr>
              <w:t>.</w:t>
            </w:r>
            <w:r>
              <w:rPr>
                <w:sz w:val="24"/>
                <w:szCs w:val="24"/>
                <w:lang w:val="en-US"/>
              </w:rPr>
              <w:t>ru</w:t>
            </w:r>
            <w:r>
              <w:rPr>
                <w:sz w:val="24"/>
                <w:szCs w:val="24"/>
              </w:rPr>
              <w:t xml:space="preserve"> (раздел Деятельность/ муниципальная собственность/ Торговая площадка/Вид торгов Продажа и аренда земельных участков).</w:t>
            </w:r>
          </w:p>
        </w:tc>
      </w:tr>
      <w:tr>
        <w:trPr>
          <w:trHeight w:val="144" w:hRule="atLeast"/>
        </w:trPr>
        <w:tc>
          <w:tcPr>
            <w:tcW w:w="567"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10</w:t>
            </w:r>
          </w:p>
        </w:tc>
        <w:tc>
          <w:tcPr>
            <w:tcW w:w="3054" w:type="dxa"/>
            <w:tcBorders>
              <w:top w:val="single" w:sz="4" w:space="0" w:color="000000"/>
              <w:left w:val="single" w:sz="4" w:space="0" w:color="000000"/>
              <w:bottom w:val="single" w:sz="4" w:space="0" w:color="000000"/>
              <w:right w:val="single" w:sz="4" w:space="0" w:color="000000"/>
            </w:tcBorders>
          </w:tcPr>
          <w:p>
            <w:pPr>
              <w:pStyle w:val="Normal"/>
              <w:ind w:hanging="0" w:left="0" w:right="-42"/>
              <w:rPr>
                <w:sz w:val="24"/>
                <w:szCs w:val="24"/>
              </w:rPr>
            </w:pPr>
            <w:r>
              <w:rPr>
                <w:sz w:val="24"/>
                <w:szCs w:val="24"/>
              </w:rPr>
              <w:t xml:space="preserve">Порядок осмотра земельного участка </w:t>
              <w:br/>
              <w:t>на местности</w:t>
            </w:r>
          </w:p>
        </w:tc>
        <w:tc>
          <w:tcPr>
            <w:tcW w:w="6864"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 xml:space="preserve">Осмотр земельного участка производится заявителем </w:t>
              <w:br/>
              <w:t>самостоятельно в любое время с даты опубликования настоящего извещения.</w:t>
            </w:r>
          </w:p>
        </w:tc>
      </w:tr>
    </w:tbl>
    <w:p>
      <w:pPr>
        <w:pStyle w:val="Normal"/>
        <w:spacing w:lineRule="exact" w:line="240"/>
        <w:ind w:hanging="0" w:left="1134"/>
        <w:jc w:val="left"/>
        <w:rPr>
          <w:rFonts w:ascii="Times New Roman" w:hAnsi="Times New Roman" w:cs="Times New Roman"/>
        </w:rPr>
      </w:pPr>
      <w:r>
        <w:rPr>
          <w:rFonts w:cs="Times New Roman"/>
        </w:rPr>
      </w:r>
    </w:p>
    <w:p>
      <w:pPr>
        <w:pStyle w:val="PlainText"/>
        <w:spacing w:lineRule="exact" w:line="240"/>
        <w:ind w:hanging="1134" w:left="1134"/>
        <w:jc w:val="left"/>
        <w:rPr/>
      </w:pPr>
      <w:r>
        <w:rPr>
          <w:rFonts w:cs="Times New Roman" w:ascii="Times New Roman" w:hAnsi="Times New Roman"/>
          <w:b/>
          <w:sz w:val="24"/>
          <w:szCs w:val="28"/>
          <w:lang w:val="ru-RU"/>
        </w:rPr>
        <w:t>Лот № 4</w:t>
      </w:r>
    </w:p>
    <w:tbl>
      <w:tblPr>
        <w:tblW w:w="10485" w:type="dxa"/>
        <w:jc w:val="left"/>
        <w:tblInd w:w="-473" w:type="dxa"/>
        <w:tblLayout w:type="fixed"/>
        <w:tblCellMar>
          <w:top w:w="0" w:type="dxa"/>
          <w:left w:w="108" w:type="dxa"/>
          <w:bottom w:w="0" w:type="dxa"/>
          <w:right w:w="108" w:type="dxa"/>
        </w:tblCellMar>
        <w:tblLook w:val="01e0" w:noHBand="0" w:noVBand="0" w:firstColumn="1" w:lastRow="1" w:lastColumn="1" w:firstRow="1"/>
      </w:tblPr>
      <w:tblGrid>
        <w:gridCol w:w="567"/>
        <w:gridCol w:w="3054"/>
        <w:gridCol w:w="6864"/>
      </w:tblGrid>
      <w:tr>
        <w:trPr>
          <w:trHeight w:val="877" w:hRule="atLeast"/>
        </w:trPr>
        <w:tc>
          <w:tcPr>
            <w:tcW w:w="567"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1</w:t>
            </w:r>
          </w:p>
        </w:tc>
        <w:tc>
          <w:tcPr>
            <w:tcW w:w="3054" w:type="dxa"/>
            <w:tcBorders>
              <w:top w:val="single" w:sz="4" w:space="0" w:color="000000"/>
              <w:left w:val="single" w:sz="4" w:space="0" w:color="000000"/>
              <w:bottom w:val="single" w:sz="4" w:space="0" w:color="000000"/>
              <w:right w:val="single" w:sz="4" w:space="0" w:color="000000"/>
            </w:tcBorders>
          </w:tcPr>
          <w:p>
            <w:pPr>
              <w:pStyle w:val="Normal"/>
              <w:ind w:right="0"/>
              <w:rPr>
                <w:sz w:val="24"/>
                <w:szCs w:val="24"/>
              </w:rPr>
            </w:pPr>
            <w:r>
              <w:rPr>
                <w:sz w:val="24"/>
                <w:szCs w:val="24"/>
              </w:rPr>
              <w:t xml:space="preserve">Наименование органа местного самоуправления, принявшего решение </w:t>
              <w:br/>
              <w:t>о проведении аукциона,</w:t>
            </w:r>
          </w:p>
          <w:p>
            <w:pPr>
              <w:pStyle w:val="Normal"/>
              <w:ind w:right="0"/>
              <w:rPr>
                <w:sz w:val="24"/>
                <w:szCs w:val="24"/>
              </w:rPr>
            </w:pPr>
            <w:r>
              <w:rPr>
                <w:sz w:val="24"/>
                <w:szCs w:val="24"/>
              </w:rPr>
              <w:t xml:space="preserve">реквизиты указанного </w:t>
              <w:br/>
              <w:t>решения</w:t>
            </w:r>
          </w:p>
        </w:tc>
        <w:tc>
          <w:tcPr>
            <w:tcW w:w="6864"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 xml:space="preserve">Администрация города Перми, распоряжение начальника </w:t>
              <w:br/>
              <w:t>департамента земельных отношений администрации город</w:t>
            </w:r>
            <w:r>
              <w:rPr>
                <w:rFonts w:eastAsia="Droid Sans Fallback" w:cs="Lohit Devanagari"/>
                <w:color w:val="auto"/>
                <w:sz w:val="24"/>
                <w:szCs w:val="24"/>
                <w:lang w:val="ru-RU" w:eastAsia="zh-CN" w:bidi="ar-SA"/>
              </w:rPr>
              <w:t xml:space="preserve">а Перми </w:t>
            </w:r>
            <w:r>
              <w:rPr>
                <w:rFonts w:eastAsia="Times New Roman" w:cs="Times New Roman"/>
                <w:color w:val="000000"/>
                <w:kern w:val="0"/>
                <w:sz w:val="28"/>
                <w:szCs w:val="20"/>
                <w:lang w:val="ru-RU" w:eastAsia="ru-RU" w:bidi="ar-SA"/>
              </w:rPr>
              <w:t xml:space="preserve"> </w:t>
            </w:r>
            <w:r>
              <w:rPr>
                <w:rFonts w:eastAsia="Times New Roman" w:cs="Times New Roman"/>
                <w:color w:val="000000"/>
                <w:kern w:val="0"/>
                <w:sz w:val="24"/>
                <w:szCs w:val="20"/>
                <w:lang w:val="ru-RU" w:eastAsia="ru-RU" w:bidi="ar-SA"/>
              </w:rPr>
              <w:t>от 15 апреля  2026 г. № 21-01-03-2466 «О проведении аукциона на право заключения договора аренды земельного участка в Мотовилихинском районе города Перми»</w:t>
            </w:r>
          </w:p>
        </w:tc>
      </w:tr>
      <w:tr>
        <w:trPr>
          <w:trHeight w:val="225" w:hRule="atLeast"/>
        </w:trPr>
        <w:tc>
          <w:tcPr>
            <w:tcW w:w="567"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2</w:t>
            </w:r>
          </w:p>
        </w:tc>
        <w:tc>
          <w:tcPr>
            <w:tcW w:w="3054" w:type="dxa"/>
            <w:tcBorders>
              <w:top w:val="single" w:sz="4" w:space="0" w:color="000000"/>
              <w:left w:val="single" w:sz="4" w:space="0" w:color="000000"/>
              <w:bottom w:val="single" w:sz="4" w:space="0" w:color="000000"/>
              <w:right w:val="single" w:sz="4" w:space="0" w:color="000000"/>
            </w:tcBorders>
          </w:tcPr>
          <w:p>
            <w:pPr>
              <w:pStyle w:val="Normal"/>
              <w:ind w:right="0"/>
              <w:rPr>
                <w:sz w:val="24"/>
                <w:szCs w:val="24"/>
              </w:rPr>
            </w:pPr>
            <w:r>
              <w:rPr>
                <w:sz w:val="24"/>
                <w:szCs w:val="24"/>
              </w:rPr>
              <w:t xml:space="preserve">Предмет аукциона </w:t>
              <w:br/>
              <w:t xml:space="preserve">на право заключения </w:t>
              <w:br/>
              <w:t>договора аренды земельного участка</w:t>
            </w:r>
          </w:p>
        </w:tc>
        <w:tc>
          <w:tcPr>
            <w:tcW w:w="6864"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r>
          </w:p>
        </w:tc>
      </w:tr>
      <w:tr>
        <w:trPr>
          <w:trHeight w:val="493" w:hRule="atLeast"/>
        </w:trPr>
        <w:tc>
          <w:tcPr>
            <w:tcW w:w="567" w:type="dxa"/>
            <w:vMerge w:val="restart"/>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r>
          </w:p>
        </w:tc>
        <w:tc>
          <w:tcPr>
            <w:tcW w:w="3054" w:type="dxa"/>
            <w:tcBorders>
              <w:top w:val="single" w:sz="4" w:space="0" w:color="000000"/>
              <w:left w:val="single" w:sz="4" w:space="0" w:color="000000"/>
              <w:bottom w:val="single" w:sz="4" w:space="0" w:color="000000"/>
              <w:right w:val="single" w:sz="4" w:space="0" w:color="000000"/>
            </w:tcBorders>
          </w:tcPr>
          <w:p>
            <w:pPr>
              <w:pStyle w:val="Normal"/>
              <w:numPr>
                <w:ilvl w:val="0"/>
                <w:numId w:val="2"/>
              </w:numPr>
              <w:ind w:hanging="277" w:left="419" w:right="-263"/>
              <w:jc w:val="both"/>
              <w:rPr>
                <w:sz w:val="24"/>
                <w:szCs w:val="24"/>
              </w:rPr>
            </w:pPr>
            <w:r>
              <w:rPr>
                <w:sz w:val="24"/>
                <w:szCs w:val="24"/>
              </w:rPr>
              <w:t>местоположение</w:t>
            </w:r>
          </w:p>
        </w:tc>
        <w:tc>
          <w:tcPr>
            <w:tcW w:w="6864"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8256" w:leader="none"/>
              </w:tabs>
              <w:jc w:val="both"/>
              <w:rPr>
                <w:sz w:val="24"/>
                <w:szCs w:val="24"/>
              </w:rPr>
            </w:pPr>
            <w:r>
              <w:rPr>
                <w:sz w:val="24"/>
                <w:szCs w:val="24"/>
              </w:rPr>
              <w:t>Российская Федерация, Пермский край, городской округ Пермский, город Пермь, улица Севастопольская, з/у 34</w:t>
            </w:r>
          </w:p>
        </w:tc>
      </w:tr>
      <w:tr>
        <w:trPr>
          <w:trHeight w:val="148" w:hRule="atLeast"/>
        </w:trPr>
        <w:tc>
          <w:tcPr>
            <w:tcW w:w="567" w:type="dxa"/>
            <w:vMerge w:val="continue"/>
            <w:tcBorders>
              <w:top w:val="single" w:sz="4" w:space="0" w:color="000000"/>
              <w:left w:val="single" w:sz="4" w:space="0" w:color="000000"/>
              <w:bottom w:val="single" w:sz="4" w:space="0" w:color="000000"/>
              <w:right w:val="single" w:sz="4" w:space="0" w:color="000000"/>
            </w:tcBorders>
          </w:tcPr>
          <w:p>
            <w:pPr>
              <w:pStyle w:val="Normal"/>
              <w:jc w:val="center"/>
              <w:rPr>
                <w:sz w:val="20"/>
              </w:rPr>
            </w:pPr>
            <w:r>
              <w:rPr>
                <w:sz w:val="20"/>
              </w:rPr>
            </w:r>
          </w:p>
        </w:tc>
        <w:tc>
          <w:tcPr>
            <w:tcW w:w="3054" w:type="dxa"/>
            <w:tcBorders>
              <w:top w:val="single" w:sz="4" w:space="0" w:color="000000"/>
              <w:left w:val="single" w:sz="4" w:space="0" w:color="000000"/>
              <w:bottom w:val="single" w:sz="4" w:space="0" w:color="000000"/>
              <w:right w:val="single" w:sz="4" w:space="0" w:color="000000"/>
            </w:tcBorders>
          </w:tcPr>
          <w:p>
            <w:pPr>
              <w:pStyle w:val="Normal"/>
              <w:numPr>
                <w:ilvl w:val="0"/>
                <w:numId w:val="2"/>
              </w:numPr>
              <w:ind w:hanging="277" w:left="419" w:right="-263"/>
              <w:rPr>
                <w:sz w:val="24"/>
                <w:szCs w:val="24"/>
              </w:rPr>
            </w:pPr>
            <w:r>
              <w:rPr>
                <w:sz w:val="24"/>
                <w:szCs w:val="24"/>
                <w:lang w:val="en-US"/>
              </w:rPr>
              <w:t>площадь</w:t>
            </w:r>
          </w:p>
        </w:tc>
        <w:tc>
          <w:tcPr>
            <w:tcW w:w="6864"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1215 кв. м</w:t>
            </w:r>
          </w:p>
        </w:tc>
      </w:tr>
      <w:tr>
        <w:trPr>
          <w:trHeight w:val="155" w:hRule="atLeast"/>
        </w:trPr>
        <w:tc>
          <w:tcPr>
            <w:tcW w:w="567" w:type="dxa"/>
            <w:vMerge w:val="continue"/>
            <w:tcBorders>
              <w:top w:val="single" w:sz="4" w:space="0" w:color="000000"/>
              <w:left w:val="single" w:sz="4" w:space="0" w:color="000000"/>
              <w:bottom w:val="single" w:sz="4" w:space="0" w:color="000000"/>
              <w:right w:val="single" w:sz="4" w:space="0" w:color="000000"/>
            </w:tcBorders>
          </w:tcPr>
          <w:p>
            <w:pPr>
              <w:pStyle w:val="Normal"/>
              <w:jc w:val="center"/>
              <w:rPr>
                <w:sz w:val="20"/>
              </w:rPr>
            </w:pPr>
            <w:r>
              <w:rPr>
                <w:sz w:val="20"/>
              </w:rPr>
            </w:r>
          </w:p>
        </w:tc>
        <w:tc>
          <w:tcPr>
            <w:tcW w:w="3054" w:type="dxa"/>
            <w:tcBorders>
              <w:top w:val="single" w:sz="4" w:space="0" w:color="000000"/>
              <w:left w:val="single" w:sz="4" w:space="0" w:color="000000"/>
              <w:bottom w:val="single" w:sz="4" w:space="0" w:color="000000"/>
              <w:right w:val="single" w:sz="4" w:space="0" w:color="000000"/>
            </w:tcBorders>
          </w:tcPr>
          <w:p>
            <w:pPr>
              <w:pStyle w:val="Normal"/>
              <w:numPr>
                <w:ilvl w:val="0"/>
                <w:numId w:val="2"/>
              </w:numPr>
              <w:ind w:hanging="277" w:left="419" w:right="-263"/>
              <w:rPr>
                <w:sz w:val="24"/>
                <w:szCs w:val="24"/>
              </w:rPr>
            </w:pPr>
            <w:r>
              <w:rPr>
                <w:sz w:val="24"/>
                <w:szCs w:val="24"/>
                <w:lang w:val="en-US"/>
              </w:rPr>
              <w:t>кадастровый номер</w:t>
            </w:r>
          </w:p>
        </w:tc>
        <w:tc>
          <w:tcPr>
            <w:tcW w:w="6864"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59:01:4015003:127</w:t>
            </w:r>
          </w:p>
        </w:tc>
      </w:tr>
      <w:tr>
        <w:trPr>
          <w:trHeight w:val="144" w:hRule="atLeast"/>
        </w:trPr>
        <w:tc>
          <w:tcPr>
            <w:tcW w:w="567" w:type="dxa"/>
            <w:vMerge w:val="continue"/>
            <w:tcBorders>
              <w:top w:val="single" w:sz="4" w:space="0" w:color="000000"/>
              <w:left w:val="single" w:sz="4" w:space="0" w:color="000000"/>
              <w:bottom w:val="single" w:sz="4" w:space="0" w:color="000000"/>
              <w:right w:val="single" w:sz="4" w:space="0" w:color="000000"/>
            </w:tcBorders>
          </w:tcPr>
          <w:p>
            <w:pPr>
              <w:pStyle w:val="Normal"/>
              <w:jc w:val="center"/>
              <w:rPr>
                <w:sz w:val="20"/>
              </w:rPr>
            </w:pPr>
            <w:r>
              <w:rPr>
                <w:sz w:val="20"/>
              </w:rPr>
            </w:r>
          </w:p>
        </w:tc>
        <w:tc>
          <w:tcPr>
            <w:tcW w:w="3054" w:type="dxa"/>
            <w:tcBorders>
              <w:top w:val="single" w:sz="4" w:space="0" w:color="000000"/>
              <w:left w:val="single" w:sz="4" w:space="0" w:color="000000"/>
              <w:bottom w:val="single" w:sz="4" w:space="0" w:color="000000"/>
              <w:right w:val="single" w:sz="4" w:space="0" w:color="000000"/>
            </w:tcBorders>
          </w:tcPr>
          <w:p>
            <w:pPr>
              <w:pStyle w:val="Normal"/>
              <w:numPr>
                <w:ilvl w:val="0"/>
                <w:numId w:val="2"/>
              </w:numPr>
              <w:ind w:hanging="284" w:left="419" w:right="0"/>
              <w:rPr>
                <w:sz w:val="24"/>
                <w:szCs w:val="24"/>
              </w:rPr>
            </w:pPr>
            <w:r>
              <w:rPr>
                <w:sz w:val="24"/>
                <w:szCs w:val="24"/>
              </w:rPr>
              <w:t>права на земельный участок</w:t>
            </w:r>
          </w:p>
        </w:tc>
        <w:tc>
          <w:tcPr>
            <w:tcW w:w="6864" w:type="dxa"/>
            <w:tcBorders>
              <w:top w:val="single" w:sz="4" w:space="0" w:color="000000"/>
              <w:left w:val="single" w:sz="4" w:space="0" w:color="000000"/>
              <w:bottom w:val="single" w:sz="4" w:space="0" w:color="000000"/>
              <w:right w:val="single" w:sz="4" w:space="0" w:color="000000"/>
            </w:tcBorders>
          </w:tcPr>
          <w:p>
            <w:pPr>
              <w:pStyle w:val="Normal"/>
              <w:ind w:right="-263"/>
              <w:jc w:val="both"/>
              <w:rPr>
                <w:sz w:val="24"/>
                <w:szCs w:val="24"/>
              </w:rPr>
            </w:pPr>
            <w:r>
              <w:rPr>
                <w:sz w:val="24"/>
                <w:szCs w:val="24"/>
                <w:lang w:val="en-US"/>
              </w:rPr>
              <w:t>государственная собственность не разграничена</w:t>
            </w:r>
          </w:p>
        </w:tc>
      </w:tr>
      <w:tr>
        <w:trPr>
          <w:trHeight w:val="144" w:hRule="atLeast"/>
        </w:trPr>
        <w:tc>
          <w:tcPr>
            <w:tcW w:w="567" w:type="dxa"/>
            <w:vMerge w:val="continue"/>
            <w:tcBorders>
              <w:top w:val="single" w:sz="4" w:space="0" w:color="000000"/>
              <w:left w:val="single" w:sz="4" w:space="0" w:color="000000"/>
              <w:bottom w:val="single" w:sz="4" w:space="0" w:color="000000"/>
              <w:right w:val="single" w:sz="4" w:space="0" w:color="000000"/>
            </w:tcBorders>
          </w:tcPr>
          <w:p>
            <w:pPr>
              <w:pStyle w:val="Normal"/>
              <w:jc w:val="center"/>
              <w:rPr>
                <w:sz w:val="20"/>
              </w:rPr>
            </w:pPr>
            <w:r>
              <w:rPr>
                <w:sz w:val="20"/>
              </w:rPr>
            </w:r>
          </w:p>
        </w:tc>
        <w:tc>
          <w:tcPr>
            <w:tcW w:w="3054" w:type="dxa"/>
            <w:tcBorders>
              <w:top w:val="single" w:sz="4" w:space="0" w:color="000000"/>
              <w:left w:val="single" w:sz="4" w:space="0" w:color="000000"/>
              <w:bottom w:val="single" w:sz="4" w:space="0" w:color="000000"/>
              <w:right w:val="single" w:sz="4" w:space="0" w:color="000000"/>
            </w:tcBorders>
          </w:tcPr>
          <w:p>
            <w:pPr>
              <w:pStyle w:val="Normal"/>
              <w:numPr>
                <w:ilvl w:val="0"/>
                <w:numId w:val="2"/>
              </w:numPr>
              <w:ind w:hanging="277" w:left="419" w:right="0"/>
              <w:rPr>
                <w:sz w:val="24"/>
                <w:szCs w:val="24"/>
              </w:rPr>
            </w:pPr>
            <w:r>
              <w:rPr>
                <w:sz w:val="24"/>
                <w:szCs w:val="24"/>
                <w:lang w:val="en-US"/>
              </w:rPr>
              <w:t>вид разрешенного использования</w:t>
            </w:r>
          </w:p>
        </w:tc>
        <w:tc>
          <w:tcPr>
            <w:tcW w:w="6864"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lang w:val="en-US"/>
              </w:rPr>
              <w:t>для индивидуального жилищного строительства</w:t>
            </w:r>
          </w:p>
        </w:tc>
      </w:tr>
      <w:tr>
        <w:trPr>
          <w:trHeight w:val="576" w:hRule="atLeast"/>
        </w:trPr>
        <w:tc>
          <w:tcPr>
            <w:tcW w:w="567" w:type="dxa"/>
            <w:vMerge w:val="continue"/>
            <w:tcBorders>
              <w:top w:val="single" w:sz="4" w:space="0" w:color="000000"/>
              <w:left w:val="single" w:sz="4" w:space="0" w:color="000000"/>
              <w:bottom w:val="single" w:sz="4" w:space="0" w:color="000000"/>
              <w:right w:val="single" w:sz="4" w:space="0" w:color="000000"/>
            </w:tcBorders>
          </w:tcPr>
          <w:p>
            <w:pPr>
              <w:pStyle w:val="Normal"/>
              <w:jc w:val="center"/>
              <w:rPr>
                <w:sz w:val="20"/>
              </w:rPr>
            </w:pPr>
            <w:r>
              <w:rPr>
                <w:sz w:val="20"/>
              </w:rPr>
            </w:r>
          </w:p>
        </w:tc>
        <w:tc>
          <w:tcPr>
            <w:tcW w:w="3054" w:type="dxa"/>
            <w:tcBorders>
              <w:top w:val="single" w:sz="4" w:space="0" w:color="000000"/>
              <w:left w:val="single" w:sz="4" w:space="0" w:color="000000"/>
              <w:bottom w:val="single" w:sz="4" w:space="0" w:color="000000"/>
              <w:right w:val="single" w:sz="4" w:space="0" w:color="000000"/>
            </w:tcBorders>
          </w:tcPr>
          <w:p>
            <w:pPr>
              <w:pStyle w:val="Normal"/>
              <w:numPr>
                <w:ilvl w:val="0"/>
                <w:numId w:val="2"/>
              </w:numPr>
              <w:ind w:hanging="284" w:left="419" w:right="-263"/>
              <w:rPr>
                <w:sz w:val="24"/>
                <w:szCs w:val="24"/>
              </w:rPr>
            </w:pPr>
            <w:r>
              <w:rPr>
                <w:sz w:val="24"/>
                <w:szCs w:val="24"/>
              </w:rPr>
              <w:t xml:space="preserve">принадлежность к определенной  </w:t>
              <w:br/>
              <w:t>категории земель</w:t>
            </w:r>
          </w:p>
        </w:tc>
        <w:tc>
          <w:tcPr>
            <w:tcW w:w="6864" w:type="dxa"/>
            <w:tcBorders>
              <w:top w:val="single" w:sz="4" w:space="0" w:color="000000"/>
              <w:left w:val="single" w:sz="4" w:space="0" w:color="000000"/>
              <w:bottom w:val="single" w:sz="4" w:space="0" w:color="000000"/>
              <w:right w:val="single" w:sz="4" w:space="0" w:color="000000"/>
            </w:tcBorders>
          </w:tcPr>
          <w:p>
            <w:pPr>
              <w:pStyle w:val="Normal"/>
              <w:ind w:right="-263"/>
              <w:jc w:val="both"/>
              <w:rPr>
                <w:sz w:val="24"/>
                <w:szCs w:val="24"/>
              </w:rPr>
            </w:pPr>
            <w:r>
              <w:rPr>
                <w:sz w:val="24"/>
                <w:szCs w:val="24"/>
              </w:rPr>
              <w:t>земли населенных пунктов</w:t>
            </w:r>
          </w:p>
        </w:tc>
      </w:tr>
      <w:tr>
        <w:trPr>
          <w:trHeight w:val="576" w:hRule="atLeast"/>
        </w:trPr>
        <w:tc>
          <w:tcPr>
            <w:tcW w:w="567" w:type="dxa"/>
            <w:vMerge w:val="continue"/>
            <w:tcBorders>
              <w:left w:val="single" w:sz="4" w:space="0" w:color="000000"/>
              <w:bottom w:val="single" w:sz="4" w:space="0" w:color="000000"/>
              <w:right w:val="single" w:sz="4" w:space="0" w:color="000000"/>
            </w:tcBorders>
          </w:tcPr>
          <w:p>
            <w:pPr>
              <w:pStyle w:val="Normal"/>
              <w:jc w:val="center"/>
              <w:rPr>
                <w:sz w:val="20"/>
              </w:rPr>
            </w:pPr>
            <w:r>
              <w:rPr>
                <w:sz w:val="20"/>
              </w:rPr>
            </w:r>
          </w:p>
        </w:tc>
        <w:tc>
          <w:tcPr>
            <w:tcW w:w="3054" w:type="dxa"/>
            <w:tcBorders>
              <w:left w:val="single" w:sz="4" w:space="0" w:color="000000"/>
              <w:bottom w:val="single" w:sz="4" w:space="0" w:color="000000"/>
              <w:right w:val="single" w:sz="4" w:space="0" w:color="000000"/>
            </w:tcBorders>
          </w:tcPr>
          <w:p>
            <w:pPr>
              <w:pStyle w:val="Normal"/>
              <w:numPr>
                <w:ilvl w:val="0"/>
                <w:numId w:val="2"/>
              </w:numPr>
              <w:ind w:hanging="284" w:left="419" w:right="-263"/>
              <w:rPr>
                <w:sz w:val="24"/>
                <w:szCs w:val="24"/>
              </w:rPr>
            </w:pPr>
            <w:r>
              <w:rPr>
                <w:sz w:val="24"/>
                <w:szCs w:val="24"/>
              </w:rPr>
              <w:t>принадлежность к определенной территориальной зоне</w:t>
            </w:r>
          </w:p>
        </w:tc>
        <w:tc>
          <w:tcPr>
            <w:tcW w:w="6864" w:type="dxa"/>
            <w:tcBorders>
              <w:left w:val="single" w:sz="4" w:space="0" w:color="000000"/>
              <w:bottom w:val="single" w:sz="4" w:space="0" w:color="000000"/>
              <w:right w:val="single" w:sz="4" w:space="0" w:color="000000"/>
            </w:tcBorders>
          </w:tcPr>
          <w:p>
            <w:pPr>
              <w:pStyle w:val="Normal"/>
              <w:ind w:right="-263"/>
              <w:jc w:val="both"/>
              <w:rPr>
                <w:sz w:val="24"/>
                <w:szCs w:val="24"/>
              </w:rPr>
            </w:pPr>
            <w:r>
              <w:rPr>
                <w:sz w:val="24"/>
                <w:szCs w:val="24"/>
              </w:rPr>
              <w:t>Ж-4 «Зона индивидуальной жилой застройки городского типа»</w:t>
            </w:r>
          </w:p>
        </w:tc>
      </w:tr>
      <w:tr>
        <w:trPr>
          <w:trHeight w:val="144" w:hRule="atLeast"/>
        </w:trPr>
        <w:tc>
          <w:tcPr>
            <w:tcW w:w="567" w:type="dxa"/>
            <w:vMerge w:val="continue"/>
            <w:tcBorders>
              <w:top w:val="single" w:sz="4" w:space="0" w:color="000000"/>
              <w:left w:val="single" w:sz="4" w:space="0" w:color="000000"/>
              <w:bottom w:val="single" w:sz="4" w:space="0" w:color="000000"/>
              <w:right w:val="single" w:sz="4" w:space="0" w:color="000000"/>
            </w:tcBorders>
          </w:tcPr>
          <w:p>
            <w:pPr>
              <w:pStyle w:val="Normal"/>
              <w:jc w:val="center"/>
              <w:rPr>
                <w:sz w:val="20"/>
              </w:rPr>
            </w:pPr>
            <w:r>
              <w:rPr>
                <w:sz w:val="20"/>
              </w:rPr>
            </w:r>
          </w:p>
        </w:tc>
        <w:tc>
          <w:tcPr>
            <w:tcW w:w="3054" w:type="dxa"/>
            <w:tcBorders>
              <w:top w:val="single" w:sz="4" w:space="0" w:color="000000"/>
              <w:left w:val="single" w:sz="4" w:space="0" w:color="000000"/>
              <w:bottom w:val="single" w:sz="4" w:space="0" w:color="000000"/>
              <w:right w:val="single" w:sz="4" w:space="0" w:color="000000"/>
            </w:tcBorders>
          </w:tcPr>
          <w:p>
            <w:pPr>
              <w:pStyle w:val="Normal"/>
              <w:numPr>
                <w:ilvl w:val="0"/>
                <w:numId w:val="3"/>
              </w:numPr>
              <w:ind w:hanging="277" w:left="419" w:right="-263"/>
              <w:rPr>
                <w:sz w:val="24"/>
                <w:szCs w:val="24"/>
              </w:rPr>
            </w:pPr>
            <w:r>
              <w:rPr>
                <w:sz w:val="24"/>
                <w:szCs w:val="24"/>
              </w:rPr>
              <w:t>ограничение прав</w:t>
            </w:r>
          </w:p>
          <w:p>
            <w:pPr>
              <w:pStyle w:val="Normal"/>
              <w:ind w:left="419" w:right="-263"/>
              <w:rPr>
                <w:sz w:val="24"/>
                <w:szCs w:val="24"/>
              </w:rPr>
            </w:pPr>
            <w:r>
              <w:rPr>
                <w:sz w:val="24"/>
                <w:szCs w:val="24"/>
              </w:rPr>
            </w:r>
          </w:p>
        </w:tc>
        <w:tc>
          <w:tcPr>
            <w:tcW w:w="6864" w:type="dxa"/>
            <w:tcBorders>
              <w:top w:val="single" w:sz="4" w:space="0" w:color="000000"/>
              <w:left w:val="single" w:sz="4" w:space="0" w:color="000000"/>
              <w:bottom w:val="single" w:sz="4" w:space="0" w:color="000000"/>
              <w:right w:val="single" w:sz="4" w:space="0" w:color="000000"/>
            </w:tcBorders>
          </w:tcPr>
          <w:p>
            <w:pPr>
              <w:pStyle w:val="Normal"/>
              <w:ind w:hanging="0"/>
              <w:jc w:val="both"/>
              <w:rPr>
                <w:sz w:val="24"/>
                <w:szCs w:val="24"/>
              </w:rPr>
            </w:pPr>
            <w:r>
              <w:rPr>
                <w:sz w:val="24"/>
                <w:szCs w:val="24"/>
              </w:rPr>
              <w:t>Ограничения прав подробно описаны:</w:t>
            </w:r>
          </w:p>
          <w:p>
            <w:pPr>
              <w:pStyle w:val="Normal"/>
              <w:ind w:firstLine="311"/>
              <w:jc w:val="both"/>
              <w:rPr>
                <w:sz w:val="24"/>
                <w:szCs w:val="24"/>
              </w:rPr>
            </w:pPr>
            <w:r>
              <w:rPr>
                <w:sz w:val="24"/>
                <w:szCs w:val="24"/>
              </w:rPr>
              <w:t>в выписке из Единого государственного реестра недвижимости об объекте недвижимости от 27.05.2026г. № КУВИ-001/2026-72079908 (далее – ЕГРН);</w:t>
            </w:r>
          </w:p>
          <w:p>
            <w:pPr>
              <w:pStyle w:val="Normal"/>
              <w:ind w:firstLine="311"/>
              <w:jc w:val="both"/>
              <w:rPr>
                <w:highlight w:val="none"/>
                <w:shd w:fill="auto" w:val="clear"/>
              </w:rPr>
            </w:pPr>
            <w:r>
              <w:rPr>
                <w:sz w:val="24"/>
                <w:szCs w:val="24"/>
                <w:shd w:fill="auto" w:val="clear"/>
              </w:rPr>
              <w:t>в градостроительном плане земельного участка</w:t>
            </w:r>
          </w:p>
          <w:p>
            <w:pPr>
              <w:pStyle w:val="Normal"/>
              <w:jc w:val="both"/>
              <w:rPr>
                <w:highlight w:val="none"/>
                <w:shd w:fill="auto" w:val="clear"/>
              </w:rPr>
            </w:pPr>
            <w:r>
              <w:rPr>
                <w:sz w:val="24"/>
                <w:szCs w:val="24"/>
                <w:shd w:fill="auto" w:val="clear"/>
              </w:rPr>
              <w:t>от 05.03</w:t>
            </w:r>
            <w:r>
              <w:rPr>
                <w:color w:val="000000"/>
                <w:sz w:val="24"/>
                <w:szCs w:val="24"/>
                <w:shd w:fill="auto" w:val="clear"/>
              </w:rPr>
              <w:t>.2026 № РФ-59-2-03-0-00-2026-0453-0 </w:t>
            </w:r>
            <w:r>
              <w:rPr>
                <w:sz w:val="24"/>
                <w:szCs w:val="24"/>
                <w:shd w:fill="auto" w:val="clear"/>
              </w:rPr>
              <w:t>(далее – ГПЗУ).</w:t>
            </w:r>
          </w:p>
          <w:p>
            <w:pPr>
              <w:pStyle w:val="Normal"/>
              <w:jc w:val="both"/>
              <w:rPr>
                <w:highlight w:val="none"/>
                <w:shd w:fill="auto" w:val="clear"/>
              </w:rPr>
            </w:pPr>
            <w:r>
              <w:rPr>
                <w:sz w:val="24"/>
                <w:szCs w:val="24"/>
                <w:shd w:fill="auto" w:val="clear"/>
              </w:rPr>
              <w:t>(</w:t>
            </w:r>
            <w:r>
              <w:rPr>
                <w:rFonts w:eastAsia="Times New Roman" w:cs="Times New Roman"/>
                <w:b w:val="false"/>
                <w:bCs w:val="false"/>
                <w:color w:val="000000"/>
                <w:sz w:val="24"/>
                <w:szCs w:val="24"/>
                <w:shd w:fill="auto" w:val="clear"/>
              </w:rPr>
              <w:t>Приложение 8 к настоящему извещению)</w:t>
            </w:r>
            <w:r>
              <w:rPr>
                <w:sz w:val="24"/>
                <w:szCs w:val="24"/>
                <w:shd w:fill="auto" w:val="clear"/>
              </w:rPr>
              <w:t>.</w:t>
            </w:r>
          </w:p>
          <w:p>
            <w:pPr>
              <w:pStyle w:val="Normal"/>
              <w:jc w:val="both"/>
              <w:rPr>
                <w:sz w:val="24"/>
                <w:szCs w:val="24"/>
              </w:rPr>
            </w:pPr>
            <w:r>
              <w:rPr>
                <w:sz w:val="24"/>
                <w:szCs w:val="24"/>
              </w:rPr>
            </w:r>
          </w:p>
          <w:p>
            <w:pPr>
              <w:pStyle w:val="Normal"/>
              <w:spacing w:lineRule="auto" w:line="240" w:before="0" w:after="0"/>
              <w:ind w:firstLine="283" w:left="0" w:right="0"/>
              <w:jc w:val="both"/>
              <w:rPr>
                <w:rFonts w:ascii="Times New Roman" w:hAnsi="Times New Roman"/>
                <w:color w:val="auto"/>
                <w:sz w:val="24"/>
                <w:szCs w:val="24"/>
                <w:highlight w:val="none"/>
                <w14:ligatures w14:val="none"/>
              </w:rPr>
            </w:pPr>
            <w:r>
              <w:rPr>
                <w:color w:val="auto"/>
                <w:sz w:val="24"/>
                <w:szCs w:val="24"/>
              </w:rPr>
              <w:t>Доступ к Участку не ограничен, объектов движимого и/или недвижимого имущества не выявлено.</w:t>
            </w:r>
          </w:p>
          <w:p>
            <w:pPr>
              <w:pStyle w:val="Normal"/>
              <w:spacing w:lineRule="auto" w:line="240" w:before="0" w:after="0"/>
              <w:ind w:firstLine="283" w:left="0" w:right="0"/>
              <w:jc w:val="both"/>
              <w:rPr>
                <w:color w:val="auto"/>
              </w:rPr>
            </w:pPr>
            <w:r>
              <w:rPr>
                <w:color w:val="auto"/>
                <w:sz w:val="24"/>
                <w:szCs w:val="24"/>
              </w:rPr>
              <w:t>Ближайшими источниками противопожарного водоснабжения, относительно испрашиваемых земельных участков являются:</w:t>
            </w:r>
          </w:p>
          <w:p>
            <w:pPr>
              <w:pStyle w:val="Normal"/>
              <w:spacing w:lineRule="auto" w:line="240" w:before="0" w:after="0"/>
              <w:ind w:firstLine="283" w:left="0" w:right="0"/>
              <w:jc w:val="both"/>
              <w:rPr>
                <w:color w:val="auto"/>
              </w:rPr>
            </w:pPr>
            <w:r>
              <w:rPr>
                <w:color w:val="auto"/>
                <w:sz w:val="24"/>
                <w:szCs w:val="24"/>
              </w:rPr>
              <w:t>- пожарный гидрант, расположенный по ул. Журналиста Дементьева, 51, на расстоянии 250 метров;</w:t>
            </w:r>
          </w:p>
          <w:p>
            <w:pPr>
              <w:pStyle w:val="Normal"/>
              <w:spacing w:lineRule="auto" w:line="240" w:before="0" w:after="0"/>
              <w:ind w:firstLine="283" w:left="0" w:right="0"/>
              <w:jc w:val="both"/>
              <w:rPr>
                <w:color w:val="auto"/>
              </w:rPr>
            </w:pPr>
            <w:r>
              <w:rPr>
                <w:color w:val="auto"/>
                <w:sz w:val="24"/>
                <w:szCs w:val="24"/>
              </w:rPr>
              <w:t xml:space="preserve">- пожарный гидрант, расположенный на перекрестке </w:t>
              <w:br/>
              <w:t>ул. Севастопольская и ул. Чермозная, на расстоянии 400 метров;</w:t>
            </w:r>
          </w:p>
          <w:p>
            <w:pPr>
              <w:pStyle w:val="Normal"/>
              <w:spacing w:lineRule="auto" w:line="240" w:before="0" w:after="0"/>
              <w:ind w:firstLine="283" w:left="0" w:right="0"/>
              <w:jc w:val="both"/>
              <w:rPr>
                <w:color w:val="auto"/>
              </w:rPr>
            </w:pPr>
            <w:r>
              <w:rPr>
                <w:color w:val="auto"/>
                <w:sz w:val="24"/>
                <w:szCs w:val="24"/>
              </w:rPr>
              <w:t>- пожарный гидрант, расположенный по ул. Севастопольская, 47, на расстоянии 500 м.</w:t>
            </w:r>
          </w:p>
          <w:p>
            <w:pPr>
              <w:pStyle w:val="Normal"/>
              <w:tabs>
                <w:tab w:val="clear" w:pos="708"/>
                <w:tab w:val="right" w:pos="6000" w:leader="none"/>
              </w:tabs>
              <w:spacing w:lineRule="auto" w:line="240" w:before="0" w:after="0"/>
              <w:ind w:firstLine="311"/>
              <w:jc w:val="both"/>
              <w:rPr/>
            </w:pPr>
            <w:r>
              <w:rPr>
                <w:sz w:val="24"/>
                <w:szCs w:val="24"/>
                <w:highlight w:val="white"/>
              </w:rPr>
              <w:t xml:space="preserve">(Аналогичная информация отражена в письме </w:t>
            </w:r>
            <w:r>
              <w:rPr>
                <w:b/>
                <w:bCs/>
                <w:color w:val="auto"/>
                <w:sz w:val="24"/>
                <w:szCs w:val="24"/>
              </w:rPr>
              <w:t>администрации</w:t>
            </w:r>
            <w:r>
              <w:rPr>
                <w:color w:val="auto"/>
                <w:sz w:val="24"/>
                <w:szCs w:val="24"/>
              </w:rPr>
              <w:t xml:space="preserve"> </w:t>
            </w:r>
            <w:r>
              <w:rPr>
                <w:b/>
                <w:bCs/>
                <w:color w:val="auto"/>
                <w:sz w:val="24"/>
                <w:szCs w:val="24"/>
              </w:rPr>
              <w:t>Мотовилихинского района</w:t>
            </w:r>
            <w:r>
              <w:rPr>
                <w:color w:val="auto"/>
                <w:sz w:val="24"/>
                <w:szCs w:val="24"/>
              </w:rPr>
              <w:t xml:space="preserve"> города Перми от 06.03.2026 № 059-36-01-42/3-27, в акте обследования от 05.03.2026</w:t>
            </w:r>
            <w:r>
              <w:rPr>
                <w:sz w:val="24"/>
                <w:szCs w:val="24"/>
                <w:highlight w:val="white"/>
              </w:rPr>
              <w:t>).</w:t>
            </w:r>
          </w:p>
          <w:p>
            <w:pPr>
              <w:pStyle w:val="Normal"/>
              <w:tabs>
                <w:tab w:val="clear" w:pos="708"/>
                <w:tab w:val="right" w:pos="6000" w:leader="none"/>
              </w:tabs>
              <w:spacing w:lineRule="auto" w:line="240" w:before="0" w:after="0"/>
              <w:ind w:firstLine="311"/>
              <w:jc w:val="both"/>
              <w:rPr>
                <w:rFonts w:ascii="Times New Roman" w:hAnsi="Times New Roman"/>
                <w:color w:val="auto"/>
                <w:sz w:val="24"/>
                <w:szCs w:val="24"/>
                <w:highlight w:val="white"/>
              </w:rPr>
            </w:pPr>
            <w:r>
              <w:rPr>
                <w:color w:val="auto"/>
                <w:sz w:val="24"/>
                <w:szCs w:val="24"/>
                <w:highlight w:val="white"/>
              </w:rPr>
            </w:r>
          </w:p>
          <w:p>
            <w:pPr>
              <w:pStyle w:val="Normal"/>
              <w:spacing w:lineRule="auto" w:line="240" w:before="0" w:after="0"/>
              <w:ind w:firstLine="283" w:left="0" w:right="0"/>
              <w:jc w:val="both"/>
              <w:rPr>
                <w:rFonts w:ascii="Times New Roman" w:hAnsi="Times New Roman"/>
                <w:color w:val="auto"/>
                <w:sz w:val="24"/>
                <w:szCs w:val="24"/>
                <w:highlight w:val="none"/>
                <w14:ligatures w14:val="none"/>
              </w:rPr>
            </w:pPr>
            <w:r>
              <w:rPr>
                <w:color w:val="auto"/>
                <w:sz w:val="24"/>
                <w:szCs w:val="24"/>
              </w:rPr>
              <w:t>В соответствии со сведениями ЕГРН на участке отсутствуют капитальные/некапитальные строения.</w:t>
            </w:r>
          </w:p>
          <w:p>
            <w:pPr>
              <w:pStyle w:val="Normal"/>
              <w:spacing w:lineRule="auto" w:line="240" w:before="0" w:after="0"/>
              <w:ind w:firstLine="283" w:left="0" w:right="0"/>
              <w:jc w:val="both"/>
              <w:rPr>
                <w:rFonts w:ascii="Times New Roman" w:hAnsi="Times New Roman"/>
                <w:color w:val="auto"/>
                <w:sz w:val="24"/>
                <w:szCs w:val="24"/>
                <w:highlight w:val="none"/>
                <w14:ligatures w14:val="none"/>
              </w:rPr>
            </w:pPr>
            <w:r>
              <w:rPr>
                <w:color w:val="auto"/>
                <w:sz w:val="24"/>
                <w:szCs w:val="24"/>
              </w:rPr>
              <w:t>В соответствии с копией планшета масштаба 1:500 (требуется корректура) с западной стороны на участке располагаются деревья породы «береза». На Участке отсутствуют капитальные и некапитальные строения.</w:t>
            </w:r>
          </w:p>
          <w:p>
            <w:pPr>
              <w:pStyle w:val="Normal"/>
              <w:spacing w:lineRule="auto" w:line="240" w:before="0" w:after="0"/>
              <w:ind w:firstLine="283" w:left="0" w:right="0"/>
              <w:jc w:val="both"/>
              <w:rPr>
                <w:rFonts w:ascii="Times New Roman" w:hAnsi="Times New Roman"/>
                <w:color w:val="auto"/>
                <w:sz w:val="24"/>
                <w:szCs w:val="24"/>
                <w:highlight w:val="none"/>
                <w14:ligatures w14:val="none"/>
              </w:rPr>
            </w:pPr>
            <w:r>
              <w:rPr>
                <w:color w:val="auto"/>
                <w:sz w:val="24"/>
                <w:szCs w:val="24"/>
                <w14:ligatures w14:val="none"/>
              </w:rPr>
            </w:r>
          </w:p>
          <w:p>
            <w:pPr>
              <w:pStyle w:val="Normal"/>
              <w:spacing w:lineRule="auto" w:line="240" w:before="0" w:after="0"/>
              <w:ind w:firstLine="283" w:left="0" w:right="0"/>
              <w:jc w:val="both"/>
              <w:rPr>
                <w:rFonts w:ascii="Times New Roman" w:hAnsi="Times New Roman"/>
                <w:color w:val="auto"/>
                <w:sz w:val="24"/>
                <w:szCs w:val="24"/>
                <w:highlight w:val="none"/>
                <w14:ligatures w14:val="none"/>
              </w:rPr>
            </w:pPr>
            <w:r>
              <w:rPr>
                <w:color w:val="auto"/>
                <w:sz w:val="24"/>
                <w:szCs w:val="24"/>
              </w:rPr>
              <w:t xml:space="preserve">Согласно сведениям ЕГРН, ГПЗУ и справке </w:t>
              <w:br/>
              <w:t xml:space="preserve">по градостроительным условиям участка от 27.05.2026 </w:t>
              <w:br/>
              <w:t>№ 681272 Участок расположен в границах зон с особыми условиями использования территории:</w:t>
            </w:r>
          </w:p>
          <w:p>
            <w:pPr>
              <w:pStyle w:val="Normal"/>
              <w:spacing w:lineRule="auto" w:line="240" w:before="0" w:after="0"/>
              <w:ind w:firstLine="283" w:left="0" w:right="0"/>
              <w:jc w:val="both"/>
              <w:rPr>
                <w:rFonts w:ascii="Times New Roman" w:hAnsi="Times New Roman"/>
                <w:color w:val="auto"/>
                <w:sz w:val="24"/>
                <w:szCs w:val="24"/>
                <w:highlight w:val="none"/>
                <w14:ligatures w14:val="none"/>
              </w:rPr>
            </w:pPr>
            <w:r>
              <w:rPr>
                <w:color w:val="auto"/>
                <w:sz w:val="24"/>
                <w:szCs w:val="24"/>
              </w:rPr>
              <w:t>ОХРАННАЯ ЗОНА ВЛ 6 КВ Ф. ЗАПРУД, реестровый номер 59:01-6.1405;</w:t>
            </w:r>
          </w:p>
          <w:p>
            <w:pPr>
              <w:pStyle w:val="Normal"/>
              <w:spacing w:lineRule="auto" w:line="240" w:before="0" w:after="0"/>
              <w:ind w:firstLine="283" w:left="0" w:right="0"/>
              <w:jc w:val="both"/>
              <w:rPr>
                <w:rFonts w:ascii="Times New Roman" w:hAnsi="Times New Roman"/>
                <w:color w:val="auto"/>
                <w:sz w:val="24"/>
                <w:szCs w:val="24"/>
                <w:highlight w:val="none"/>
                <w14:ligatures w14:val="none"/>
              </w:rPr>
            </w:pPr>
            <w:r>
              <w:rPr>
                <w:color w:val="auto"/>
                <w:sz w:val="24"/>
                <w:szCs w:val="24"/>
              </w:rPr>
              <w:t>приаэродромная территория аэродрома аэропорта Большое Савино, реестровый номер 59:32-6.553.</w:t>
            </w:r>
          </w:p>
          <w:p>
            <w:pPr>
              <w:pStyle w:val="Normal"/>
              <w:spacing w:lineRule="auto" w:line="240" w:before="0" w:after="0"/>
              <w:ind w:firstLine="283" w:left="0" w:right="0"/>
              <w:jc w:val="both"/>
              <w:rPr>
                <w:rFonts w:ascii="Times New Roman" w:hAnsi="Times New Roman"/>
                <w:color w:val="auto"/>
                <w:sz w:val="24"/>
                <w:szCs w:val="24"/>
                <w:highlight w:val="none"/>
                <w14:ligatures w14:val="none"/>
              </w:rPr>
            </w:pPr>
            <w:r>
              <w:rPr>
                <w:color w:val="auto"/>
                <w:sz w:val="24"/>
                <w:szCs w:val="24"/>
              </w:rPr>
              <w:t>Проектирование и строительство вести в соответствии:</w:t>
            </w:r>
          </w:p>
          <w:p>
            <w:pPr>
              <w:pStyle w:val="Normal"/>
              <w:spacing w:lineRule="auto" w:line="240" w:before="0" w:after="0"/>
              <w:ind w:firstLine="283" w:left="0" w:right="0"/>
              <w:jc w:val="both"/>
              <w:rPr>
                <w:color w:val="auto"/>
              </w:rPr>
            </w:pPr>
            <w:r>
              <w:rPr>
                <w:color w:val="auto"/>
                <w:sz w:val="24"/>
                <w:szCs w:val="24"/>
              </w:rPr>
              <w:t>с постановлением от 24.02.2009 № 160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w:t>
            </w:r>
          </w:p>
          <w:p>
            <w:pPr>
              <w:pStyle w:val="Normal"/>
              <w:spacing w:lineRule="auto" w:line="240" w:before="0" w:after="0"/>
              <w:ind w:firstLine="283" w:left="0" w:right="0"/>
              <w:jc w:val="both"/>
              <w:rPr>
                <w:rFonts w:ascii="Times New Roman" w:hAnsi="Times New Roman"/>
                <w:color w:val="auto"/>
                <w:sz w:val="24"/>
                <w:szCs w:val="24"/>
                <w:highlight w:val="none"/>
                <w14:ligatures w14:val="none"/>
              </w:rPr>
            </w:pPr>
            <w:r>
              <w:rPr>
                <w:color w:val="auto"/>
                <w:sz w:val="24"/>
                <w:szCs w:val="24"/>
              </w:rPr>
              <w:t>с постановлением Правительства Российской Федерации от 11.03.2010 № 138 «Об утверждении Федеральных правил использования воздушного пространства Российской Федерации»: «Запрещается размещать в полосах воздушных подходов на удалении до 30 км, а вне полос воздушных подходов – до 15 км от контрольной точки аэродрома объекты выбросов (размещения) отходов, животноводческие фермы, скотобойни и другие объекты, способствующие привлечению и массовому скоплению птиц».</w:t>
            </w:r>
          </w:p>
          <w:p>
            <w:pPr>
              <w:pStyle w:val="Normal"/>
              <w:spacing w:lineRule="auto" w:line="240" w:before="0" w:after="0"/>
              <w:ind w:firstLine="283" w:left="0" w:right="0"/>
              <w:jc w:val="both"/>
              <w:rPr>
                <w:rFonts w:ascii="Times New Roman" w:hAnsi="Times New Roman"/>
                <w:color w:val="auto"/>
                <w:sz w:val="24"/>
                <w:szCs w:val="24"/>
                <w:highlight w:val="none"/>
                <w14:ligatures w14:val="none"/>
              </w:rPr>
            </w:pPr>
            <w:r>
              <w:rPr>
                <w:color w:val="auto"/>
                <w:sz w:val="24"/>
                <w:szCs w:val="24"/>
                <w14:ligatures w14:val="none"/>
              </w:rPr>
            </w:r>
          </w:p>
          <w:p>
            <w:pPr>
              <w:pStyle w:val="Normal"/>
              <w:spacing w:lineRule="auto" w:line="240" w:before="0" w:after="0"/>
              <w:ind w:firstLine="283" w:left="0" w:right="0"/>
              <w:jc w:val="both"/>
              <w:rPr>
                <w:rFonts w:ascii="Times New Roman" w:hAnsi="Times New Roman"/>
                <w:color w:val="auto"/>
                <w:sz w:val="24"/>
                <w:szCs w:val="24"/>
                <w:highlight w:val="none"/>
                <w14:ligatures w14:val="none"/>
              </w:rPr>
            </w:pPr>
            <w:r>
              <w:rPr>
                <w:color w:val="auto"/>
                <w:sz w:val="24"/>
                <w:szCs w:val="24"/>
              </w:rPr>
              <w:t>На Участке насаждения отсутствуют.</w:t>
            </w:r>
          </w:p>
          <w:p>
            <w:pPr>
              <w:pStyle w:val="Normal"/>
              <w:spacing w:lineRule="auto" w:line="240" w:before="0" w:after="0"/>
              <w:ind w:firstLine="283" w:left="0" w:right="0"/>
              <w:jc w:val="both"/>
              <w:rPr>
                <w:rFonts w:ascii="Times New Roman" w:hAnsi="Times New Roman"/>
                <w:color w:val="auto"/>
                <w:sz w:val="24"/>
                <w:szCs w:val="24"/>
                <w:highlight w:val="none"/>
                <w14:ligatures w14:val="none"/>
              </w:rPr>
            </w:pPr>
            <w:r>
              <w:rPr>
                <w:color w:val="auto"/>
                <w:sz w:val="24"/>
                <w:szCs w:val="24"/>
              </w:rPr>
              <w:t>Средняя стоимость в ценах 2025 года одного дерева лиственной породы от 25 тыс. руб., а хвойной – от 30 тыс. руб.</w:t>
            </w:r>
          </w:p>
          <w:p>
            <w:pPr>
              <w:pStyle w:val="Normal"/>
              <w:spacing w:lineRule="auto" w:line="240" w:before="0" w:after="0"/>
              <w:ind w:firstLine="283" w:left="0" w:right="0"/>
              <w:jc w:val="both"/>
              <w:rPr>
                <w:rFonts w:ascii="Times New Roman" w:hAnsi="Times New Roman"/>
                <w:color w:val="auto"/>
                <w:sz w:val="24"/>
                <w:szCs w:val="24"/>
                <w:highlight w:val="none"/>
                <w14:ligatures w14:val="none"/>
              </w:rPr>
            </w:pPr>
            <w:r>
              <w:rPr>
                <w:color w:val="auto"/>
                <w:sz w:val="24"/>
                <w:szCs w:val="24"/>
              </w:rPr>
              <w:t>Победителю аукциона необходимо соблюдать условия строительства, перечисленные в перечне мероприятий по охране окружающей среды от 12.03.2026 № 45.</w:t>
            </w:r>
          </w:p>
          <w:p>
            <w:pPr>
              <w:pStyle w:val="Normal"/>
              <w:tabs>
                <w:tab w:val="clear" w:pos="708"/>
                <w:tab w:val="right" w:pos="6000" w:leader="none"/>
              </w:tabs>
              <w:spacing w:lineRule="auto" w:line="240" w:before="0" w:after="0"/>
              <w:ind w:firstLine="311"/>
              <w:jc w:val="both"/>
              <w:rPr/>
            </w:pPr>
            <w:r>
              <w:rPr>
                <w:sz w:val="24"/>
                <w:szCs w:val="24"/>
                <w:highlight w:val="white"/>
              </w:rPr>
              <w:t xml:space="preserve">(Аналогичная информация отражена в письме </w:t>
            </w:r>
            <w:r>
              <w:rPr>
                <w:b/>
                <w:bCs/>
                <w:color w:val="auto"/>
                <w:sz w:val="24"/>
                <w:szCs w:val="24"/>
              </w:rPr>
              <w:t xml:space="preserve">управления по экологии и природопользованию администрации города Перми </w:t>
            </w:r>
            <w:r>
              <w:rPr>
                <w:color w:val="auto"/>
                <w:sz w:val="24"/>
                <w:szCs w:val="24"/>
              </w:rPr>
              <w:t>от 12.03.2026 № 059-33-01-10/3-143</w:t>
            </w:r>
            <w:r>
              <w:rPr>
                <w:sz w:val="24"/>
                <w:szCs w:val="24"/>
                <w:highlight w:val="white"/>
              </w:rPr>
              <w:t>).</w:t>
            </w:r>
          </w:p>
          <w:p>
            <w:pPr>
              <w:pStyle w:val="Normal"/>
              <w:tabs>
                <w:tab w:val="clear" w:pos="708"/>
                <w:tab w:val="right" w:pos="6000" w:leader="none"/>
              </w:tabs>
              <w:spacing w:lineRule="auto" w:line="240" w:before="0" w:after="0"/>
              <w:ind w:firstLine="311"/>
              <w:jc w:val="both"/>
              <w:rPr>
                <w:rFonts w:ascii="Times New Roman" w:hAnsi="Times New Roman"/>
                <w:color w:val="auto"/>
                <w:sz w:val="24"/>
                <w:szCs w:val="24"/>
                <w:highlight w:val="white"/>
              </w:rPr>
            </w:pPr>
            <w:r>
              <w:rPr>
                <w:color w:val="auto"/>
                <w:sz w:val="24"/>
                <w:szCs w:val="24"/>
                <w:highlight w:val="white"/>
              </w:rPr>
            </w:r>
          </w:p>
          <w:p>
            <w:pPr>
              <w:pStyle w:val="Normal"/>
              <w:spacing w:lineRule="auto" w:line="240" w:before="0" w:after="0"/>
              <w:ind w:firstLine="283" w:left="0" w:right="0"/>
              <w:jc w:val="both"/>
              <w:rPr>
                <w:rFonts w:ascii="Times New Roman" w:hAnsi="Times New Roman"/>
                <w:color w:val="auto"/>
                <w:sz w:val="24"/>
                <w:szCs w:val="24"/>
                <w:highlight w:val="none"/>
                <w14:ligatures w14:val="none"/>
              </w:rPr>
            </w:pPr>
            <w:r>
              <w:rPr>
                <w:color w:val="auto"/>
                <w:sz w:val="24"/>
                <w:szCs w:val="24"/>
              </w:rPr>
              <w:t xml:space="preserve">Муниципальной программой «Дорожная деятельность и благоустройство города Перми», утвержденной постановлением администрации города Перми от 18.10.2024 № 966 </w:t>
              <w:br/>
              <w:t>«Об утверждении муниципальной программы «Дорожная деятельность и благоустройство города Перми», бюджетом города Перми на период 2025-2029 годы мероприятия по строительству, реконструкции, капитальному ремонту улично-дорожной сети на рассматриваемой территории не предусмотрены.</w:t>
            </w:r>
          </w:p>
          <w:p>
            <w:pPr>
              <w:pStyle w:val="Normal"/>
              <w:spacing w:lineRule="auto" w:line="240" w:before="0" w:after="0"/>
              <w:ind w:firstLine="283" w:left="0" w:right="0"/>
              <w:jc w:val="both"/>
              <w:rPr>
                <w:color w:val="auto"/>
              </w:rPr>
            </w:pPr>
            <w:r>
              <w:rPr>
                <w:color w:val="auto"/>
                <w:sz w:val="24"/>
                <w:szCs w:val="24"/>
              </w:rPr>
              <w:t>Программой комплексного развития транспортной инфраструктуры города Перми на 2025-2043 годы, утвержденной Решением Пермской городской Думы от 16.12.2025 № 238, мероприятия по строительству, реконструкции, капитальному ремонту улично-дорожной сети на рассматриваемой территории не предусмотрены.</w:t>
            </w:r>
          </w:p>
          <w:p>
            <w:pPr>
              <w:pStyle w:val="Normal"/>
              <w:spacing w:lineRule="auto" w:line="240" w:before="0" w:after="0"/>
              <w:ind w:firstLine="283" w:left="0" w:right="0"/>
              <w:jc w:val="both"/>
              <w:rPr>
                <w:rFonts w:ascii="Times New Roman" w:hAnsi="Times New Roman"/>
                <w:color w:val="auto"/>
                <w:sz w:val="24"/>
                <w:szCs w:val="24"/>
                <w:highlight w:val="none"/>
                <w14:ligatures w14:val="none"/>
              </w:rPr>
            </w:pPr>
            <w:r>
              <w:rPr>
                <w:color w:val="auto"/>
                <w:sz w:val="24"/>
                <w:szCs w:val="24"/>
              </w:rPr>
              <w:t>Для примыкания Участка к улично-дорожной сети города Перми необходимо выполнить условия, указанные в письме.</w:t>
            </w:r>
          </w:p>
          <w:p>
            <w:pPr>
              <w:pStyle w:val="Normal"/>
              <w:spacing w:lineRule="auto" w:line="240" w:before="0" w:after="0"/>
              <w:ind w:firstLine="283" w:left="0" w:right="0"/>
              <w:jc w:val="both"/>
              <w:rPr>
                <w:rFonts w:ascii="Times New Roman" w:hAnsi="Times New Roman"/>
                <w:color w:val="auto"/>
                <w:sz w:val="24"/>
                <w:szCs w:val="24"/>
                <w:highlight w:val="none"/>
                <w14:ligatures w14:val="none"/>
              </w:rPr>
            </w:pPr>
            <w:r>
              <w:rPr>
                <w:color w:val="auto"/>
                <w:sz w:val="24"/>
                <w:szCs w:val="24"/>
              </w:rPr>
              <w:t xml:space="preserve">Также направлена информация о соблюдении Правил благоустройства территории города Перми, утвержденных решением Пермской городской Думы </w:t>
              <w:br/>
              <w:t>от 15.12.2020 № 277 «Об утверждении Правил благоустройства территории города Перми», при строительстве объектов недвижимости на земельных участках, предоставленных на торгах.</w:t>
            </w:r>
          </w:p>
          <w:p>
            <w:pPr>
              <w:pStyle w:val="Normal"/>
              <w:spacing w:lineRule="auto" w:line="240" w:before="0" w:after="0"/>
              <w:ind w:firstLine="283" w:left="0" w:right="0"/>
              <w:jc w:val="both"/>
              <w:rPr>
                <w:rFonts w:ascii="Times New Roman" w:hAnsi="Times New Roman"/>
                <w:color w:val="auto"/>
                <w:sz w:val="24"/>
                <w:szCs w:val="24"/>
                <w:highlight w:val="none"/>
                <w14:ligatures w14:val="none"/>
              </w:rPr>
            </w:pPr>
            <w:r>
              <w:rPr>
                <w:color w:val="auto"/>
                <w:sz w:val="24"/>
                <w:szCs w:val="24"/>
              </w:rPr>
              <w:t xml:space="preserve">В соответствии с Федеральным Законом от 08.11.2007 </w:t>
              <w:br/>
              <w:t xml:space="preserve">№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расходы на строительство, реконструкцию, капитальный ремонт, ремонт пересечений и примыканий, в том числе расходы на выполнение дополнительных работ, связанных </w:t>
              <w:br/>
              <w:t xml:space="preserve">с обеспечением безопасности дорожного движения, водоотведения и исполнением других установленных техническими регламентами требований, несут лица, </w:t>
              <w:br/>
              <w:t xml:space="preserve">в интересах которых осуществляются строительство, реконструкция, капитальный ремонт, ремонт пересечений </w:t>
              <w:br/>
              <w:t>или примыканий.</w:t>
            </w:r>
          </w:p>
          <w:p>
            <w:pPr>
              <w:pStyle w:val="Normal"/>
              <w:tabs>
                <w:tab w:val="clear" w:pos="708"/>
                <w:tab w:val="right" w:pos="6000" w:leader="none"/>
              </w:tabs>
              <w:spacing w:lineRule="auto" w:line="240" w:before="0" w:after="0"/>
              <w:ind w:firstLine="311"/>
              <w:jc w:val="both"/>
              <w:rPr/>
            </w:pPr>
            <w:r>
              <w:rPr>
                <w:sz w:val="24"/>
                <w:szCs w:val="24"/>
                <w:highlight w:val="white"/>
              </w:rPr>
              <w:t xml:space="preserve">(Аналогичная информация отражена в письме </w:t>
            </w:r>
            <w:r>
              <w:rPr>
                <w:b/>
                <w:bCs/>
                <w:color w:val="auto"/>
                <w:sz w:val="24"/>
                <w:szCs w:val="24"/>
              </w:rPr>
              <w:t>департамента дорог и благоустройства администрации города Перми</w:t>
            </w:r>
            <w:r>
              <w:rPr>
                <w:color w:val="auto"/>
                <w:sz w:val="24"/>
                <w:szCs w:val="24"/>
              </w:rPr>
              <w:t xml:space="preserve"> от 24.02.2026 № 059-24-01-36/3-484</w:t>
            </w:r>
            <w:r>
              <w:rPr>
                <w:sz w:val="24"/>
                <w:szCs w:val="24"/>
                <w:highlight w:val="white"/>
              </w:rPr>
              <w:t>).</w:t>
            </w:r>
          </w:p>
          <w:p>
            <w:pPr>
              <w:pStyle w:val="Normal"/>
              <w:tabs>
                <w:tab w:val="clear" w:pos="708"/>
                <w:tab w:val="right" w:pos="6000" w:leader="none"/>
              </w:tabs>
              <w:spacing w:lineRule="auto" w:line="240" w:before="0" w:after="0"/>
              <w:ind w:firstLine="311"/>
              <w:jc w:val="both"/>
              <w:rPr>
                <w:rFonts w:ascii="Times New Roman" w:hAnsi="Times New Roman"/>
                <w:color w:val="auto"/>
                <w:sz w:val="24"/>
                <w:szCs w:val="24"/>
                <w:highlight w:val="white"/>
              </w:rPr>
            </w:pPr>
            <w:r>
              <w:rPr>
                <w:color w:val="auto"/>
                <w:sz w:val="24"/>
                <w:szCs w:val="24"/>
                <w:highlight w:val="white"/>
              </w:rPr>
            </w:r>
          </w:p>
          <w:p>
            <w:pPr>
              <w:pStyle w:val="Normal"/>
              <w:spacing w:lineRule="auto" w:line="240" w:before="0" w:after="0"/>
              <w:ind w:firstLine="283" w:left="0" w:right="0"/>
              <w:jc w:val="both"/>
              <w:rPr>
                <w:color w:val="auto"/>
              </w:rPr>
            </w:pPr>
            <w:r>
              <w:rPr>
                <w:color w:val="auto"/>
                <w:sz w:val="24"/>
                <w:szCs w:val="24"/>
              </w:rPr>
              <w:t>Источники противопожарного водоснабжения (пожарные гидранты на сети водоснабжения) расположены на расстоянии 410 метров по адресу: ул. Севастопольская, 59</w:t>
            </w:r>
          </w:p>
          <w:p>
            <w:pPr>
              <w:pStyle w:val="Normal"/>
              <w:spacing w:lineRule="auto" w:line="240" w:before="0" w:after="0"/>
              <w:ind w:firstLine="283" w:left="0" w:right="0"/>
              <w:jc w:val="both"/>
              <w:rPr>
                <w:rFonts w:ascii="Times New Roman" w:hAnsi="Times New Roman"/>
                <w:color w:val="auto"/>
                <w:sz w:val="24"/>
                <w:szCs w:val="24"/>
                <w:highlight w:val="none"/>
                <w14:ligatures w14:val="none"/>
              </w:rPr>
            </w:pPr>
            <w:r>
              <w:rPr>
                <w:color w:val="auto"/>
                <w:sz w:val="24"/>
                <w:szCs w:val="24"/>
              </w:rPr>
              <w:t xml:space="preserve">Информация о подразделениях пожарной охраны </w:t>
              <w:br/>
              <w:t xml:space="preserve">и времени их прибытия содержится в «Расписании выезда подразделений Пермского местного пожарно-спасательного гарнизона для тушения пожаров и проведения аварийно-спасательных работ на территории Пермского городского округа, Пермского муниципального района», утвержденном Главой города Перми 26.04.2024. Подразделение пожарной охраны расположено по адресу: ул. Уральская, 74 (ПСЧ-3 </w:t>
              <w:br/>
              <w:t>10-ПСО).</w:t>
            </w:r>
          </w:p>
          <w:p>
            <w:pPr>
              <w:pStyle w:val="Normal"/>
              <w:spacing w:lineRule="auto" w:line="240" w:before="0" w:after="0"/>
              <w:ind w:firstLine="283" w:left="0" w:right="0"/>
              <w:jc w:val="both"/>
              <w:rPr>
                <w:rFonts w:ascii="Times New Roman" w:hAnsi="Times New Roman"/>
                <w:color w:val="auto"/>
                <w:sz w:val="24"/>
                <w:szCs w:val="24"/>
                <w:highlight w:val="none"/>
                <w14:ligatures w14:val="none"/>
              </w:rPr>
            </w:pPr>
            <w:r>
              <w:rPr>
                <w:color w:val="auto"/>
                <w:sz w:val="24"/>
                <w:szCs w:val="24"/>
              </w:rPr>
              <w:t>Помещения для аварийно-спасательных служб и (или) аварийно-спасательных формирований на указанной территории отсутствуют.</w:t>
            </w:r>
          </w:p>
          <w:p>
            <w:pPr>
              <w:pStyle w:val="Normal"/>
              <w:spacing w:lineRule="auto" w:line="240" w:before="0" w:after="0"/>
              <w:ind w:firstLine="283" w:left="0" w:right="0"/>
              <w:jc w:val="both"/>
              <w:rPr>
                <w:color w:val="auto"/>
              </w:rPr>
            </w:pPr>
            <w:r>
              <w:rPr>
                <w:color w:val="auto"/>
                <w:sz w:val="24"/>
                <w:szCs w:val="24"/>
              </w:rPr>
              <w:t xml:space="preserve">Объекты общественной безопасности, отнесенные </w:t>
              <w:br/>
              <w:t xml:space="preserve">к объектам полиции (участковые пункты полиции), расположены по адресу: г. Пермь, ул. Колыбалова, 22 (микрорайон Запруд, Мотовилихинский район). </w:t>
              <w:br/>
              <w:t>В настоящее время в указанном микрорайоне, строительство (приобретение) участковых пунктов полиции не планируется.</w:t>
            </w:r>
          </w:p>
          <w:p>
            <w:pPr>
              <w:pStyle w:val="Normal"/>
              <w:spacing w:lineRule="auto" w:line="240" w:before="0" w:after="0"/>
              <w:ind w:firstLine="283" w:left="0" w:right="0"/>
              <w:jc w:val="both"/>
              <w:rPr>
                <w:rFonts w:ascii="Times New Roman" w:hAnsi="Times New Roman"/>
                <w:color w:val="auto"/>
                <w:sz w:val="24"/>
                <w:szCs w:val="24"/>
                <w:highlight w:val="none"/>
                <w14:ligatures w14:val="none"/>
              </w:rPr>
            </w:pPr>
            <w:r>
              <w:rPr>
                <w:color w:val="auto"/>
                <w:sz w:val="24"/>
                <w:szCs w:val="24"/>
              </w:rPr>
              <w:t xml:space="preserve">По информации, предоставленной Министерством территориальной безопасности Пермского края (письмо </w:t>
              <w:br/>
              <w:t>от 07.10.2020 № 964с), рассматриваемый земельный участок попадает в зону возможного химического заражения в особый период.</w:t>
            </w:r>
          </w:p>
          <w:p>
            <w:pPr>
              <w:pStyle w:val="Normal"/>
              <w:spacing w:lineRule="auto" w:line="240" w:before="0" w:after="0"/>
              <w:ind w:firstLine="283" w:left="0" w:right="0"/>
              <w:jc w:val="both"/>
              <w:rPr>
                <w:color w:val="auto"/>
              </w:rPr>
            </w:pPr>
            <w:r>
              <w:rPr>
                <w:color w:val="auto"/>
                <w:sz w:val="24"/>
                <w:szCs w:val="24"/>
              </w:rPr>
              <w:t>Земельный участок находится в зоне действия региональной системы оповещения населения города Перми, установленной по адресу: ул. Колыбалова, 44 – 500 метров.</w:t>
            </w:r>
          </w:p>
          <w:p>
            <w:pPr>
              <w:pStyle w:val="Normal"/>
              <w:tabs>
                <w:tab w:val="clear" w:pos="708"/>
                <w:tab w:val="right" w:pos="6000" w:leader="none"/>
              </w:tabs>
              <w:spacing w:lineRule="auto" w:line="240" w:before="0" w:after="0"/>
              <w:ind w:firstLine="311"/>
              <w:jc w:val="both"/>
              <w:rPr/>
            </w:pPr>
            <w:r>
              <w:rPr>
                <w:sz w:val="24"/>
                <w:szCs w:val="24"/>
                <w:highlight w:val="white"/>
              </w:rPr>
              <w:t xml:space="preserve">(Аналогичная информация отражена в письме </w:t>
            </w:r>
            <w:r>
              <w:rPr>
                <w:b/>
                <w:bCs/>
                <w:color w:val="auto"/>
                <w:sz w:val="24"/>
                <w:szCs w:val="24"/>
              </w:rPr>
              <w:t>департамента общественной безопасности администрации города Перми</w:t>
            </w:r>
            <w:r>
              <w:rPr>
                <w:color w:val="auto"/>
                <w:sz w:val="24"/>
                <w:szCs w:val="24"/>
              </w:rPr>
              <w:t xml:space="preserve"> от 26.02.2026 № 059-10-01-27/3-284</w:t>
            </w:r>
            <w:r>
              <w:rPr>
                <w:sz w:val="24"/>
                <w:szCs w:val="24"/>
                <w:highlight w:val="white"/>
              </w:rPr>
              <w:t>).</w:t>
            </w:r>
          </w:p>
          <w:p>
            <w:pPr>
              <w:pStyle w:val="Normal"/>
              <w:tabs>
                <w:tab w:val="clear" w:pos="708"/>
                <w:tab w:val="right" w:pos="6000" w:leader="none"/>
              </w:tabs>
              <w:spacing w:lineRule="auto" w:line="240" w:before="0" w:after="0"/>
              <w:ind w:firstLine="311"/>
              <w:jc w:val="both"/>
              <w:rPr>
                <w:rFonts w:ascii="Times New Roman" w:hAnsi="Times New Roman"/>
                <w:color w:val="auto"/>
                <w:sz w:val="24"/>
                <w:szCs w:val="24"/>
                <w:highlight w:val="white"/>
              </w:rPr>
            </w:pPr>
            <w:r>
              <w:rPr>
                <w:color w:val="auto"/>
                <w:sz w:val="24"/>
                <w:szCs w:val="24"/>
                <w:highlight w:val="white"/>
              </w:rPr>
            </w:r>
          </w:p>
          <w:p>
            <w:pPr>
              <w:pStyle w:val="Normal"/>
              <w:spacing w:lineRule="auto" w:line="240" w:before="0" w:after="0"/>
              <w:ind w:firstLine="283" w:left="0" w:right="0"/>
              <w:jc w:val="both"/>
              <w:rPr>
                <w:color w:val="auto"/>
              </w:rPr>
            </w:pPr>
            <w:r>
              <w:rPr>
                <w:sz w:val="24"/>
                <w:szCs w:val="24"/>
              </w:rPr>
              <w:t>Схемами не предусмотрено строительство сетей водоснабжения в мкр. Запруд Мотовилихинского района города Перми.</w:t>
            </w:r>
          </w:p>
          <w:p>
            <w:pPr>
              <w:pStyle w:val="Normal"/>
              <w:tabs>
                <w:tab w:val="clear" w:pos="708"/>
                <w:tab w:val="right" w:pos="6000" w:leader="none"/>
              </w:tabs>
              <w:spacing w:lineRule="auto" w:line="240" w:before="0" w:after="0"/>
              <w:ind w:firstLine="311"/>
              <w:jc w:val="both"/>
              <w:rPr/>
            </w:pPr>
            <w:r>
              <w:rPr>
                <w:sz w:val="24"/>
                <w:szCs w:val="24"/>
                <w:highlight w:val="white"/>
              </w:rPr>
              <w:t xml:space="preserve">(Аналогичная информация отражена в письме </w:t>
            </w:r>
            <w:r>
              <w:rPr>
                <w:b/>
                <w:bCs/>
                <w:sz w:val="24"/>
                <w:szCs w:val="24"/>
              </w:rPr>
              <w:t>департамента жилищно-коммунального хозяйства администрации города Перми</w:t>
            </w:r>
            <w:r>
              <w:rPr>
                <w:sz w:val="24"/>
                <w:szCs w:val="24"/>
              </w:rPr>
              <w:t xml:space="preserve"> от 02.03.2026 № 059-04-17/3-165-ри</w:t>
            </w:r>
            <w:r>
              <w:rPr>
                <w:sz w:val="24"/>
                <w:szCs w:val="24"/>
                <w:highlight w:val="white"/>
              </w:rPr>
              <w:t>).</w:t>
            </w:r>
          </w:p>
          <w:p>
            <w:pPr>
              <w:pStyle w:val="Normal"/>
              <w:tabs>
                <w:tab w:val="clear" w:pos="708"/>
                <w:tab w:val="right" w:pos="6000" w:leader="none"/>
              </w:tabs>
              <w:spacing w:lineRule="auto" w:line="240" w:before="0" w:after="0"/>
              <w:ind w:firstLine="311"/>
              <w:jc w:val="both"/>
              <w:rPr>
                <w:rFonts w:ascii="Times New Roman" w:hAnsi="Times New Roman"/>
                <w:sz w:val="24"/>
                <w:szCs w:val="24"/>
                <w:highlight w:val="white"/>
              </w:rPr>
            </w:pPr>
            <w:r>
              <w:rPr>
                <w:sz w:val="24"/>
                <w:szCs w:val="24"/>
                <w:highlight w:val="white"/>
              </w:rPr>
            </w:r>
          </w:p>
        </w:tc>
      </w:tr>
      <w:tr>
        <w:trPr>
          <w:trHeight w:val="1087" w:hRule="atLeast"/>
        </w:trPr>
        <w:tc>
          <w:tcPr>
            <w:tcW w:w="567" w:type="dxa"/>
            <w:vMerge w:val="continue"/>
            <w:tcBorders>
              <w:top w:val="single" w:sz="4" w:space="0" w:color="000000"/>
              <w:left w:val="single" w:sz="4" w:space="0" w:color="000000"/>
              <w:bottom w:val="single" w:sz="4" w:space="0" w:color="000000"/>
              <w:right w:val="single" w:sz="4" w:space="0" w:color="000000"/>
            </w:tcBorders>
          </w:tcPr>
          <w:p>
            <w:pPr>
              <w:pStyle w:val="Normal"/>
              <w:jc w:val="center"/>
              <w:rPr>
                <w:sz w:val="20"/>
              </w:rPr>
            </w:pPr>
            <w:r>
              <w:rPr>
                <w:sz w:val="20"/>
              </w:rPr>
            </w:r>
          </w:p>
        </w:tc>
        <w:tc>
          <w:tcPr>
            <w:tcW w:w="3054" w:type="dxa"/>
            <w:tcBorders>
              <w:top w:val="single" w:sz="4" w:space="0" w:color="000000"/>
              <w:left w:val="single" w:sz="4" w:space="0" w:color="000000"/>
              <w:bottom w:val="single" w:sz="4" w:space="0" w:color="000000"/>
              <w:right w:val="single" w:sz="4" w:space="0" w:color="000000"/>
            </w:tcBorders>
          </w:tcPr>
          <w:p>
            <w:pPr>
              <w:pStyle w:val="Normal"/>
              <w:widowControl/>
              <w:numPr>
                <w:ilvl w:val="0"/>
                <w:numId w:val="2"/>
              </w:numPr>
              <w:spacing w:before="0" w:after="0"/>
              <w:ind w:hanging="283" w:left="510" w:right="113"/>
              <w:jc w:val="left"/>
              <w:rPr>
                <w:sz w:val="24"/>
                <w:szCs w:val="24"/>
              </w:rPr>
            </w:pPr>
            <w:r>
              <w:rPr>
                <w:sz w:val="24"/>
                <w:szCs w:val="24"/>
              </w:rPr>
              <w:t xml:space="preserve">максимально и (или) минимально </w:t>
              <w:br/>
              <w:t>допустимые параметры разрешенного строительства объекта капитального строительства</w:t>
            </w:r>
          </w:p>
        </w:tc>
        <w:tc>
          <w:tcPr>
            <w:tcW w:w="6864" w:type="dxa"/>
            <w:tcBorders>
              <w:top w:val="single" w:sz="4" w:space="0" w:color="000000"/>
              <w:left w:val="single" w:sz="4" w:space="0" w:color="000000"/>
              <w:bottom w:val="single" w:sz="4" w:space="0" w:color="000000"/>
              <w:right w:val="single" w:sz="4" w:space="0" w:color="000000"/>
            </w:tcBorders>
          </w:tcPr>
          <w:p>
            <w:pPr>
              <w:pStyle w:val="Normal"/>
              <w:ind w:firstLine="312"/>
              <w:jc w:val="both"/>
              <w:rPr>
                <w:color w:themeColor="text1" w:val="000000"/>
                <w:sz w:val="24"/>
                <w:szCs w:val="24"/>
                <w:highlight w:val="none"/>
                <w:u w:val="none"/>
              </w:rPr>
            </w:pPr>
            <w:r>
              <w:rPr>
                <w:color w:themeColor="text1" w:val="000000"/>
                <w:sz w:val="24"/>
                <w:szCs w:val="24"/>
                <w:u w:val="none"/>
              </w:rPr>
            </w:r>
          </w:p>
          <w:p>
            <w:pPr>
              <w:pStyle w:val="Normal"/>
              <w:ind w:firstLine="312"/>
              <w:jc w:val="both"/>
              <w:rPr>
                <w:color w:themeColor="text1" w:val="000000"/>
                <w:sz w:val="24"/>
                <w:szCs w:val="24"/>
                <w:highlight w:val="none"/>
                <w:u w:val="none"/>
              </w:rPr>
            </w:pPr>
            <w:r>
              <w:rPr>
                <w:szCs w:val="24"/>
              </w:rPr>
              <w:t xml:space="preserve">В </w:t>
            </w:r>
            <w:r>
              <w:rPr>
                <w:szCs w:val="24"/>
                <w:shd w:fill="FFFFFF" w:val="clear"/>
              </w:rPr>
              <w:t>документации по земельному участку, размещенной</w:t>
              <w:br/>
              <w:t xml:space="preserve">с извещением о проведении аукциона в ГИС Торги </w:t>
            </w:r>
            <w:r>
              <w:rPr>
                <w:szCs w:val="24"/>
                <w:lang w:val="en-US"/>
              </w:rPr>
              <w:t>www</w:t>
            </w:r>
            <w:r>
              <w:rPr>
                <w:szCs w:val="24"/>
              </w:rPr>
              <w:t>.</w:t>
            </w:r>
            <w:r>
              <w:rPr>
                <w:szCs w:val="24"/>
                <w:lang w:val="en-US"/>
              </w:rPr>
              <w:t>torgi</w:t>
            </w:r>
            <w:r>
              <w:rPr>
                <w:szCs w:val="24"/>
              </w:rPr>
              <w:t>.</w:t>
            </w:r>
            <w:r>
              <w:rPr>
                <w:szCs w:val="24"/>
                <w:lang w:val="en-US"/>
              </w:rPr>
              <w:t>gov</w:t>
            </w:r>
            <w:r>
              <w:rPr>
                <w:szCs w:val="24"/>
              </w:rPr>
              <w:t>.</w:t>
            </w:r>
            <w:r>
              <w:rPr>
                <w:szCs w:val="24"/>
                <w:lang w:val="en-US"/>
              </w:rPr>
              <w:t>ru</w:t>
            </w:r>
            <w:r>
              <w:rPr>
                <w:szCs w:val="24"/>
                <w:shd w:fill="FFFFFF" w:val="clear"/>
              </w:rPr>
              <w:t xml:space="preserve">, на официальном сайте муниципального образования город Пермь в информационно-телекоммуникационной сети Интернет </w:t>
            </w:r>
            <w:hyperlink r:id="rId21" w:tgtFrame="http://www.gorodperm.ru/">
              <w:r>
                <w:rPr>
                  <w:rStyle w:val="Hyperlink"/>
                  <w:color w:themeColor="text1" w:val="000000"/>
                  <w:szCs w:val="24"/>
                  <w:u w:val="none"/>
                </w:rPr>
                <w:t>www.gorodperm.ru</w:t>
              </w:r>
            </w:hyperlink>
            <w:r>
              <w:rPr>
                <w:color w:themeColor="text1" w:val="000000"/>
                <w:szCs w:val="24"/>
                <w:u w:val="none"/>
              </w:rPr>
              <w:t>.</w:t>
            </w:r>
          </w:p>
          <w:p>
            <w:pPr>
              <w:pStyle w:val="Normal"/>
              <w:ind w:firstLine="312"/>
              <w:jc w:val="both"/>
              <w:rPr>
                <w:sz w:val="24"/>
                <w:szCs w:val="24"/>
                <w:highlight w:val="none"/>
              </w:rPr>
            </w:pPr>
            <w:r>
              <w:rPr>
                <w:sz w:val="24"/>
                <w:szCs w:val="24"/>
              </w:rPr>
            </w:r>
          </w:p>
          <w:p>
            <w:pPr>
              <w:pStyle w:val="Normal"/>
              <w:spacing w:lineRule="auto" w:line="240" w:before="0" w:after="0"/>
              <w:ind w:firstLine="283" w:left="0" w:right="0"/>
              <w:jc w:val="both"/>
              <w:rPr>
                <w:rFonts w:ascii="Times New Roman" w:hAnsi="Times New Roman"/>
                <w:color w:val="auto"/>
                <w:sz w:val="24"/>
                <w:szCs w:val="24"/>
              </w:rPr>
            </w:pPr>
            <w:r>
              <w:rPr>
                <w:color w:val="auto"/>
                <w:sz w:val="24"/>
                <w:szCs w:val="24"/>
                <w:lang w:val="en-US"/>
              </w:rPr>
              <w:t xml:space="preserve">Проектирование и строительство необходимо вести </w:t>
              <w:br/>
              <w:t>в соответствии с пунктом 4.5 СП 55.13330.2016 Свода Правил. Дома жилые одноквартирные. СНиП 31-02-2001, утвержденным и введенным в действие Приказом Министерства строительства и жилищно-коммунального хозяйства Российской Федерации от 20.10.2016 № 725/пр. Дом должен включать жилые комнаты – одну или несколько (общую комнату или гостиную, спальню),</w:t>
            </w:r>
            <w:r>
              <w:rPr>
                <w:color w:val="auto"/>
                <w:sz w:val="24"/>
                <w:szCs w:val="24"/>
              </w:rPr>
              <w:t xml:space="preserve"> </w:t>
            </w:r>
            <w:r>
              <w:rPr>
                <w:color w:val="auto"/>
                <w:sz w:val="24"/>
                <w:szCs w:val="24"/>
                <w:lang w:val="en-US"/>
              </w:rPr>
              <w:t>а также вспомогательные помещения: переднюю, кухню (в том числе кухню-столовую и (или) кухню-нишу), ванные комнаты и (или) душевые, туалет (уборную) или совмещенный санузел</w:t>
            </w:r>
            <w:r>
              <w:rPr>
                <w:color w:val="auto"/>
                <w:sz w:val="24"/>
                <w:szCs w:val="24"/>
              </w:rPr>
              <w:t>, переднюю.</w:t>
            </w:r>
          </w:p>
          <w:p>
            <w:pPr>
              <w:pStyle w:val="Normal"/>
              <w:spacing w:lineRule="auto" w:line="240" w:before="0" w:after="0"/>
              <w:ind w:firstLine="283" w:left="0" w:right="0"/>
              <w:jc w:val="both"/>
              <w:rPr>
                <w:rFonts w:ascii="Times New Roman" w:hAnsi="Times New Roman"/>
                <w:color w:val="auto"/>
                <w:sz w:val="24"/>
                <w:szCs w:val="24"/>
              </w:rPr>
            </w:pPr>
            <w:r>
              <w:rPr>
                <w:color w:val="auto"/>
                <w:sz w:val="24"/>
                <w:szCs w:val="24"/>
                <w:lang w:val="en-US"/>
              </w:rPr>
              <w:t>Согласно пункту 6.1 СП 55.13330.2016 площади помещений строящихся и реконструируемых жилых домов должны быть не менее: общей комнаты в однокомнатном доме - 14 м</w:t>
            </w:r>
            <w:r>
              <w:rPr>
                <w:color w:val="auto"/>
                <w:sz w:val="24"/>
                <w:szCs w:val="24"/>
                <w:vertAlign w:val="superscript"/>
                <w:lang w:val="en-US"/>
              </w:rPr>
              <w:t>2</w:t>
            </w:r>
            <w:r>
              <w:rPr>
                <w:color w:val="auto"/>
                <w:sz w:val="24"/>
                <w:szCs w:val="24"/>
                <w:lang w:val="en-US"/>
              </w:rPr>
              <w:t>, общей комнаты в доме с числом комнат две и более - 16 м</w:t>
            </w:r>
            <w:r>
              <w:rPr>
                <w:color w:val="auto"/>
                <w:sz w:val="24"/>
                <w:szCs w:val="24"/>
                <w:vertAlign w:val="superscript"/>
                <w:lang w:val="en-US"/>
              </w:rPr>
              <w:t>2</w:t>
            </w:r>
            <w:r>
              <w:rPr>
                <w:color w:val="auto"/>
                <w:sz w:val="24"/>
                <w:szCs w:val="24"/>
                <w:lang w:val="en-US"/>
              </w:rPr>
              <w:t>, спальни - 8 м</w:t>
            </w:r>
            <w:r>
              <w:rPr>
                <w:color w:val="auto"/>
                <w:sz w:val="24"/>
                <w:szCs w:val="24"/>
                <w:vertAlign w:val="superscript"/>
                <w:lang w:val="en-US"/>
              </w:rPr>
              <w:t>2</w:t>
            </w:r>
            <w:r>
              <w:rPr>
                <w:color w:val="auto"/>
                <w:sz w:val="24"/>
                <w:szCs w:val="24"/>
                <w:lang w:val="en-US"/>
              </w:rPr>
              <w:t xml:space="preserve"> (на двух человек - 10 м</w:t>
            </w:r>
            <w:r>
              <w:rPr>
                <w:color w:val="auto"/>
                <w:sz w:val="24"/>
                <w:szCs w:val="24"/>
                <w:vertAlign w:val="superscript"/>
                <w:lang w:val="en-US"/>
              </w:rPr>
              <w:t>2</w:t>
            </w:r>
            <w:r>
              <w:rPr>
                <w:color w:val="auto"/>
                <w:sz w:val="24"/>
                <w:szCs w:val="24"/>
                <w:lang w:val="en-US"/>
              </w:rPr>
              <w:t>); кухни - 8 м</w:t>
            </w:r>
            <w:r>
              <w:rPr>
                <w:color w:val="auto"/>
                <w:sz w:val="24"/>
                <w:szCs w:val="24"/>
                <w:vertAlign w:val="superscript"/>
                <w:lang w:val="en-US"/>
              </w:rPr>
              <w:t>2</w:t>
            </w:r>
            <w:r>
              <w:rPr>
                <w:color w:val="auto"/>
                <w:sz w:val="24"/>
                <w:szCs w:val="24"/>
                <w:lang w:val="en-US"/>
              </w:rPr>
              <w:t xml:space="preserve">; кухонной зоны </w:t>
              <w:br/>
              <w:t>в кухне-столовой - 6 м</w:t>
            </w:r>
            <w:r>
              <w:rPr>
                <w:color w:val="auto"/>
                <w:sz w:val="24"/>
                <w:szCs w:val="24"/>
                <w:vertAlign w:val="superscript"/>
                <w:lang w:val="en-US"/>
              </w:rPr>
              <w:t>2</w:t>
            </w:r>
            <w:r>
              <w:rPr>
                <w:color w:val="auto"/>
                <w:sz w:val="24"/>
                <w:szCs w:val="24"/>
                <w:lang w:val="en-US"/>
              </w:rPr>
              <w:t>.</w:t>
            </w:r>
            <w:r>
              <w:rPr>
                <w:color w:val="auto"/>
                <w:sz w:val="24"/>
                <w:szCs w:val="24"/>
              </w:rPr>
              <w:t xml:space="preserve"> </w:t>
            </w:r>
            <w:r>
              <w:rPr>
                <w:color w:val="auto"/>
                <w:sz w:val="24"/>
                <w:szCs w:val="24"/>
                <w:lang w:val="en-US"/>
              </w:rPr>
              <w:t>В домах с одной комнатой допускается проектировать кухни или кухни-ниши площадью не менее 5 м</w:t>
            </w:r>
            <w:r>
              <w:rPr>
                <w:color w:val="auto"/>
                <w:sz w:val="24"/>
                <w:szCs w:val="24"/>
                <w:vertAlign w:val="superscript"/>
                <w:lang w:val="en-US"/>
              </w:rPr>
              <w:t>2</w:t>
            </w:r>
            <w:r>
              <w:rPr>
                <w:color w:val="auto"/>
                <w:sz w:val="24"/>
                <w:szCs w:val="24"/>
                <w:lang w:val="en-US"/>
              </w:rPr>
              <w:t>.</w:t>
            </w:r>
            <w:r>
              <w:rPr>
                <w:color w:val="auto"/>
                <w:sz w:val="24"/>
                <w:szCs w:val="24"/>
              </w:rPr>
              <w:t xml:space="preserve"> </w:t>
            </w:r>
            <w:r>
              <w:rPr>
                <w:color w:val="auto"/>
                <w:sz w:val="24"/>
                <w:szCs w:val="24"/>
                <w:lang w:val="en-US"/>
              </w:rPr>
              <w:t>Площадь спальни и кухни в мансардном этаже (или этаже с наклонными ограждающими конструкциями) допускается не менее 7 м</w:t>
            </w:r>
            <w:r>
              <w:rPr>
                <w:color w:val="auto"/>
                <w:sz w:val="24"/>
                <w:szCs w:val="24"/>
                <w:vertAlign w:val="superscript"/>
                <w:lang w:val="en-US"/>
              </w:rPr>
              <w:t>2</w:t>
            </w:r>
            <w:r>
              <w:rPr>
                <w:color w:val="auto"/>
                <w:sz w:val="24"/>
                <w:szCs w:val="24"/>
                <w:lang w:val="en-US"/>
              </w:rPr>
              <w:t xml:space="preserve"> при условии, что общая жилая комната имеет площадь не менее 16 м</w:t>
            </w:r>
            <w:r>
              <w:rPr>
                <w:color w:val="auto"/>
                <w:sz w:val="24"/>
                <w:szCs w:val="24"/>
                <w:vertAlign w:val="superscript"/>
                <w:lang w:val="en-US"/>
              </w:rPr>
              <w:t>2</w:t>
            </w:r>
            <w:r>
              <w:rPr>
                <w:color w:val="auto"/>
                <w:sz w:val="24"/>
                <w:szCs w:val="24"/>
                <w:lang w:val="en-US"/>
              </w:rPr>
              <w:t>.</w:t>
            </w:r>
          </w:p>
          <w:p>
            <w:pPr>
              <w:pStyle w:val="Normal"/>
              <w:spacing w:lineRule="auto" w:line="240" w:before="0" w:after="0"/>
              <w:ind w:firstLine="283" w:left="0" w:right="0"/>
              <w:jc w:val="both"/>
              <w:rPr>
                <w:rFonts w:ascii="Times New Roman" w:hAnsi="Times New Roman"/>
                <w:color w:val="auto"/>
                <w:sz w:val="24"/>
                <w:szCs w:val="24"/>
              </w:rPr>
            </w:pPr>
            <w:r>
              <w:rPr>
                <w:color w:val="auto"/>
                <w:sz w:val="24"/>
                <w:szCs w:val="24"/>
                <w:lang w:val="en-US"/>
              </w:rPr>
              <w:t xml:space="preserve">Согласно пункту 6.2 СП 55.13330.2016 высота (от пола </w:t>
              <w:br/>
              <w:t xml:space="preserve">до потолка) комнат и кухни (кухни-столовой) </w:t>
              <w:br/>
              <w:t xml:space="preserve">в климатических районах строительства IА, IБ, IГ, IД, определяемых по СП 131.13330, должна быть не менее </w:t>
              <w:br/>
              <w:t xml:space="preserve">2,7 м, а в других климатических районах строительства - не менее 2,5 м. Высота внутридомовых коридоров, холлов, передних, </w:t>
            </w:r>
            <w:r>
              <w:rPr>
                <w:color w:val="auto"/>
                <w:spacing w:val="-2"/>
                <w:sz w:val="24"/>
                <w:szCs w:val="24"/>
                <w:lang w:val="en-US"/>
              </w:rPr>
              <w:t>антресолей должна составлять не менее 2,1 м,</w:t>
            </w:r>
            <w:r>
              <w:rPr>
                <w:color w:val="auto"/>
                <w:spacing w:val="-2"/>
                <w:sz w:val="24"/>
                <w:szCs w:val="24"/>
              </w:rPr>
              <w:t xml:space="preserve"> </w:t>
            </w:r>
            <w:r>
              <w:rPr>
                <w:color w:val="auto"/>
                <w:spacing w:val="-2"/>
                <w:sz w:val="24"/>
                <w:szCs w:val="24"/>
                <w:lang w:val="en-US"/>
              </w:rPr>
              <w:t>а высота пути эвакуации -</w:t>
            </w:r>
            <w:r>
              <w:rPr>
                <w:color w:val="auto"/>
                <w:sz w:val="24"/>
                <w:szCs w:val="24"/>
                <w:lang w:val="en-US"/>
              </w:rPr>
              <w:t xml:space="preserve"> не менее</w:t>
            </w:r>
            <w:r>
              <w:rPr>
                <w:color w:val="auto"/>
                <w:sz w:val="24"/>
                <w:szCs w:val="24"/>
              </w:rPr>
              <w:t xml:space="preserve"> </w:t>
            </w:r>
            <w:r>
              <w:rPr>
                <w:color w:val="auto"/>
                <w:sz w:val="24"/>
                <w:szCs w:val="24"/>
                <w:lang w:val="en-US"/>
              </w:rPr>
              <w:t>2,2 м.</w:t>
            </w:r>
          </w:p>
          <w:p>
            <w:pPr>
              <w:pStyle w:val="Normal"/>
              <w:spacing w:lineRule="auto" w:line="240" w:before="0" w:after="0"/>
              <w:ind w:firstLine="283" w:left="0" w:right="0"/>
              <w:jc w:val="both"/>
              <w:rPr>
                <w:rFonts w:ascii="Times New Roman" w:hAnsi="Times New Roman"/>
                <w:color w:val="auto"/>
                <w:sz w:val="24"/>
                <w:szCs w:val="24"/>
                <w:highlight w:val="none"/>
              </w:rPr>
            </w:pPr>
            <w:r>
              <w:rPr>
                <w:color w:val="auto"/>
                <w:sz w:val="24"/>
                <w:szCs w:val="24"/>
                <w:lang w:val="en-US"/>
              </w:rPr>
              <w:t xml:space="preserve">В жилых комнатах и кухнях, расположенных в этажах </w:t>
            </w:r>
            <w:r>
              <w:rPr>
                <w:color w:val="auto"/>
                <w:sz w:val="24"/>
                <w:szCs w:val="24"/>
              </w:rPr>
              <w:br/>
            </w:r>
            <w:r>
              <w:rPr>
                <w:color w:val="auto"/>
                <w:sz w:val="24"/>
                <w:szCs w:val="24"/>
                <w:lang w:val="en-US"/>
              </w:rPr>
              <w:t xml:space="preserve">с наклонными ограждающими конструкциями </w:t>
              <w:br/>
              <w:t>или в мансардном этаже, допускается уменьшение высоты помещений (от пола</w:t>
            </w:r>
            <w:r>
              <w:rPr>
                <w:color w:val="auto"/>
                <w:sz w:val="24"/>
                <w:szCs w:val="24"/>
              </w:rPr>
              <w:t xml:space="preserve"> </w:t>
            </w:r>
            <w:r>
              <w:rPr>
                <w:color w:val="auto"/>
                <w:sz w:val="24"/>
                <w:szCs w:val="24"/>
                <w:lang w:val="en-US"/>
              </w:rPr>
              <w:t>до потолка), относительно нормируемой на площади, не превышающей 50%.</w:t>
            </w:r>
          </w:p>
          <w:p>
            <w:pPr>
              <w:pStyle w:val="Normal"/>
              <w:spacing w:lineRule="auto" w:line="240" w:before="0" w:after="0"/>
              <w:ind w:firstLine="283" w:left="0" w:right="0"/>
              <w:jc w:val="both"/>
              <w:rPr>
                <w:rFonts w:ascii="Times New Roman" w:hAnsi="Times New Roman"/>
                <w:color w:val="auto"/>
                <w:sz w:val="24"/>
                <w:szCs w:val="24"/>
              </w:rPr>
            </w:pPr>
            <w:r>
              <w:rPr>
                <w:color w:val="auto"/>
                <w:sz w:val="24"/>
                <w:szCs w:val="24"/>
              </w:rPr>
              <w:t>Согласно ГПЗУ:</w:t>
            </w:r>
          </w:p>
          <w:p>
            <w:pPr>
              <w:pStyle w:val="Normal"/>
              <w:spacing w:lineRule="auto" w:line="240" w:before="0" w:after="0"/>
              <w:ind w:firstLine="283" w:left="0" w:right="0"/>
              <w:jc w:val="both"/>
              <w:rPr>
                <w:rFonts w:ascii="Times New Roman" w:hAnsi="Times New Roman"/>
                <w:color w:val="auto"/>
                <w:sz w:val="24"/>
                <w:szCs w:val="24"/>
                <w:highlight w:val="none"/>
              </w:rPr>
            </w:pPr>
            <w:r>
              <w:rPr>
                <w:color w:val="auto"/>
                <w:sz w:val="24"/>
                <w:szCs w:val="24"/>
              </w:rPr>
              <w:t>минимальный отступ от границ Участка до места допустимого размещения зданий, строений (за исключением границ со стороны территории общего пользования, где отступ определяется с учетом красных линий и линий регулирования застройки, установленных проектом планировки территории, а также границ смежных земельных участков при блокированной жилой застройке) – 3 м;</w:t>
            </w:r>
          </w:p>
          <w:p>
            <w:pPr>
              <w:pStyle w:val="Normal"/>
              <w:tabs>
                <w:tab w:val="clear" w:pos="708"/>
                <w:tab w:val="right" w:pos="6000" w:leader="none"/>
              </w:tabs>
              <w:spacing w:lineRule="auto" w:line="240" w:before="0" w:after="0"/>
              <w:ind w:firstLine="283" w:left="0" w:right="0"/>
              <w:jc w:val="both"/>
              <w:rPr>
                <w:rFonts w:ascii="Times New Roman" w:hAnsi="Times New Roman"/>
                <w:color w:val="auto"/>
                <w:sz w:val="24"/>
                <w:highlight w:val="white"/>
              </w:rPr>
            </w:pPr>
            <w:r>
              <w:rPr>
                <w:color w:val="auto"/>
                <w:sz w:val="24"/>
              </w:rPr>
              <w:t>м</w:t>
            </w:r>
            <w:r>
              <w:rPr>
                <w:color w:val="auto"/>
                <w:sz w:val="24"/>
                <w:highlight w:val="white"/>
              </w:rPr>
              <w:t>аксимальный выступ за красную линию нависающих частей здания наземных уровней, выступающих из плоскости наружной стены фасада здания на высоте не менее 4,5 м над территорией общего пользования, составляет не более 1,2 м от красной линии. В случаях, когда линия регулирования застройки отличается от красной линии, указанный выступ может быть произведен за линию регулирования застройки;</w:t>
            </w:r>
          </w:p>
          <w:p>
            <w:pPr>
              <w:pStyle w:val="Normal"/>
              <w:spacing w:lineRule="auto" w:line="240" w:before="0" w:after="0"/>
              <w:ind w:firstLine="283" w:left="0" w:right="0"/>
              <w:jc w:val="both"/>
              <w:rPr>
                <w:rFonts w:ascii="Times New Roman" w:hAnsi="Times New Roman"/>
                <w:color w:val="auto"/>
                <w:sz w:val="24"/>
                <w:szCs w:val="24"/>
                <w:highlight w:val="none"/>
              </w:rPr>
            </w:pPr>
            <w:r>
              <w:rPr>
                <w:color w:val="auto"/>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30%.</w:t>
            </w:r>
          </w:p>
          <w:p>
            <w:pPr>
              <w:pStyle w:val="Normal"/>
              <w:spacing w:lineRule="auto" w:line="240" w:before="0" w:after="0"/>
              <w:ind w:firstLine="283" w:left="0" w:right="0"/>
              <w:jc w:val="both"/>
              <w:rPr>
                <w:rFonts w:ascii="Times New Roman" w:hAnsi="Times New Roman"/>
                <w:color w:val="auto"/>
                <w:sz w:val="24"/>
                <w:szCs w:val="24"/>
                <w:highlight w:val="none"/>
              </w:rPr>
            </w:pPr>
            <w:r>
              <w:rPr>
                <w:color w:val="auto"/>
                <w:sz w:val="24"/>
                <w:szCs w:val="24"/>
              </w:rPr>
              <w:t>Согласно документации по планировке территории, утвержденной постановлением администрации города Перми от 31.12.2013 № 1291, параметры возможной предельной высоты жилой застройки до 10,5 м, но не более 3 этажей.</w:t>
            </w:r>
          </w:p>
          <w:p>
            <w:pPr>
              <w:pStyle w:val="Normal"/>
              <w:spacing w:lineRule="auto" w:line="240" w:before="0" w:after="0"/>
              <w:ind w:firstLine="283" w:left="0" w:right="0"/>
              <w:jc w:val="both"/>
              <w:rPr>
                <w:rFonts w:ascii="Times New Roman" w:hAnsi="Times New Roman"/>
                <w:color w:val="auto"/>
                <w:sz w:val="24"/>
                <w:szCs w:val="24"/>
              </w:rPr>
            </w:pPr>
            <w:r>
              <w:rPr>
                <w:color w:val="auto"/>
                <w:sz w:val="24"/>
                <w:szCs w:val="24"/>
              </w:rPr>
              <w:t xml:space="preserve">Победителю аукциона (единственному участнику) рекомендовано обратиться в уполномоченный орган </w:t>
              <w:br/>
              <w:t>с уведомлением о планируемом строительстве жилого дома.</w:t>
            </w:r>
          </w:p>
        </w:tc>
      </w:tr>
      <w:tr>
        <w:trPr>
          <w:trHeight w:val="144" w:hRule="atLeast"/>
        </w:trPr>
        <w:tc>
          <w:tcPr>
            <w:tcW w:w="567" w:type="dxa"/>
            <w:vMerge w:val="continue"/>
            <w:tcBorders>
              <w:top w:val="single" w:sz="4" w:space="0" w:color="000000"/>
              <w:left w:val="single" w:sz="4" w:space="0" w:color="000000"/>
              <w:bottom w:val="single" w:sz="4" w:space="0" w:color="000000"/>
              <w:right w:val="single" w:sz="4" w:space="0" w:color="000000"/>
            </w:tcBorders>
          </w:tcPr>
          <w:p>
            <w:pPr>
              <w:pStyle w:val="Normal"/>
              <w:jc w:val="center"/>
              <w:rPr>
                <w:sz w:val="20"/>
              </w:rPr>
            </w:pPr>
            <w:r>
              <w:rPr>
                <w:sz w:val="20"/>
              </w:rPr>
            </w:r>
          </w:p>
        </w:tc>
        <w:tc>
          <w:tcPr>
            <w:tcW w:w="3054" w:type="dxa"/>
            <w:tcBorders>
              <w:top w:val="single" w:sz="4" w:space="0" w:color="000000"/>
              <w:left w:val="single" w:sz="4" w:space="0" w:color="000000"/>
              <w:bottom w:val="single" w:sz="4" w:space="0" w:color="000000"/>
              <w:right w:val="single" w:sz="4" w:space="0" w:color="000000"/>
            </w:tcBorders>
          </w:tcPr>
          <w:p>
            <w:pPr>
              <w:pStyle w:val="Normal"/>
              <w:numPr>
                <w:ilvl w:val="0"/>
                <w:numId w:val="2"/>
              </w:numPr>
              <w:ind w:hanging="284" w:left="410" w:right="23"/>
              <w:rPr>
                <w:sz w:val="24"/>
                <w:szCs w:val="24"/>
              </w:rPr>
            </w:pPr>
            <w:r>
              <w:rPr>
                <w:sz w:val="24"/>
                <w:szCs w:val="24"/>
              </w:rPr>
              <w:t>возможность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w:t>
            </w:r>
          </w:p>
        </w:tc>
        <w:tc>
          <w:tcPr>
            <w:tcW w:w="6864" w:type="dxa"/>
            <w:tcBorders>
              <w:top w:val="single" w:sz="4" w:space="0" w:color="000000"/>
              <w:left w:val="single" w:sz="4" w:space="0" w:color="000000"/>
              <w:bottom w:val="single" w:sz="4" w:space="0" w:color="000000"/>
              <w:right w:val="single" w:sz="4" w:space="0" w:color="000000"/>
            </w:tcBorders>
          </w:tcPr>
          <w:p>
            <w:pPr>
              <w:pStyle w:val="Normal"/>
              <w:ind w:firstLine="312"/>
              <w:jc w:val="both"/>
              <w:rPr>
                <w:sz w:val="24"/>
                <w:szCs w:val="24"/>
                <w:highlight w:val="none"/>
                <w:u w:val="none"/>
              </w:rPr>
            </w:pPr>
            <w:r>
              <w:rPr>
                <w:sz w:val="24"/>
                <w:szCs w:val="24"/>
                <w:u w:val="none"/>
              </w:rPr>
            </w:r>
          </w:p>
          <w:p>
            <w:pPr>
              <w:pStyle w:val="Normal"/>
              <w:ind w:firstLine="312"/>
              <w:jc w:val="both"/>
              <w:rPr>
                <w:sz w:val="24"/>
                <w:szCs w:val="24"/>
                <w:highlight w:val="none"/>
                <w:u w:val="none"/>
              </w:rPr>
            </w:pPr>
            <w:r>
              <w:rPr/>
              <w:t xml:space="preserve">В </w:t>
            </w:r>
            <w:r>
              <w:rPr>
                <w:shd w:fill="FFFFFF" w:val="clear"/>
              </w:rPr>
              <w:t xml:space="preserve">документации по земельному участку, размещенной </w:t>
              <w:br/>
              <w:t xml:space="preserve">с извещением о проведении аукциона в ГИС Торги </w:t>
            </w:r>
            <w:r>
              <w:rPr>
                <w:lang w:val="en-US"/>
              </w:rPr>
              <w:t>www</w:t>
            </w:r>
            <w:r>
              <w:rPr/>
              <w:t>.</w:t>
            </w:r>
            <w:r>
              <w:rPr>
                <w:lang w:val="en-US"/>
              </w:rPr>
              <w:t>torgi</w:t>
            </w:r>
            <w:r>
              <w:rPr/>
              <w:t>.</w:t>
            </w:r>
            <w:r>
              <w:rPr>
                <w:lang w:val="en-US"/>
              </w:rPr>
              <w:t>gov</w:t>
            </w:r>
            <w:r>
              <w:rPr/>
              <w:t>.</w:t>
            </w:r>
            <w:r>
              <w:rPr>
                <w:lang w:val="en-US"/>
              </w:rPr>
              <w:t>ru</w:t>
            </w:r>
            <w:r>
              <w:rPr>
                <w:shd w:fill="FFFFFF" w:val="clear"/>
              </w:rPr>
              <w:t xml:space="preserve">, на официальном сайте муниципального образования город Пермь в информационно-телекоммуникационной сети Интернет </w:t>
            </w:r>
            <w:hyperlink r:id="rId22" w:tgtFrame="http://www.gorodperm.ru/">
              <w:r>
                <w:rPr>
                  <w:rStyle w:val="Hyperlink"/>
                  <w:color w:themeColor="text1" w:val="000000"/>
                  <w:u w:val="none"/>
                </w:rPr>
                <w:t>www.gorodperm.ru</w:t>
              </w:r>
            </w:hyperlink>
            <w:r>
              <w:rPr>
                <w:color w:themeColor="text1" w:val="000000"/>
                <w:u w:val="none"/>
              </w:rPr>
              <w:t>.</w:t>
            </w:r>
          </w:p>
          <w:p>
            <w:pPr>
              <w:pStyle w:val="Normal"/>
              <w:ind w:firstLine="312"/>
              <w:jc w:val="both"/>
              <w:rPr>
                <w:sz w:val="24"/>
                <w:szCs w:val="24"/>
                <w:highlight w:val="none"/>
              </w:rPr>
            </w:pPr>
            <w:r>
              <w:rPr>
                <w:sz w:val="24"/>
                <w:szCs w:val="24"/>
              </w:rPr>
            </w:r>
          </w:p>
          <w:p>
            <w:pPr>
              <w:pStyle w:val="Normal"/>
              <w:spacing w:lineRule="auto" w:line="240" w:before="0" w:after="0"/>
              <w:ind w:firstLine="283" w:left="0" w:right="0"/>
              <w:jc w:val="both"/>
              <w:rPr>
                <w:rFonts w:ascii="Times New Roman" w:hAnsi="Times New Roman"/>
                <w:color w:val="auto"/>
                <w:sz w:val="24"/>
                <w:szCs w:val="24"/>
                <w:highlight w:val="none"/>
                <w14:ligatures w14:val="none"/>
              </w:rPr>
            </w:pPr>
            <w:r>
              <w:rPr>
                <w:color w:val="auto"/>
                <w:sz w:val="24"/>
                <w:szCs w:val="24"/>
              </w:rPr>
              <w:t>О наличии технической возможности технологического присоединения к электросетям филиала энергопринимающего устройства объекта капитального строительства с предполагаемой максимальной мощностью 15 кВт сообщает следующее.</w:t>
            </w:r>
          </w:p>
          <w:p>
            <w:pPr>
              <w:pStyle w:val="Normal"/>
              <w:spacing w:lineRule="auto" w:line="240" w:before="0" w:after="0"/>
              <w:ind w:firstLine="283" w:left="0" w:right="0"/>
              <w:jc w:val="both"/>
              <w:rPr>
                <w:rFonts w:ascii="Times New Roman" w:hAnsi="Times New Roman"/>
                <w:color w:val="auto"/>
                <w:sz w:val="24"/>
                <w:szCs w:val="24"/>
                <w:highlight w:val="none"/>
                <w14:ligatures w14:val="none"/>
              </w:rPr>
            </w:pPr>
            <w:r>
              <w:rPr>
                <w:color w:val="auto"/>
                <w:sz w:val="24"/>
                <w:szCs w:val="24"/>
              </w:rPr>
              <w:t xml:space="preserve">Порядок технологического присоединения </w:t>
              <w:br/>
              <w:t xml:space="preserve">к электрическим сетям регламентирован Правилами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 к электрическим сетям, утвержденными постановлением Правительства РФ </w:t>
              <w:br/>
              <w:t>от 27.12.2004 № 861 (далее – Правила ТП).</w:t>
            </w:r>
          </w:p>
          <w:p>
            <w:pPr>
              <w:pStyle w:val="Normal"/>
              <w:spacing w:lineRule="auto" w:line="240" w:before="0" w:after="0"/>
              <w:ind w:firstLine="283" w:left="0" w:right="0"/>
              <w:jc w:val="both"/>
              <w:rPr>
                <w:rFonts w:ascii="Times New Roman" w:hAnsi="Times New Roman"/>
                <w:color w:val="auto"/>
                <w:sz w:val="24"/>
                <w:szCs w:val="24"/>
                <w:highlight w:val="none"/>
                <w14:ligatures w14:val="none"/>
              </w:rPr>
            </w:pPr>
            <w:r>
              <w:rPr>
                <w:color w:val="auto"/>
                <w:sz w:val="24"/>
                <w:szCs w:val="24"/>
              </w:rPr>
              <w:t>В силу пункта 6 Правил ТП технологическое присоединение осуществляется на основании договора заключаемого между сетевой организацией и юридическим или физическим лицом. Перечень мероприятий по технологическому присоединению определяется в технических условиях.</w:t>
            </w:r>
          </w:p>
          <w:p>
            <w:pPr>
              <w:pStyle w:val="Normal"/>
              <w:spacing w:lineRule="auto" w:line="240" w:before="0" w:after="0"/>
              <w:ind w:firstLine="283" w:left="0" w:right="0"/>
              <w:jc w:val="both"/>
              <w:rPr>
                <w:rFonts w:ascii="Times New Roman" w:hAnsi="Times New Roman"/>
                <w:color w:val="auto"/>
                <w:sz w:val="24"/>
                <w:szCs w:val="24"/>
                <w:highlight w:val="none"/>
                <w14:ligatures w14:val="none"/>
              </w:rPr>
            </w:pPr>
            <w:r>
              <w:rPr>
                <w:color w:val="auto"/>
                <w:sz w:val="24"/>
                <w:szCs w:val="24"/>
              </w:rPr>
              <w:t xml:space="preserve">Согласно пунктам 15, 25, 25.1 Правил ТП технические условия являются неотъемлемым приложением </w:t>
              <w:br/>
              <w:t>к соответствующему договору технологического присоединения и представляют собой техническое решение присоединения конкретного энергопринимающего устройства к сетям электросетевой организации, которое предусматривают точки присоединения, требования к усилению существующей сети, иные технические требования. Следовательно, технические условия для технологического присоединения предоставляются заявителю сетевой организацией вместе с договором о технологическом присоединении.</w:t>
            </w:r>
          </w:p>
          <w:p>
            <w:pPr>
              <w:pStyle w:val="Normal"/>
              <w:spacing w:lineRule="auto" w:line="240" w:before="0" w:after="0"/>
              <w:ind w:firstLine="283" w:left="0" w:right="0"/>
              <w:jc w:val="both"/>
              <w:rPr>
                <w:rFonts w:ascii="Times New Roman" w:hAnsi="Times New Roman"/>
                <w:color w:val="auto"/>
                <w:sz w:val="24"/>
                <w:szCs w:val="24"/>
                <w:highlight w:val="none"/>
                <w14:ligatures w14:val="none"/>
              </w:rPr>
            </w:pPr>
            <w:r>
              <w:rPr>
                <w:color w:val="auto"/>
                <w:sz w:val="24"/>
                <w:szCs w:val="24"/>
              </w:rPr>
              <w:t>В границах участка накладывается охранная зона воздушной линии электропередачи 6 кВ ф. Запруд подстанции Балмошная, принадлежащая на праве собственности ПАО «Россети Урал».</w:t>
            </w:r>
          </w:p>
          <w:p>
            <w:pPr>
              <w:pStyle w:val="Normal"/>
              <w:spacing w:lineRule="auto" w:line="240" w:before="0" w:after="0"/>
              <w:ind w:firstLine="283" w:left="0" w:right="0"/>
              <w:jc w:val="both"/>
              <w:rPr>
                <w:rFonts w:ascii="Times New Roman" w:hAnsi="Times New Roman"/>
                <w:color w:val="auto"/>
                <w:sz w:val="24"/>
                <w:szCs w:val="24"/>
                <w:highlight w:val="none"/>
                <w14:ligatures w14:val="none"/>
              </w:rPr>
            </w:pPr>
            <w:r>
              <w:rPr>
                <w:color w:val="auto"/>
                <w:sz w:val="24"/>
                <w:szCs w:val="24"/>
              </w:rPr>
              <w:t xml:space="preserve">Для получения технических условий и заключения договора на технологическое присоединении необходимо направить в адрес филиала ПАО «Россети Урал» - «Пермэнерго» соответствующую заявку с указанием сведений и приложением необходимых документов в соответствии с Правилами ТП через единый федеральный портал электросетевых услуг группы компаний «Россети» на сайте: </w:t>
            </w:r>
            <w:hyperlink r:id="rId23" w:tgtFrame="https://">
              <w:r>
                <w:rPr>
                  <w:rStyle w:val="ListLabel50"/>
                  <w:color w:val="auto"/>
                  <w:sz w:val="24"/>
                  <w:szCs w:val="24"/>
                </w:rPr>
                <w:t>https://</w:t>
              </w:r>
            </w:hyperlink>
            <w:r>
              <w:rPr>
                <w:color w:val="auto"/>
                <w:sz w:val="24"/>
                <w:szCs w:val="24"/>
              </w:rPr>
              <w:t xml:space="preserve"> портал-тп.рф, через Мобильное приложение ПАО «Россети» или при очном приеме в Центре обслуживания клиентов филиала «Россети» или рот очном приеме в Центре обслуживания клиентов филиала «Россети Урал» - «Пермэнерго» по адресу: г. Пермь, ул. Камчатовская, д. 26, а также почтовым отправлением по адресу: 614016, г. Пермь, ул. Камчатовская, 26. По дополнительным вопросам телефон контакт-центра: 8-800-220-0-220 (круглосуточно и бесплатно).</w:t>
            </w:r>
          </w:p>
          <w:p>
            <w:pPr>
              <w:pStyle w:val="Normal"/>
              <w:spacing w:lineRule="auto" w:line="240" w:before="0" w:after="0"/>
              <w:ind w:firstLine="283" w:left="0" w:right="0"/>
              <w:jc w:val="both"/>
              <w:rPr>
                <w:rFonts w:ascii="Times New Roman" w:hAnsi="Times New Roman"/>
                <w:color w:val="auto"/>
                <w:sz w:val="24"/>
                <w:szCs w:val="24"/>
                <w:highlight w:val="none"/>
                <w14:ligatures w14:val="none"/>
              </w:rPr>
            </w:pPr>
            <w:r>
              <w:rPr>
                <w:color w:val="auto"/>
                <w:sz w:val="24"/>
                <w:szCs w:val="24"/>
              </w:rPr>
              <w:t xml:space="preserve">При подготовке градостроительного плана земельного участка необходимо предусмотреть коридоры </w:t>
              <w:br/>
              <w:t>для строительства кабельных линий и место для размещения трансформаторных подстанций.</w:t>
            </w:r>
          </w:p>
          <w:p>
            <w:pPr>
              <w:pStyle w:val="Normal"/>
              <w:tabs>
                <w:tab w:val="clear" w:pos="708"/>
                <w:tab w:val="right" w:pos="6000" w:leader="none"/>
              </w:tabs>
              <w:spacing w:lineRule="auto" w:line="240" w:before="0" w:after="0"/>
              <w:ind w:firstLine="311"/>
              <w:jc w:val="both"/>
              <w:rPr/>
            </w:pPr>
            <w:r>
              <w:rPr>
                <w:sz w:val="24"/>
                <w:szCs w:val="24"/>
                <w:highlight w:val="white"/>
              </w:rPr>
              <w:t xml:space="preserve">(Аналогичная информация отражена в письме </w:t>
            </w:r>
            <w:r>
              <w:rPr>
                <w:b/>
                <w:bCs/>
                <w:color w:val="auto"/>
                <w:sz w:val="24"/>
                <w:szCs w:val="24"/>
              </w:rPr>
              <w:t xml:space="preserve">филиала ПАО «Россети Урал» - «Пермэнерго» Пермские городские электрические сети» </w:t>
            </w:r>
            <w:r>
              <w:rPr>
                <w:color w:val="auto"/>
                <w:sz w:val="24"/>
                <w:szCs w:val="24"/>
              </w:rPr>
              <w:t>от 20.02.2026 № ПЭ/ПГЭС/01/22/2699</w:t>
            </w:r>
            <w:r>
              <w:rPr>
                <w:sz w:val="24"/>
                <w:szCs w:val="24"/>
                <w:highlight w:val="white"/>
              </w:rPr>
              <w:t>).</w:t>
            </w:r>
          </w:p>
          <w:p>
            <w:pPr>
              <w:pStyle w:val="Normal"/>
              <w:tabs>
                <w:tab w:val="clear" w:pos="708"/>
                <w:tab w:val="right" w:pos="6000" w:leader="none"/>
              </w:tabs>
              <w:spacing w:lineRule="auto" w:line="240" w:before="0" w:after="0"/>
              <w:ind w:firstLine="311"/>
              <w:jc w:val="both"/>
              <w:rPr>
                <w:rFonts w:ascii="Times New Roman" w:hAnsi="Times New Roman"/>
                <w:color w:val="auto"/>
                <w:sz w:val="24"/>
                <w:szCs w:val="24"/>
                <w:highlight w:val="white"/>
              </w:rPr>
            </w:pPr>
            <w:r>
              <w:rPr>
                <w:color w:val="auto"/>
                <w:sz w:val="24"/>
                <w:szCs w:val="24"/>
                <w:highlight w:val="white"/>
              </w:rPr>
            </w:r>
          </w:p>
          <w:p>
            <w:pPr>
              <w:pStyle w:val="Normal"/>
              <w:spacing w:lineRule="auto" w:line="240" w:before="0" w:after="0"/>
              <w:ind w:firstLine="283" w:left="0" w:right="0"/>
              <w:jc w:val="both"/>
              <w:rPr>
                <w:rFonts w:ascii="Times New Roman" w:hAnsi="Times New Roman"/>
                <w:color w:themeColor="accent4" w:themeShade="bf" w:val="auto"/>
                <w:sz w:val="24"/>
                <w:szCs w:val="24"/>
                <w:highlight w:val="none"/>
                <w14:ligatures w14:val="none"/>
              </w:rPr>
            </w:pPr>
            <w:r>
              <w:rPr>
                <w:color w:val="auto"/>
                <w:sz w:val="24"/>
                <w:szCs w:val="24"/>
              </w:rPr>
              <w:t>Участок находится вне зоны теплоснабжения ПАО «Т Плюс».</w:t>
            </w:r>
          </w:p>
          <w:p>
            <w:pPr>
              <w:pStyle w:val="Normal"/>
              <w:spacing w:lineRule="auto" w:line="240" w:before="0" w:after="0"/>
              <w:ind w:firstLine="283" w:left="0" w:right="0"/>
              <w:jc w:val="both"/>
              <w:rPr>
                <w:rFonts w:ascii="Times New Roman" w:hAnsi="Times New Roman"/>
                <w:color w:val="auto"/>
                <w:sz w:val="24"/>
                <w:szCs w:val="24"/>
                <w:highlight w:val="none"/>
                <w14:ligatures w14:val="none"/>
              </w:rPr>
            </w:pPr>
            <w:r>
              <w:rPr>
                <w:color w:val="auto"/>
                <w:sz w:val="24"/>
                <w:szCs w:val="24"/>
              </w:rPr>
              <w:t xml:space="preserve">Для запроса информации о возможности подключения земельного участка рекомендуется обратиться </w:t>
              <w:br/>
              <w:t>к собственникам близлежащих тепловых сетей/источников теплоснабжения или рассмотреть возможность альтернативного источника теплоснабжения.</w:t>
            </w:r>
          </w:p>
          <w:p>
            <w:pPr>
              <w:pStyle w:val="Normal"/>
              <w:tabs>
                <w:tab w:val="clear" w:pos="708"/>
                <w:tab w:val="right" w:pos="6000" w:leader="none"/>
              </w:tabs>
              <w:spacing w:lineRule="auto" w:line="240" w:before="0" w:after="0"/>
              <w:ind w:firstLine="311"/>
              <w:jc w:val="both"/>
              <w:rPr/>
            </w:pPr>
            <w:r>
              <w:rPr>
                <w:sz w:val="24"/>
                <w:szCs w:val="24"/>
                <w:highlight w:val="white"/>
              </w:rPr>
              <w:t xml:space="preserve">(Аналогичная информация отражена в письме </w:t>
            </w:r>
            <w:r>
              <w:rPr>
                <w:b/>
                <w:color w:val="auto"/>
                <w:sz w:val="24"/>
                <w:szCs w:val="24"/>
                <w:highlight w:val="white"/>
              </w:rPr>
              <w:t>ПАО «Т Плюс»</w:t>
            </w:r>
            <w:r>
              <w:rPr>
                <w:color w:val="auto"/>
                <w:sz w:val="24"/>
                <w:szCs w:val="24"/>
                <w:highlight w:val="white"/>
              </w:rPr>
              <w:t xml:space="preserve"> от 26.02.2026 № 51000-32-00722</w:t>
            </w:r>
            <w:r>
              <w:rPr>
                <w:sz w:val="24"/>
                <w:szCs w:val="24"/>
                <w:highlight w:val="white"/>
              </w:rPr>
              <w:t>).</w:t>
            </w:r>
          </w:p>
          <w:p>
            <w:pPr>
              <w:pStyle w:val="Normal"/>
              <w:tabs>
                <w:tab w:val="clear" w:pos="708"/>
                <w:tab w:val="right" w:pos="6000" w:leader="none"/>
              </w:tabs>
              <w:spacing w:lineRule="auto" w:line="240" w:before="0" w:after="0"/>
              <w:ind w:firstLine="311"/>
              <w:jc w:val="both"/>
              <w:rPr>
                <w:rFonts w:ascii="Times New Roman" w:hAnsi="Times New Roman"/>
                <w:color w:val="auto"/>
                <w:sz w:val="24"/>
                <w:szCs w:val="24"/>
                <w:highlight w:val="white"/>
              </w:rPr>
            </w:pPr>
            <w:r>
              <w:rPr>
                <w:color w:val="auto"/>
                <w:sz w:val="24"/>
                <w:szCs w:val="24"/>
                <w:highlight w:val="white"/>
              </w:rPr>
            </w:r>
          </w:p>
          <w:p>
            <w:pPr>
              <w:pStyle w:val="Normal"/>
              <w:spacing w:lineRule="auto" w:line="240" w:before="0" w:after="0"/>
              <w:ind w:firstLine="283" w:left="0" w:right="0"/>
              <w:jc w:val="both"/>
              <w:rPr>
                <w:rFonts w:ascii="Times New Roman" w:hAnsi="Times New Roman"/>
                <w:color w:val="auto"/>
                <w:sz w:val="24"/>
                <w:szCs w:val="24"/>
                <w:highlight w:val="none"/>
                <w14:ligatures w14:val="none"/>
              </w:rPr>
            </w:pPr>
            <w:r>
              <w:rPr>
                <w:color w:val="auto"/>
                <w:sz w:val="24"/>
                <w:szCs w:val="24"/>
              </w:rPr>
              <w:t>Техническая возможность подключения объекта капитального строительства с предполагаемой максимальной нагрузкой 8 куб.м/час к существующим сетям газораспределения имеется.</w:t>
            </w:r>
          </w:p>
          <w:p>
            <w:pPr>
              <w:pStyle w:val="Normal"/>
              <w:spacing w:lineRule="auto" w:line="240" w:before="0" w:after="0"/>
              <w:ind w:firstLine="283" w:left="0" w:right="0"/>
              <w:jc w:val="both"/>
              <w:rPr>
                <w:rFonts w:ascii="Times New Roman" w:hAnsi="Times New Roman"/>
                <w:color w:val="auto"/>
                <w:sz w:val="24"/>
                <w:szCs w:val="24"/>
                <w:highlight w:val="none"/>
                <w14:ligatures w14:val="none"/>
              </w:rPr>
            </w:pPr>
            <w:r>
              <w:rPr>
                <w:color w:val="auto"/>
                <w:sz w:val="24"/>
                <w:szCs w:val="24"/>
              </w:rPr>
              <w:t>Для рассмотрения вопроса о предоставлении технических условий на подключение (технологическое присоединение) необходимо направить запрос с приложением необходимых документов и сведений на электронную почту post@pf.ugaz.ru, либо почтовым отправлением по адресу: г. Пермь, ул. Уральская, 104, через Единый центр предоставления услуг по адресу: г. Пермь, ул. Уральская, д. 104, каб. 101.</w:t>
            </w:r>
          </w:p>
          <w:p>
            <w:pPr>
              <w:pStyle w:val="Normal"/>
              <w:tabs>
                <w:tab w:val="clear" w:pos="708"/>
                <w:tab w:val="right" w:pos="6000" w:leader="none"/>
              </w:tabs>
              <w:spacing w:lineRule="auto" w:line="240" w:before="0" w:after="0"/>
              <w:ind w:firstLine="311"/>
              <w:jc w:val="both"/>
              <w:rPr/>
            </w:pPr>
            <w:r>
              <w:rPr>
                <w:sz w:val="24"/>
                <w:szCs w:val="24"/>
                <w:highlight w:val="white"/>
              </w:rPr>
              <w:t xml:space="preserve">(Аналогичная информация отражена в письме </w:t>
            </w:r>
            <w:r>
              <w:rPr>
                <w:b/>
                <w:bCs/>
                <w:color w:val="auto"/>
                <w:sz w:val="24"/>
                <w:szCs w:val="24"/>
              </w:rPr>
              <w:t xml:space="preserve">АО «Газпром газораспределение Пермь» </w:t>
            </w:r>
            <w:r>
              <w:rPr>
                <w:color w:val="auto"/>
                <w:sz w:val="24"/>
                <w:szCs w:val="24"/>
              </w:rPr>
              <w:t>от 09.04.2026 № ПФ-2543</w:t>
            </w:r>
            <w:r>
              <w:rPr>
                <w:sz w:val="24"/>
                <w:szCs w:val="24"/>
                <w:highlight w:val="white"/>
              </w:rPr>
              <w:t>).</w:t>
            </w:r>
          </w:p>
          <w:p>
            <w:pPr>
              <w:pStyle w:val="Normal"/>
              <w:tabs>
                <w:tab w:val="clear" w:pos="708"/>
                <w:tab w:val="right" w:pos="6000" w:leader="none"/>
              </w:tabs>
              <w:spacing w:lineRule="auto" w:line="240" w:before="0" w:after="0"/>
              <w:ind w:firstLine="311"/>
              <w:jc w:val="both"/>
              <w:rPr>
                <w:rFonts w:ascii="Times New Roman" w:hAnsi="Times New Roman"/>
                <w:color w:val="auto"/>
                <w:sz w:val="24"/>
                <w:szCs w:val="24"/>
                <w:highlight w:val="white"/>
              </w:rPr>
            </w:pPr>
            <w:r>
              <w:rPr>
                <w:color w:val="auto"/>
                <w:sz w:val="24"/>
                <w:szCs w:val="24"/>
                <w:highlight w:val="white"/>
              </w:rPr>
            </w:r>
          </w:p>
          <w:p>
            <w:pPr>
              <w:pStyle w:val="Normal"/>
              <w:spacing w:lineRule="auto" w:line="240" w:before="0" w:after="0"/>
              <w:ind w:firstLine="283" w:left="0" w:right="0"/>
              <w:jc w:val="both"/>
              <w:rPr>
                <w:rFonts w:ascii="Times New Roman" w:hAnsi="Times New Roman"/>
                <w:color w:themeColor="accent4" w:themeShade="bf" w:val="auto"/>
                <w:sz w:val="24"/>
                <w:szCs w:val="24"/>
                <w:highlight w:val="none"/>
              </w:rPr>
            </w:pPr>
            <w:r>
              <w:rPr>
                <w:color w:val="auto"/>
                <w:sz w:val="24"/>
                <w:szCs w:val="24"/>
              </w:rPr>
              <w:t>Техническая возможность подключения к сетям теплоснабжения отсутствует. Рекомендовано рассмотреть альтернативный источник теплоснабжения – газ, электричество, дрова, пеллеты.</w:t>
            </w:r>
          </w:p>
          <w:p>
            <w:pPr>
              <w:pStyle w:val="Normal"/>
              <w:tabs>
                <w:tab w:val="clear" w:pos="708"/>
                <w:tab w:val="right" w:pos="6000" w:leader="none"/>
              </w:tabs>
              <w:spacing w:lineRule="auto" w:line="240" w:before="0" w:after="0"/>
              <w:ind w:firstLine="311"/>
              <w:jc w:val="both"/>
              <w:rPr/>
            </w:pPr>
            <w:r>
              <w:rPr>
                <w:sz w:val="24"/>
                <w:szCs w:val="24"/>
                <w:highlight w:val="white"/>
              </w:rPr>
              <w:t xml:space="preserve">(Аналогичная информация отражена в письме </w:t>
            </w:r>
            <w:r>
              <w:rPr>
                <w:b/>
                <w:color w:val="auto"/>
                <w:sz w:val="24"/>
                <w:szCs w:val="24"/>
                <w:highlight w:val="white"/>
              </w:rPr>
              <w:t xml:space="preserve">департамента жилищно-коммунального хозяйства администрации города Перми </w:t>
            </w:r>
            <w:r>
              <w:rPr>
                <w:color w:val="auto"/>
                <w:sz w:val="24"/>
                <w:szCs w:val="24"/>
                <w:highlight w:val="white"/>
              </w:rPr>
              <w:t>от 19.03.2026 № 059-04-25/3-46-ри</w:t>
            </w:r>
            <w:r>
              <w:rPr>
                <w:sz w:val="24"/>
                <w:szCs w:val="24"/>
                <w:highlight w:val="white"/>
              </w:rPr>
              <w:t>).</w:t>
            </w:r>
          </w:p>
          <w:p>
            <w:pPr>
              <w:pStyle w:val="Normal"/>
              <w:tabs>
                <w:tab w:val="clear" w:pos="708"/>
                <w:tab w:val="right" w:pos="6000" w:leader="none"/>
              </w:tabs>
              <w:spacing w:lineRule="auto" w:line="240" w:before="0" w:after="0"/>
              <w:ind w:firstLine="311"/>
              <w:jc w:val="both"/>
              <w:rPr>
                <w:rFonts w:ascii="Times New Roman" w:hAnsi="Times New Roman"/>
                <w:color w:val="auto"/>
                <w:sz w:val="24"/>
                <w:szCs w:val="24"/>
                <w:highlight w:val="white"/>
              </w:rPr>
            </w:pPr>
            <w:r>
              <w:rPr>
                <w:color w:val="auto"/>
                <w:sz w:val="24"/>
                <w:szCs w:val="24"/>
                <w:highlight w:val="white"/>
              </w:rPr>
            </w:r>
          </w:p>
          <w:p>
            <w:pPr>
              <w:pStyle w:val="Normal"/>
              <w:spacing w:lineRule="auto" w:line="240" w:before="0" w:after="0"/>
              <w:ind w:firstLine="283" w:left="0" w:right="0"/>
              <w:jc w:val="both"/>
              <w:rPr>
                <w:rFonts w:ascii="Times New Roman" w:hAnsi="Times New Roman"/>
                <w:color w:val="auto"/>
                <w:sz w:val="24"/>
                <w:szCs w:val="24"/>
                <w:highlight w:val="none"/>
                <w14:ligatures w14:val="none"/>
              </w:rPr>
            </w:pPr>
            <w:r>
              <w:rPr>
                <w:color w:val="auto"/>
                <w:sz w:val="24"/>
                <w:szCs w:val="24"/>
              </w:rPr>
              <w:t>О наличии технической возможности для подключения сетей водоснабжения и водоотведения с предполагаемой величиной нагрузки 1,0 м3/сут. сообщается следующее.</w:t>
            </w:r>
          </w:p>
          <w:p>
            <w:pPr>
              <w:pStyle w:val="Normal"/>
              <w:spacing w:lineRule="auto" w:line="240" w:before="0" w:after="0"/>
              <w:ind w:firstLine="283" w:left="0" w:right="0"/>
              <w:jc w:val="both"/>
              <w:rPr>
                <w:rFonts w:ascii="Times New Roman" w:hAnsi="Times New Roman"/>
                <w:color w:themeColor="accent3" w:themeShade="bf" w:val="auto"/>
                <w:sz w:val="25"/>
                <w:highlight w:val="none"/>
                <w14:ligatures w14:val="none"/>
              </w:rPr>
            </w:pPr>
            <w:r>
              <w:rPr>
                <w:color w:val="auto"/>
                <w:sz w:val="24"/>
                <w:szCs w:val="24"/>
              </w:rPr>
              <w:t xml:space="preserve">Ближайшей сетью водоснабжения, эксплуатируемой </w:t>
              <w:br/>
              <w:t>ООО «НОВОГОР Прикамье», является водопровод Д-110 мм, по ул. 2 -я Чермозская, ориентировочное расстояние от земельного участка - 200 м.</w:t>
            </w:r>
          </w:p>
          <w:p>
            <w:pPr>
              <w:pStyle w:val="Normal"/>
              <w:spacing w:lineRule="auto" w:line="240" w:before="0" w:after="0"/>
              <w:ind w:firstLine="283" w:left="0" w:right="0"/>
              <w:jc w:val="both"/>
              <w:rPr>
                <w:rFonts w:ascii="Times New Roman" w:hAnsi="Times New Roman"/>
                <w:color w:val="auto"/>
                <w:sz w:val="25"/>
                <w:highlight w:val="none"/>
                <w14:ligatures w14:val="none"/>
              </w:rPr>
            </w:pPr>
            <w:r>
              <w:rPr>
                <w:color w:val="auto"/>
                <w:sz w:val="24"/>
                <w:szCs w:val="24"/>
              </w:rPr>
              <w:t>В районе вышеуказанного земельного  участка отсутствуют централизованные сети канализации, эксплуатируемые ООО «НОВОГОР - Прикамье».</w:t>
            </w:r>
          </w:p>
          <w:p>
            <w:pPr>
              <w:pStyle w:val="Normal"/>
              <w:spacing w:lineRule="auto" w:line="240" w:before="0" w:after="0"/>
              <w:ind w:firstLine="283" w:left="0" w:right="0"/>
              <w:jc w:val="both"/>
              <w:rPr>
                <w:rFonts w:ascii="Times New Roman" w:hAnsi="Times New Roman"/>
                <w:color w:themeColor="accent3" w:themeShade="bf" w:val="auto"/>
                <w:sz w:val="26"/>
                <w:highlight w:val="none"/>
                <w14:ligatures w14:val="none"/>
              </w:rPr>
            </w:pPr>
            <w:r>
              <w:rPr>
                <w:color w:val="auto"/>
                <w:sz w:val="24"/>
                <w:szCs w:val="24"/>
              </w:rPr>
              <w:t xml:space="preserve">Ближайшие сети водоотведения эксплуатируемые </w:t>
              <w:br/>
              <w:t xml:space="preserve">ООО «НОВОГОР - Прикамье», располагаются в районе здания по ул. Гарцовская, 68 ориентировочно </w:t>
              <w:br/>
              <w:t>на расстоянии - 900 м от вышеуказанного земельного участка.</w:t>
            </w:r>
          </w:p>
          <w:p>
            <w:pPr>
              <w:pStyle w:val="Normal"/>
              <w:spacing w:lineRule="auto" w:line="240" w:before="0" w:after="0"/>
              <w:ind w:firstLine="283" w:left="0" w:right="0"/>
              <w:jc w:val="both"/>
              <w:rPr>
                <w:rFonts w:ascii="Times New Roman" w:hAnsi="Times New Roman"/>
                <w:color w:themeColor="accent3" w:themeShade="bf" w:val="auto"/>
                <w:sz w:val="25"/>
                <w:highlight w:val="none"/>
                <w14:ligatures w14:val="none"/>
              </w:rPr>
            </w:pPr>
            <w:r>
              <w:rPr>
                <w:color w:val="auto"/>
                <w:sz w:val="24"/>
                <w:szCs w:val="24"/>
              </w:rPr>
              <w:t>Виду отсутствия данных о посадке проектируемого объекта, длина технологического разрыва до сетей водоснабжения и водоотведения указаны ориентировочно.</w:t>
            </w:r>
          </w:p>
          <w:p>
            <w:pPr>
              <w:pStyle w:val="Normal"/>
              <w:spacing w:lineRule="auto" w:line="240" w:before="0" w:after="0"/>
              <w:ind w:firstLine="283" w:left="0" w:right="0"/>
              <w:jc w:val="both"/>
              <w:rPr>
                <w:rFonts w:ascii="Times New Roman" w:hAnsi="Times New Roman"/>
                <w:color w:val="auto"/>
                <w:sz w:val="24"/>
                <w:szCs w:val="24"/>
                <w:highlight w:val="none"/>
                <w14:ligatures w14:val="none"/>
              </w:rPr>
            </w:pPr>
            <w:r>
              <w:rPr>
                <w:color w:val="auto"/>
                <w:sz w:val="24"/>
                <w:szCs w:val="24"/>
              </w:rPr>
              <w:t>При проектировании может быть применен альтернативный способ водоснабжения без подключения к централизованной системе водоснабжения (от скважины) и альтернативный способ канализования, без подключения к централизованной системе канализации г. Перми (отвод стоков на локальные очистные сооружения, канализование объекта в выгребную яму с последующим вывозом стоков спец. машинами), который должен соответствовать всем нормативным требованиям Российской Федерации.</w:t>
            </w:r>
          </w:p>
          <w:p>
            <w:pPr>
              <w:pStyle w:val="Normal"/>
              <w:spacing w:lineRule="auto" w:line="240" w:before="0" w:after="0"/>
              <w:ind w:firstLine="283" w:left="0" w:right="0"/>
              <w:jc w:val="both"/>
              <w:rPr>
                <w:rFonts w:ascii="Times New Roman" w:hAnsi="Times New Roman"/>
                <w:color w:val="auto"/>
                <w:sz w:val="24"/>
                <w:szCs w:val="24"/>
                <w:highlight w:val="none"/>
                <w14:ligatures w14:val="none"/>
              </w:rPr>
            </w:pPr>
            <w:r>
              <w:rPr>
                <w:color w:val="auto"/>
                <w:sz w:val="24"/>
                <w:szCs w:val="24"/>
              </w:rPr>
              <w:t xml:space="preserve">ООО «НОВОГОР-Прикамье» эксплуатирует только централизованные системы водоснабжения и водоотведения, по вопросу возможности обеспечения индивидуального жилого дома холодным водоснабжением от скважины и отвода канализационных стоков локально, предлагаем вам обратиться </w:t>
              <w:br/>
              <w:t>в соответствующие организации, регулирующие недропользование.</w:t>
            </w:r>
          </w:p>
          <w:p>
            <w:pPr>
              <w:pStyle w:val="Normal"/>
              <w:spacing w:lineRule="auto" w:line="240" w:before="0" w:after="0"/>
              <w:ind w:firstLine="283" w:left="0" w:right="0"/>
              <w:jc w:val="both"/>
              <w:rPr>
                <w:rFonts w:ascii="Times New Roman" w:hAnsi="Times New Roman"/>
                <w:color w:val="auto"/>
                <w:sz w:val="24"/>
                <w:szCs w:val="24"/>
                <w:highlight w:val="none"/>
                <w14:ligatures w14:val="none"/>
              </w:rPr>
            </w:pPr>
            <w:r>
              <w:rPr>
                <w:color w:val="auto"/>
                <w:sz w:val="24"/>
                <w:szCs w:val="24"/>
              </w:rPr>
              <w:t>ООО «НОВОГОР-Прикамье» не располагает сведениями о наличии сетей 3-x лиц в границах вышеуказанного земельного участка.</w:t>
            </w:r>
          </w:p>
          <w:p>
            <w:pPr>
              <w:pStyle w:val="Normal"/>
              <w:tabs>
                <w:tab w:val="clear" w:pos="708"/>
                <w:tab w:val="right" w:pos="6000" w:leader="none"/>
              </w:tabs>
              <w:spacing w:lineRule="auto" w:line="240" w:before="0" w:after="0"/>
              <w:ind w:firstLine="311"/>
              <w:jc w:val="both"/>
              <w:rPr/>
            </w:pPr>
            <w:r>
              <w:rPr>
                <w:sz w:val="24"/>
                <w:szCs w:val="24"/>
                <w:highlight w:val="white"/>
              </w:rPr>
              <w:t xml:space="preserve">(Аналогичная информация отражена в письме </w:t>
            </w:r>
            <w:r>
              <w:rPr>
                <w:b/>
                <w:bCs/>
                <w:color w:val="auto"/>
                <w:sz w:val="24"/>
                <w:szCs w:val="24"/>
              </w:rPr>
              <w:t>ООО «НОВОГОР-Прикамье»</w:t>
            </w:r>
            <w:r>
              <w:rPr>
                <w:color w:val="auto"/>
                <w:sz w:val="24"/>
                <w:szCs w:val="24"/>
              </w:rPr>
              <w:t xml:space="preserve"> от 23.02.2026 № 110-2541</w:t>
            </w:r>
            <w:r>
              <w:rPr>
                <w:sz w:val="24"/>
                <w:szCs w:val="24"/>
                <w:highlight w:val="white"/>
              </w:rPr>
              <w:t>).</w:t>
            </w:r>
          </w:p>
          <w:p>
            <w:pPr>
              <w:pStyle w:val="Normal"/>
              <w:tabs>
                <w:tab w:val="clear" w:pos="708"/>
                <w:tab w:val="right" w:pos="6000" w:leader="none"/>
              </w:tabs>
              <w:spacing w:lineRule="auto" w:line="240" w:before="0" w:after="0"/>
              <w:ind w:firstLine="311"/>
              <w:jc w:val="both"/>
              <w:rPr>
                <w:rFonts w:ascii="Times New Roman" w:hAnsi="Times New Roman"/>
                <w:color w:val="auto"/>
                <w:sz w:val="24"/>
                <w:szCs w:val="24"/>
                <w:highlight w:val="white"/>
              </w:rPr>
            </w:pPr>
            <w:r>
              <w:rPr>
                <w:color w:val="auto"/>
                <w:sz w:val="24"/>
                <w:szCs w:val="24"/>
                <w:highlight w:val="white"/>
              </w:rPr>
            </w:r>
          </w:p>
          <w:p>
            <w:pPr>
              <w:pStyle w:val="Normal"/>
              <w:spacing w:lineRule="auto" w:line="240" w:before="0" w:after="0"/>
              <w:ind w:firstLine="283" w:left="0" w:right="0"/>
              <w:jc w:val="both"/>
              <w:rPr>
                <w:rFonts w:ascii="Times New Roman" w:hAnsi="Times New Roman"/>
                <w:color w:val="auto"/>
                <w:sz w:val="24"/>
                <w:szCs w:val="24"/>
                <w:highlight w:val="none"/>
                <w14:ligatures w14:val="none"/>
              </w:rPr>
            </w:pPr>
            <w:r>
              <w:rPr>
                <w:color w:val="auto"/>
                <w:sz w:val="24"/>
                <w:szCs w:val="24"/>
              </w:rPr>
              <w:t>Технологическое присоединение к сетям связи ПАО «Ростелеком» может быть произведено к узлу ВОЛС (г. Пермь, ул. Лядовская, 101), максимальную нагрузку в точке подключения (технологического присоединения) необходимо определить на стадии проектирования.</w:t>
            </w:r>
          </w:p>
          <w:p>
            <w:pPr>
              <w:pStyle w:val="Normal"/>
              <w:spacing w:lineRule="auto" w:line="240" w:before="0" w:after="0"/>
              <w:ind w:firstLine="283" w:left="0" w:right="0"/>
              <w:jc w:val="both"/>
              <w:rPr>
                <w:rFonts w:ascii="Times New Roman" w:hAnsi="Times New Roman"/>
                <w:color w:val="auto"/>
                <w:sz w:val="24"/>
                <w:szCs w:val="24"/>
                <w:highlight w:val="none"/>
                <w14:ligatures w14:val="none"/>
              </w:rPr>
            </w:pPr>
            <w:r>
              <w:rPr>
                <w:color w:val="auto"/>
                <w:sz w:val="24"/>
                <w:szCs w:val="24"/>
              </w:rPr>
              <w:t xml:space="preserve">Для получения технических условий на подключение </w:t>
              <w:br/>
              <w:t xml:space="preserve">к сетям связи необходимо направить запрос </w:t>
              <w:br/>
              <w:t xml:space="preserve">на электронную почту: </w:t>
            </w:r>
            <w:hyperlink r:id="rId24" w:tgtFrame="http://perm-mail@ural.rt.ru">
              <w:r>
                <w:rPr>
                  <w:rStyle w:val="ListLabel50"/>
                  <w:color w:val="auto"/>
                  <w:sz w:val="24"/>
                  <w:szCs w:val="24"/>
                </w:rPr>
                <w:t>perm-mail@ural.rt.ru</w:t>
              </w:r>
            </w:hyperlink>
            <w:r>
              <w:rPr>
                <w:color w:val="auto"/>
                <w:sz w:val="24"/>
                <w:szCs w:val="24"/>
              </w:rPr>
              <w:t>.</w:t>
            </w:r>
          </w:p>
          <w:p>
            <w:pPr>
              <w:pStyle w:val="Normal"/>
              <w:tabs>
                <w:tab w:val="clear" w:pos="708"/>
                <w:tab w:val="right" w:pos="6000" w:leader="none"/>
              </w:tabs>
              <w:spacing w:lineRule="auto" w:line="240" w:before="0" w:after="0"/>
              <w:ind w:firstLine="311"/>
              <w:jc w:val="both"/>
              <w:rPr/>
            </w:pPr>
            <w:r>
              <w:rPr>
                <w:sz w:val="24"/>
                <w:szCs w:val="24"/>
                <w:highlight w:val="white"/>
              </w:rPr>
              <w:t xml:space="preserve">(Аналогичная информация отражена в письме </w:t>
            </w:r>
            <w:r>
              <w:rPr>
                <w:b/>
                <w:bCs/>
                <w:color w:val="auto"/>
                <w:sz w:val="24"/>
                <w:szCs w:val="24"/>
              </w:rPr>
              <w:t xml:space="preserve">ПАО «Ростелеком» </w:t>
            </w:r>
            <w:r>
              <w:rPr>
                <w:color w:val="auto"/>
                <w:sz w:val="24"/>
                <w:szCs w:val="24"/>
              </w:rPr>
              <w:t>от 25.02.2026 № 01/05/27088/26</w:t>
            </w:r>
            <w:r>
              <w:rPr>
                <w:sz w:val="24"/>
                <w:szCs w:val="24"/>
                <w:highlight w:val="white"/>
              </w:rPr>
              <w:t>).</w:t>
            </w:r>
          </w:p>
          <w:p>
            <w:pPr>
              <w:pStyle w:val="Normal"/>
              <w:tabs>
                <w:tab w:val="clear" w:pos="708"/>
                <w:tab w:val="right" w:pos="6000" w:leader="none"/>
              </w:tabs>
              <w:spacing w:lineRule="auto" w:line="240" w:before="0" w:after="0"/>
              <w:ind w:firstLine="311"/>
              <w:jc w:val="both"/>
              <w:rPr>
                <w:rFonts w:ascii="Times New Roman" w:hAnsi="Times New Roman"/>
                <w:sz w:val="24"/>
                <w:szCs w:val="24"/>
                <w:highlight w:val="white"/>
              </w:rPr>
            </w:pPr>
            <w:r>
              <w:rPr>
                <w:sz w:val="24"/>
                <w:szCs w:val="24"/>
                <w:highlight w:val="white"/>
              </w:rPr>
            </w:r>
          </w:p>
        </w:tc>
      </w:tr>
      <w:tr>
        <w:trPr>
          <w:trHeight w:val="225" w:hRule="atLeast"/>
        </w:trPr>
        <w:tc>
          <w:tcPr>
            <w:tcW w:w="567"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3</w:t>
            </w:r>
          </w:p>
        </w:tc>
        <w:tc>
          <w:tcPr>
            <w:tcW w:w="3054" w:type="dxa"/>
            <w:tcBorders>
              <w:top w:val="single" w:sz="4" w:space="0" w:color="000000"/>
              <w:left w:val="single" w:sz="4" w:space="0" w:color="000000"/>
              <w:bottom w:val="single" w:sz="4" w:space="0" w:color="000000"/>
              <w:right w:val="single" w:sz="4" w:space="0" w:color="000000"/>
            </w:tcBorders>
          </w:tcPr>
          <w:p>
            <w:pPr>
              <w:pStyle w:val="Normal"/>
              <w:ind w:right="0"/>
              <w:rPr>
                <w:sz w:val="24"/>
                <w:szCs w:val="24"/>
              </w:rPr>
            </w:pPr>
            <w:r>
              <w:rPr>
                <w:sz w:val="24"/>
                <w:szCs w:val="24"/>
              </w:rPr>
              <w:t>Начальная цена предмета аукциона</w:t>
            </w:r>
          </w:p>
          <w:p>
            <w:pPr>
              <w:pStyle w:val="Normal"/>
              <w:ind w:right="0"/>
              <w:rPr>
                <w:sz w:val="24"/>
                <w:szCs w:val="24"/>
              </w:rPr>
            </w:pPr>
            <w:r>
              <w:rPr>
                <w:b/>
                <w:sz w:val="24"/>
                <w:szCs w:val="24"/>
              </w:rPr>
              <w:t>(размер ежегодной арендной платы)</w:t>
            </w:r>
          </w:p>
          <w:p>
            <w:pPr>
              <w:pStyle w:val="Normal"/>
              <w:ind w:right="0"/>
              <w:rPr>
                <w:sz w:val="24"/>
                <w:szCs w:val="24"/>
              </w:rPr>
            </w:pPr>
            <w:r>
              <w:rPr>
                <w:sz w:val="24"/>
                <w:szCs w:val="24"/>
              </w:rPr>
            </w:r>
          </w:p>
          <w:p>
            <w:pPr>
              <w:pStyle w:val="Normal"/>
              <w:ind w:right="0"/>
              <w:rPr/>
            </w:pPr>
            <w:r>
              <w:rPr>
                <w:b w:val="false"/>
                <w:bCs w:val="false"/>
                <w:sz w:val="24"/>
                <w:szCs w:val="24"/>
                <w:shd w:fill="auto" w:val="clear"/>
              </w:rPr>
              <w:t>По условиям пункта 4.3 проекта договора аренды земельного участка, приобретаемого на торгах в форме аукциона, для строительства (Приложение 7</w:t>
              <w:br/>
              <w:t xml:space="preserve">к настоящему извещению), победитель аукциона, иное лицо, с которым договор заключается </w:t>
              <w:br/>
              <w:t xml:space="preserve">в соответствии с п.13, п.14, п. 20 или п. 25  ст. 39.12 Земельного Кодекса Российской Федерации (далее – ЗК РФ), обязан </w:t>
              <w:br/>
              <w:t xml:space="preserve">до подписания договора уплатить ежегодный размер арендной платы, указанный в п. 4.2 договора (за вычетом задатка, внесенного для участия в аукционе) </w:t>
              <w:br/>
            </w:r>
            <w:r>
              <w:rPr>
                <w:b/>
                <w:bCs/>
                <w:sz w:val="24"/>
                <w:szCs w:val="24"/>
                <w:shd w:fill="auto" w:val="clear"/>
              </w:rPr>
              <w:t xml:space="preserve">за 1 год </w:t>
            </w:r>
            <w:r>
              <w:rPr>
                <w:b w:val="false"/>
                <w:bCs w:val="false"/>
                <w:sz w:val="24"/>
                <w:szCs w:val="24"/>
                <w:shd w:fill="auto" w:val="clear"/>
              </w:rPr>
              <w:t xml:space="preserve">на счет департамента земельных отношений администрации города Перми, 614000, </w:t>
              <w:br/>
              <w:t xml:space="preserve">ул. Сибирская,15, </w:t>
              <w:br/>
              <w:t xml:space="preserve">тел. 212-61-90 (отдел договоров), реквизиты которого указаны </w:t>
              <w:br/>
              <w:t>в проекте договора аренды земельного участка (Приложение 7</w:t>
              <w:br/>
              <w:t>к настоящему извещению)</w:t>
            </w:r>
          </w:p>
        </w:tc>
        <w:tc>
          <w:tcPr>
            <w:tcW w:w="6864"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rFonts w:eastAsia="Times New Roman" w:cs="Times New Roman"/>
                <w:color w:val="000000"/>
                <w:kern w:val="0"/>
                <w:sz w:val="24"/>
                <w:szCs w:val="24"/>
                <w:shd w:fill="auto" w:val="clear"/>
                <w:lang w:val="ru-RU" w:eastAsia="ru-RU" w:bidi="ar-SA"/>
              </w:rPr>
              <w:t xml:space="preserve">591 800 </w:t>
            </w:r>
            <w:r>
              <w:rPr>
                <w:sz w:val="24"/>
                <w:szCs w:val="24"/>
              </w:rPr>
              <w:t>руб.</w:t>
            </w:r>
          </w:p>
        </w:tc>
      </w:tr>
      <w:tr>
        <w:trPr>
          <w:trHeight w:val="225" w:hRule="atLeast"/>
        </w:trPr>
        <w:tc>
          <w:tcPr>
            <w:tcW w:w="567"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4</w:t>
            </w:r>
          </w:p>
        </w:tc>
        <w:tc>
          <w:tcPr>
            <w:tcW w:w="3054" w:type="dxa"/>
            <w:tcBorders>
              <w:top w:val="single" w:sz="4" w:space="0" w:color="000000"/>
              <w:left w:val="single" w:sz="4" w:space="0" w:color="000000"/>
              <w:bottom w:val="single" w:sz="4" w:space="0" w:color="000000"/>
              <w:right w:val="single" w:sz="4" w:space="0" w:color="000000"/>
            </w:tcBorders>
          </w:tcPr>
          <w:p>
            <w:pPr>
              <w:pStyle w:val="Normal"/>
              <w:ind w:right="23"/>
              <w:rPr>
                <w:sz w:val="24"/>
                <w:szCs w:val="24"/>
              </w:rPr>
            </w:pPr>
            <w:r>
              <w:rPr>
                <w:sz w:val="24"/>
                <w:szCs w:val="24"/>
              </w:rPr>
              <w:t xml:space="preserve">«Шаг аукциона» (5% от начальной цены </w:t>
            </w:r>
            <w:r>
              <w:rPr>
                <w:sz w:val="24"/>
                <w:szCs w:val="24"/>
                <w:shd w:fill="auto" w:val="clear"/>
              </w:rPr>
              <w:t>предмета аукциона)</w:t>
            </w:r>
          </w:p>
        </w:tc>
        <w:tc>
          <w:tcPr>
            <w:tcW w:w="6864"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rFonts w:eastAsia="Times New Roman" w:cs="Times New Roman"/>
                <w:color w:val="000000"/>
                <w:kern w:val="0"/>
                <w:sz w:val="24"/>
                <w:szCs w:val="24"/>
                <w:shd w:fill="auto" w:val="clear"/>
                <w:lang w:val="ru-RU" w:eastAsia="ru-RU" w:bidi="ar-SA"/>
              </w:rPr>
              <w:t>29 590</w:t>
            </w:r>
            <w:r>
              <w:rPr>
                <w:sz w:val="24"/>
                <w:szCs w:val="24"/>
              </w:rPr>
              <w:t xml:space="preserve"> руб.</w:t>
            </w:r>
          </w:p>
        </w:tc>
      </w:tr>
      <w:tr>
        <w:trPr>
          <w:trHeight w:val="416" w:hRule="atLeast"/>
        </w:trPr>
        <w:tc>
          <w:tcPr>
            <w:tcW w:w="567"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5</w:t>
            </w:r>
          </w:p>
        </w:tc>
        <w:tc>
          <w:tcPr>
            <w:tcW w:w="3054"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ind w:hanging="0" w:left="113" w:right="113"/>
              <w:jc w:val="left"/>
              <w:rPr>
                <w:sz w:val="24"/>
                <w:szCs w:val="24"/>
              </w:rPr>
            </w:pPr>
            <w:r>
              <w:rPr>
                <w:sz w:val="24"/>
                <w:szCs w:val="24"/>
              </w:rPr>
              <w:t>Форма заявки на участие в аукционе</w:t>
            </w:r>
          </w:p>
          <w:p>
            <w:pPr>
              <w:pStyle w:val="Normal"/>
              <w:ind w:right="-263"/>
              <w:rPr>
                <w:sz w:val="24"/>
                <w:szCs w:val="24"/>
              </w:rPr>
            </w:pPr>
            <w:r>
              <w:rPr>
                <w:sz w:val="24"/>
                <w:szCs w:val="24"/>
              </w:rPr>
            </w:r>
          </w:p>
        </w:tc>
        <w:tc>
          <w:tcPr>
            <w:tcW w:w="6864" w:type="dxa"/>
            <w:tcBorders>
              <w:top w:val="single" w:sz="4" w:space="0" w:color="000000"/>
              <w:left w:val="single" w:sz="4" w:space="0" w:color="000000"/>
              <w:bottom w:val="single" w:sz="4" w:space="0" w:color="000000"/>
              <w:right w:val="single" w:sz="4" w:space="0" w:color="000000"/>
            </w:tcBorders>
          </w:tcPr>
          <w:p>
            <w:pPr>
              <w:pStyle w:val="Normal"/>
              <w:jc w:val="both"/>
              <w:rPr>
                <w:rFonts w:ascii="Times New Roman" w:hAnsi="Times New Roman" w:eastAsia="Droid Sans Fallback" w:cs="Lohit Devanagari"/>
                <w:color w:val="auto"/>
                <w:sz w:val="24"/>
                <w:szCs w:val="24"/>
                <w:lang w:val="ru-RU" w:eastAsia="zh-CN" w:bidi="ar-SA"/>
              </w:rPr>
            </w:pPr>
            <w:r>
              <w:rPr>
                <w:rFonts w:eastAsia="Droid Sans Fallback" w:cs="Lohit Devanagari"/>
                <w:color w:val="auto"/>
                <w:sz w:val="24"/>
                <w:szCs w:val="24"/>
                <w:lang w:val="ru-RU" w:eastAsia="zh-CN" w:bidi="ar-SA"/>
              </w:rPr>
              <w:t xml:space="preserve">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 указанных в подпунктах 2-4 пункта 1, пункте 1.1 статьи 39.12 Земельного кодекса Российской Федерации (копии документов, удостоверяющих личность заявителя (для граждан); надлежащим образом заверенный перевод на русский язык документов </w:t>
              <w:br/>
              <w:t xml:space="preserve">о государственной регистрации юридического лица </w:t>
              <w:br/>
              <w:t xml:space="preserve">в соответствии с законодательством иностранного государства </w:t>
              <w:br/>
              <w:t>в случае, если заявителем является иностранное юридическое лицо; документы, подтверждающие внесение задатка). Заявка на участие в электронном аукционе, а также прилагаемые к ней документы подписываются усиленной квалифицированной электронной подписью заявителя.</w:t>
            </w:r>
          </w:p>
          <w:p>
            <w:pPr>
              <w:pStyle w:val="Normal"/>
              <w:jc w:val="both"/>
              <w:rPr>
                <w:sz w:val="24"/>
                <w:szCs w:val="24"/>
              </w:rPr>
            </w:pPr>
            <w:r>
              <w:rPr>
                <w:sz w:val="24"/>
                <w:szCs w:val="24"/>
              </w:rPr>
            </w:r>
          </w:p>
          <w:p>
            <w:pPr>
              <w:pStyle w:val="Normal"/>
              <w:jc w:val="both"/>
              <w:rPr>
                <w:sz w:val="24"/>
                <w:szCs w:val="24"/>
              </w:rPr>
            </w:pPr>
            <w:r>
              <w:rPr>
                <w:sz w:val="24"/>
                <w:szCs w:val="24"/>
              </w:rPr>
              <w:t>На каждый лот представляется отдельный пакет документов.</w:t>
            </w:r>
          </w:p>
          <w:p>
            <w:pPr>
              <w:pStyle w:val="Normal"/>
              <w:jc w:val="both"/>
              <w:rPr>
                <w:sz w:val="24"/>
                <w:szCs w:val="24"/>
              </w:rPr>
            </w:pPr>
            <w:r>
              <w:rPr>
                <w:sz w:val="24"/>
                <w:szCs w:val="24"/>
              </w:rPr>
            </w:r>
          </w:p>
          <w:p>
            <w:pPr>
              <w:pStyle w:val="Normal"/>
              <w:jc w:val="both"/>
              <w:rPr>
                <w:b/>
                <w:sz w:val="24"/>
                <w:szCs w:val="24"/>
              </w:rPr>
            </w:pPr>
            <w:r>
              <w:rPr>
                <w:b/>
                <w:bCs/>
                <w:color w:val="000000"/>
                <w:sz w:val="24"/>
                <w:szCs w:val="24"/>
                <w:shd w:fill="auto" w:val="clear"/>
              </w:rPr>
              <w:t>Решение о проведении аукциона принято в соответствии со статьей 39.18 Земельного кодекса Российской Федерации, участниками аукциона могут являться только граждане.</w:t>
            </w:r>
          </w:p>
          <w:p>
            <w:pPr>
              <w:pStyle w:val="BodyText"/>
              <w:jc w:val="both"/>
              <w:rPr>
                <w:highlight w:val="none"/>
                <w:shd w:fill="auto" w:val="clear"/>
              </w:rPr>
            </w:pPr>
            <w:r>
              <w:rPr>
                <w:shd w:fill="auto" w:val="clear"/>
              </w:rPr>
            </w:r>
          </w:p>
        </w:tc>
      </w:tr>
      <w:tr>
        <w:trPr>
          <w:trHeight w:val="236" w:hRule="atLeast"/>
        </w:trPr>
        <w:tc>
          <w:tcPr>
            <w:tcW w:w="567"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6</w:t>
            </w:r>
          </w:p>
        </w:tc>
        <w:tc>
          <w:tcPr>
            <w:tcW w:w="3054" w:type="dxa"/>
            <w:tcBorders>
              <w:top w:val="single" w:sz="4" w:space="0" w:color="000000"/>
              <w:left w:val="single" w:sz="4" w:space="0" w:color="000000"/>
              <w:bottom w:val="single" w:sz="4" w:space="0" w:color="000000"/>
              <w:right w:val="single" w:sz="4" w:space="0" w:color="000000"/>
            </w:tcBorders>
          </w:tcPr>
          <w:p>
            <w:pPr>
              <w:pStyle w:val="Normal"/>
              <w:ind w:right="23"/>
              <w:rPr>
                <w:sz w:val="24"/>
                <w:szCs w:val="24"/>
              </w:rPr>
            </w:pPr>
            <w:r>
              <w:rPr>
                <w:sz w:val="24"/>
                <w:szCs w:val="24"/>
              </w:rPr>
              <w:t xml:space="preserve">Размер задатка (50% от начальной цены </w:t>
            </w:r>
            <w:r>
              <w:rPr>
                <w:sz w:val="24"/>
                <w:szCs w:val="24"/>
                <w:shd w:fill="auto" w:val="clear"/>
              </w:rPr>
              <w:t>предмета аукциона)</w:t>
            </w:r>
          </w:p>
          <w:p>
            <w:pPr>
              <w:pStyle w:val="Normal"/>
              <w:ind w:right="-263"/>
              <w:rPr>
                <w:sz w:val="24"/>
                <w:szCs w:val="24"/>
              </w:rPr>
            </w:pPr>
            <w:r>
              <w:rPr>
                <w:sz w:val="24"/>
                <w:szCs w:val="24"/>
              </w:rPr>
            </w:r>
          </w:p>
        </w:tc>
        <w:tc>
          <w:tcPr>
            <w:tcW w:w="6864"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rFonts w:eastAsia="Times New Roman" w:cs="Times New Roman"/>
                <w:color w:val="000000"/>
                <w:kern w:val="0"/>
                <w:sz w:val="24"/>
                <w:szCs w:val="24"/>
                <w:shd w:fill="auto" w:val="clear"/>
                <w:lang w:val="ru-RU" w:eastAsia="ru-RU" w:bidi="ar-SA"/>
              </w:rPr>
              <w:t>295 900</w:t>
            </w:r>
            <w:r>
              <w:rPr>
                <w:sz w:val="24"/>
                <w:szCs w:val="24"/>
              </w:rPr>
              <w:t xml:space="preserve"> руб.</w:t>
            </w:r>
          </w:p>
          <w:p>
            <w:pPr>
              <w:pStyle w:val="Normal"/>
              <w:jc w:val="both"/>
              <w:rPr>
                <w:sz w:val="24"/>
                <w:szCs w:val="24"/>
              </w:rPr>
            </w:pPr>
            <w:r>
              <w:rPr>
                <w:sz w:val="24"/>
                <w:szCs w:val="24"/>
              </w:rPr>
            </w:r>
          </w:p>
        </w:tc>
      </w:tr>
      <w:tr>
        <w:trPr>
          <w:trHeight w:val="236" w:hRule="atLeast"/>
        </w:trPr>
        <w:tc>
          <w:tcPr>
            <w:tcW w:w="567" w:type="dxa"/>
            <w:tcBorders>
              <w:left w:val="single" w:sz="4" w:space="0" w:color="000000"/>
              <w:bottom w:val="single" w:sz="4" w:space="0" w:color="000000"/>
              <w:right w:val="single" w:sz="4" w:space="0" w:color="000000"/>
            </w:tcBorders>
          </w:tcPr>
          <w:p>
            <w:pPr>
              <w:pStyle w:val="Normal"/>
              <w:jc w:val="center"/>
              <w:rPr>
                <w:sz w:val="24"/>
                <w:szCs w:val="24"/>
              </w:rPr>
            </w:pPr>
            <w:r>
              <w:rPr>
                <w:sz w:val="24"/>
                <w:szCs w:val="24"/>
              </w:rPr>
              <w:t>7</w:t>
            </w:r>
          </w:p>
        </w:tc>
        <w:tc>
          <w:tcPr>
            <w:tcW w:w="3054" w:type="dxa"/>
            <w:tcBorders>
              <w:left w:val="single" w:sz="4" w:space="0" w:color="000000"/>
              <w:bottom w:val="single" w:sz="4" w:space="0" w:color="000000"/>
              <w:right w:val="single" w:sz="4" w:space="0" w:color="000000"/>
            </w:tcBorders>
          </w:tcPr>
          <w:p>
            <w:pPr>
              <w:pStyle w:val="Normal"/>
              <w:ind w:right="0"/>
              <w:rPr>
                <w:sz w:val="24"/>
                <w:szCs w:val="24"/>
              </w:rPr>
            </w:pPr>
            <w:r>
              <w:rPr>
                <w:sz w:val="24"/>
                <w:szCs w:val="24"/>
              </w:rPr>
              <w:t>Срок аренды земельного участка</w:t>
            </w:r>
          </w:p>
          <w:p>
            <w:pPr>
              <w:pStyle w:val="Normal"/>
              <w:ind w:right="0"/>
              <w:rPr>
                <w:sz w:val="24"/>
                <w:szCs w:val="24"/>
              </w:rPr>
            </w:pPr>
            <w:r>
              <w:rPr>
                <w:sz w:val="24"/>
                <w:szCs w:val="24"/>
              </w:rPr>
            </w:r>
          </w:p>
        </w:tc>
        <w:tc>
          <w:tcPr>
            <w:tcW w:w="6864" w:type="dxa"/>
            <w:tcBorders>
              <w:left w:val="single" w:sz="4" w:space="0" w:color="000000"/>
              <w:bottom w:val="single" w:sz="4" w:space="0" w:color="000000"/>
              <w:right w:val="single" w:sz="4" w:space="0" w:color="000000"/>
            </w:tcBorders>
          </w:tcPr>
          <w:p>
            <w:pPr>
              <w:pStyle w:val="Normal"/>
              <w:jc w:val="both"/>
              <w:rPr>
                <w:sz w:val="24"/>
                <w:szCs w:val="24"/>
              </w:rPr>
            </w:pPr>
            <w:r>
              <w:rPr>
                <w:sz w:val="24"/>
                <w:szCs w:val="24"/>
              </w:rPr>
              <w:t>20 лет</w:t>
            </w:r>
          </w:p>
        </w:tc>
      </w:tr>
      <w:tr>
        <w:trPr>
          <w:trHeight w:val="236" w:hRule="atLeast"/>
        </w:trPr>
        <w:tc>
          <w:tcPr>
            <w:tcW w:w="567" w:type="dxa"/>
            <w:tcBorders>
              <w:left w:val="single" w:sz="4" w:space="0" w:color="000000"/>
              <w:bottom w:val="single" w:sz="4" w:space="0" w:color="000000"/>
              <w:right w:val="single" w:sz="4" w:space="0" w:color="000000"/>
            </w:tcBorders>
          </w:tcPr>
          <w:p>
            <w:pPr>
              <w:pStyle w:val="Normal"/>
              <w:jc w:val="center"/>
              <w:rPr>
                <w:sz w:val="24"/>
                <w:szCs w:val="24"/>
              </w:rPr>
            </w:pPr>
            <w:r>
              <w:rPr>
                <w:sz w:val="24"/>
                <w:szCs w:val="24"/>
              </w:rPr>
              <w:t>8</w:t>
            </w:r>
          </w:p>
        </w:tc>
        <w:tc>
          <w:tcPr>
            <w:tcW w:w="3054" w:type="dxa"/>
            <w:tcBorders>
              <w:left w:val="single" w:sz="4" w:space="0" w:color="000000"/>
              <w:bottom w:val="single" w:sz="4" w:space="0" w:color="000000"/>
              <w:right w:val="single" w:sz="4" w:space="0" w:color="000000"/>
            </w:tcBorders>
          </w:tcPr>
          <w:p>
            <w:pPr>
              <w:pStyle w:val="Normal"/>
              <w:widowControl/>
              <w:spacing w:before="0" w:after="0"/>
              <w:ind w:hanging="0" w:left="113" w:right="113"/>
              <w:jc w:val="left"/>
              <w:rPr/>
            </w:pPr>
            <w:r>
              <w:rPr>
                <w:shd w:fill="auto" w:val="clear"/>
              </w:rPr>
              <w:t xml:space="preserve">Дата </w:t>
            </w:r>
            <w:r>
              <w:rPr>
                <w:b w:val="false"/>
                <w:shd w:fill="auto" w:val="clear"/>
              </w:rPr>
              <w:t xml:space="preserve">размещения извещения в соответствии с пп. 1 п. 1 ст. 39.18 Земельного кодекса Российской Федерации на  </w:t>
            </w:r>
            <w:r>
              <w:rPr>
                <w:b w:val="false"/>
                <w:shd w:fill="auto" w:val="clear"/>
                <w:lang w:val="en-US" w:eastAsia="en-US"/>
              </w:rPr>
              <w:t>сайтах www.torgi.gov.ru, www.gorodperm.ru</w:t>
            </w:r>
          </w:p>
        </w:tc>
        <w:tc>
          <w:tcPr>
            <w:tcW w:w="6864" w:type="dxa"/>
            <w:tcBorders>
              <w:left w:val="single" w:sz="4" w:space="0" w:color="000000"/>
              <w:bottom w:val="single" w:sz="4" w:space="0" w:color="000000"/>
              <w:right w:val="single" w:sz="4" w:space="0" w:color="000000"/>
            </w:tcBorders>
          </w:tcPr>
          <w:p>
            <w:pPr>
              <w:pStyle w:val="Normal"/>
              <w:jc w:val="both"/>
              <w:rPr>
                <w:sz w:val="24"/>
                <w:szCs w:val="24"/>
              </w:rPr>
            </w:pPr>
            <w:r>
              <w:rPr>
                <w:sz w:val="24"/>
                <w:szCs w:val="24"/>
              </w:rPr>
              <w:t>29.01.2026</w:t>
            </w:r>
          </w:p>
        </w:tc>
      </w:tr>
      <w:tr>
        <w:trPr>
          <w:trHeight w:val="1884" w:hRule="atLeast"/>
        </w:trPr>
        <w:tc>
          <w:tcPr>
            <w:tcW w:w="567"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9</w:t>
            </w:r>
          </w:p>
        </w:tc>
        <w:tc>
          <w:tcPr>
            <w:tcW w:w="3054" w:type="dxa"/>
            <w:tcBorders>
              <w:top w:val="single" w:sz="4" w:space="0" w:color="000000"/>
              <w:left w:val="single" w:sz="4" w:space="0" w:color="000000"/>
              <w:bottom w:val="single" w:sz="4" w:space="0" w:color="000000"/>
              <w:right w:val="single" w:sz="4" w:space="0" w:color="000000"/>
            </w:tcBorders>
          </w:tcPr>
          <w:p>
            <w:pPr>
              <w:pStyle w:val="Normal"/>
              <w:ind w:right="-263"/>
              <w:rPr>
                <w:sz w:val="24"/>
                <w:szCs w:val="24"/>
              </w:rPr>
            </w:pPr>
            <w:r>
              <w:rPr>
                <w:sz w:val="24"/>
                <w:szCs w:val="24"/>
              </w:rPr>
              <w:t>Проект договора аренды земельного участка</w:t>
            </w:r>
          </w:p>
        </w:tc>
        <w:tc>
          <w:tcPr>
            <w:tcW w:w="6864"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 xml:space="preserve">Проект договора аренды земельного участка, приобретаемого на торгах в форме аукциона, для строительства, является Приложением 7 к настоящему извещению и размещен на сайтах </w:t>
            </w:r>
            <w:r>
              <w:rPr>
                <w:sz w:val="24"/>
                <w:szCs w:val="24"/>
                <w:lang w:val="en-US"/>
              </w:rPr>
              <w:t>www</w:t>
            </w:r>
            <w:r>
              <w:rPr>
                <w:sz w:val="24"/>
                <w:szCs w:val="24"/>
              </w:rPr>
              <w:t>.</w:t>
            </w:r>
            <w:r>
              <w:rPr>
                <w:sz w:val="24"/>
                <w:szCs w:val="24"/>
                <w:lang w:val="en-US"/>
              </w:rPr>
              <w:t>torgi</w:t>
            </w:r>
            <w:r>
              <w:rPr>
                <w:sz w:val="24"/>
                <w:szCs w:val="24"/>
              </w:rPr>
              <w:t>.</w:t>
            </w:r>
            <w:r>
              <w:rPr>
                <w:sz w:val="24"/>
                <w:szCs w:val="24"/>
                <w:lang w:val="en-US"/>
              </w:rPr>
              <w:t>gov</w:t>
            </w:r>
            <w:r>
              <w:rPr>
                <w:sz w:val="24"/>
                <w:szCs w:val="24"/>
              </w:rPr>
              <w:t>.</w:t>
            </w:r>
            <w:r>
              <w:rPr>
                <w:sz w:val="24"/>
                <w:szCs w:val="24"/>
                <w:lang w:val="en-US"/>
              </w:rPr>
              <w:t>ru</w:t>
            </w:r>
            <w:r>
              <w:rPr>
                <w:sz w:val="24"/>
                <w:szCs w:val="24"/>
              </w:rPr>
              <w:t xml:space="preserve">, </w:t>
            </w:r>
            <w:r>
              <w:rPr>
                <w:sz w:val="24"/>
                <w:szCs w:val="24"/>
                <w:lang w:val="en-US"/>
              </w:rPr>
              <w:t>www</w:t>
            </w:r>
            <w:r>
              <w:rPr>
                <w:sz w:val="24"/>
                <w:szCs w:val="24"/>
              </w:rPr>
              <w:t>.</w:t>
            </w:r>
            <w:r>
              <w:rPr>
                <w:sz w:val="24"/>
                <w:szCs w:val="24"/>
                <w:lang w:val="en-US"/>
              </w:rPr>
              <w:t>gorodperm</w:t>
            </w:r>
            <w:r>
              <w:rPr>
                <w:sz w:val="24"/>
                <w:szCs w:val="24"/>
              </w:rPr>
              <w:t>.</w:t>
            </w:r>
            <w:r>
              <w:rPr>
                <w:sz w:val="24"/>
                <w:szCs w:val="24"/>
                <w:lang w:val="en-US"/>
              </w:rPr>
              <w:t>ru</w:t>
            </w:r>
            <w:r>
              <w:rPr>
                <w:sz w:val="24"/>
                <w:szCs w:val="24"/>
              </w:rPr>
              <w:t xml:space="preserve"> (раздел Деятельность/ муниципальная собственность/ Торговая площадка/Вид торгов Продажа и аренда земельных участков).</w:t>
            </w:r>
          </w:p>
        </w:tc>
      </w:tr>
      <w:tr>
        <w:trPr>
          <w:trHeight w:val="144" w:hRule="atLeast"/>
        </w:trPr>
        <w:tc>
          <w:tcPr>
            <w:tcW w:w="567"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10</w:t>
            </w:r>
          </w:p>
        </w:tc>
        <w:tc>
          <w:tcPr>
            <w:tcW w:w="3054" w:type="dxa"/>
            <w:tcBorders>
              <w:top w:val="single" w:sz="4" w:space="0" w:color="000000"/>
              <w:left w:val="single" w:sz="4" w:space="0" w:color="000000"/>
              <w:bottom w:val="single" w:sz="4" w:space="0" w:color="000000"/>
              <w:right w:val="single" w:sz="4" w:space="0" w:color="000000"/>
            </w:tcBorders>
          </w:tcPr>
          <w:p>
            <w:pPr>
              <w:pStyle w:val="Normal"/>
              <w:ind w:hanging="0" w:left="0" w:right="-42"/>
              <w:rPr>
                <w:sz w:val="24"/>
                <w:szCs w:val="24"/>
              </w:rPr>
            </w:pPr>
            <w:r>
              <w:rPr>
                <w:sz w:val="24"/>
                <w:szCs w:val="24"/>
              </w:rPr>
              <w:t xml:space="preserve">Порядок осмотра земельного участка </w:t>
              <w:br/>
              <w:t>на местности</w:t>
            </w:r>
          </w:p>
        </w:tc>
        <w:tc>
          <w:tcPr>
            <w:tcW w:w="6864"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 xml:space="preserve">Осмотр земельного участка производится заявителем </w:t>
              <w:br/>
              <w:t>самостоятельно в любое время с даты опубликования настоящего извещения.</w:t>
            </w:r>
          </w:p>
        </w:tc>
      </w:tr>
    </w:tbl>
    <w:p>
      <w:pPr>
        <w:pStyle w:val="Normal"/>
        <w:spacing w:lineRule="exact" w:line="240"/>
        <w:ind w:hanging="0" w:left="1134"/>
        <w:jc w:val="left"/>
        <w:rPr>
          <w:rFonts w:ascii="Times New Roman" w:hAnsi="Times New Roman" w:cs="Times New Roman"/>
        </w:rPr>
      </w:pPr>
      <w:r>
        <w:rPr>
          <w:rFonts w:cs="Times New Roman"/>
        </w:rPr>
      </w:r>
    </w:p>
    <w:p>
      <w:pPr>
        <w:pStyle w:val="PlainText"/>
        <w:spacing w:lineRule="exact" w:line="240"/>
        <w:ind w:hanging="1134" w:left="1134"/>
        <w:jc w:val="left"/>
        <w:rPr/>
      </w:pPr>
      <w:r>
        <w:rPr>
          <w:rFonts w:cs="Times New Roman" w:ascii="Times New Roman" w:hAnsi="Times New Roman"/>
          <w:b/>
          <w:sz w:val="24"/>
          <w:szCs w:val="28"/>
          <w:lang w:val="ru-RU"/>
        </w:rPr>
        <w:t>Лот № 5</w:t>
      </w:r>
    </w:p>
    <w:tbl>
      <w:tblPr>
        <w:tblW w:w="10485" w:type="dxa"/>
        <w:jc w:val="left"/>
        <w:tblInd w:w="-473" w:type="dxa"/>
        <w:tblLayout w:type="fixed"/>
        <w:tblCellMar>
          <w:top w:w="0" w:type="dxa"/>
          <w:left w:w="108" w:type="dxa"/>
          <w:bottom w:w="0" w:type="dxa"/>
          <w:right w:w="108" w:type="dxa"/>
        </w:tblCellMar>
        <w:tblLook w:val="01e0" w:noHBand="0" w:noVBand="0" w:firstColumn="1" w:lastRow="1" w:lastColumn="1" w:firstRow="1"/>
      </w:tblPr>
      <w:tblGrid>
        <w:gridCol w:w="567"/>
        <w:gridCol w:w="3054"/>
        <w:gridCol w:w="6864"/>
      </w:tblGrid>
      <w:tr>
        <w:trPr>
          <w:trHeight w:val="877" w:hRule="atLeast"/>
        </w:trPr>
        <w:tc>
          <w:tcPr>
            <w:tcW w:w="567"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1</w:t>
            </w:r>
          </w:p>
        </w:tc>
        <w:tc>
          <w:tcPr>
            <w:tcW w:w="3054" w:type="dxa"/>
            <w:tcBorders>
              <w:top w:val="single" w:sz="4" w:space="0" w:color="000000"/>
              <w:left w:val="single" w:sz="4" w:space="0" w:color="000000"/>
              <w:bottom w:val="single" w:sz="4" w:space="0" w:color="000000"/>
              <w:right w:val="single" w:sz="4" w:space="0" w:color="000000"/>
            </w:tcBorders>
          </w:tcPr>
          <w:p>
            <w:pPr>
              <w:pStyle w:val="Normal"/>
              <w:ind w:right="0"/>
              <w:rPr>
                <w:sz w:val="24"/>
                <w:szCs w:val="24"/>
              </w:rPr>
            </w:pPr>
            <w:r>
              <w:rPr>
                <w:sz w:val="24"/>
                <w:szCs w:val="24"/>
              </w:rPr>
              <w:t xml:space="preserve">Наименование органа местного самоуправления, принявшего решение </w:t>
              <w:br/>
              <w:t>о проведении аукциона,</w:t>
            </w:r>
          </w:p>
          <w:p>
            <w:pPr>
              <w:pStyle w:val="Normal"/>
              <w:ind w:right="0"/>
              <w:rPr>
                <w:sz w:val="24"/>
                <w:szCs w:val="24"/>
              </w:rPr>
            </w:pPr>
            <w:r>
              <w:rPr>
                <w:sz w:val="24"/>
                <w:szCs w:val="24"/>
              </w:rPr>
              <w:t xml:space="preserve">реквизиты указанного </w:t>
              <w:br/>
              <w:t>решения</w:t>
            </w:r>
          </w:p>
        </w:tc>
        <w:tc>
          <w:tcPr>
            <w:tcW w:w="6864"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 xml:space="preserve">Администрация города Перми, распоряжение начальника </w:t>
              <w:br/>
              <w:t>департамента земельных отношений администрации город</w:t>
            </w:r>
            <w:r>
              <w:rPr>
                <w:rFonts w:eastAsia="Droid Sans Fallback" w:cs="Lohit Devanagari"/>
                <w:color w:val="auto"/>
                <w:sz w:val="24"/>
                <w:szCs w:val="24"/>
                <w:lang w:val="ru-RU" w:eastAsia="zh-CN" w:bidi="ar-SA"/>
              </w:rPr>
              <w:t xml:space="preserve">а Перми </w:t>
            </w:r>
            <w:r>
              <w:rPr>
                <w:rFonts w:eastAsia="Times New Roman" w:cs="Times New Roman"/>
                <w:color w:val="000000"/>
                <w:kern w:val="0"/>
                <w:sz w:val="24"/>
                <w:szCs w:val="20"/>
                <w:lang w:val="ru-RU" w:eastAsia="ru-RU" w:bidi="ar-SA"/>
              </w:rPr>
              <w:t>от 20 мая 2026 г. № 21-01-03-3413 «О проведении аукциона на право заключения договора аренды земельного участка в Ленинском районе города Перми»</w:t>
            </w:r>
          </w:p>
        </w:tc>
      </w:tr>
      <w:tr>
        <w:trPr>
          <w:trHeight w:val="225" w:hRule="atLeast"/>
        </w:trPr>
        <w:tc>
          <w:tcPr>
            <w:tcW w:w="567"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2</w:t>
            </w:r>
          </w:p>
        </w:tc>
        <w:tc>
          <w:tcPr>
            <w:tcW w:w="3054" w:type="dxa"/>
            <w:tcBorders>
              <w:top w:val="single" w:sz="4" w:space="0" w:color="000000"/>
              <w:left w:val="single" w:sz="4" w:space="0" w:color="000000"/>
              <w:bottom w:val="single" w:sz="4" w:space="0" w:color="000000"/>
              <w:right w:val="single" w:sz="4" w:space="0" w:color="000000"/>
            </w:tcBorders>
          </w:tcPr>
          <w:p>
            <w:pPr>
              <w:pStyle w:val="Normal"/>
              <w:ind w:right="0"/>
              <w:rPr>
                <w:sz w:val="24"/>
                <w:szCs w:val="24"/>
              </w:rPr>
            </w:pPr>
            <w:r>
              <w:rPr>
                <w:sz w:val="24"/>
                <w:szCs w:val="24"/>
              </w:rPr>
              <w:t xml:space="preserve">Предмет аукциона </w:t>
              <w:br/>
              <w:t xml:space="preserve">на право заключения </w:t>
              <w:br/>
              <w:t>договора аренды земельного участка</w:t>
            </w:r>
          </w:p>
        </w:tc>
        <w:tc>
          <w:tcPr>
            <w:tcW w:w="6864"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r>
          </w:p>
        </w:tc>
      </w:tr>
      <w:tr>
        <w:trPr>
          <w:trHeight w:val="493" w:hRule="atLeast"/>
        </w:trPr>
        <w:tc>
          <w:tcPr>
            <w:tcW w:w="567" w:type="dxa"/>
            <w:vMerge w:val="restart"/>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r>
          </w:p>
        </w:tc>
        <w:tc>
          <w:tcPr>
            <w:tcW w:w="3054" w:type="dxa"/>
            <w:tcBorders>
              <w:top w:val="single" w:sz="4" w:space="0" w:color="000000"/>
              <w:left w:val="single" w:sz="4" w:space="0" w:color="000000"/>
              <w:bottom w:val="single" w:sz="4" w:space="0" w:color="000000"/>
              <w:right w:val="single" w:sz="4" w:space="0" w:color="000000"/>
            </w:tcBorders>
          </w:tcPr>
          <w:p>
            <w:pPr>
              <w:pStyle w:val="Normal"/>
              <w:numPr>
                <w:ilvl w:val="0"/>
                <w:numId w:val="2"/>
              </w:numPr>
              <w:ind w:hanging="277" w:left="419" w:right="-263"/>
              <w:jc w:val="both"/>
              <w:rPr>
                <w:sz w:val="24"/>
                <w:szCs w:val="24"/>
              </w:rPr>
            </w:pPr>
            <w:r>
              <w:rPr>
                <w:sz w:val="24"/>
                <w:szCs w:val="24"/>
              </w:rPr>
              <w:t>местоположение</w:t>
            </w:r>
          </w:p>
        </w:tc>
        <w:tc>
          <w:tcPr>
            <w:tcW w:w="6864"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8256" w:leader="none"/>
              </w:tabs>
              <w:jc w:val="both"/>
              <w:rPr>
                <w:sz w:val="24"/>
                <w:szCs w:val="24"/>
              </w:rPr>
            </w:pPr>
            <w:r>
              <w:rPr>
                <w:sz w:val="24"/>
                <w:szCs w:val="24"/>
              </w:rPr>
              <w:t>Российская Федерация, Пермский край, городской округ Пермский, город Пермь, улица Торфяная, з/у 51</w:t>
            </w:r>
          </w:p>
        </w:tc>
      </w:tr>
      <w:tr>
        <w:trPr>
          <w:trHeight w:val="148" w:hRule="atLeast"/>
        </w:trPr>
        <w:tc>
          <w:tcPr>
            <w:tcW w:w="567" w:type="dxa"/>
            <w:vMerge w:val="continue"/>
            <w:tcBorders>
              <w:top w:val="single" w:sz="4" w:space="0" w:color="000000"/>
              <w:left w:val="single" w:sz="4" w:space="0" w:color="000000"/>
              <w:bottom w:val="single" w:sz="4" w:space="0" w:color="000000"/>
              <w:right w:val="single" w:sz="4" w:space="0" w:color="000000"/>
            </w:tcBorders>
          </w:tcPr>
          <w:p>
            <w:pPr>
              <w:pStyle w:val="Normal"/>
              <w:jc w:val="center"/>
              <w:rPr>
                <w:sz w:val="20"/>
              </w:rPr>
            </w:pPr>
            <w:r>
              <w:rPr>
                <w:sz w:val="20"/>
              </w:rPr>
            </w:r>
          </w:p>
        </w:tc>
        <w:tc>
          <w:tcPr>
            <w:tcW w:w="3054" w:type="dxa"/>
            <w:tcBorders>
              <w:top w:val="single" w:sz="4" w:space="0" w:color="000000"/>
              <w:left w:val="single" w:sz="4" w:space="0" w:color="000000"/>
              <w:bottom w:val="single" w:sz="4" w:space="0" w:color="000000"/>
              <w:right w:val="single" w:sz="4" w:space="0" w:color="000000"/>
            </w:tcBorders>
          </w:tcPr>
          <w:p>
            <w:pPr>
              <w:pStyle w:val="Normal"/>
              <w:numPr>
                <w:ilvl w:val="0"/>
                <w:numId w:val="2"/>
              </w:numPr>
              <w:ind w:hanging="277" w:left="419" w:right="-263"/>
              <w:rPr>
                <w:sz w:val="24"/>
                <w:szCs w:val="24"/>
              </w:rPr>
            </w:pPr>
            <w:r>
              <w:rPr>
                <w:sz w:val="24"/>
                <w:szCs w:val="24"/>
                <w:lang w:val="en-US"/>
              </w:rPr>
              <w:t>площадь</w:t>
            </w:r>
          </w:p>
        </w:tc>
        <w:tc>
          <w:tcPr>
            <w:tcW w:w="6864"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573 кв. м</w:t>
            </w:r>
          </w:p>
        </w:tc>
      </w:tr>
      <w:tr>
        <w:trPr>
          <w:trHeight w:val="155" w:hRule="atLeast"/>
        </w:trPr>
        <w:tc>
          <w:tcPr>
            <w:tcW w:w="567" w:type="dxa"/>
            <w:vMerge w:val="continue"/>
            <w:tcBorders>
              <w:top w:val="single" w:sz="4" w:space="0" w:color="000000"/>
              <w:left w:val="single" w:sz="4" w:space="0" w:color="000000"/>
              <w:bottom w:val="single" w:sz="4" w:space="0" w:color="000000"/>
              <w:right w:val="single" w:sz="4" w:space="0" w:color="000000"/>
            </w:tcBorders>
          </w:tcPr>
          <w:p>
            <w:pPr>
              <w:pStyle w:val="Normal"/>
              <w:jc w:val="center"/>
              <w:rPr>
                <w:sz w:val="20"/>
              </w:rPr>
            </w:pPr>
            <w:r>
              <w:rPr>
                <w:sz w:val="20"/>
              </w:rPr>
            </w:r>
          </w:p>
        </w:tc>
        <w:tc>
          <w:tcPr>
            <w:tcW w:w="3054" w:type="dxa"/>
            <w:tcBorders>
              <w:top w:val="single" w:sz="4" w:space="0" w:color="000000"/>
              <w:left w:val="single" w:sz="4" w:space="0" w:color="000000"/>
              <w:bottom w:val="single" w:sz="4" w:space="0" w:color="000000"/>
              <w:right w:val="single" w:sz="4" w:space="0" w:color="000000"/>
            </w:tcBorders>
          </w:tcPr>
          <w:p>
            <w:pPr>
              <w:pStyle w:val="Normal"/>
              <w:numPr>
                <w:ilvl w:val="0"/>
                <w:numId w:val="2"/>
              </w:numPr>
              <w:ind w:hanging="277" w:left="419" w:right="-263"/>
              <w:rPr>
                <w:sz w:val="24"/>
                <w:szCs w:val="24"/>
              </w:rPr>
            </w:pPr>
            <w:r>
              <w:rPr>
                <w:sz w:val="24"/>
                <w:szCs w:val="24"/>
                <w:lang w:val="en-US"/>
              </w:rPr>
              <w:t>кадастровый номер</w:t>
            </w:r>
          </w:p>
        </w:tc>
        <w:tc>
          <w:tcPr>
            <w:tcW w:w="6864"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59:01:2018034:148</w:t>
            </w:r>
          </w:p>
        </w:tc>
      </w:tr>
      <w:tr>
        <w:trPr>
          <w:trHeight w:val="144" w:hRule="atLeast"/>
        </w:trPr>
        <w:tc>
          <w:tcPr>
            <w:tcW w:w="567" w:type="dxa"/>
            <w:vMerge w:val="continue"/>
            <w:tcBorders>
              <w:top w:val="single" w:sz="4" w:space="0" w:color="000000"/>
              <w:left w:val="single" w:sz="4" w:space="0" w:color="000000"/>
              <w:bottom w:val="single" w:sz="4" w:space="0" w:color="000000"/>
              <w:right w:val="single" w:sz="4" w:space="0" w:color="000000"/>
            </w:tcBorders>
          </w:tcPr>
          <w:p>
            <w:pPr>
              <w:pStyle w:val="Normal"/>
              <w:jc w:val="center"/>
              <w:rPr>
                <w:sz w:val="20"/>
              </w:rPr>
            </w:pPr>
            <w:r>
              <w:rPr>
                <w:sz w:val="20"/>
              </w:rPr>
            </w:r>
          </w:p>
        </w:tc>
        <w:tc>
          <w:tcPr>
            <w:tcW w:w="3054" w:type="dxa"/>
            <w:tcBorders>
              <w:top w:val="single" w:sz="4" w:space="0" w:color="000000"/>
              <w:left w:val="single" w:sz="4" w:space="0" w:color="000000"/>
              <w:bottom w:val="single" w:sz="4" w:space="0" w:color="000000"/>
              <w:right w:val="single" w:sz="4" w:space="0" w:color="000000"/>
            </w:tcBorders>
          </w:tcPr>
          <w:p>
            <w:pPr>
              <w:pStyle w:val="Normal"/>
              <w:numPr>
                <w:ilvl w:val="0"/>
                <w:numId w:val="2"/>
              </w:numPr>
              <w:ind w:hanging="284" w:left="419" w:right="0"/>
              <w:rPr>
                <w:sz w:val="24"/>
                <w:szCs w:val="24"/>
              </w:rPr>
            </w:pPr>
            <w:r>
              <w:rPr>
                <w:sz w:val="24"/>
                <w:szCs w:val="24"/>
              </w:rPr>
              <w:t>права на земельный участок</w:t>
            </w:r>
          </w:p>
        </w:tc>
        <w:tc>
          <w:tcPr>
            <w:tcW w:w="6864" w:type="dxa"/>
            <w:tcBorders>
              <w:top w:val="single" w:sz="4" w:space="0" w:color="000000"/>
              <w:left w:val="single" w:sz="4" w:space="0" w:color="000000"/>
              <w:bottom w:val="single" w:sz="4" w:space="0" w:color="000000"/>
              <w:right w:val="single" w:sz="4" w:space="0" w:color="000000"/>
            </w:tcBorders>
          </w:tcPr>
          <w:p>
            <w:pPr>
              <w:pStyle w:val="Normal"/>
              <w:ind w:right="-263"/>
              <w:jc w:val="both"/>
              <w:rPr>
                <w:sz w:val="24"/>
                <w:szCs w:val="24"/>
              </w:rPr>
            </w:pPr>
            <w:r>
              <w:rPr>
                <w:sz w:val="24"/>
                <w:szCs w:val="24"/>
                <w:lang w:val="en-US"/>
              </w:rPr>
              <w:t>государственная собственность не разграничена</w:t>
            </w:r>
          </w:p>
        </w:tc>
      </w:tr>
      <w:tr>
        <w:trPr>
          <w:trHeight w:val="144" w:hRule="atLeast"/>
        </w:trPr>
        <w:tc>
          <w:tcPr>
            <w:tcW w:w="567" w:type="dxa"/>
            <w:vMerge w:val="continue"/>
            <w:tcBorders>
              <w:top w:val="single" w:sz="4" w:space="0" w:color="000000"/>
              <w:left w:val="single" w:sz="4" w:space="0" w:color="000000"/>
              <w:bottom w:val="single" w:sz="4" w:space="0" w:color="000000"/>
              <w:right w:val="single" w:sz="4" w:space="0" w:color="000000"/>
            </w:tcBorders>
          </w:tcPr>
          <w:p>
            <w:pPr>
              <w:pStyle w:val="Normal"/>
              <w:jc w:val="center"/>
              <w:rPr>
                <w:sz w:val="20"/>
              </w:rPr>
            </w:pPr>
            <w:r>
              <w:rPr>
                <w:sz w:val="20"/>
              </w:rPr>
            </w:r>
          </w:p>
        </w:tc>
        <w:tc>
          <w:tcPr>
            <w:tcW w:w="3054" w:type="dxa"/>
            <w:tcBorders>
              <w:top w:val="single" w:sz="4" w:space="0" w:color="000000"/>
              <w:left w:val="single" w:sz="4" w:space="0" w:color="000000"/>
              <w:bottom w:val="single" w:sz="4" w:space="0" w:color="000000"/>
              <w:right w:val="single" w:sz="4" w:space="0" w:color="000000"/>
            </w:tcBorders>
          </w:tcPr>
          <w:p>
            <w:pPr>
              <w:pStyle w:val="Normal"/>
              <w:numPr>
                <w:ilvl w:val="0"/>
                <w:numId w:val="2"/>
              </w:numPr>
              <w:ind w:hanging="277" w:left="419" w:right="0"/>
              <w:rPr>
                <w:sz w:val="24"/>
                <w:szCs w:val="24"/>
              </w:rPr>
            </w:pPr>
            <w:r>
              <w:rPr>
                <w:sz w:val="24"/>
                <w:szCs w:val="24"/>
                <w:lang w:val="en-US"/>
              </w:rPr>
              <w:t>вид разрешенного использования</w:t>
            </w:r>
          </w:p>
        </w:tc>
        <w:tc>
          <w:tcPr>
            <w:tcW w:w="6864"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lang w:val="en-US"/>
              </w:rPr>
              <w:t>для индивидуального жилищного строительства</w:t>
            </w:r>
          </w:p>
        </w:tc>
      </w:tr>
      <w:tr>
        <w:trPr>
          <w:trHeight w:val="576" w:hRule="atLeast"/>
        </w:trPr>
        <w:tc>
          <w:tcPr>
            <w:tcW w:w="567" w:type="dxa"/>
            <w:vMerge w:val="continue"/>
            <w:tcBorders>
              <w:top w:val="single" w:sz="4" w:space="0" w:color="000000"/>
              <w:left w:val="single" w:sz="4" w:space="0" w:color="000000"/>
              <w:bottom w:val="single" w:sz="4" w:space="0" w:color="000000"/>
              <w:right w:val="single" w:sz="4" w:space="0" w:color="000000"/>
            </w:tcBorders>
          </w:tcPr>
          <w:p>
            <w:pPr>
              <w:pStyle w:val="Normal"/>
              <w:jc w:val="center"/>
              <w:rPr>
                <w:sz w:val="20"/>
              </w:rPr>
            </w:pPr>
            <w:r>
              <w:rPr>
                <w:sz w:val="20"/>
              </w:rPr>
            </w:r>
          </w:p>
        </w:tc>
        <w:tc>
          <w:tcPr>
            <w:tcW w:w="3054" w:type="dxa"/>
            <w:tcBorders>
              <w:top w:val="single" w:sz="4" w:space="0" w:color="000000"/>
              <w:left w:val="single" w:sz="4" w:space="0" w:color="000000"/>
              <w:bottom w:val="single" w:sz="4" w:space="0" w:color="000000"/>
              <w:right w:val="single" w:sz="4" w:space="0" w:color="000000"/>
            </w:tcBorders>
          </w:tcPr>
          <w:p>
            <w:pPr>
              <w:pStyle w:val="Normal"/>
              <w:numPr>
                <w:ilvl w:val="0"/>
                <w:numId w:val="2"/>
              </w:numPr>
              <w:ind w:hanging="284" w:left="419" w:right="-263"/>
              <w:rPr>
                <w:sz w:val="24"/>
                <w:szCs w:val="24"/>
              </w:rPr>
            </w:pPr>
            <w:r>
              <w:rPr>
                <w:sz w:val="24"/>
                <w:szCs w:val="24"/>
              </w:rPr>
              <w:t xml:space="preserve">принадлежность к определенной  </w:t>
              <w:br/>
              <w:t>категории земель</w:t>
            </w:r>
          </w:p>
        </w:tc>
        <w:tc>
          <w:tcPr>
            <w:tcW w:w="6864" w:type="dxa"/>
            <w:tcBorders>
              <w:top w:val="single" w:sz="4" w:space="0" w:color="000000"/>
              <w:left w:val="single" w:sz="4" w:space="0" w:color="000000"/>
              <w:bottom w:val="single" w:sz="4" w:space="0" w:color="000000"/>
              <w:right w:val="single" w:sz="4" w:space="0" w:color="000000"/>
            </w:tcBorders>
          </w:tcPr>
          <w:p>
            <w:pPr>
              <w:pStyle w:val="Normal"/>
              <w:ind w:right="-263"/>
              <w:jc w:val="both"/>
              <w:rPr>
                <w:sz w:val="24"/>
                <w:szCs w:val="24"/>
              </w:rPr>
            </w:pPr>
            <w:r>
              <w:rPr>
                <w:sz w:val="24"/>
                <w:szCs w:val="24"/>
              </w:rPr>
              <w:t>земли населенных пунктов</w:t>
            </w:r>
          </w:p>
        </w:tc>
      </w:tr>
      <w:tr>
        <w:trPr>
          <w:trHeight w:val="576" w:hRule="atLeast"/>
        </w:trPr>
        <w:tc>
          <w:tcPr>
            <w:tcW w:w="567" w:type="dxa"/>
            <w:vMerge w:val="continue"/>
            <w:tcBorders>
              <w:left w:val="single" w:sz="4" w:space="0" w:color="000000"/>
              <w:bottom w:val="single" w:sz="4" w:space="0" w:color="000000"/>
              <w:right w:val="single" w:sz="4" w:space="0" w:color="000000"/>
            </w:tcBorders>
          </w:tcPr>
          <w:p>
            <w:pPr>
              <w:pStyle w:val="Normal"/>
              <w:jc w:val="center"/>
              <w:rPr>
                <w:sz w:val="20"/>
              </w:rPr>
            </w:pPr>
            <w:r>
              <w:rPr>
                <w:sz w:val="20"/>
              </w:rPr>
            </w:r>
          </w:p>
        </w:tc>
        <w:tc>
          <w:tcPr>
            <w:tcW w:w="3054" w:type="dxa"/>
            <w:tcBorders>
              <w:left w:val="single" w:sz="4" w:space="0" w:color="000000"/>
              <w:bottom w:val="single" w:sz="4" w:space="0" w:color="000000"/>
              <w:right w:val="single" w:sz="4" w:space="0" w:color="000000"/>
            </w:tcBorders>
          </w:tcPr>
          <w:p>
            <w:pPr>
              <w:pStyle w:val="Normal"/>
              <w:numPr>
                <w:ilvl w:val="0"/>
                <w:numId w:val="2"/>
              </w:numPr>
              <w:ind w:hanging="284" w:left="419" w:right="-263"/>
              <w:rPr>
                <w:sz w:val="24"/>
                <w:szCs w:val="24"/>
              </w:rPr>
            </w:pPr>
            <w:r>
              <w:rPr>
                <w:sz w:val="24"/>
                <w:szCs w:val="24"/>
              </w:rPr>
              <w:t>принадлежность к определенной территориальной зоне</w:t>
            </w:r>
          </w:p>
        </w:tc>
        <w:tc>
          <w:tcPr>
            <w:tcW w:w="6864" w:type="dxa"/>
            <w:tcBorders>
              <w:left w:val="single" w:sz="4" w:space="0" w:color="000000"/>
              <w:bottom w:val="single" w:sz="4" w:space="0" w:color="000000"/>
              <w:right w:val="single" w:sz="4" w:space="0" w:color="000000"/>
            </w:tcBorders>
          </w:tcPr>
          <w:p>
            <w:pPr>
              <w:pStyle w:val="Normal"/>
              <w:ind w:right="-263"/>
              <w:jc w:val="both"/>
              <w:rPr>
                <w:sz w:val="24"/>
                <w:szCs w:val="24"/>
              </w:rPr>
            </w:pPr>
            <w:r>
              <w:rPr>
                <w:sz w:val="24"/>
                <w:szCs w:val="24"/>
              </w:rPr>
              <w:t>Ж-4 «Зона индивидуальной жилой застройки городского типа»</w:t>
            </w:r>
          </w:p>
        </w:tc>
      </w:tr>
      <w:tr>
        <w:trPr>
          <w:trHeight w:val="144" w:hRule="atLeast"/>
        </w:trPr>
        <w:tc>
          <w:tcPr>
            <w:tcW w:w="567" w:type="dxa"/>
            <w:vMerge w:val="continue"/>
            <w:tcBorders>
              <w:top w:val="single" w:sz="4" w:space="0" w:color="000000"/>
              <w:left w:val="single" w:sz="4" w:space="0" w:color="000000"/>
              <w:bottom w:val="single" w:sz="4" w:space="0" w:color="000000"/>
              <w:right w:val="single" w:sz="4" w:space="0" w:color="000000"/>
            </w:tcBorders>
          </w:tcPr>
          <w:p>
            <w:pPr>
              <w:pStyle w:val="Normal"/>
              <w:jc w:val="center"/>
              <w:rPr>
                <w:sz w:val="20"/>
              </w:rPr>
            </w:pPr>
            <w:r>
              <w:rPr>
                <w:sz w:val="20"/>
              </w:rPr>
            </w:r>
          </w:p>
        </w:tc>
        <w:tc>
          <w:tcPr>
            <w:tcW w:w="3054" w:type="dxa"/>
            <w:tcBorders>
              <w:top w:val="single" w:sz="4" w:space="0" w:color="000000"/>
              <w:left w:val="single" w:sz="4" w:space="0" w:color="000000"/>
              <w:bottom w:val="single" w:sz="4" w:space="0" w:color="000000"/>
              <w:right w:val="single" w:sz="4" w:space="0" w:color="000000"/>
            </w:tcBorders>
          </w:tcPr>
          <w:p>
            <w:pPr>
              <w:pStyle w:val="Normal"/>
              <w:numPr>
                <w:ilvl w:val="0"/>
                <w:numId w:val="3"/>
              </w:numPr>
              <w:ind w:hanging="277" w:left="419" w:right="-263"/>
              <w:rPr>
                <w:sz w:val="24"/>
                <w:szCs w:val="24"/>
              </w:rPr>
            </w:pPr>
            <w:r>
              <w:rPr>
                <w:sz w:val="24"/>
                <w:szCs w:val="24"/>
              </w:rPr>
              <w:t>ограничение прав</w:t>
            </w:r>
          </w:p>
          <w:p>
            <w:pPr>
              <w:pStyle w:val="Normal"/>
              <w:ind w:left="419" w:right="-263"/>
              <w:rPr>
                <w:sz w:val="24"/>
                <w:szCs w:val="24"/>
              </w:rPr>
            </w:pPr>
            <w:r>
              <w:rPr>
                <w:sz w:val="24"/>
                <w:szCs w:val="24"/>
              </w:rPr>
            </w:r>
          </w:p>
        </w:tc>
        <w:tc>
          <w:tcPr>
            <w:tcW w:w="6864" w:type="dxa"/>
            <w:tcBorders>
              <w:top w:val="single" w:sz="4" w:space="0" w:color="000000"/>
              <w:left w:val="single" w:sz="4" w:space="0" w:color="000000"/>
              <w:bottom w:val="single" w:sz="4" w:space="0" w:color="000000"/>
              <w:right w:val="single" w:sz="4" w:space="0" w:color="000000"/>
            </w:tcBorders>
          </w:tcPr>
          <w:p>
            <w:pPr>
              <w:pStyle w:val="Normal"/>
              <w:ind w:hanging="0"/>
              <w:jc w:val="both"/>
              <w:rPr>
                <w:sz w:val="24"/>
                <w:szCs w:val="24"/>
              </w:rPr>
            </w:pPr>
            <w:r>
              <w:rPr>
                <w:sz w:val="24"/>
                <w:szCs w:val="24"/>
              </w:rPr>
              <w:t>Ограничения прав подробно описаны:</w:t>
            </w:r>
          </w:p>
          <w:p>
            <w:pPr>
              <w:pStyle w:val="Normal"/>
              <w:ind w:firstLine="311"/>
              <w:jc w:val="both"/>
              <w:rPr>
                <w:sz w:val="24"/>
                <w:szCs w:val="24"/>
              </w:rPr>
            </w:pPr>
            <w:r>
              <w:rPr>
                <w:sz w:val="24"/>
                <w:szCs w:val="24"/>
              </w:rPr>
              <w:t>в выписке из Единого государственного реестра недвижимости об объекте недвижимости от 03.06.2026г. № КУВИ-001/2026-75630588 (далее – ЕГРН);</w:t>
            </w:r>
          </w:p>
          <w:p>
            <w:pPr>
              <w:pStyle w:val="Normal"/>
              <w:ind w:firstLine="311"/>
              <w:jc w:val="both"/>
              <w:rPr>
                <w:highlight w:val="none"/>
                <w:shd w:fill="auto" w:val="clear"/>
              </w:rPr>
            </w:pPr>
            <w:r>
              <w:rPr>
                <w:sz w:val="24"/>
                <w:szCs w:val="24"/>
                <w:shd w:fill="auto" w:val="clear"/>
              </w:rPr>
              <w:t>в градостроительном плане земельного участка</w:t>
            </w:r>
          </w:p>
          <w:p>
            <w:pPr>
              <w:pStyle w:val="Normal"/>
              <w:jc w:val="both"/>
              <w:rPr>
                <w:highlight w:val="none"/>
                <w:shd w:fill="auto" w:val="clear"/>
              </w:rPr>
            </w:pPr>
            <w:r>
              <w:rPr>
                <w:sz w:val="24"/>
                <w:szCs w:val="24"/>
                <w:shd w:fill="auto" w:val="clear"/>
              </w:rPr>
              <w:t>от 28.05</w:t>
            </w:r>
            <w:r>
              <w:rPr>
                <w:color w:val="000000"/>
                <w:sz w:val="24"/>
                <w:szCs w:val="24"/>
                <w:shd w:fill="auto" w:val="clear"/>
              </w:rPr>
              <w:t>.2025 № РФ-59-2-03-0-00-2025-1189-0 </w:t>
            </w:r>
            <w:r>
              <w:rPr>
                <w:sz w:val="24"/>
                <w:szCs w:val="24"/>
                <w:shd w:fill="auto" w:val="clear"/>
              </w:rPr>
              <w:t>(далее – ГПЗУ).</w:t>
            </w:r>
          </w:p>
          <w:p>
            <w:pPr>
              <w:pStyle w:val="Normal"/>
              <w:jc w:val="both"/>
              <w:rPr>
                <w:highlight w:val="none"/>
                <w:shd w:fill="auto" w:val="clear"/>
              </w:rPr>
            </w:pPr>
            <w:r>
              <w:rPr>
                <w:sz w:val="24"/>
                <w:szCs w:val="24"/>
                <w:shd w:fill="auto" w:val="clear"/>
              </w:rPr>
              <w:t>(</w:t>
            </w:r>
            <w:r>
              <w:rPr>
                <w:rFonts w:eastAsia="Times New Roman" w:cs="Times New Roman"/>
                <w:b w:val="false"/>
                <w:bCs w:val="false"/>
                <w:color w:val="000000"/>
                <w:sz w:val="24"/>
                <w:szCs w:val="24"/>
                <w:shd w:fill="auto" w:val="clear"/>
              </w:rPr>
              <w:t>Приложение 10 к настоящему извещению)</w:t>
            </w:r>
            <w:r>
              <w:rPr>
                <w:sz w:val="24"/>
                <w:szCs w:val="24"/>
                <w:shd w:fill="auto" w:val="clear"/>
              </w:rPr>
              <w:t>.</w:t>
            </w:r>
          </w:p>
          <w:p>
            <w:pPr>
              <w:pStyle w:val="Normal"/>
              <w:jc w:val="both"/>
              <w:rPr>
                <w:sz w:val="24"/>
                <w:szCs w:val="24"/>
              </w:rPr>
            </w:pPr>
            <w:r>
              <w:rPr>
                <w:sz w:val="24"/>
                <w:szCs w:val="24"/>
              </w:rPr>
            </w:r>
          </w:p>
          <w:p>
            <w:pPr>
              <w:pStyle w:val="Normal"/>
              <w:spacing w:lineRule="auto" w:line="240" w:before="0" w:after="0"/>
              <w:ind w:firstLine="340"/>
              <w:jc w:val="both"/>
              <w:rPr>
                <w:rFonts w:ascii="Times New Roman" w:hAnsi="Times New Roman"/>
                <w:sz w:val="24"/>
                <w:szCs w:val="24"/>
                <w:highlight w:val="white"/>
              </w:rPr>
            </w:pPr>
            <w:r>
              <w:rPr>
                <w:sz w:val="24"/>
                <w:szCs w:val="24"/>
                <w:highlight w:val="white"/>
              </w:rPr>
              <w:t>В соответствии со сведениями из ЕГРН в границах Участка объекты капитального строительства отсутствуют.</w:t>
            </w:r>
          </w:p>
          <w:p>
            <w:pPr>
              <w:pStyle w:val="Normal"/>
              <w:spacing w:lineRule="auto" w:line="240" w:before="0" w:after="0"/>
              <w:ind w:firstLine="340"/>
              <w:jc w:val="both"/>
              <w:rPr>
                <w:rFonts w:ascii="Times New Roman" w:hAnsi="Times New Roman"/>
                <w:sz w:val="24"/>
                <w:szCs w:val="24"/>
                <w:highlight w:val="white"/>
              </w:rPr>
            </w:pPr>
            <w:r>
              <w:rPr>
                <w:sz w:val="24"/>
                <w:szCs w:val="24"/>
                <w:highlight w:val="white"/>
              </w:rPr>
              <w:t xml:space="preserve">Согласно геодезической съемке, выполненной </w:t>
              <w:br/>
              <w:t>в 2024 году и копии планшета М 1:500 (требующего корректуры) в границах Участка расположено металлическое ограждение.</w:t>
            </w:r>
          </w:p>
          <w:p>
            <w:pPr>
              <w:pStyle w:val="Normal"/>
              <w:spacing w:lineRule="auto" w:line="240" w:before="0" w:after="0"/>
              <w:ind w:firstLine="340"/>
              <w:jc w:val="both"/>
              <w:rPr>
                <w:rFonts w:ascii="Times New Roman" w:hAnsi="Times New Roman"/>
                <w:sz w:val="24"/>
                <w:szCs w:val="24"/>
                <w:highlight w:val="white"/>
              </w:rPr>
            </w:pPr>
            <w:r>
              <w:rPr>
                <w:sz w:val="24"/>
                <w:szCs w:val="24"/>
                <w:highlight w:val="white"/>
              </w:rPr>
            </w:r>
          </w:p>
          <w:p>
            <w:pPr>
              <w:pStyle w:val="Normal"/>
              <w:tabs>
                <w:tab w:val="clear" w:pos="708"/>
                <w:tab w:val="right" w:pos="6000" w:leader="none"/>
              </w:tabs>
              <w:spacing w:lineRule="auto" w:line="240" w:before="0" w:after="0"/>
              <w:ind w:firstLine="311"/>
              <w:jc w:val="both"/>
              <w:rPr>
                <w:rFonts w:ascii="Times New Roman" w:hAnsi="Times New Roman"/>
                <w:sz w:val="24"/>
                <w:szCs w:val="24"/>
                <w:highlight w:val="none"/>
              </w:rPr>
            </w:pPr>
            <w:r>
              <w:rPr>
                <w:sz w:val="24"/>
                <w:szCs w:val="24"/>
                <w:highlight w:val="white"/>
              </w:rPr>
              <w:t>Участок свободен, строения, сооружения отсутствуют.</w:t>
            </w:r>
          </w:p>
          <w:p>
            <w:pPr>
              <w:pStyle w:val="Normal"/>
              <w:tabs>
                <w:tab w:val="clear" w:pos="708"/>
                <w:tab w:val="right" w:pos="6000" w:leader="none"/>
              </w:tabs>
              <w:spacing w:lineRule="auto" w:line="240" w:before="0" w:after="0"/>
              <w:ind w:firstLine="311"/>
              <w:jc w:val="both"/>
              <w:rPr/>
            </w:pPr>
            <w:r>
              <w:rPr>
                <w:sz w:val="24"/>
                <w:szCs w:val="24"/>
                <w:highlight w:val="white"/>
              </w:rPr>
              <w:t xml:space="preserve">(Аналогичная информация отражена в письме </w:t>
            </w:r>
            <w:r>
              <w:rPr>
                <w:b/>
                <w:sz w:val="24"/>
                <w:szCs w:val="24"/>
                <w:highlight w:val="white"/>
              </w:rPr>
              <w:t>администрации Ленинского района города Перми</w:t>
            </w:r>
            <w:r>
              <w:rPr>
                <w:sz w:val="24"/>
                <w:szCs w:val="24"/>
                <w:highlight w:val="white"/>
              </w:rPr>
              <w:t xml:space="preserve"> от 21.05.2025 № 059-26-01-16/3-99, в акте обследования от 20.05.2025).</w:t>
            </w:r>
          </w:p>
          <w:p>
            <w:pPr>
              <w:pStyle w:val="Normal"/>
              <w:tabs>
                <w:tab w:val="clear" w:pos="708"/>
                <w:tab w:val="right" w:pos="6000" w:leader="none"/>
              </w:tabs>
              <w:spacing w:lineRule="auto" w:line="240" w:before="0" w:after="0"/>
              <w:ind w:firstLine="311"/>
              <w:jc w:val="both"/>
              <w:rPr>
                <w:rFonts w:ascii="Times New Roman" w:hAnsi="Times New Roman"/>
                <w:sz w:val="24"/>
                <w:szCs w:val="24"/>
                <w:highlight w:val="white"/>
              </w:rPr>
            </w:pPr>
            <w:r>
              <w:rPr>
                <w:sz w:val="24"/>
                <w:szCs w:val="24"/>
                <w:highlight w:val="white"/>
              </w:rPr>
            </w:r>
          </w:p>
          <w:p>
            <w:pPr>
              <w:pStyle w:val="Normal"/>
              <w:spacing w:lineRule="auto" w:line="240" w:before="0" w:after="0"/>
              <w:ind w:firstLine="340"/>
              <w:jc w:val="both"/>
              <w:rPr>
                <w:rFonts w:ascii="Times New Roman" w:hAnsi="Times New Roman" w:eastAsia="Times New Roman" w:cs="Times New Roman"/>
                <w:color w:themeColor="text1" w:val="000000"/>
                <w:sz w:val="24"/>
                <w:szCs w:val="24"/>
                <w:highlight w:val="none"/>
              </w:rPr>
            </w:pPr>
            <w:r>
              <w:rPr>
                <w:rFonts w:eastAsia="Times New Roman" w:cs="Times New Roman"/>
                <w:color w:themeColor="text1" w:val="000000"/>
                <w:sz w:val="24"/>
              </w:rPr>
              <w:t>Доступ к Участку не ограничен. Со стороны дороги Участок огорожен сеткой-рабицей. Выявлено зарастание древесно-кустарниковой растительностью. В границах Участка установлен движимый объект – бытовка.</w:t>
            </w:r>
          </w:p>
          <w:p>
            <w:pPr>
              <w:pStyle w:val="Normal"/>
              <w:tabs>
                <w:tab w:val="clear" w:pos="708"/>
                <w:tab w:val="right" w:pos="6000" w:leader="none"/>
              </w:tabs>
              <w:spacing w:lineRule="auto" w:line="240" w:before="0" w:after="0"/>
              <w:ind w:firstLine="311"/>
              <w:jc w:val="both"/>
              <w:rPr/>
            </w:pPr>
            <w:r>
              <w:rPr>
                <w:sz w:val="24"/>
                <w:szCs w:val="24"/>
                <w:highlight w:val="white"/>
              </w:rPr>
              <w:t xml:space="preserve">(Аналогичная информация отражена в акте обследования  </w:t>
            </w:r>
            <w:r>
              <w:rPr>
                <w:rFonts w:eastAsia="Times New Roman" w:cs="Times New Roman"/>
                <w:b/>
                <w:bCs/>
                <w:color w:themeColor="text1" w:val="000000"/>
                <w:sz w:val="24"/>
                <w:szCs w:val="24"/>
              </w:rPr>
              <w:t>департамента земельных отношений администрации города Перми</w:t>
            </w:r>
            <w:r>
              <w:rPr>
                <w:rFonts w:eastAsia="Times New Roman" w:cs="Times New Roman"/>
                <w:color w:themeColor="text1" w:val="000000"/>
                <w:sz w:val="24"/>
                <w:szCs w:val="24"/>
              </w:rPr>
              <w:t xml:space="preserve"> от 20.05.2026 № б/н</w:t>
            </w:r>
            <w:r>
              <w:rPr>
                <w:sz w:val="24"/>
                <w:szCs w:val="24"/>
                <w:highlight w:val="white"/>
              </w:rPr>
              <w:t>).</w:t>
            </w:r>
          </w:p>
          <w:p>
            <w:pPr>
              <w:pStyle w:val="Normal"/>
              <w:tabs>
                <w:tab w:val="clear" w:pos="708"/>
                <w:tab w:val="right" w:pos="6000" w:leader="none"/>
              </w:tabs>
              <w:spacing w:lineRule="auto" w:line="240" w:before="0" w:after="0"/>
              <w:ind w:firstLine="311"/>
              <w:jc w:val="both"/>
              <w:rPr>
                <w:rFonts w:ascii="Times New Roman" w:hAnsi="Times New Roman" w:eastAsia="Times New Roman" w:cs="Times New Roman"/>
                <w:color w:themeColor="text1" w:val="000000"/>
                <w:sz w:val="24"/>
                <w:szCs w:val="24"/>
                <w:highlight w:val="white"/>
              </w:rPr>
            </w:pPr>
            <w:r>
              <w:rPr>
                <w:rFonts w:eastAsia="Times New Roman" w:cs="Times New Roman"/>
                <w:color w:themeColor="text1" w:val="000000"/>
                <w:sz w:val="24"/>
                <w:szCs w:val="24"/>
                <w:highlight w:val="white"/>
              </w:rPr>
            </w:r>
          </w:p>
          <w:p>
            <w:pPr>
              <w:pStyle w:val="Normal"/>
              <w:spacing w:lineRule="auto" w:line="240" w:before="0" w:after="0"/>
              <w:ind w:firstLine="340"/>
              <w:jc w:val="both"/>
              <w:rPr>
                <w:rFonts w:ascii="Times New Roman" w:hAnsi="Times New Roman"/>
                <w:sz w:val="24"/>
                <w:szCs w:val="24"/>
                <w:highlight w:val="white"/>
              </w:rPr>
            </w:pPr>
            <w:r>
              <w:rPr>
                <w:sz w:val="24"/>
                <w:szCs w:val="24"/>
                <w:highlight w:val="white"/>
              </w:rPr>
            </w:r>
          </w:p>
          <w:p>
            <w:pPr>
              <w:pStyle w:val="Normal"/>
              <w:spacing w:lineRule="auto" w:line="240" w:before="0" w:after="0"/>
              <w:ind w:firstLine="340"/>
              <w:jc w:val="both"/>
              <w:rPr>
                <w:rFonts w:ascii="Times New Roman" w:hAnsi="Times New Roman"/>
                <w:sz w:val="24"/>
                <w:szCs w:val="24"/>
                <w:highlight w:val="white"/>
              </w:rPr>
            </w:pPr>
            <w:r>
              <w:rPr>
                <w:sz w:val="24"/>
                <w:szCs w:val="24"/>
                <w:highlight w:val="white"/>
              </w:rPr>
              <w:t xml:space="preserve">Согласно сведениям, содержащимся в ГПЗУ, ЕГРН и справке по градостроительным условиям </w:t>
              <w:br/>
              <w:t>от 03.06.2026 682158, Участок расположен в границах зон с особыми условиями использования территории:</w:t>
            </w:r>
          </w:p>
          <w:p>
            <w:pPr>
              <w:pStyle w:val="Normal"/>
              <w:spacing w:lineRule="auto" w:line="240" w:before="0" w:after="0"/>
              <w:ind w:firstLine="340"/>
              <w:jc w:val="both"/>
              <w:rPr>
                <w:rFonts w:ascii="Times New Roman" w:hAnsi="Times New Roman"/>
                <w:sz w:val="24"/>
                <w:szCs w:val="24"/>
              </w:rPr>
            </w:pPr>
            <w:r>
              <w:rPr>
                <w:sz w:val="24"/>
                <w:szCs w:val="24"/>
                <w:highlight w:val="white"/>
              </w:rPr>
              <w:t>полностью в Приаэродромной территории аэродрома аэропорта Большое Савино, реестровый номер границы 59:32-6.553</w:t>
            </w:r>
            <w:r>
              <w:rPr>
                <w:sz w:val="24"/>
                <w:szCs w:val="24"/>
              </w:rPr>
              <w:t>;</w:t>
            </w:r>
          </w:p>
          <w:p>
            <w:pPr>
              <w:pStyle w:val="Normal"/>
              <w:spacing w:lineRule="auto" w:line="240" w:before="0" w:after="0"/>
              <w:ind w:firstLine="311"/>
              <w:jc w:val="both"/>
              <w:rPr>
                <w:rFonts w:ascii="Times New Roman" w:hAnsi="Times New Roman"/>
                <w:sz w:val="24"/>
                <w:szCs w:val="24"/>
              </w:rPr>
            </w:pPr>
            <w:r>
              <w:rPr>
                <w:sz w:val="24"/>
                <w:szCs w:val="24"/>
              </w:rPr>
              <w:t>частично в границах зоны с особыми условиями использования территории «Охранная зона ЭСК «Закамская» ВЛ 0,4 кВ от КТП 1651, ВЛ 0,4кВ от КТП 1652, ВЛ 0,4кВ от КТП 1653, ВЛ 0,4кВ от КТП 1654, ВЛ 0,4кВ от КТП 1655, ВЛ 0,4кВ от ТП-1650», реестровый номер границы 59:01-6.3972, площадь пересечения 11 кв. м).</w:t>
            </w:r>
          </w:p>
          <w:p>
            <w:pPr>
              <w:pStyle w:val="Normal"/>
              <w:spacing w:lineRule="auto" w:line="240" w:before="0" w:after="0"/>
              <w:ind w:firstLine="311"/>
              <w:jc w:val="both"/>
              <w:rPr>
                <w:rFonts w:ascii="Times New Roman" w:hAnsi="Times New Roman"/>
                <w:sz w:val="24"/>
                <w:szCs w:val="24"/>
              </w:rPr>
            </w:pPr>
            <w:r>
              <w:rPr>
                <w:sz w:val="24"/>
                <w:szCs w:val="24"/>
              </w:rPr>
              <w:t xml:space="preserve">Проектирование и строительство необходимо вести </w:t>
              <w:br/>
              <w:t>в соответствии с:</w:t>
            </w:r>
          </w:p>
          <w:p>
            <w:pPr>
              <w:pStyle w:val="Normal"/>
              <w:spacing w:lineRule="auto" w:line="240" w:before="0" w:after="0"/>
              <w:ind w:firstLine="311"/>
              <w:jc w:val="both"/>
              <w:rPr>
                <w:rFonts w:ascii="Times New Roman" w:hAnsi="Times New Roman"/>
                <w:sz w:val="24"/>
                <w:szCs w:val="24"/>
              </w:rPr>
            </w:pPr>
            <w:r>
              <w:rPr>
                <w:sz w:val="24"/>
                <w:szCs w:val="24"/>
                <w:highlight w:val="white"/>
              </w:rPr>
              <w:t>постановлением Правительства Российской Федерации от 11.03.2010 № 138 «Об утверждении Федеральных прав</w:t>
            </w:r>
            <w:r>
              <w:rPr>
                <w:sz w:val="24"/>
                <w:szCs w:val="24"/>
              </w:rPr>
              <w:t>ил использования воздушного пространства Российской Федерации»;</w:t>
            </w:r>
          </w:p>
          <w:p>
            <w:pPr>
              <w:pStyle w:val="Normal"/>
              <w:spacing w:lineRule="auto" w:line="240" w:before="0" w:after="0"/>
              <w:ind w:firstLine="311"/>
              <w:jc w:val="both"/>
              <w:rPr>
                <w:rFonts w:ascii="Times New Roman" w:hAnsi="Times New Roman"/>
                <w:sz w:val="24"/>
                <w:szCs w:val="24"/>
              </w:rPr>
            </w:pPr>
            <w:r>
              <w:rPr>
                <w:color w:val="auto"/>
                <w:sz w:val="24"/>
                <w:szCs w:val="24"/>
              </w:rPr>
              <w:t>постановлением Правительства Российской Федерации от 24.02.2009 № 160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w:t>
            </w:r>
          </w:p>
          <w:p>
            <w:pPr>
              <w:pStyle w:val="Normal"/>
              <w:spacing w:lineRule="auto" w:line="240" w:before="0" w:after="0"/>
              <w:ind w:firstLine="311"/>
              <w:jc w:val="both"/>
              <w:rPr>
                <w:rFonts w:ascii="Times New Roman" w:hAnsi="Times New Roman"/>
                <w:sz w:val="24"/>
                <w:szCs w:val="24"/>
              </w:rPr>
            </w:pPr>
            <w:r>
              <w:rPr>
                <w:sz w:val="24"/>
                <w:szCs w:val="24"/>
              </w:rPr>
            </w:r>
          </w:p>
          <w:p>
            <w:pPr>
              <w:pStyle w:val="Normal"/>
              <w:spacing w:lineRule="auto" w:line="240" w:before="0" w:after="0"/>
              <w:ind w:firstLine="340"/>
              <w:jc w:val="both"/>
              <w:rPr>
                <w:rFonts w:ascii="Times New Roman" w:hAnsi="Times New Roman"/>
                <w:sz w:val="24"/>
                <w:szCs w:val="24"/>
              </w:rPr>
            </w:pPr>
            <w:r>
              <w:rPr>
                <w:sz w:val="24"/>
                <w:szCs w:val="24"/>
              </w:rPr>
              <w:t>На Участке произрастают 10 деревьев – клен 7 шт., береза 3 шт.</w:t>
            </w:r>
          </w:p>
          <w:p>
            <w:pPr>
              <w:pStyle w:val="Normal"/>
              <w:spacing w:lineRule="auto" w:line="240" w:before="0" w:after="0"/>
              <w:ind w:firstLine="340"/>
              <w:jc w:val="both"/>
              <w:rPr>
                <w:rFonts w:ascii="Times New Roman" w:hAnsi="Times New Roman"/>
                <w:sz w:val="24"/>
                <w:szCs w:val="24"/>
              </w:rPr>
            </w:pPr>
            <w:r>
              <w:rPr>
                <w:sz w:val="24"/>
                <w:szCs w:val="24"/>
              </w:rPr>
              <w:t>Восстановительная стоимость сносимых зеленых насаждений в ценах 2025 года: одного лиственного дерева от 25 тыс. руб., хвойной – от 30 тыс. руб.</w:t>
            </w:r>
          </w:p>
          <w:p>
            <w:pPr>
              <w:pStyle w:val="Normal"/>
              <w:spacing w:lineRule="auto" w:line="240" w:before="0" w:after="0"/>
              <w:ind w:firstLine="283" w:left="0" w:right="0"/>
              <w:jc w:val="both"/>
              <w:rPr>
                <w:color w:themeColor="text1" w:val="000000"/>
                <w:highlight w:val="white"/>
              </w:rPr>
            </w:pPr>
            <w:r>
              <w:rPr>
                <w:rFonts w:eastAsia="Times New Roman" w:cs="Times New Roman"/>
                <w:color w:themeColor="text1" w:val="000000"/>
                <w:sz w:val="24"/>
                <w:highlight w:val="white"/>
              </w:rPr>
              <w:t>Победителю аукциона необходимо соблюдать условия строительства, перечисленные в перечне мероприятий по охране окружающей среды от 14.05.2025 № 115.</w:t>
            </w:r>
          </w:p>
          <w:p>
            <w:pPr>
              <w:pStyle w:val="Normal"/>
              <w:tabs>
                <w:tab w:val="clear" w:pos="708"/>
                <w:tab w:val="right" w:pos="6000" w:leader="none"/>
              </w:tabs>
              <w:spacing w:lineRule="auto" w:line="240" w:before="0" w:after="0"/>
              <w:ind w:firstLine="311"/>
              <w:jc w:val="both"/>
              <w:rPr/>
            </w:pPr>
            <w:r>
              <w:rPr>
                <w:sz w:val="24"/>
                <w:szCs w:val="24"/>
                <w:highlight w:val="white"/>
              </w:rPr>
              <w:t xml:space="preserve">(Аналогичная информация отражена в письме </w:t>
            </w:r>
            <w:r>
              <w:rPr>
                <w:b/>
                <w:sz w:val="24"/>
                <w:szCs w:val="24"/>
                <w:highlight w:val="white"/>
              </w:rPr>
              <w:t>управления по экологии и природопользованию администрации города Перми</w:t>
            </w:r>
            <w:r>
              <w:rPr>
                <w:sz w:val="24"/>
                <w:szCs w:val="24"/>
                <w:highlight w:val="white"/>
              </w:rPr>
              <w:t xml:space="preserve"> от 14.05.2025 № 059-33-01-10/3-242).</w:t>
            </w:r>
          </w:p>
          <w:p>
            <w:pPr>
              <w:pStyle w:val="Normal"/>
              <w:tabs>
                <w:tab w:val="clear" w:pos="708"/>
                <w:tab w:val="right" w:pos="6000" w:leader="none"/>
              </w:tabs>
              <w:spacing w:lineRule="auto" w:line="240" w:before="0" w:after="0"/>
              <w:ind w:firstLine="311"/>
              <w:jc w:val="both"/>
              <w:rPr>
                <w:rFonts w:ascii="Times New Roman" w:hAnsi="Times New Roman" w:eastAsia="Times New Roman" w:cs="Times New Roman"/>
                <w:color w:themeColor="text1" w:val="000000"/>
                <w:sz w:val="24"/>
                <w:szCs w:val="24"/>
                <w:highlight w:val="white"/>
              </w:rPr>
            </w:pPr>
            <w:r>
              <w:rPr>
                <w:rFonts w:eastAsia="Times New Roman" w:cs="Times New Roman"/>
                <w:color w:themeColor="text1" w:val="000000"/>
                <w:sz w:val="24"/>
                <w:szCs w:val="24"/>
                <w:highlight w:val="white"/>
              </w:rPr>
            </w:r>
          </w:p>
          <w:p>
            <w:pPr>
              <w:pStyle w:val="Normal"/>
              <w:spacing w:lineRule="auto" w:line="240" w:before="0" w:after="0"/>
              <w:ind w:firstLine="283" w:left="0" w:right="0"/>
              <w:jc w:val="both"/>
              <w:rPr>
                <w:rFonts w:ascii="Times New Roman" w:hAnsi="Times New Roman"/>
                <w:sz w:val="24"/>
                <w:szCs w:val="24"/>
                <w:highlight w:val="white"/>
              </w:rPr>
            </w:pPr>
            <w:r>
              <w:rPr>
                <w:sz w:val="24"/>
                <w:szCs w:val="24"/>
                <w:highlight w:val="white"/>
              </w:rPr>
              <w:t>Муниципальной программой «Дорожная деятельность и благоустройство</w:t>
            </w:r>
            <w:r>
              <w:rPr>
                <w:sz w:val="24"/>
                <w:szCs w:val="24"/>
              </w:rPr>
              <w:t xml:space="preserve"> </w:t>
            </w:r>
            <w:r>
              <w:rPr>
                <w:sz w:val="24"/>
                <w:szCs w:val="24"/>
                <w:highlight w:val="white"/>
              </w:rPr>
              <w:t>города Перми», утвержденной постановлением администрации города Перми</w:t>
            </w:r>
            <w:r>
              <w:rPr>
                <w:sz w:val="24"/>
                <w:szCs w:val="24"/>
              </w:rPr>
              <w:t xml:space="preserve"> </w:t>
            </w:r>
            <w:r>
              <w:rPr>
                <w:sz w:val="24"/>
                <w:szCs w:val="24"/>
                <w:highlight w:val="white"/>
              </w:rPr>
              <w:t>от 18.10.2024 № 966, на период 2025-2029 годы мероприятия по строительству,</w:t>
            </w:r>
            <w:r>
              <w:rPr>
                <w:sz w:val="24"/>
                <w:szCs w:val="24"/>
              </w:rPr>
              <w:t xml:space="preserve"> </w:t>
            </w:r>
            <w:r>
              <w:rPr>
                <w:sz w:val="24"/>
                <w:szCs w:val="24"/>
                <w:highlight w:val="white"/>
              </w:rPr>
              <w:t>реконструкции,</w:t>
            </w:r>
            <w:r>
              <w:rPr>
                <w:sz w:val="24"/>
                <w:szCs w:val="24"/>
              </w:rPr>
              <w:t xml:space="preserve"> </w:t>
            </w:r>
            <w:r>
              <w:rPr>
                <w:sz w:val="24"/>
                <w:szCs w:val="24"/>
                <w:highlight w:val="white"/>
              </w:rPr>
              <w:t>капитальному</w:t>
            </w:r>
            <w:r>
              <w:rPr>
                <w:sz w:val="24"/>
                <w:szCs w:val="24"/>
              </w:rPr>
              <w:t xml:space="preserve"> </w:t>
            </w:r>
            <w:r>
              <w:rPr>
                <w:sz w:val="24"/>
                <w:szCs w:val="24"/>
                <w:highlight w:val="white"/>
              </w:rPr>
              <w:t>ремонту</w:t>
            </w:r>
            <w:r>
              <w:rPr>
                <w:sz w:val="24"/>
                <w:szCs w:val="24"/>
              </w:rPr>
              <w:t xml:space="preserve"> </w:t>
            </w:r>
            <w:r>
              <w:rPr>
                <w:sz w:val="24"/>
                <w:szCs w:val="24"/>
                <w:highlight w:val="white"/>
              </w:rPr>
              <w:t>улично-дорожной</w:t>
            </w:r>
            <w:r>
              <w:rPr>
                <w:sz w:val="24"/>
                <w:szCs w:val="24"/>
              </w:rPr>
              <w:t xml:space="preserve"> </w:t>
            </w:r>
            <w:r>
              <w:rPr>
                <w:sz w:val="24"/>
                <w:szCs w:val="24"/>
                <w:highlight w:val="white"/>
              </w:rPr>
              <w:t>сети</w:t>
            </w:r>
            <w:r>
              <w:rPr>
                <w:sz w:val="24"/>
                <w:szCs w:val="24"/>
              </w:rPr>
              <w:t xml:space="preserve"> </w:t>
              <w:br/>
            </w:r>
            <w:r>
              <w:rPr>
                <w:sz w:val="24"/>
                <w:szCs w:val="24"/>
                <w:highlight w:val="white"/>
              </w:rPr>
              <w:t>на</w:t>
            </w:r>
            <w:r>
              <w:rPr>
                <w:sz w:val="24"/>
                <w:szCs w:val="24"/>
              </w:rPr>
              <w:t xml:space="preserve"> </w:t>
            </w:r>
            <w:r>
              <w:rPr>
                <w:sz w:val="24"/>
                <w:szCs w:val="24"/>
                <w:highlight w:val="white"/>
              </w:rPr>
              <w:t>рассматриваемой территории не предусмотрены.</w:t>
            </w:r>
          </w:p>
          <w:p>
            <w:pPr>
              <w:pStyle w:val="Normal"/>
              <w:spacing w:lineRule="auto" w:line="240" w:beforeAutospacing="0" w:before="0" w:afterAutospacing="0" w:after="0"/>
              <w:ind w:firstLine="283" w:left="0" w:right="0"/>
              <w:jc w:val="both"/>
              <w:rPr>
                <w:rFonts w:ascii="Times New Roman" w:hAnsi="Times New Roman" w:eastAsia="Times New Roman" w:cs="Times New Roman"/>
                <w:color w:themeColor="text1" w:val="000000"/>
                <w:sz w:val="24"/>
                <w:szCs w:val="24"/>
                <w:highlight w:val="white"/>
              </w:rPr>
            </w:pPr>
            <w:r>
              <w:rPr>
                <w:rFonts w:eastAsia="Times New Roman" w:cs="Times New Roman"/>
                <w:color w:val="000000"/>
                <w:sz w:val="24"/>
                <w:highlight w:val="white"/>
              </w:rPr>
              <w:t>Для примыкания Участка к улично-дорожной сети города Перми н</w:t>
            </w:r>
            <w:r>
              <w:rPr>
                <w:rFonts w:eastAsia="Times New Roman" w:cs="Times New Roman"/>
                <w:color w:themeColor="text1" w:val="000000"/>
                <w:sz w:val="24"/>
                <w:highlight w:val="white"/>
              </w:rPr>
              <w:t>еобходимо выполнить условия, указанные в письме.</w:t>
            </w:r>
          </w:p>
          <w:p>
            <w:pPr>
              <w:pStyle w:val="Normal"/>
              <w:spacing w:lineRule="auto" w:line="240" w:beforeAutospacing="0" w:before="0" w:afterAutospacing="0" w:after="0"/>
              <w:ind w:firstLine="283" w:left="0" w:right="0"/>
              <w:jc w:val="both"/>
              <w:rPr>
                <w:highlight w:val="white"/>
              </w:rPr>
            </w:pPr>
            <w:r>
              <w:rPr>
                <w:rFonts w:eastAsia="Times New Roman" w:cs="Times New Roman"/>
                <w:color w:val="000000"/>
                <w:sz w:val="24"/>
                <w:highlight w:val="white"/>
              </w:rPr>
              <w:t xml:space="preserve">Также направлена информация о соблюдении Правил благоустройства территории города Перми, утвержденных решением Пермской городской Думы от 15.12.2020 № 277 «Об утверждении правил благоустройства территории города Перми», при строительстве объектов недвижимости </w:t>
              <w:br/>
              <w:t>на земельных участках, предоставленных на торгах.</w:t>
            </w:r>
          </w:p>
          <w:p>
            <w:pPr>
              <w:pStyle w:val="Normal"/>
              <w:spacing w:lineRule="auto" w:line="240" w:beforeAutospacing="0" w:before="0" w:afterAutospacing="0" w:after="0"/>
              <w:ind w:firstLine="283" w:left="0" w:right="0"/>
              <w:jc w:val="both"/>
              <w:rPr>
                <w:highlight w:val="white"/>
              </w:rPr>
            </w:pPr>
            <w:r>
              <w:rPr>
                <w:rFonts w:eastAsia="Times New Roman" w:cs="Times New Roman"/>
                <w:color w:val="000000"/>
                <w:sz w:val="24"/>
                <w:highlight w:val="white"/>
              </w:rPr>
              <w:t xml:space="preserve">В соответствии с Федеральным законом от 08.11.2007 № 257 </w:t>
            </w:r>
            <w:r>
              <w:rPr>
                <w:rFonts w:eastAsia="Times New Roman" w:cs="Times New Roman"/>
                <w:color w:val="000000"/>
                <w:sz w:val="24"/>
                <w:szCs w:val="24"/>
                <w:highlight w:val="white"/>
              </w:rPr>
              <w: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r>
              <w:rPr>
                <w:rFonts w:eastAsia="Times New Roman" w:cs="Times New Roman"/>
                <w:color w:val="000000"/>
                <w:sz w:val="24"/>
                <w:highlight w:val="white"/>
              </w:rPr>
              <w:t xml:space="preserve">, расходы </w:t>
              <w:br/>
              <w:t>на строительство, реконструкцию, капитальный ремонт, ремонт пересечений и примыканий, в том числе расходы на выполнение дополнительных работ связанных с обеспечением безопасности дорожного движения, водоотведения и исполнением других установленных техническими регламентами требований, несут лица, в интересах которых осуществляется строительство, реконструкция, капитальный ремонт, ремонт пересечений или примыканий.</w:t>
            </w:r>
          </w:p>
          <w:p>
            <w:pPr>
              <w:pStyle w:val="Normal"/>
              <w:tabs>
                <w:tab w:val="clear" w:pos="708"/>
                <w:tab w:val="right" w:pos="6000" w:leader="none"/>
              </w:tabs>
              <w:spacing w:lineRule="auto" w:line="240" w:before="0" w:after="0"/>
              <w:ind w:firstLine="311"/>
              <w:jc w:val="both"/>
              <w:rPr/>
            </w:pPr>
            <w:r>
              <w:rPr>
                <w:sz w:val="24"/>
                <w:szCs w:val="24"/>
                <w:highlight w:val="white"/>
              </w:rPr>
              <w:t xml:space="preserve">(Аналогичная информация отражена в письме </w:t>
            </w:r>
            <w:r>
              <w:rPr>
                <w:b/>
                <w:color w:themeColor="text1" w:val="000000"/>
                <w:sz w:val="24"/>
                <w:szCs w:val="24"/>
                <w:highlight w:val="white"/>
              </w:rPr>
              <w:t xml:space="preserve">департамента дорог и </w:t>
            </w:r>
            <w:r>
              <w:rPr>
                <w:b/>
                <w:sz w:val="24"/>
                <w:szCs w:val="24"/>
                <w:highlight w:val="white"/>
              </w:rPr>
              <w:t>благоустройства администрации города Перми</w:t>
            </w:r>
            <w:r>
              <w:rPr>
                <w:sz w:val="24"/>
                <w:szCs w:val="24"/>
                <w:highlight w:val="white"/>
              </w:rPr>
              <w:t xml:space="preserve"> от 21.05.2025 № 059-24-01-36/3-1705).</w:t>
            </w:r>
          </w:p>
          <w:p>
            <w:pPr>
              <w:pStyle w:val="Normal"/>
              <w:tabs>
                <w:tab w:val="clear" w:pos="708"/>
                <w:tab w:val="right" w:pos="6000" w:leader="none"/>
              </w:tabs>
              <w:spacing w:lineRule="auto" w:line="240" w:before="0" w:after="0"/>
              <w:ind w:firstLine="311"/>
              <w:jc w:val="both"/>
              <w:rPr/>
            </w:pPr>
            <w:r>
              <w:rPr/>
            </w:r>
          </w:p>
          <w:p>
            <w:pPr>
              <w:pStyle w:val="Normal"/>
              <w:spacing w:lineRule="auto" w:line="240" w:beforeAutospacing="0" w:before="0" w:afterAutospacing="0" w:after="0"/>
              <w:ind w:firstLine="283" w:left="0" w:right="0"/>
              <w:jc w:val="both"/>
              <w:rPr>
                <w:rFonts w:ascii="Times New Roman" w:hAnsi="Times New Roman" w:eastAsia="Times New Roman" w:cs="Times New Roman"/>
                <w:color w:val="000000"/>
                <w:sz w:val="24"/>
                <w:szCs w:val="24"/>
                <w:highlight w:val="white"/>
                <w14:ligatures w14:val="none"/>
              </w:rPr>
            </w:pPr>
            <w:r>
              <w:rPr>
                <w:rFonts w:eastAsia="Times New Roman" w:cs="Times New Roman"/>
                <w:color w:val="000000"/>
                <w:sz w:val="24"/>
                <w:szCs w:val="24"/>
                <w:highlight w:val="white"/>
              </w:rPr>
              <w:t xml:space="preserve">Источники противопожарного водоснабжения </w:t>
              <w:br/>
              <w:t>на указанной территории отсутствуют. Ближайший ИПВ (пожарный водоем) находится по ул. Борцов Революции, 153а (2 ед.).</w:t>
            </w:r>
          </w:p>
          <w:p>
            <w:pPr>
              <w:pStyle w:val="Normal"/>
              <w:spacing w:lineRule="auto" w:line="240" w:beforeAutospacing="0" w:before="0" w:afterAutospacing="0" w:after="0"/>
              <w:ind w:firstLine="283" w:left="0" w:right="0"/>
              <w:jc w:val="both"/>
              <w:rPr>
                <w:rFonts w:ascii="Times New Roman" w:hAnsi="Times New Roman" w:eastAsia="Times New Roman" w:cs="Times New Roman"/>
                <w:color w:val="000000"/>
                <w:sz w:val="24"/>
                <w:szCs w:val="24"/>
                <w:highlight w:val="white"/>
                <w14:ligatures w14:val="none"/>
              </w:rPr>
            </w:pPr>
            <w:r>
              <w:rPr>
                <w:rFonts w:eastAsia="Times New Roman" w:cs="Times New Roman"/>
                <w:color w:val="000000"/>
                <w:sz w:val="24"/>
                <w:szCs w:val="24"/>
                <w:highlight w:val="white"/>
              </w:rPr>
              <w:t xml:space="preserve">Информация о подразделениях пожарной охраны </w:t>
              <w:br/>
              <w:t>и времени их прибытия содержится в «Расписании выезда подразделений Пермского местного пожарно-спасательного гарнизона для тушения пожаров и проведения аварийно-спасательных работ на территории Пермского городского округа, Пермского муниципального района», утвержденном Главой города Перми 26.04.2024 (ближайшее подразделение пожарной охраны расположено по адресу: город Пермь, ул. Екатерининская, 53 А (ПСЧ-110 10-ПСО), ул. Ломоносова, 96 (ПЧ-1 6 ОППС ГКУ ПК «УГПС ПК»).</w:t>
            </w:r>
          </w:p>
          <w:p>
            <w:pPr>
              <w:pStyle w:val="Normal"/>
              <w:spacing w:lineRule="auto" w:line="240" w:beforeAutospacing="0" w:before="0" w:afterAutospacing="0" w:after="0"/>
              <w:ind w:firstLine="283" w:left="0" w:right="0"/>
              <w:jc w:val="both"/>
              <w:rPr>
                <w:rFonts w:ascii="Times New Roman" w:hAnsi="Times New Roman" w:eastAsia="Times New Roman" w:cs="Times New Roman"/>
                <w:color w:val="000000"/>
                <w:sz w:val="24"/>
                <w:szCs w:val="24"/>
                <w:highlight w:val="white"/>
                <w14:ligatures w14:val="none"/>
              </w:rPr>
            </w:pPr>
            <w:r>
              <w:rPr>
                <w:rFonts w:eastAsia="Times New Roman" w:cs="Times New Roman"/>
                <w:color w:val="000000"/>
                <w:sz w:val="24"/>
                <w:szCs w:val="24"/>
                <w:highlight w:val="white"/>
              </w:rPr>
              <w:t xml:space="preserve">При планировке и размещении объектов </w:t>
              <w:br/>
              <w:t xml:space="preserve">на вышеуказанной территории, необходимо соблюдать нормы и требования действующего законодательства: федеральных законов от 21 декабря 1994 г. № 69-ФЗ «О пожарной безопасности» и от 22 июля 2008 г. </w:t>
              <w:br/>
              <w:t>№ 123-ФЗ «Технический регламент о требованиях пожарной безопасности», Свода правил 8.13130. «Системы противопожарной защиты. Источники наружного противопожарного водоснабжения. Требования пожарной безопасности», утвержденных приказом МЧС России от 30.03.2020 № 225, Свода правил 4.13130 «Системы противопожарной защиты. Ограничение распространения пожара на объектах защиты. Требования к объемно-планировочным и конструктивным решениям», утвержденных Приказом МЧС России от 24.04.2013 № 288 и иной документации, касающейся норм противопожарной безопасности.</w:t>
            </w:r>
          </w:p>
          <w:p>
            <w:pPr>
              <w:pStyle w:val="Normal"/>
              <w:spacing w:lineRule="auto" w:line="240" w:beforeAutospacing="0" w:before="0" w:afterAutospacing="0" w:after="0"/>
              <w:ind w:firstLine="283" w:left="0" w:right="0"/>
              <w:jc w:val="both"/>
              <w:rPr>
                <w:rFonts w:ascii="Times New Roman" w:hAnsi="Times New Roman" w:eastAsia="Times New Roman" w:cs="Times New Roman"/>
                <w:color w:val="000000"/>
                <w:sz w:val="24"/>
                <w:szCs w:val="24"/>
                <w:highlight w:val="white"/>
                <w14:ligatures w14:val="none"/>
              </w:rPr>
            </w:pPr>
            <w:r>
              <w:rPr>
                <w:rFonts w:eastAsia="Times New Roman" w:cs="Times New Roman"/>
                <w:color w:val="000000"/>
                <w:sz w:val="24"/>
                <w:szCs w:val="24"/>
                <w:highlight w:val="white"/>
              </w:rPr>
              <w:t xml:space="preserve">В указанном микрорайоне Камская Долина, Ленинского района объекты общественной безопасности, отнесенные к объектам полиции (участковые пункты полиции), на указанной территории отсутствуют. С учетом активной застройки, увеличении населения данного микрорайона и при размещении объектов строительства многоквартирных жилых домов необходимо предусмотреть помещения под участковые пункты полиции. В соответствии со Сводом правил СП 500.1325800.2018 «Здания полиции. Правила проектирования», утвержденным приказом Министерства строительства и жилищно-коммунального хозяйства Российской Федерации </w:t>
              <w:br/>
              <w:t xml:space="preserve">от 17.01.2018 № 19/пр, площадь кабинета участкового уполномоченного полиции составляет 12 м2 (приложение Г, таблица И1). Согласно пункту 3 Инструкции по исполнению участковым уполномоченным полиции служебных обязанностей на обслуживаемом административном участке, утвержденной приказом МВД России от 29.03.2019 </w:t>
              <w:br/>
              <w:t xml:space="preserve">№ 205, за участковым уполномоченным полиции приказом начальника территориального органа МВД России на районном уровне закрепляется административный участок, размеры и границы которого определяются: в городах исходя </w:t>
              <w:br/>
              <w:t>из численности проживающего населения и граждан, состоящих на профилактическом учете, состояния оперативной обстановки, особенностей административно-территориального деления муниципальных образований.</w:t>
            </w:r>
          </w:p>
          <w:p>
            <w:pPr>
              <w:pStyle w:val="Normal"/>
              <w:spacing w:lineRule="auto" w:line="240" w:beforeAutospacing="0" w:before="0" w:afterAutospacing="0" w:after="0"/>
              <w:ind w:firstLine="283" w:left="0" w:right="0"/>
              <w:jc w:val="both"/>
              <w:rPr>
                <w:rFonts w:ascii="Times New Roman" w:hAnsi="Times New Roman" w:eastAsia="Times New Roman" w:cs="Times New Roman"/>
                <w:color w:val="000000"/>
                <w:sz w:val="24"/>
                <w:szCs w:val="24"/>
                <w:highlight w:val="white"/>
                <w14:ligatures w14:val="none"/>
              </w:rPr>
            </w:pPr>
            <w:r>
              <w:rPr>
                <w:rFonts w:eastAsia="Times New Roman" w:cs="Times New Roman"/>
                <w:color w:val="000000"/>
                <w:sz w:val="24"/>
                <w:szCs w:val="24"/>
                <w:highlight w:val="white"/>
              </w:rPr>
              <w:t>В соответствии с информацией, предоставленной Министерством территориальной безопасности Пермского края (письмо от 07.10.2020 № 964-с), данная территория попадает в зону возможного химического заражения в особый период.</w:t>
            </w:r>
          </w:p>
          <w:p>
            <w:pPr>
              <w:pStyle w:val="Normal"/>
              <w:spacing w:lineRule="auto" w:line="240" w:beforeAutospacing="0" w:before="0" w:afterAutospacing="0" w:after="0"/>
              <w:ind w:firstLine="283" w:left="0" w:right="0"/>
              <w:jc w:val="both"/>
              <w:rPr>
                <w:rFonts w:ascii="Times New Roman" w:hAnsi="Times New Roman" w:eastAsia="Times New Roman" w:cs="Times New Roman"/>
                <w:color w:val="000000"/>
                <w:sz w:val="24"/>
                <w:szCs w:val="24"/>
                <w:highlight w:val="white"/>
                <w14:ligatures w14:val="none"/>
              </w:rPr>
            </w:pPr>
            <w:r>
              <w:rPr>
                <w:rFonts w:eastAsia="Times New Roman" w:cs="Times New Roman"/>
                <w:color w:val="000000"/>
                <w:sz w:val="24"/>
                <w:szCs w:val="24"/>
                <w:highlight w:val="white"/>
              </w:rPr>
              <w:t>Территория находится в зоне действия региональной системы оповещения населения города Перми, установленной по адресу: ул. Борцов Революции, 151В – 600 метров.</w:t>
            </w:r>
          </w:p>
          <w:p>
            <w:pPr>
              <w:pStyle w:val="Normal"/>
              <w:spacing w:lineRule="auto" w:line="240" w:beforeAutospacing="0" w:before="0" w:afterAutospacing="0" w:after="0"/>
              <w:ind w:firstLine="283" w:left="0" w:right="0"/>
              <w:jc w:val="both"/>
              <w:rPr>
                <w:rFonts w:ascii="Times New Roman" w:hAnsi="Times New Roman" w:eastAsia="Times New Roman" w:cs="Times New Roman"/>
                <w:color w:val="000000"/>
                <w:sz w:val="24"/>
                <w:szCs w:val="24"/>
                <w:highlight w:val="white"/>
                <w14:ligatures w14:val="none"/>
              </w:rPr>
            </w:pPr>
            <w:r>
              <w:rPr>
                <w:rFonts w:eastAsia="Times New Roman" w:cs="Times New Roman"/>
                <w:color w:val="000000"/>
                <w:sz w:val="24"/>
                <w:szCs w:val="24"/>
                <w:highlight w:val="white"/>
              </w:rPr>
              <w:t>Иные замечания и предложения, в части полномочий департамента общественной безопасности администрации города Перми, отсутствуют.</w:t>
            </w:r>
          </w:p>
          <w:p>
            <w:pPr>
              <w:pStyle w:val="Normal"/>
              <w:tabs>
                <w:tab w:val="clear" w:pos="708"/>
                <w:tab w:val="right" w:pos="6000" w:leader="none"/>
              </w:tabs>
              <w:spacing w:lineRule="auto" w:line="240" w:before="0" w:after="0"/>
              <w:ind w:firstLine="311"/>
              <w:jc w:val="both"/>
              <w:rPr/>
            </w:pPr>
            <w:r>
              <w:rPr>
                <w:sz w:val="24"/>
                <w:szCs w:val="24"/>
                <w:highlight w:val="white"/>
              </w:rPr>
              <w:t xml:space="preserve">(Аналогичная информация отражена в письме </w:t>
            </w:r>
            <w:r>
              <w:rPr>
                <w:rFonts w:eastAsia="Times New Roman" w:cs="Times New Roman"/>
                <w:b/>
                <w:bCs/>
                <w:color w:val="000000"/>
                <w:sz w:val="24"/>
                <w:szCs w:val="24"/>
                <w:highlight w:val="white"/>
              </w:rPr>
              <w:t>департамента общественной безопасности администрации города Перми</w:t>
            </w:r>
            <w:r>
              <w:rPr>
                <w:rFonts w:eastAsia="Times New Roman" w:cs="Times New Roman"/>
                <w:color w:val="000000"/>
                <w:sz w:val="24"/>
                <w:szCs w:val="24"/>
                <w:highlight w:val="white"/>
              </w:rPr>
              <w:t xml:space="preserve"> от 15.05.2025 № 059-10-01-27/3-1042</w:t>
            </w:r>
            <w:r>
              <w:rPr>
                <w:sz w:val="24"/>
                <w:szCs w:val="24"/>
                <w:highlight w:val="white"/>
              </w:rPr>
              <w:t>).</w:t>
            </w:r>
          </w:p>
          <w:p>
            <w:pPr>
              <w:pStyle w:val="Normal"/>
              <w:tabs>
                <w:tab w:val="clear" w:pos="708"/>
                <w:tab w:val="right" w:pos="6000" w:leader="none"/>
              </w:tabs>
              <w:spacing w:lineRule="auto" w:line="240" w:before="0" w:after="0"/>
              <w:ind w:firstLine="311"/>
              <w:jc w:val="both"/>
              <w:rPr>
                <w:rFonts w:ascii="Times New Roman" w:hAnsi="Times New Roman" w:eastAsia="Times New Roman" w:cs="Times New Roman"/>
                <w:color w:val="000000"/>
                <w:sz w:val="24"/>
                <w:szCs w:val="24"/>
                <w:highlight w:val="white"/>
              </w:rPr>
            </w:pPr>
            <w:r>
              <w:rPr>
                <w:rFonts w:eastAsia="Times New Roman" w:cs="Times New Roman"/>
                <w:color w:val="000000"/>
                <w:sz w:val="24"/>
                <w:szCs w:val="24"/>
                <w:highlight w:val="white"/>
              </w:rPr>
            </w:r>
          </w:p>
        </w:tc>
      </w:tr>
      <w:tr>
        <w:trPr>
          <w:trHeight w:val="1087" w:hRule="atLeast"/>
        </w:trPr>
        <w:tc>
          <w:tcPr>
            <w:tcW w:w="567" w:type="dxa"/>
            <w:vMerge w:val="continue"/>
            <w:tcBorders>
              <w:top w:val="single" w:sz="4" w:space="0" w:color="000000"/>
              <w:left w:val="single" w:sz="4" w:space="0" w:color="000000"/>
              <w:bottom w:val="single" w:sz="4" w:space="0" w:color="000000"/>
              <w:right w:val="single" w:sz="4" w:space="0" w:color="000000"/>
            </w:tcBorders>
          </w:tcPr>
          <w:p>
            <w:pPr>
              <w:pStyle w:val="Normal"/>
              <w:jc w:val="center"/>
              <w:rPr>
                <w:sz w:val="20"/>
              </w:rPr>
            </w:pPr>
            <w:r>
              <w:rPr>
                <w:sz w:val="20"/>
              </w:rPr>
            </w:r>
          </w:p>
        </w:tc>
        <w:tc>
          <w:tcPr>
            <w:tcW w:w="3054" w:type="dxa"/>
            <w:tcBorders>
              <w:top w:val="single" w:sz="4" w:space="0" w:color="000000"/>
              <w:left w:val="single" w:sz="4" w:space="0" w:color="000000"/>
              <w:bottom w:val="single" w:sz="4" w:space="0" w:color="000000"/>
              <w:right w:val="single" w:sz="4" w:space="0" w:color="000000"/>
            </w:tcBorders>
          </w:tcPr>
          <w:p>
            <w:pPr>
              <w:pStyle w:val="Normal"/>
              <w:widowControl/>
              <w:numPr>
                <w:ilvl w:val="0"/>
                <w:numId w:val="2"/>
              </w:numPr>
              <w:spacing w:before="0" w:after="0"/>
              <w:ind w:hanging="283" w:left="510" w:right="113"/>
              <w:jc w:val="left"/>
              <w:rPr>
                <w:sz w:val="24"/>
                <w:szCs w:val="24"/>
              </w:rPr>
            </w:pPr>
            <w:r>
              <w:rPr>
                <w:sz w:val="24"/>
                <w:szCs w:val="24"/>
              </w:rPr>
              <w:t xml:space="preserve">максимально и (или) минимально </w:t>
              <w:br/>
              <w:t>допустимые параметры разрешенного строительства объекта капитального строительства</w:t>
            </w:r>
          </w:p>
        </w:tc>
        <w:tc>
          <w:tcPr>
            <w:tcW w:w="6864" w:type="dxa"/>
            <w:tcBorders>
              <w:top w:val="single" w:sz="4" w:space="0" w:color="000000"/>
              <w:left w:val="single" w:sz="4" w:space="0" w:color="000000"/>
              <w:bottom w:val="single" w:sz="4" w:space="0" w:color="000000"/>
              <w:right w:val="single" w:sz="4" w:space="0" w:color="000000"/>
            </w:tcBorders>
          </w:tcPr>
          <w:p>
            <w:pPr>
              <w:pStyle w:val="Normal"/>
              <w:ind w:firstLine="312"/>
              <w:jc w:val="both"/>
              <w:rPr>
                <w:color w:themeColor="text1" w:val="000000"/>
                <w:sz w:val="24"/>
                <w:szCs w:val="24"/>
                <w:highlight w:val="none"/>
                <w:u w:val="none"/>
              </w:rPr>
            </w:pPr>
            <w:r>
              <w:rPr>
                <w:color w:themeColor="text1" w:val="000000"/>
                <w:sz w:val="24"/>
                <w:szCs w:val="24"/>
                <w:u w:val="none"/>
              </w:rPr>
            </w:r>
          </w:p>
          <w:p>
            <w:pPr>
              <w:pStyle w:val="Normal"/>
              <w:ind w:firstLine="312"/>
              <w:jc w:val="both"/>
              <w:rPr>
                <w:color w:themeColor="text1" w:val="000000"/>
                <w:sz w:val="24"/>
                <w:szCs w:val="24"/>
                <w:highlight w:val="none"/>
                <w:u w:val="none"/>
              </w:rPr>
            </w:pPr>
            <w:r>
              <w:rPr>
                <w:szCs w:val="24"/>
              </w:rPr>
              <w:t xml:space="preserve">В </w:t>
            </w:r>
            <w:r>
              <w:rPr>
                <w:szCs w:val="24"/>
                <w:shd w:fill="FFFFFF" w:val="clear"/>
              </w:rPr>
              <w:t>документации по земельному участку, размещенной</w:t>
              <w:br/>
              <w:t xml:space="preserve">с извещением о проведении аукциона в ГИС Торги </w:t>
            </w:r>
            <w:r>
              <w:rPr>
                <w:szCs w:val="24"/>
                <w:lang w:val="en-US"/>
              </w:rPr>
              <w:t>www</w:t>
            </w:r>
            <w:r>
              <w:rPr>
                <w:szCs w:val="24"/>
              </w:rPr>
              <w:t>.</w:t>
            </w:r>
            <w:r>
              <w:rPr>
                <w:szCs w:val="24"/>
                <w:lang w:val="en-US"/>
              </w:rPr>
              <w:t>torgi</w:t>
            </w:r>
            <w:r>
              <w:rPr>
                <w:szCs w:val="24"/>
              </w:rPr>
              <w:t>.</w:t>
            </w:r>
            <w:r>
              <w:rPr>
                <w:szCs w:val="24"/>
                <w:lang w:val="en-US"/>
              </w:rPr>
              <w:t>gov</w:t>
            </w:r>
            <w:r>
              <w:rPr>
                <w:szCs w:val="24"/>
              </w:rPr>
              <w:t>.</w:t>
            </w:r>
            <w:r>
              <w:rPr>
                <w:szCs w:val="24"/>
                <w:lang w:val="en-US"/>
              </w:rPr>
              <w:t>ru</w:t>
            </w:r>
            <w:r>
              <w:rPr>
                <w:szCs w:val="24"/>
                <w:shd w:fill="FFFFFF" w:val="clear"/>
              </w:rPr>
              <w:t xml:space="preserve">, на официальном сайте муниципального образования город Пермь в информационно-телекоммуникационной сети Интернет </w:t>
            </w:r>
            <w:hyperlink r:id="rId25" w:tgtFrame="http://www.gorodperm.ru/">
              <w:r>
                <w:rPr>
                  <w:rStyle w:val="Hyperlink"/>
                  <w:color w:themeColor="text1" w:val="000000"/>
                  <w:szCs w:val="24"/>
                  <w:u w:val="none"/>
                </w:rPr>
                <w:t>www.gorodperm.ru</w:t>
              </w:r>
            </w:hyperlink>
            <w:r>
              <w:rPr>
                <w:color w:themeColor="text1" w:val="000000"/>
                <w:szCs w:val="24"/>
                <w:u w:val="none"/>
              </w:rPr>
              <w:t>.</w:t>
            </w:r>
          </w:p>
          <w:p>
            <w:pPr>
              <w:pStyle w:val="Normal"/>
              <w:ind w:firstLine="312"/>
              <w:jc w:val="both"/>
              <w:rPr>
                <w:sz w:val="24"/>
                <w:szCs w:val="24"/>
                <w:highlight w:val="none"/>
              </w:rPr>
            </w:pPr>
            <w:r>
              <w:rPr>
                <w:sz w:val="24"/>
                <w:szCs w:val="24"/>
              </w:rPr>
            </w:r>
          </w:p>
          <w:p>
            <w:pPr>
              <w:pStyle w:val="Normal"/>
              <w:spacing w:lineRule="auto" w:line="240" w:before="0" w:after="0"/>
              <w:ind w:firstLine="340"/>
              <w:jc w:val="both"/>
              <w:rPr>
                <w:rFonts w:ascii="Times New Roman" w:hAnsi="Times New Roman"/>
                <w:sz w:val="24"/>
                <w:szCs w:val="24"/>
              </w:rPr>
            </w:pPr>
            <w:r>
              <w:rPr>
                <w:sz w:val="24"/>
                <w:szCs w:val="24"/>
              </w:rPr>
              <w:t xml:space="preserve">Проектирование и строительство необходимо вести </w:t>
              <w:br/>
              <w:t xml:space="preserve">в соответствии с пунктом 4.5 СП 55.13330.2016 Свода Правил. Дома жилые одноквартирные. СНиП 31-02-2001, утвержденным и введенным в действие Приказом Министерства строительства и жилищно-коммунального хозяйства Российской Федерации </w:t>
              <w:br/>
              <w:t>от 20.10.2016 № 725/пр (ред. от 17.05.2023): дом должен включать жилые комнаты – одну или несколько (общую комнату или гостиную, спальню), а также вспомогательные помещения: переднюю, кухню (в том числе кухню-столовую и (или) кухню-нишу), ванные комнаты и (или) душевые, туалет (уборную) или совмещенный санузел, переднюю.</w:t>
            </w:r>
          </w:p>
          <w:p>
            <w:pPr>
              <w:pStyle w:val="Normal"/>
              <w:spacing w:lineRule="auto" w:line="240" w:before="0" w:after="0"/>
              <w:ind w:firstLine="340"/>
              <w:jc w:val="both"/>
              <w:rPr>
                <w:rFonts w:ascii="Times New Roman" w:hAnsi="Times New Roman"/>
                <w:sz w:val="24"/>
                <w:szCs w:val="24"/>
              </w:rPr>
            </w:pPr>
            <w:r>
              <w:rPr>
                <w:sz w:val="24"/>
                <w:szCs w:val="24"/>
              </w:rPr>
              <w:t>Согласно пункту 6.1 СП 55.13330.2016 площади помещений строящихся и реконструируемых жилых домов должны быть не менее: общей комнаты в однокомнатном доме - 14 м</w:t>
            </w:r>
            <w:r>
              <w:rPr>
                <w:sz w:val="24"/>
                <w:szCs w:val="24"/>
                <w:vertAlign w:val="superscript"/>
              </w:rPr>
              <w:t>2</w:t>
            </w:r>
            <w:r>
              <w:rPr>
                <w:sz w:val="24"/>
                <w:szCs w:val="24"/>
              </w:rPr>
              <w:t>, общей комнаты в доме с числом комнат две и более - 16 м</w:t>
            </w:r>
            <w:r>
              <w:rPr>
                <w:sz w:val="24"/>
                <w:szCs w:val="24"/>
                <w:vertAlign w:val="superscript"/>
              </w:rPr>
              <w:t>2</w:t>
            </w:r>
            <w:r>
              <w:rPr>
                <w:sz w:val="24"/>
                <w:szCs w:val="24"/>
              </w:rPr>
              <w:t>, спальни - 8 м</w:t>
            </w:r>
            <w:r>
              <w:rPr>
                <w:sz w:val="24"/>
                <w:szCs w:val="24"/>
                <w:vertAlign w:val="superscript"/>
              </w:rPr>
              <w:t>2</w:t>
            </w:r>
            <w:r>
              <w:rPr>
                <w:sz w:val="24"/>
                <w:szCs w:val="24"/>
              </w:rPr>
              <w:t xml:space="preserve"> (на двух человек - 10 м</w:t>
            </w:r>
            <w:r>
              <w:rPr>
                <w:sz w:val="24"/>
                <w:szCs w:val="24"/>
                <w:vertAlign w:val="superscript"/>
              </w:rPr>
              <w:t>2</w:t>
            </w:r>
            <w:r>
              <w:rPr>
                <w:sz w:val="24"/>
                <w:szCs w:val="24"/>
              </w:rPr>
              <w:t>); кухни - 8 м</w:t>
            </w:r>
            <w:r>
              <w:rPr>
                <w:sz w:val="24"/>
                <w:szCs w:val="24"/>
                <w:vertAlign w:val="superscript"/>
              </w:rPr>
              <w:t>2</w:t>
            </w:r>
            <w:r>
              <w:rPr>
                <w:sz w:val="24"/>
                <w:szCs w:val="24"/>
              </w:rPr>
              <w:t>; кухонной зоны в кухне-столовой - 6 м</w:t>
            </w:r>
            <w:r>
              <w:rPr>
                <w:sz w:val="24"/>
                <w:szCs w:val="24"/>
                <w:vertAlign w:val="superscript"/>
              </w:rPr>
              <w:t>2</w:t>
            </w:r>
            <w:r>
              <w:rPr>
                <w:sz w:val="24"/>
                <w:szCs w:val="24"/>
              </w:rPr>
              <w:t>. В домах с одной комнатой допускается проектировать кухни или кухни-ниши площадью не менее 5 м</w:t>
            </w:r>
            <w:r>
              <w:rPr>
                <w:sz w:val="24"/>
                <w:szCs w:val="24"/>
                <w:vertAlign w:val="superscript"/>
              </w:rPr>
              <w:t>2</w:t>
            </w:r>
            <w:r>
              <w:rPr>
                <w:sz w:val="24"/>
                <w:szCs w:val="24"/>
              </w:rPr>
              <w:t>. Площадь спальни и кухни в мансардном этаже (или этаже с наклонными ограждающими конструкциями) допускается не менее 7 м</w:t>
            </w:r>
            <w:r>
              <w:rPr>
                <w:sz w:val="24"/>
                <w:szCs w:val="24"/>
                <w:vertAlign w:val="superscript"/>
              </w:rPr>
              <w:t>2</w:t>
            </w:r>
            <w:r>
              <w:rPr>
                <w:sz w:val="24"/>
                <w:szCs w:val="24"/>
              </w:rPr>
              <w:t xml:space="preserve"> при условии, что общая жилая комната имеет площадь не менее 16 м</w:t>
            </w:r>
            <w:r>
              <w:rPr>
                <w:sz w:val="24"/>
                <w:szCs w:val="24"/>
                <w:vertAlign w:val="superscript"/>
              </w:rPr>
              <w:t>2</w:t>
            </w:r>
            <w:r>
              <w:rPr>
                <w:sz w:val="24"/>
                <w:szCs w:val="24"/>
              </w:rPr>
              <w:t>.</w:t>
            </w:r>
          </w:p>
          <w:p>
            <w:pPr>
              <w:pStyle w:val="Normal"/>
              <w:spacing w:lineRule="auto" w:line="240" w:before="0" w:after="0"/>
              <w:ind w:firstLine="340"/>
              <w:jc w:val="both"/>
              <w:rPr>
                <w:rFonts w:ascii="Times New Roman" w:hAnsi="Times New Roman"/>
                <w:spacing w:val="-2"/>
                <w:sz w:val="24"/>
                <w:szCs w:val="24"/>
              </w:rPr>
            </w:pPr>
            <w:r>
              <w:rPr>
                <w:spacing w:val="-2"/>
                <w:sz w:val="24"/>
                <w:szCs w:val="24"/>
              </w:rPr>
              <w:t xml:space="preserve">Согласно пункту 6.2 СП 55.13330.2016 высота </w:t>
              <w:br/>
              <w:t xml:space="preserve">(от пола до потолка) комнат и кухни (кухни-столовой) </w:t>
              <w:br/>
              <w:t>в климатических районах строительства IА, IБ, IГ, IД, определяемых по СП 131.13330, должна быть не менее 2,7 м, а в других климатических районах строительства - не менее 2,5 м. Высота внутридомовых коридоров, холлов, передних, антресолей должна составлять не менее 2,1 м, а высота пути эвакуации - не менее 2,2 м.</w:t>
            </w:r>
          </w:p>
          <w:p>
            <w:pPr>
              <w:pStyle w:val="Normal"/>
              <w:spacing w:lineRule="auto" w:line="240" w:before="0" w:after="0"/>
              <w:ind w:firstLine="340"/>
              <w:jc w:val="both"/>
              <w:rPr>
                <w:rFonts w:ascii="Times New Roman" w:hAnsi="Times New Roman"/>
                <w:sz w:val="24"/>
                <w:szCs w:val="24"/>
              </w:rPr>
            </w:pPr>
            <w:r>
              <w:rPr>
                <w:sz w:val="24"/>
                <w:szCs w:val="24"/>
              </w:rPr>
              <w:t xml:space="preserve">В жилых комнатах и кухнях, расположенных </w:t>
              <w:br/>
              <w:t>в этажах с наклонными ограждающими конструкциями или в мансардном этаже, допускается уменьшение высоты помещений (от пола до потолка), относительно нормируемой на площади, не превышающей 50%.</w:t>
            </w:r>
          </w:p>
          <w:p>
            <w:pPr>
              <w:pStyle w:val="Normal"/>
              <w:tabs>
                <w:tab w:val="clear" w:pos="708"/>
                <w:tab w:val="right" w:pos="6000" w:leader="none"/>
              </w:tabs>
              <w:spacing w:lineRule="auto" w:line="240" w:before="0" w:after="0"/>
              <w:ind w:firstLine="340"/>
              <w:jc w:val="both"/>
              <w:rPr>
                <w:rFonts w:ascii="Times New Roman" w:hAnsi="Times New Roman"/>
                <w:sz w:val="24"/>
              </w:rPr>
            </w:pPr>
            <w:r>
              <w:rPr>
                <w:sz w:val="24"/>
              </w:rPr>
              <w:t>Согласно информации, содержащейся в ГПЗУ, предельная высота зданий, строений не более 10,5 м.</w:t>
            </w:r>
          </w:p>
          <w:p>
            <w:pPr>
              <w:pStyle w:val="Normal"/>
              <w:tabs>
                <w:tab w:val="clear" w:pos="708"/>
                <w:tab w:val="right" w:pos="6000" w:leader="none"/>
              </w:tabs>
              <w:spacing w:lineRule="auto" w:line="240" w:before="0" w:after="0"/>
              <w:ind w:firstLine="340"/>
              <w:jc w:val="both"/>
              <w:rPr>
                <w:rFonts w:ascii="Times New Roman" w:hAnsi="Times New Roman"/>
                <w:sz w:val="24"/>
              </w:rPr>
            </w:pPr>
            <w:r>
              <w:rPr>
                <w:sz w:val="24"/>
              </w:rPr>
              <w:t xml:space="preserve">Минимальный отступ от границ Участка до места допустимого размещения зданий, строений </w:t>
              <w:br/>
            </w:r>
            <w:r>
              <w:rPr>
                <w:sz w:val="24"/>
                <w:szCs w:val="24"/>
              </w:rPr>
              <w:t xml:space="preserve">(за исключением границ со стороны территории общего пользования, где отступ определяется с учетом красных линий и линий регулирования застройки, установленных проектом планировки территории, а также смежных земельных участков </w:t>
              <w:br/>
              <w:t>при блокированной жилой застройке)</w:t>
            </w:r>
            <w:r>
              <w:rPr>
                <w:sz w:val="24"/>
              </w:rPr>
              <w:t xml:space="preserve"> – 3 м.</w:t>
            </w:r>
          </w:p>
          <w:p>
            <w:pPr>
              <w:pStyle w:val="Normal"/>
              <w:tabs>
                <w:tab w:val="clear" w:pos="708"/>
                <w:tab w:val="right" w:pos="6000" w:leader="none"/>
              </w:tabs>
              <w:spacing w:lineRule="auto" w:line="240" w:before="0" w:after="0"/>
              <w:ind w:firstLine="340"/>
              <w:jc w:val="both"/>
              <w:rPr>
                <w:rFonts w:ascii="Times New Roman" w:hAnsi="Times New Roman"/>
                <w:sz w:val="24"/>
              </w:rPr>
            </w:pPr>
            <w:r>
              <w:rPr>
                <w:sz w:val="24"/>
              </w:rPr>
              <w:t xml:space="preserve">Максимальный выступ за красную линию нависающих частей здания наземных уровней, выступающих из плоскости наружной стены фасада здания на высоте не менее 4,5 м над территорией общего пользования, составляет не более 1,2 м </w:t>
              <w:br/>
              <w:t>от красной линии. В случаях, когда линия регулирования застройки отличается от красной линии, указанный выступ может быть произведен за линию регулирования застройки.</w:t>
            </w:r>
          </w:p>
          <w:p>
            <w:pPr>
              <w:pStyle w:val="Normal"/>
              <w:spacing w:lineRule="auto" w:line="240" w:before="0" w:after="0"/>
              <w:ind w:firstLine="340"/>
              <w:jc w:val="both"/>
              <w:rPr>
                <w:rFonts w:ascii="Times New Roman" w:hAnsi="Times New Roman"/>
                <w:sz w:val="24"/>
              </w:rPr>
            </w:pPr>
            <w:r>
              <w:rPr>
                <w:sz w:val="24"/>
              </w:rPr>
              <w:t>Максимальный процент застройки в границах Участка – 30%.</w:t>
            </w:r>
          </w:p>
          <w:p>
            <w:pPr>
              <w:pStyle w:val="Normal"/>
              <w:spacing w:lineRule="auto" w:line="240" w:before="0" w:after="0"/>
              <w:ind w:firstLine="340"/>
              <w:jc w:val="both"/>
              <w:rPr>
                <w:rFonts w:ascii="Times New Roman" w:hAnsi="Times New Roman"/>
                <w:sz w:val="24"/>
                <w:szCs w:val="24"/>
              </w:rPr>
            </w:pPr>
            <w:r>
              <w:rPr>
                <w:color w:val="auto"/>
                <w:sz w:val="24"/>
                <w:szCs w:val="24"/>
              </w:rPr>
              <w:t>С уведомлением о планируемом строительстве жилого дома рекомендуется обратиться в уполномоченный орган администрации города Перми.</w:t>
            </w:r>
          </w:p>
        </w:tc>
      </w:tr>
      <w:tr>
        <w:trPr>
          <w:trHeight w:val="144" w:hRule="atLeast"/>
        </w:trPr>
        <w:tc>
          <w:tcPr>
            <w:tcW w:w="567" w:type="dxa"/>
            <w:vMerge w:val="continue"/>
            <w:tcBorders>
              <w:top w:val="single" w:sz="4" w:space="0" w:color="000000"/>
              <w:left w:val="single" w:sz="4" w:space="0" w:color="000000"/>
              <w:bottom w:val="single" w:sz="4" w:space="0" w:color="000000"/>
              <w:right w:val="single" w:sz="4" w:space="0" w:color="000000"/>
            </w:tcBorders>
          </w:tcPr>
          <w:p>
            <w:pPr>
              <w:pStyle w:val="Normal"/>
              <w:jc w:val="center"/>
              <w:rPr>
                <w:sz w:val="20"/>
              </w:rPr>
            </w:pPr>
            <w:r>
              <w:rPr>
                <w:sz w:val="20"/>
              </w:rPr>
            </w:r>
          </w:p>
        </w:tc>
        <w:tc>
          <w:tcPr>
            <w:tcW w:w="3054" w:type="dxa"/>
            <w:tcBorders>
              <w:top w:val="single" w:sz="4" w:space="0" w:color="000000"/>
              <w:left w:val="single" w:sz="4" w:space="0" w:color="000000"/>
              <w:bottom w:val="single" w:sz="4" w:space="0" w:color="000000"/>
              <w:right w:val="single" w:sz="4" w:space="0" w:color="000000"/>
            </w:tcBorders>
          </w:tcPr>
          <w:p>
            <w:pPr>
              <w:pStyle w:val="Normal"/>
              <w:numPr>
                <w:ilvl w:val="0"/>
                <w:numId w:val="2"/>
              </w:numPr>
              <w:ind w:hanging="284" w:left="410" w:right="23"/>
              <w:rPr>
                <w:sz w:val="24"/>
                <w:szCs w:val="24"/>
              </w:rPr>
            </w:pPr>
            <w:r>
              <w:rPr>
                <w:sz w:val="24"/>
                <w:szCs w:val="24"/>
              </w:rPr>
              <w:t>возможность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w:t>
            </w:r>
          </w:p>
        </w:tc>
        <w:tc>
          <w:tcPr>
            <w:tcW w:w="6864" w:type="dxa"/>
            <w:tcBorders>
              <w:top w:val="single" w:sz="4" w:space="0" w:color="000000"/>
              <w:left w:val="single" w:sz="4" w:space="0" w:color="000000"/>
              <w:bottom w:val="single" w:sz="4" w:space="0" w:color="000000"/>
              <w:right w:val="single" w:sz="4" w:space="0" w:color="000000"/>
            </w:tcBorders>
          </w:tcPr>
          <w:p>
            <w:pPr>
              <w:pStyle w:val="Normal"/>
              <w:ind w:firstLine="312"/>
              <w:jc w:val="both"/>
              <w:rPr>
                <w:sz w:val="24"/>
                <w:szCs w:val="24"/>
                <w:highlight w:val="none"/>
                <w:u w:val="none"/>
              </w:rPr>
            </w:pPr>
            <w:r>
              <w:rPr>
                <w:sz w:val="24"/>
                <w:szCs w:val="24"/>
                <w:u w:val="none"/>
              </w:rPr>
            </w:r>
          </w:p>
          <w:p>
            <w:pPr>
              <w:pStyle w:val="Normal"/>
              <w:ind w:firstLine="312"/>
              <w:jc w:val="both"/>
              <w:rPr>
                <w:sz w:val="24"/>
                <w:szCs w:val="24"/>
                <w:highlight w:val="none"/>
                <w:u w:val="none"/>
              </w:rPr>
            </w:pPr>
            <w:r>
              <w:rPr/>
              <w:t xml:space="preserve">В </w:t>
            </w:r>
            <w:r>
              <w:rPr>
                <w:shd w:fill="FFFFFF" w:val="clear"/>
              </w:rPr>
              <w:t xml:space="preserve">документации по земельному участку, размещенной </w:t>
              <w:br/>
              <w:t xml:space="preserve">с извещением о проведении аукциона в ГИС Торги </w:t>
            </w:r>
            <w:r>
              <w:rPr>
                <w:lang w:val="en-US"/>
              </w:rPr>
              <w:t>www</w:t>
            </w:r>
            <w:r>
              <w:rPr/>
              <w:t>.</w:t>
            </w:r>
            <w:r>
              <w:rPr>
                <w:lang w:val="en-US"/>
              </w:rPr>
              <w:t>torgi</w:t>
            </w:r>
            <w:r>
              <w:rPr/>
              <w:t>.</w:t>
            </w:r>
            <w:r>
              <w:rPr>
                <w:lang w:val="en-US"/>
              </w:rPr>
              <w:t>gov</w:t>
            </w:r>
            <w:r>
              <w:rPr/>
              <w:t>.</w:t>
            </w:r>
            <w:r>
              <w:rPr>
                <w:lang w:val="en-US"/>
              </w:rPr>
              <w:t>ru</w:t>
            </w:r>
            <w:r>
              <w:rPr>
                <w:shd w:fill="FFFFFF" w:val="clear"/>
              </w:rPr>
              <w:t xml:space="preserve">, на официальном сайте муниципального образования город Пермь в информационно-телекоммуникационной сети Интернет </w:t>
            </w:r>
            <w:hyperlink r:id="rId26">
              <w:r>
                <w:rPr>
                  <w:rStyle w:val="Hyperlink"/>
                  <w:color w:themeColor="text1" w:val="000000"/>
                  <w:u w:val="none"/>
                </w:rPr>
                <w:t>www.gorodperm.ru</w:t>
              </w:r>
            </w:hyperlink>
            <w:r>
              <w:rPr>
                <w:color w:themeColor="text1" w:val="000000"/>
                <w:u w:val="none"/>
              </w:rPr>
              <w:t>.</w:t>
            </w:r>
          </w:p>
          <w:p>
            <w:pPr>
              <w:pStyle w:val="Normal"/>
              <w:ind w:firstLine="312"/>
              <w:jc w:val="both"/>
              <w:rPr>
                <w:sz w:val="24"/>
                <w:szCs w:val="24"/>
                <w:highlight w:val="none"/>
                <w:u w:val="none"/>
              </w:rPr>
            </w:pPr>
            <w:r>
              <w:rPr>
                <w:sz w:val="24"/>
                <w:szCs w:val="24"/>
                <w:u w:val="none"/>
              </w:rPr>
            </w:r>
          </w:p>
          <w:p>
            <w:pPr>
              <w:pStyle w:val="Normal"/>
              <w:ind w:firstLine="312"/>
              <w:jc w:val="both"/>
              <w:rPr>
                <w:sz w:val="24"/>
                <w:szCs w:val="24"/>
                <w:highlight w:val="none"/>
                <w:u w:val="none"/>
              </w:rPr>
            </w:pPr>
            <w:r>
              <w:rPr>
                <w:sz w:val="24"/>
              </w:rPr>
              <w:t>О наличии технической возможности технологического присоединения энергопринимающего устройства объекта сообщается следующее.</w:t>
            </w:r>
          </w:p>
          <w:p>
            <w:pPr>
              <w:pStyle w:val="Normal"/>
              <w:spacing w:lineRule="auto" w:line="240" w:before="0" w:after="0"/>
              <w:ind w:firstLine="283" w:left="0" w:right="0"/>
              <w:jc w:val="both"/>
              <w:rPr>
                <w:rFonts w:ascii="Times New Roman" w:hAnsi="Times New Roman"/>
                <w:color w:themeColor="text1" w:val="000000"/>
                <w:sz w:val="24"/>
                <w:szCs w:val="24"/>
              </w:rPr>
            </w:pPr>
            <w:r>
              <w:rPr>
                <w:color w:themeColor="text1" w:val="000000"/>
                <w:sz w:val="24"/>
                <w:szCs w:val="24"/>
              </w:rPr>
              <w:t xml:space="preserve">Порядок технологического присоединения </w:t>
              <w:br/>
              <w:t>к электрическим сетям регламентирован Правилами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 к электрическим сетям, утвержденными постановлением Правительства РФ от 27.12.2004 № 861 (далее – Правила ТП).</w:t>
            </w:r>
          </w:p>
          <w:p>
            <w:pPr>
              <w:pStyle w:val="Normal"/>
              <w:spacing w:lineRule="auto" w:line="240" w:before="0" w:after="0"/>
              <w:ind w:firstLine="283" w:left="0" w:right="0"/>
              <w:jc w:val="both"/>
              <w:rPr>
                <w:rFonts w:ascii="Times New Roman" w:hAnsi="Times New Roman"/>
                <w:color w:themeColor="text1" w:val="000000"/>
                <w:sz w:val="24"/>
                <w:szCs w:val="24"/>
                <w:highlight w:val="none"/>
              </w:rPr>
            </w:pPr>
            <w:r>
              <w:rPr>
                <w:color w:themeColor="text1" w:val="000000"/>
                <w:sz w:val="24"/>
                <w:szCs w:val="24"/>
              </w:rPr>
              <w:t>В силу пункта 6 Правил ТП технологическое присоединение осуществляется на основании договора заключаемого между сетевой организацией и юридическим или физическим лицом. Перечень мероприятий по технологическому присоединению определяется в технических условиях.</w:t>
            </w:r>
          </w:p>
          <w:p>
            <w:pPr>
              <w:pStyle w:val="Normal"/>
              <w:spacing w:lineRule="auto" w:line="240" w:before="0" w:after="0"/>
              <w:ind w:firstLine="283" w:left="0" w:right="0"/>
              <w:jc w:val="both"/>
              <w:rPr>
                <w:rFonts w:ascii="Times New Roman" w:hAnsi="Times New Roman"/>
                <w:color w:themeColor="text1" w:val="000000"/>
                <w:sz w:val="24"/>
                <w:szCs w:val="24"/>
                <w:highlight w:val="none"/>
              </w:rPr>
            </w:pPr>
            <w:r>
              <w:rPr>
                <w:color w:themeColor="text1" w:val="000000"/>
                <w:sz w:val="24"/>
                <w:szCs w:val="24"/>
              </w:rPr>
              <w:t xml:space="preserve">Согласно пунктам 15, 25, 25.1 Правил ТП технические условия являются неотъемлемым приложением к соответствующему договору технологического присоединения и представляют собой техническое решение присоединения конкретного энергопринимающего устройства к сетям электросетевой организации, которое предусматривают точки присоединения, требования к усилению существующей сети, иные технические требования. Следовательно, технические условия для технологического присоединения предоставляются заявителю сетевой организацией вместе с договором </w:t>
              <w:br/>
              <w:t>о технологическом присоединении.</w:t>
            </w:r>
          </w:p>
          <w:p>
            <w:pPr>
              <w:pStyle w:val="Normal"/>
              <w:spacing w:lineRule="auto" w:line="240" w:before="0" w:after="0"/>
              <w:ind w:firstLine="283" w:left="0" w:right="0"/>
              <w:jc w:val="both"/>
              <w:rPr>
                <w:rFonts w:ascii="Times New Roman" w:hAnsi="Times New Roman"/>
                <w:color w:themeColor="text1" w:val="000000"/>
                <w:sz w:val="24"/>
                <w:szCs w:val="24"/>
              </w:rPr>
            </w:pPr>
            <w:r>
              <w:rPr>
                <w:color w:themeColor="text1" w:val="000000"/>
                <w:sz w:val="24"/>
                <w:szCs w:val="24"/>
              </w:rPr>
              <w:t>При подготовке ГПЗУ необходимо предусмотреть коридоры для строительства кабельных линий и место для размещения трансформаторных подстанций.</w:t>
            </w:r>
          </w:p>
          <w:p>
            <w:pPr>
              <w:pStyle w:val="Normal"/>
              <w:spacing w:lineRule="auto" w:line="240" w:before="0" w:after="0"/>
              <w:ind w:firstLine="283" w:left="0" w:right="0"/>
              <w:jc w:val="both"/>
              <w:rPr>
                <w:rFonts w:ascii="Times New Roman" w:hAnsi="Times New Roman"/>
                <w:color w:themeColor="text1" w:val="000000"/>
                <w:sz w:val="24"/>
                <w:szCs w:val="24"/>
              </w:rPr>
            </w:pPr>
            <w:r>
              <w:rPr>
                <w:color w:themeColor="text1" w:val="000000"/>
                <w:sz w:val="24"/>
                <w:szCs w:val="24"/>
              </w:rPr>
              <w:t xml:space="preserve">Заявку на технологическое присоединение можно подать через единый федеральный портал электросетевых услуг группы компаний «Россети» на сайте: </w:t>
            </w:r>
            <w:hyperlink r:id="rId27" w:tgtFrame="https://">
              <w:r>
                <w:rPr>
                  <w:rStyle w:val="Hyperlink"/>
                  <w:color w:themeColor="text1" w:val="000000"/>
                  <w:sz w:val="24"/>
                  <w:szCs w:val="24"/>
                </w:rPr>
                <w:t>https://</w:t>
              </w:r>
            </w:hyperlink>
            <w:r>
              <w:rPr>
                <w:color w:themeColor="text1" w:val="000000"/>
                <w:sz w:val="24"/>
                <w:szCs w:val="24"/>
              </w:rPr>
              <w:t xml:space="preserve"> портал-тп.рф.</w:t>
            </w:r>
          </w:p>
          <w:p>
            <w:pPr>
              <w:pStyle w:val="Normal"/>
              <w:tabs>
                <w:tab w:val="clear" w:pos="708"/>
                <w:tab w:val="right" w:pos="6000" w:leader="none"/>
              </w:tabs>
              <w:spacing w:lineRule="auto" w:line="240" w:before="0" w:after="0"/>
              <w:ind w:firstLine="311"/>
              <w:jc w:val="both"/>
              <w:rPr/>
            </w:pPr>
            <w:r>
              <w:rPr>
                <w:sz w:val="24"/>
                <w:szCs w:val="24"/>
                <w:highlight w:val="white"/>
              </w:rPr>
              <w:t xml:space="preserve">(Аналогичная информация отражена в письме </w:t>
            </w:r>
            <w:r>
              <w:rPr>
                <w:b/>
                <w:sz w:val="24"/>
                <w:szCs w:val="24"/>
                <w:highlight w:val="white"/>
              </w:rPr>
              <w:t xml:space="preserve">филиала ПАО «Россети Урал» - «Пермэнерго» </w:t>
            </w:r>
            <w:r>
              <w:rPr>
                <w:sz w:val="24"/>
                <w:szCs w:val="24"/>
                <w:highlight w:val="white"/>
              </w:rPr>
              <w:t>от 22.05.2025 № ПЭ/ПГЭС/01/01/5969).</w:t>
            </w:r>
          </w:p>
          <w:p>
            <w:pPr>
              <w:pStyle w:val="Normal"/>
              <w:tabs>
                <w:tab w:val="clear" w:pos="708"/>
                <w:tab w:val="right" w:pos="6000" w:leader="none"/>
              </w:tabs>
              <w:spacing w:lineRule="auto" w:line="240" w:before="0" w:after="0"/>
              <w:ind w:firstLine="311"/>
              <w:jc w:val="both"/>
              <w:rPr>
                <w:rFonts w:ascii="Times New Roman" w:hAnsi="Times New Roman"/>
                <w:color w:themeColor="text1" w:val="000000"/>
                <w:sz w:val="24"/>
                <w:szCs w:val="24"/>
                <w:highlight w:val="white"/>
              </w:rPr>
            </w:pPr>
            <w:r>
              <w:rPr>
                <w:color w:themeColor="text1" w:val="000000"/>
                <w:sz w:val="24"/>
                <w:szCs w:val="24"/>
                <w:highlight w:val="white"/>
              </w:rPr>
            </w:r>
          </w:p>
          <w:p>
            <w:pPr>
              <w:pStyle w:val="Normal"/>
              <w:spacing w:lineRule="auto" w:line="240" w:before="0" w:after="0"/>
              <w:ind w:firstLine="340"/>
              <w:jc w:val="both"/>
              <w:rPr>
                <w:rFonts w:ascii="Times New Roman" w:hAnsi="Times New Roman"/>
                <w:sz w:val="24"/>
                <w:szCs w:val="24"/>
                <w:highlight w:val="none"/>
              </w:rPr>
            </w:pPr>
            <w:r>
              <w:rPr>
                <w:sz w:val="24"/>
                <w:szCs w:val="24"/>
              </w:rPr>
              <w:t>Техническая возможность подключения объекта капитального строительства с предполагаемой максимальной нагрузкой (часовым расходом газа) 8 м</w:t>
            </w:r>
            <w:r>
              <w:rPr>
                <w:sz w:val="24"/>
                <w:szCs w:val="24"/>
                <w:vertAlign w:val="superscript"/>
              </w:rPr>
              <w:t>3</w:t>
            </w:r>
            <w:r>
              <w:rPr>
                <w:sz w:val="24"/>
                <w:szCs w:val="24"/>
              </w:rPr>
              <w:t>/час к существующим сетям газораспределения имеется.</w:t>
            </w:r>
          </w:p>
          <w:p>
            <w:pPr>
              <w:pStyle w:val="Normal"/>
              <w:spacing w:lineRule="auto" w:line="240" w:before="0" w:after="0"/>
              <w:ind w:firstLine="311"/>
              <w:jc w:val="both"/>
              <w:rPr>
                <w:rFonts w:ascii="Times New Roman" w:hAnsi="Times New Roman"/>
                <w:sz w:val="24"/>
                <w:szCs w:val="24"/>
                <w:highlight w:val="white"/>
                <w14:ligatures w14:val="none"/>
              </w:rPr>
            </w:pPr>
            <w:r>
              <w:rPr>
                <w:sz w:val="24"/>
                <w:szCs w:val="24"/>
                <w:highlight w:val="white"/>
              </w:rPr>
              <w:t xml:space="preserve">Для рассмотрения вопроса о предоставлении технических условий на подключение (технологическое присоединение) Заявителю необходимо направить заявку в адрес Пермского филиала АО «Газпром газораспределение Пермь» </w:t>
              <w:br/>
              <w:t xml:space="preserve">(на электронную почту </w:t>
            </w:r>
            <w:hyperlink r:id="rId28" w:tgtFrame="http://post@pf.ugaz.ru">
              <w:r>
                <w:rPr>
                  <w:rStyle w:val="ListLabel54"/>
                  <w:sz w:val="24"/>
                  <w:szCs w:val="24"/>
                  <w:highlight w:val="white"/>
                </w:rPr>
                <w:t>post@pf.ugaz.ru</w:t>
              </w:r>
            </w:hyperlink>
            <w:r>
              <w:rPr>
                <w:sz w:val="24"/>
                <w:szCs w:val="24"/>
                <w:highlight w:val="white"/>
              </w:rPr>
              <w:t xml:space="preserve">; почтой России по адресу: 614107, Пермский край, г. Пермь, </w:t>
              <w:br/>
              <w:t>ул. Уральская, 104, каб. 101</w:t>
            </w:r>
            <w:r>
              <w:rPr>
                <w:sz w:val="24"/>
                <w:szCs w:val="24"/>
              </w:rPr>
              <w:t xml:space="preserve">, Заявку о заключении договора о подключении (технологическом присоединении) по типовой форме с пакетом документов в соответствии с п. 11,16 Постановления Правительства Российской Федерации № 1547 </w:t>
              <w:br/>
              <w:t xml:space="preserve">от 13.09.2021 </w:t>
            </w:r>
            <w:r>
              <w:rPr>
                <w:sz w:val="24"/>
                <w:szCs w:val="24"/>
                <w:highlight w:val="white"/>
              </w:rPr>
              <w:t>«Об утверждении Правил подключения (технологического присоединения) газоиспользующего оборудования и объектов капитального строительства к сетям газораспределения и о признании утратившим силу некоторых актов Правительства Российской Федерации»</w:t>
            </w:r>
            <w:r>
              <w:rPr>
                <w:sz w:val="24"/>
                <w:szCs w:val="24"/>
              </w:rPr>
              <w:t>.</w:t>
            </w:r>
          </w:p>
          <w:p>
            <w:pPr>
              <w:pStyle w:val="Normal"/>
              <w:tabs>
                <w:tab w:val="clear" w:pos="708"/>
                <w:tab w:val="right" w:pos="6000" w:leader="none"/>
              </w:tabs>
              <w:spacing w:lineRule="auto" w:line="240" w:before="0" w:after="0"/>
              <w:ind w:firstLine="311"/>
              <w:jc w:val="both"/>
              <w:rPr/>
            </w:pPr>
            <w:r>
              <w:rPr>
                <w:sz w:val="24"/>
                <w:szCs w:val="24"/>
                <w:highlight w:val="white"/>
              </w:rPr>
              <w:t xml:space="preserve">(Аналогичная информация отражена в письме </w:t>
            </w:r>
            <w:r>
              <w:rPr>
                <w:b/>
                <w:sz w:val="24"/>
                <w:szCs w:val="24"/>
                <w:highlight w:val="white"/>
              </w:rPr>
              <w:t>АО «Газпром газораспределение Пермь»</w:t>
            </w:r>
            <w:r>
              <w:rPr>
                <w:sz w:val="24"/>
                <w:szCs w:val="24"/>
                <w:highlight w:val="white"/>
              </w:rPr>
              <w:t xml:space="preserve"> от 19.06.2025 № ПФ-4237).</w:t>
            </w:r>
          </w:p>
          <w:p>
            <w:pPr>
              <w:pStyle w:val="Normal"/>
              <w:tabs>
                <w:tab w:val="clear" w:pos="708"/>
                <w:tab w:val="right" w:pos="6000" w:leader="none"/>
              </w:tabs>
              <w:spacing w:lineRule="auto" w:line="240" w:before="0" w:after="0"/>
              <w:ind w:firstLine="311"/>
              <w:jc w:val="both"/>
              <w:rPr>
                <w:rFonts w:ascii="Times New Roman" w:hAnsi="Times New Roman"/>
                <w:sz w:val="24"/>
                <w:szCs w:val="24"/>
                <w:highlight w:val="white"/>
              </w:rPr>
            </w:pPr>
            <w:r>
              <w:rPr>
                <w:sz w:val="24"/>
                <w:szCs w:val="24"/>
                <w:highlight w:val="white"/>
              </w:rPr>
            </w:r>
          </w:p>
          <w:p>
            <w:pPr>
              <w:pStyle w:val="Normal"/>
              <w:spacing w:lineRule="auto" w:line="240" w:before="0" w:after="0"/>
              <w:ind w:firstLine="340"/>
              <w:jc w:val="both"/>
              <w:rPr>
                <w:rFonts w:ascii="Times New Roman" w:hAnsi="Times New Roman"/>
                <w:sz w:val="24"/>
                <w:szCs w:val="24"/>
              </w:rPr>
            </w:pPr>
            <w:r>
              <w:rPr>
                <w:sz w:val="24"/>
                <w:szCs w:val="24"/>
              </w:rPr>
              <w:t>О предоставлении информации о возможности подключения к сетям водоснабжения и водоотведения объекта капитального строительства с предполагаемыми объемами водопотребления – не более 1,0 м</w:t>
            </w:r>
            <w:r>
              <w:rPr>
                <w:sz w:val="24"/>
                <w:szCs w:val="24"/>
                <w:vertAlign w:val="superscript"/>
              </w:rPr>
              <w:t>3</w:t>
            </w:r>
            <w:r>
              <w:rPr>
                <w:sz w:val="24"/>
                <w:szCs w:val="24"/>
              </w:rPr>
              <w:t>/сут., сообщается следующее.</w:t>
            </w:r>
          </w:p>
          <w:p>
            <w:pPr>
              <w:pStyle w:val="Normal"/>
              <w:spacing w:lineRule="auto" w:line="240" w:before="0" w:after="0"/>
              <w:ind w:firstLine="340"/>
              <w:jc w:val="both"/>
              <w:rPr>
                <w:rFonts w:ascii="Times New Roman" w:hAnsi="Times New Roman"/>
                <w:sz w:val="24"/>
                <w:szCs w:val="24"/>
              </w:rPr>
            </w:pPr>
            <w:r>
              <w:rPr>
                <w:sz w:val="24"/>
                <w:szCs w:val="24"/>
              </w:rPr>
              <w:t>В районе Участка отсутствуют централизованные сети водоснабжения и водоотведения, эксплуатируемые ООО «НОВОГОР-Прикамье».</w:t>
            </w:r>
          </w:p>
          <w:p>
            <w:pPr>
              <w:pStyle w:val="Normal"/>
              <w:spacing w:lineRule="auto" w:line="240" w:before="0" w:after="0"/>
              <w:ind w:firstLine="340"/>
              <w:jc w:val="both"/>
              <w:rPr>
                <w:rFonts w:ascii="Times New Roman" w:hAnsi="Times New Roman"/>
                <w:sz w:val="24"/>
                <w:szCs w:val="24"/>
              </w:rPr>
            </w:pPr>
            <w:r>
              <w:rPr>
                <w:sz w:val="24"/>
                <w:szCs w:val="24"/>
              </w:rPr>
              <w:t>Ближайшие сети водоснабжения 2Д-400 мм, эксплуатируемые ООО «НОВОГОР-Прикамье», располагаются по ул. Спешилова, ориентировочно на расстоянии – в 1100 м от Участка.</w:t>
            </w:r>
          </w:p>
          <w:p>
            <w:pPr>
              <w:pStyle w:val="Normal"/>
              <w:spacing w:lineRule="auto" w:line="240" w:before="0" w:after="0"/>
              <w:ind w:firstLine="340"/>
              <w:jc w:val="both"/>
              <w:rPr>
                <w:rFonts w:ascii="Times New Roman" w:hAnsi="Times New Roman"/>
                <w:sz w:val="24"/>
                <w:szCs w:val="24"/>
              </w:rPr>
            </w:pPr>
            <w:r>
              <w:rPr>
                <w:sz w:val="24"/>
                <w:szCs w:val="24"/>
              </w:rPr>
              <w:t>Ближайшие сети водоотведения Д-1500 мм, эксплуатируемые ООО «НОВОГОР-Прикамье», располагаются в районе ул.Спешилова, ориентировочно на расстоянии – более 1000 м от Участка.</w:t>
            </w:r>
          </w:p>
          <w:p>
            <w:pPr>
              <w:pStyle w:val="Normal"/>
              <w:spacing w:lineRule="auto" w:line="240" w:before="0" w:after="0"/>
              <w:ind w:firstLine="340"/>
              <w:jc w:val="both"/>
              <w:rPr>
                <w:rFonts w:ascii="Times New Roman" w:hAnsi="Times New Roman"/>
                <w:sz w:val="24"/>
                <w:szCs w:val="24"/>
              </w:rPr>
            </w:pPr>
            <w:r>
              <w:rPr>
                <w:sz w:val="24"/>
                <w:szCs w:val="24"/>
              </w:rPr>
              <w:t xml:space="preserve">При проектировании может быть применен альтернативный способ водоснабжения </w:t>
              <w:br/>
              <w:t xml:space="preserve">без подключения к централизованной системе водоснабжения (от скважины) и альтернативный способ канализования, без подключения </w:t>
              <w:br/>
              <w:t>к централизованной системе канализации г. Перми (отвод стоков на локальные очистные сооружения, канализование объекта в выгребную яму</w:t>
            </w:r>
            <w:r>
              <w:rPr>
                <w:spacing w:val="-6"/>
                <w:sz w:val="24"/>
                <w:szCs w:val="24"/>
              </w:rPr>
              <w:t xml:space="preserve"> с последующим вывозом стоков спец. машинами), который должен соответствовать всем нормативным требованиям Российской Федерации.</w:t>
            </w:r>
          </w:p>
          <w:p>
            <w:pPr>
              <w:pStyle w:val="Normal"/>
              <w:spacing w:lineRule="auto" w:line="240" w:before="0" w:after="0"/>
              <w:ind w:firstLine="340"/>
              <w:jc w:val="both"/>
              <w:rPr>
                <w:rFonts w:ascii="Times New Roman" w:hAnsi="Times New Roman"/>
                <w:sz w:val="24"/>
                <w:szCs w:val="24"/>
                <w:highlight w:val="none"/>
              </w:rPr>
            </w:pPr>
            <w:r>
              <w:rPr>
                <w:sz w:val="24"/>
                <w:szCs w:val="24"/>
              </w:rPr>
              <w:t xml:space="preserve">Для сведения сообщается, что в связи с тем, </w:t>
              <w:br/>
              <w:t xml:space="preserve">что ООО «НОВОГОР-Прикамье» эксплуатирует только централизованные системы водоснабжения </w:t>
              <w:br/>
              <w:t>и водоотведения, по вопросу возможности обеспечения индивидуального жилого дома холодным водоснабжением от скважины и отвода канализационных стоков локально, предлагается обратиться в соответствующие организации, регулирующие недропользование.</w:t>
            </w:r>
          </w:p>
          <w:p>
            <w:pPr>
              <w:pStyle w:val="Normal"/>
              <w:spacing w:lineRule="auto" w:line="240" w:before="0" w:after="0"/>
              <w:ind w:firstLine="311"/>
              <w:jc w:val="both"/>
              <w:rPr>
                <w:rFonts w:ascii="Times New Roman" w:hAnsi="Times New Roman"/>
                <w:sz w:val="24"/>
                <w:szCs w:val="24"/>
                <w:highlight w:val="none"/>
                <w14:ligatures w14:val="none"/>
              </w:rPr>
            </w:pPr>
            <w:r>
              <w:rPr>
                <w:sz w:val="24"/>
                <w:szCs w:val="24"/>
                <w:highlight w:val="white"/>
              </w:rPr>
              <w:t>Дополнительно сообщается, что размещение объекта необходимо предусматривать строго за пределами охранных зон сетей водопровода и канализации в соответствии норм CП, в том числе в соответствии таблицы 12.5 CП 42.13330.2016 «Градостроительство планировка и настройка городских и сельских поселений».</w:t>
            </w:r>
          </w:p>
          <w:p>
            <w:pPr>
              <w:pStyle w:val="Normal"/>
              <w:spacing w:lineRule="auto" w:line="240" w:before="0" w:after="0"/>
              <w:ind w:firstLine="311"/>
              <w:jc w:val="both"/>
              <w:rPr>
                <w:rFonts w:ascii="Times New Roman" w:hAnsi="Times New Roman"/>
                <w:sz w:val="24"/>
                <w:szCs w:val="24"/>
                <w:highlight w:val="white"/>
                <w14:ligatures w14:val="none"/>
              </w:rPr>
            </w:pPr>
            <w:r>
              <w:rPr>
                <w:sz w:val="24"/>
                <w:szCs w:val="24"/>
              </w:rPr>
              <w:t>ООО «Новогор-Прикамье» не располагает сведениями о наличии сетей 3-х лиц в границах Участка.</w:t>
            </w:r>
          </w:p>
          <w:p>
            <w:pPr>
              <w:pStyle w:val="Normal"/>
              <w:tabs>
                <w:tab w:val="clear" w:pos="708"/>
                <w:tab w:val="right" w:pos="6000" w:leader="none"/>
              </w:tabs>
              <w:spacing w:lineRule="auto" w:line="240" w:before="0" w:after="0"/>
              <w:ind w:firstLine="311"/>
              <w:jc w:val="both"/>
              <w:rPr/>
            </w:pPr>
            <w:r>
              <w:rPr>
                <w:sz w:val="24"/>
                <w:szCs w:val="24"/>
                <w:highlight w:val="white"/>
              </w:rPr>
              <w:t xml:space="preserve">(Аналогичная информация отражена в письме </w:t>
            </w:r>
            <w:r>
              <w:rPr>
                <w:b/>
                <w:sz w:val="24"/>
                <w:szCs w:val="24"/>
                <w:highlight w:val="white"/>
              </w:rPr>
              <w:t xml:space="preserve">ООО «НОВОГОР-Прикамье» </w:t>
            </w:r>
            <w:r>
              <w:rPr>
                <w:sz w:val="24"/>
                <w:szCs w:val="24"/>
                <w:highlight w:val="white"/>
              </w:rPr>
              <w:t>от 15.05.2025 № 110-6611).</w:t>
            </w:r>
          </w:p>
          <w:p>
            <w:pPr>
              <w:pStyle w:val="Normal"/>
              <w:tabs>
                <w:tab w:val="clear" w:pos="708"/>
                <w:tab w:val="right" w:pos="6000" w:leader="none"/>
              </w:tabs>
              <w:spacing w:lineRule="auto" w:line="240" w:before="0" w:after="0"/>
              <w:ind w:firstLine="311"/>
              <w:jc w:val="both"/>
              <w:rPr>
                <w:rFonts w:ascii="Times New Roman" w:hAnsi="Times New Roman"/>
                <w:sz w:val="24"/>
                <w:szCs w:val="24"/>
                <w:highlight w:val="white"/>
              </w:rPr>
            </w:pPr>
            <w:r>
              <w:rPr>
                <w:sz w:val="24"/>
                <w:szCs w:val="24"/>
                <w:highlight w:val="white"/>
              </w:rPr>
            </w:r>
          </w:p>
          <w:p>
            <w:pPr>
              <w:pStyle w:val="Normal"/>
              <w:spacing w:lineRule="auto" w:line="240" w:before="0" w:after="0"/>
              <w:ind w:firstLine="340"/>
              <w:jc w:val="both"/>
              <w:rPr>
                <w:rFonts w:ascii="Times New Roman" w:hAnsi="Times New Roman"/>
                <w:sz w:val="24"/>
                <w:szCs w:val="24"/>
              </w:rPr>
            </w:pPr>
            <w:r>
              <w:rPr>
                <w:sz w:val="24"/>
                <w:szCs w:val="24"/>
              </w:rPr>
              <w:t>Участок расположен вне зоны теплоснабжения ПАО «Т Плюс».</w:t>
            </w:r>
          </w:p>
          <w:p>
            <w:pPr>
              <w:pStyle w:val="Normal"/>
              <w:tabs>
                <w:tab w:val="clear" w:pos="708"/>
                <w:tab w:val="right" w:pos="6000" w:leader="none"/>
              </w:tabs>
              <w:spacing w:lineRule="auto" w:line="240" w:before="0" w:after="0"/>
              <w:ind w:firstLine="311"/>
              <w:jc w:val="both"/>
              <w:rPr/>
            </w:pPr>
            <w:r>
              <w:rPr>
                <w:sz w:val="24"/>
                <w:szCs w:val="24"/>
                <w:highlight w:val="white"/>
              </w:rPr>
              <w:t xml:space="preserve">(Аналогичная информация отражена в письме </w:t>
            </w:r>
            <w:r>
              <w:rPr>
                <w:b/>
                <w:sz w:val="24"/>
                <w:szCs w:val="24"/>
                <w:highlight w:val="white"/>
              </w:rPr>
              <w:t>филиала «Пермский ПАО «Т Плюс»</w:t>
            </w:r>
            <w:r>
              <w:rPr>
                <w:sz w:val="24"/>
                <w:szCs w:val="24"/>
                <w:highlight w:val="white"/>
              </w:rPr>
              <w:t xml:space="preserve"> от 22.05.2025 № 51000-32-01769).</w:t>
            </w:r>
          </w:p>
          <w:p>
            <w:pPr>
              <w:pStyle w:val="Normal"/>
              <w:tabs>
                <w:tab w:val="clear" w:pos="708"/>
                <w:tab w:val="right" w:pos="6000" w:leader="none"/>
              </w:tabs>
              <w:spacing w:lineRule="auto" w:line="240" w:before="0" w:after="0"/>
              <w:ind w:firstLine="311"/>
              <w:jc w:val="both"/>
              <w:rPr>
                <w:rFonts w:ascii="Times New Roman" w:hAnsi="Times New Roman"/>
                <w:sz w:val="24"/>
                <w:szCs w:val="24"/>
                <w:highlight w:val="white"/>
              </w:rPr>
            </w:pPr>
            <w:r>
              <w:rPr>
                <w:sz w:val="24"/>
                <w:szCs w:val="24"/>
                <w:highlight w:val="white"/>
              </w:rPr>
            </w:r>
          </w:p>
          <w:p>
            <w:pPr>
              <w:pStyle w:val="Normal"/>
              <w:spacing w:lineRule="auto" w:line="240" w:before="0" w:after="0"/>
              <w:ind w:firstLine="340"/>
              <w:jc w:val="both"/>
              <w:rPr>
                <w:rFonts w:ascii="Times New Roman" w:hAnsi="Times New Roman"/>
                <w:sz w:val="24"/>
                <w:szCs w:val="24"/>
                <w:highlight w:val="white"/>
              </w:rPr>
            </w:pPr>
            <w:r>
              <w:rPr>
                <w:sz w:val="24"/>
                <w:szCs w:val="24"/>
                <w:highlight w:val="white"/>
              </w:rPr>
              <w:t>Техническая возможность подключения к сетям теплоснабжения отсутствует.</w:t>
            </w:r>
          </w:p>
          <w:p>
            <w:pPr>
              <w:pStyle w:val="Normal"/>
              <w:spacing w:lineRule="auto" w:line="240" w:before="0" w:after="0"/>
              <w:ind w:firstLine="340"/>
              <w:jc w:val="both"/>
              <w:rPr>
                <w:rFonts w:ascii="Times New Roman" w:hAnsi="Times New Roman"/>
                <w:sz w:val="24"/>
                <w:szCs w:val="24"/>
                <w:highlight w:val="yellow"/>
              </w:rPr>
            </w:pPr>
            <w:r>
              <w:rPr>
                <w:sz w:val="24"/>
                <w:szCs w:val="24"/>
              </w:rPr>
              <w:t>В качестве альтернативного энергоресурса рекомендуем рассмотреть газ и обратиться в Пермский филиал АО «Газпром газораспределение Пермь», либо рассмотреть иные альтернативные энергоресурсы (электричество, дрова, пеллеты).</w:t>
            </w:r>
          </w:p>
          <w:p>
            <w:pPr>
              <w:pStyle w:val="Normal"/>
              <w:tabs>
                <w:tab w:val="clear" w:pos="708"/>
                <w:tab w:val="right" w:pos="6000" w:leader="none"/>
              </w:tabs>
              <w:spacing w:lineRule="auto" w:line="240" w:before="0" w:after="0"/>
              <w:ind w:firstLine="311"/>
              <w:jc w:val="both"/>
              <w:rPr/>
            </w:pPr>
            <w:r>
              <w:rPr>
                <w:sz w:val="24"/>
                <w:szCs w:val="24"/>
                <w:highlight w:val="white"/>
              </w:rPr>
              <w:t xml:space="preserve">(Аналогичная информация отражена в письме </w:t>
            </w:r>
            <w:r>
              <w:rPr>
                <w:b/>
                <w:sz w:val="24"/>
                <w:szCs w:val="24"/>
                <w:highlight w:val="white"/>
              </w:rPr>
              <w:t>департамента жилищно-коммунального хозяйства администрации города Перми</w:t>
            </w:r>
            <w:r>
              <w:rPr>
                <w:sz w:val="24"/>
                <w:szCs w:val="24"/>
                <w:highlight w:val="white"/>
              </w:rPr>
              <w:t xml:space="preserve"> от 27.05.2025 059-04-17/3-444-ри).</w:t>
            </w:r>
          </w:p>
          <w:p>
            <w:pPr>
              <w:pStyle w:val="Normal"/>
              <w:tabs>
                <w:tab w:val="clear" w:pos="708"/>
                <w:tab w:val="right" w:pos="6000" w:leader="none"/>
              </w:tabs>
              <w:spacing w:lineRule="auto" w:line="240" w:before="0" w:after="0"/>
              <w:ind w:firstLine="311"/>
              <w:jc w:val="both"/>
              <w:rPr>
                <w:rFonts w:ascii="Times New Roman" w:hAnsi="Times New Roman"/>
                <w:sz w:val="24"/>
                <w:szCs w:val="24"/>
                <w:highlight w:val="white"/>
              </w:rPr>
            </w:pPr>
            <w:r>
              <w:rPr>
                <w:sz w:val="24"/>
                <w:szCs w:val="24"/>
                <w:highlight w:val="white"/>
              </w:rPr>
            </w:r>
          </w:p>
          <w:p>
            <w:pPr>
              <w:pStyle w:val="Normal"/>
              <w:spacing w:lineRule="auto" w:line="240" w:before="0" w:after="0"/>
              <w:ind w:firstLine="340"/>
              <w:jc w:val="both"/>
              <w:rPr>
                <w:rFonts w:ascii="Times New Roman" w:hAnsi="Times New Roman"/>
                <w:sz w:val="24"/>
                <w:szCs w:val="24"/>
                <w:highlight w:val="none"/>
              </w:rPr>
            </w:pPr>
            <w:r>
              <w:rPr>
                <w:sz w:val="24"/>
                <w:szCs w:val="24"/>
              </w:rPr>
              <w:t>Технологическое присоединение к сетям связи ПАО «Ростелеком» планируемых к строительству объектов в границах Участка может быть произведено в точке подключения узел ВОЛС (г. Пермь, ул. Попова, 17), максимальную нагрузку в точке подключения (технологического присоединения) определить на стадии проектирования.</w:t>
            </w:r>
          </w:p>
          <w:p>
            <w:pPr>
              <w:pStyle w:val="Normal"/>
              <w:spacing w:lineRule="auto" w:line="240" w:before="0" w:after="0"/>
              <w:ind w:firstLine="340"/>
              <w:jc w:val="both"/>
              <w:rPr/>
            </w:pPr>
            <w:r>
              <w:rPr>
                <w:sz w:val="24"/>
                <w:szCs w:val="24"/>
              </w:rPr>
              <w:t>Кабельная канализация ПАО «Ростелеком» проходит по четной стороне ул. Торфяная.</w:t>
            </w:r>
          </w:p>
          <w:p>
            <w:pPr>
              <w:pStyle w:val="Normal"/>
              <w:spacing w:lineRule="auto" w:line="240" w:before="0" w:after="0"/>
              <w:ind w:firstLine="340"/>
              <w:jc w:val="both"/>
              <w:rPr/>
            </w:pPr>
            <w:r>
              <w:rPr>
                <w:sz w:val="24"/>
                <w:szCs w:val="24"/>
              </w:rPr>
              <w:t xml:space="preserve">Для получения технических условий на подключение к сетям связи ПАО «Ростелеком» необходимо обратиться в Отдел продаж и обслуживания по адресу: г. Пермь, ул. Крупской, 2, тел.:(342) 235-57-34 или направить запрос на </w:t>
            </w:r>
            <w:hyperlink r:id="rId29">
              <w:r>
                <w:rPr>
                  <w:rStyle w:val="Hyperlink"/>
                  <w:sz w:val="24"/>
                  <w:szCs w:val="24"/>
                </w:rPr>
                <w:t>perm-mail@ural.rt.ru</w:t>
              </w:r>
            </w:hyperlink>
            <w:r>
              <w:rPr>
                <w:sz w:val="24"/>
                <w:szCs w:val="24"/>
              </w:rPr>
              <w:t>.</w:t>
            </w:r>
          </w:p>
          <w:p>
            <w:pPr>
              <w:pStyle w:val="Normal"/>
              <w:tabs>
                <w:tab w:val="clear" w:pos="708"/>
                <w:tab w:val="right" w:pos="6000" w:leader="none"/>
              </w:tabs>
              <w:spacing w:lineRule="auto" w:line="240" w:before="0" w:after="0"/>
              <w:ind w:firstLine="311"/>
              <w:jc w:val="both"/>
              <w:rPr/>
            </w:pPr>
            <w:r>
              <w:rPr>
                <w:sz w:val="24"/>
                <w:szCs w:val="24"/>
                <w:highlight w:val="white"/>
              </w:rPr>
              <w:t xml:space="preserve">(Аналогичная информация отражена в письме </w:t>
            </w:r>
            <w:r>
              <w:rPr>
                <w:b/>
                <w:sz w:val="24"/>
                <w:szCs w:val="24"/>
                <w:highlight w:val="white"/>
              </w:rPr>
              <w:t>ПАО «Ростелеком»</w:t>
            </w:r>
            <w:r>
              <w:rPr>
                <w:sz w:val="24"/>
                <w:szCs w:val="24"/>
                <w:highlight w:val="white"/>
              </w:rPr>
              <w:t xml:space="preserve"> от 20.05.2025 от 01/05/74651/25).</w:t>
            </w:r>
          </w:p>
          <w:p>
            <w:pPr>
              <w:pStyle w:val="Normal"/>
              <w:tabs>
                <w:tab w:val="clear" w:pos="708"/>
                <w:tab w:val="right" w:pos="6000" w:leader="none"/>
              </w:tabs>
              <w:spacing w:lineRule="auto" w:line="240" w:before="0" w:after="0"/>
              <w:ind w:firstLine="311"/>
              <w:jc w:val="both"/>
              <w:rPr>
                <w:rFonts w:ascii="Times New Roman" w:hAnsi="Times New Roman"/>
                <w:sz w:val="24"/>
                <w:szCs w:val="24"/>
                <w:highlight w:val="white"/>
              </w:rPr>
            </w:pPr>
            <w:r>
              <w:rPr>
                <w:sz w:val="24"/>
                <w:szCs w:val="24"/>
                <w:highlight w:val="white"/>
              </w:rPr>
            </w:r>
          </w:p>
          <w:p>
            <w:pPr>
              <w:pStyle w:val="Normal"/>
              <w:spacing w:lineRule="auto" w:line="240" w:before="0" w:after="0"/>
              <w:ind w:firstLine="340"/>
              <w:jc w:val="both"/>
              <w:rPr>
                <w:rFonts w:ascii="Times New Roman" w:hAnsi="Times New Roman"/>
                <w:sz w:val="24"/>
                <w:szCs w:val="24"/>
              </w:rPr>
            </w:pPr>
            <w:r>
              <w:rPr>
                <w:sz w:val="24"/>
                <w:szCs w:val="24"/>
              </w:rPr>
              <w:t>На территории, где расположен Участок, схемами водоснабжения и водоотведения города Перми, утвержденными постановлением администрации города Перми от 28.12.2018 № 1085, на период до 2028 года строительство сетей водоотведения не предусмотрено.</w:t>
            </w:r>
          </w:p>
          <w:p>
            <w:pPr>
              <w:pStyle w:val="Normal"/>
              <w:spacing w:lineRule="auto" w:line="240" w:before="0" w:after="0"/>
              <w:ind w:firstLine="340"/>
              <w:jc w:val="both"/>
              <w:rPr>
                <w:rFonts w:ascii="Times New Roman" w:hAnsi="Times New Roman"/>
                <w:sz w:val="24"/>
                <w:szCs w:val="24"/>
              </w:rPr>
            </w:pPr>
            <w:r>
              <w:rPr>
                <w:color w:val="auto"/>
                <w:sz w:val="24"/>
                <w:szCs w:val="24"/>
              </w:rPr>
              <w:t xml:space="preserve">В рамках муниципальной программы «Развитие системы жилищно – коммунального хозяйства в г. Перми», утвержденной постановлением администрации г. Перми от 20.10.2021 № 924 реализовано мероприятие «Строительство сетей водоснабжения по ул. Борцов Революции </w:t>
              <w:br/>
              <w:t>в мкр.Средняя Курья Ленинского района г. Перми».</w:t>
            </w:r>
          </w:p>
          <w:p>
            <w:pPr>
              <w:pStyle w:val="Normal"/>
              <w:tabs>
                <w:tab w:val="clear" w:pos="708"/>
                <w:tab w:val="right" w:pos="6000" w:leader="none"/>
              </w:tabs>
              <w:spacing w:lineRule="auto" w:line="240" w:before="0" w:after="0"/>
              <w:ind w:firstLine="311"/>
              <w:jc w:val="both"/>
              <w:rPr/>
            </w:pPr>
            <w:r>
              <w:rPr>
                <w:sz w:val="24"/>
                <w:szCs w:val="24"/>
                <w:highlight w:val="white"/>
              </w:rPr>
              <w:t xml:space="preserve">(Аналогичная информация отражена в письме </w:t>
            </w:r>
            <w:r>
              <w:rPr>
                <w:b/>
                <w:sz w:val="24"/>
                <w:szCs w:val="24"/>
                <w:highlight w:val="white"/>
              </w:rPr>
              <w:t xml:space="preserve">департамента жилищно-коммунального хозяйства администрации города Перми </w:t>
            </w:r>
            <w:r>
              <w:rPr>
                <w:sz w:val="24"/>
                <w:szCs w:val="24"/>
                <w:highlight w:val="white"/>
              </w:rPr>
              <w:t>от 15.05.2025 № 059-04-17/3-392-ри).</w:t>
            </w:r>
          </w:p>
          <w:p>
            <w:pPr>
              <w:pStyle w:val="Normal"/>
              <w:tabs>
                <w:tab w:val="clear" w:pos="708"/>
                <w:tab w:val="right" w:pos="6000" w:leader="none"/>
              </w:tabs>
              <w:spacing w:lineRule="auto" w:line="240" w:before="0" w:after="0"/>
              <w:ind w:firstLine="311"/>
              <w:jc w:val="both"/>
              <w:rPr>
                <w:rFonts w:ascii="Times New Roman" w:hAnsi="Times New Roman"/>
                <w:sz w:val="24"/>
                <w:szCs w:val="24"/>
                <w:highlight w:val="white"/>
              </w:rPr>
            </w:pPr>
            <w:r>
              <w:rPr>
                <w:sz w:val="24"/>
                <w:szCs w:val="24"/>
                <w:highlight w:val="white"/>
              </w:rPr>
            </w:r>
          </w:p>
        </w:tc>
      </w:tr>
      <w:tr>
        <w:trPr>
          <w:trHeight w:val="225" w:hRule="atLeast"/>
        </w:trPr>
        <w:tc>
          <w:tcPr>
            <w:tcW w:w="567"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3</w:t>
            </w:r>
          </w:p>
        </w:tc>
        <w:tc>
          <w:tcPr>
            <w:tcW w:w="3054" w:type="dxa"/>
            <w:tcBorders>
              <w:top w:val="single" w:sz="4" w:space="0" w:color="000000"/>
              <w:left w:val="single" w:sz="4" w:space="0" w:color="000000"/>
              <w:bottom w:val="single" w:sz="4" w:space="0" w:color="000000"/>
              <w:right w:val="single" w:sz="4" w:space="0" w:color="000000"/>
            </w:tcBorders>
          </w:tcPr>
          <w:p>
            <w:pPr>
              <w:pStyle w:val="Normal"/>
              <w:ind w:right="0"/>
              <w:rPr>
                <w:sz w:val="24"/>
                <w:szCs w:val="24"/>
              </w:rPr>
            </w:pPr>
            <w:r>
              <w:rPr>
                <w:sz w:val="24"/>
                <w:szCs w:val="24"/>
              </w:rPr>
              <w:t>Начальная цена предмета аукциона</w:t>
            </w:r>
          </w:p>
          <w:p>
            <w:pPr>
              <w:pStyle w:val="Normal"/>
              <w:ind w:right="0"/>
              <w:rPr>
                <w:sz w:val="24"/>
                <w:szCs w:val="24"/>
              </w:rPr>
            </w:pPr>
            <w:r>
              <w:rPr>
                <w:b/>
                <w:sz w:val="24"/>
                <w:szCs w:val="24"/>
              </w:rPr>
              <w:t>(размер ежегодной арендной платы)</w:t>
            </w:r>
          </w:p>
          <w:p>
            <w:pPr>
              <w:pStyle w:val="Normal"/>
              <w:ind w:right="0"/>
              <w:rPr>
                <w:sz w:val="24"/>
                <w:szCs w:val="24"/>
              </w:rPr>
            </w:pPr>
            <w:r>
              <w:rPr>
                <w:sz w:val="24"/>
                <w:szCs w:val="24"/>
              </w:rPr>
            </w:r>
          </w:p>
          <w:p>
            <w:pPr>
              <w:pStyle w:val="Normal"/>
              <w:ind w:right="0"/>
              <w:rPr/>
            </w:pPr>
            <w:r>
              <w:rPr>
                <w:b w:val="false"/>
                <w:bCs w:val="false"/>
                <w:sz w:val="24"/>
                <w:szCs w:val="24"/>
                <w:shd w:fill="auto" w:val="clear"/>
              </w:rPr>
              <w:t>По условиям пункта 4.3 проекта договора аренды земельного участка, приобретаемого на торгах в форме аукциона, для строительства (Приложение 9</w:t>
              <w:br/>
              <w:t xml:space="preserve">к настоящему извещению), победитель аукциона, иное лицо, с которым договор заключается </w:t>
              <w:br/>
              <w:t xml:space="preserve">в соответствии с п.13, п.14, п. 20 или п. 25  ст. 39.12 Земельного Кодекса Российской Федерации (далее – ЗК РФ), обязан </w:t>
              <w:br/>
              <w:t xml:space="preserve">до подписания договора уплатить ежегодный размер арендной платы, указанный в п. 4.2 договора (за вычетом задатка, внесенного для участия в аукционе) </w:t>
              <w:br/>
            </w:r>
            <w:r>
              <w:rPr>
                <w:b/>
                <w:bCs/>
                <w:sz w:val="24"/>
                <w:szCs w:val="24"/>
                <w:shd w:fill="auto" w:val="clear"/>
              </w:rPr>
              <w:t xml:space="preserve">за 1 год </w:t>
            </w:r>
            <w:r>
              <w:rPr>
                <w:b w:val="false"/>
                <w:bCs w:val="false"/>
                <w:sz w:val="24"/>
                <w:szCs w:val="24"/>
                <w:shd w:fill="auto" w:val="clear"/>
              </w:rPr>
              <w:t xml:space="preserve">на счет департамента земельных отношений администрации города Перми, 614000, </w:t>
              <w:br/>
              <w:t xml:space="preserve">ул. Сибирская,15, </w:t>
              <w:br/>
              <w:t xml:space="preserve">тел. 212-61-90 (отдел договоров), реквизиты которого указаны </w:t>
              <w:br/>
              <w:t>в проекте договора аренды земельного участка (Приложение 9</w:t>
              <w:br/>
              <w:t>к настоящему извещению)</w:t>
            </w:r>
          </w:p>
        </w:tc>
        <w:tc>
          <w:tcPr>
            <w:tcW w:w="6864"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rFonts w:eastAsia="Times New Roman" w:cs="Times New Roman"/>
                <w:color w:val="000000"/>
                <w:kern w:val="0"/>
                <w:sz w:val="24"/>
                <w:szCs w:val="24"/>
                <w:shd w:fill="auto" w:val="clear"/>
                <w:lang w:val="ru-RU" w:eastAsia="ru-RU" w:bidi="ar-SA"/>
              </w:rPr>
              <w:t xml:space="preserve">567 200 </w:t>
            </w:r>
            <w:r>
              <w:rPr>
                <w:sz w:val="24"/>
                <w:szCs w:val="24"/>
              </w:rPr>
              <w:t>руб.</w:t>
            </w:r>
          </w:p>
        </w:tc>
      </w:tr>
      <w:tr>
        <w:trPr>
          <w:trHeight w:val="225" w:hRule="atLeast"/>
        </w:trPr>
        <w:tc>
          <w:tcPr>
            <w:tcW w:w="567"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4</w:t>
            </w:r>
          </w:p>
        </w:tc>
        <w:tc>
          <w:tcPr>
            <w:tcW w:w="3054" w:type="dxa"/>
            <w:tcBorders>
              <w:top w:val="single" w:sz="4" w:space="0" w:color="000000"/>
              <w:left w:val="single" w:sz="4" w:space="0" w:color="000000"/>
              <w:bottom w:val="single" w:sz="4" w:space="0" w:color="000000"/>
              <w:right w:val="single" w:sz="4" w:space="0" w:color="000000"/>
            </w:tcBorders>
          </w:tcPr>
          <w:p>
            <w:pPr>
              <w:pStyle w:val="Normal"/>
              <w:ind w:right="23"/>
              <w:rPr>
                <w:sz w:val="24"/>
                <w:szCs w:val="24"/>
              </w:rPr>
            </w:pPr>
            <w:r>
              <w:rPr>
                <w:sz w:val="24"/>
                <w:szCs w:val="24"/>
              </w:rPr>
              <w:t xml:space="preserve">«Шаг аукциона» (5% от начальной цены </w:t>
            </w:r>
            <w:r>
              <w:rPr>
                <w:sz w:val="24"/>
                <w:szCs w:val="24"/>
                <w:shd w:fill="auto" w:val="clear"/>
              </w:rPr>
              <w:t>предмета аукциона)</w:t>
            </w:r>
          </w:p>
        </w:tc>
        <w:tc>
          <w:tcPr>
            <w:tcW w:w="6864"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rFonts w:eastAsia="Times New Roman" w:cs="Times New Roman"/>
                <w:color w:val="000000"/>
                <w:kern w:val="0"/>
                <w:sz w:val="24"/>
                <w:szCs w:val="24"/>
                <w:shd w:fill="auto" w:val="clear"/>
                <w:lang w:val="ru-RU" w:eastAsia="ru-RU" w:bidi="ar-SA"/>
              </w:rPr>
              <w:t>28 360</w:t>
            </w:r>
            <w:r>
              <w:rPr>
                <w:sz w:val="24"/>
                <w:szCs w:val="24"/>
              </w:rPr>
              <w:t xml:space="preserve"> руб.</w:t>
            </w:r>
          </w:p>
        </w:tc>
      </w:tr>
      <w:tr>
        <w:trPr>
          <w:trHeight w:val="416" w:hRule="atLeast"/>
        </w:trPr>
        <w:tc>
          <w:tcPr>
            <w:tcW w:w="567"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5</w:t>
            </w:r>
          </w:p>
        </w:tc>
        <w:tc>
          <w:tcPr>
            <w:tcW w:w="3054"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ind w:hanging="0" w:left="113" w:right="113"/>
              <w:jc w:val="left"/>
              <w:rPr>
                <w:sz w:val="24"/>
                <w:szCs w:val="24"/>
              </w:rPr>
            </w:pPr>
            <w:r>
              <w:rPr>
                <w:sz w:val="24"/>
                <w:szCs w:val="24"/>
              </w:rPr>
              <w:t>Форма заявки на участие в аукционе</w:t>
            </w:r>
          </w:p>
          <w:p>
            <w:pPr>
              <w:pStyle w:val="Normal"/>
              <w:ind w:right="-263"/>
              <w:rPr>
                <w:sz w:val="24"/>
                <w:szCs w:val="24"/>
              </w:rPr>
            </w:pPr>
            <w:r>
              <w:rPr>
                <w:sz w:val="24"/>
                <w:szCs w:val="24"/>
              </w:rPr>
            </w:r>
          </w:p>
        </w:tc>
        <w:tc>
          <w:tcPr>
            <w:tcW w:w="6864" w:type="dxa"/>
            <w:tcBorders>
              <w:top w:val="single" w:sz="4" w:space="0" w:color="000000"/>
              <w:left w:val="single" w:sz="4" w:space="0" w:color="000000"/>
              <w:bottom w:val="single" w:sz="4" w:space="0" w:color="000000"/>
              <w:right w:val="single" w:sz="4" w:space="0" w:color="000000"/>
            </w:tcBorders>
          </w:tcPr>
          <w:p>
            <w:pPr>
              <w:pStyle w:val="Normal"/>
              <w:jc w:val="both"/>
              <w:rPr>
                <w:rFonts w:ascii="Times New Roman" w:hAnsi="Times New Roman" w:eastAsia="Droid Sans Fallback" w:cs="Lohit Devanagari"/>
                <w:color w:val="auto"/>
                <w:sz w:val="24"/>
                <w:szCs w:val="24"/>
                <w:lang w:val="ru-RU" w:eastAsia="zh-CN" w:bidi="ar-SA"/>
              </w:rPr>
            </w:pPr>
            <w:r>
              <w:rPr>
                <w:rFonts w:eastAsia="Droid Sans Fallback" w:cs="Lohit Devanagari"/>
                <w:color w:val="auto"/>
                <w:sz w:val="24"/>
                <w:szCs w:val="24"/>
                <w:lang w:val="ru-RU" w:eastAsia="zh-CN" w:bidi="ar-SA"/>
              </w:rPr>
              <w:t xml:space="preserve">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 указанных в подпунктах 2-4 пункта 1, пункте 1.1 статьи 39.12 Земельного кодекса Российской Федерации (копии документов, удостоверяющих личность заявителя (для граждан); надлежащим образом заверенный перевод на русский язык документов </w:t>
              <w:br/>
              <w:t xml:space="preserve">о государственной регистрации юридического лица </w:t>
              <w:br/>
              <w:t xml:space="preserve">в соответствии с законодательством иностранного государства </w:t>
              <w:br/>
              <w:t>в случае, если заявителем является иностранное юридическое лицо; документы, подтверждающие внесение задатка). Заявка на участие в электронном аукционе, а также прилагаемые к ней документы подписываются усиленной квалифицированной электронной подписью заявителя.</w:t>
            </w:r>
          </w:p>
          <w:p>
            <w:pPr>
              <w:pStyle w:val="Normal"/>
              <w:jc w:val="both"/>
              <w:rPr>
                <w:sz w:val="24"/>
                <w:szCs w:val="24"/>
              </w:rPr>
            </w:pPr>
            <w:r>
              <w:rPr>
                <w:sz w:val="24"/>
                <w:szCs w:val="24"/>
              </w:rPr>
            </w:r>
          </w:p>
          <w:p>
            <w:pPr>
              <w:pStyle w:val="Normal"/>
              <w:jc w:val="both"/>
              <w:rPr>
                <w:sz w:val="24"/>
                <w:szCs w:val="24"/>
              </w:rPr>
            </w:pPr>
            <w:r>
              <w:rPr>
                <w:sz w:val="24"/>
                <w:szCs w:val="24"/>
              </w:rPr>
              <w:t>На каждый лот представляется отдельный пакет документов.</w:t>
            </w:r>
          </w:p>
          <w:p>
            <w:pPr>
              <w:pStyle w:val="Normal"/>
              <w:jc w:val="both"/>
              <w:rPr>
                <w:sz w:val="24"/>
                <w:szCs w:val="24"/>
              </w:rPr>
            </w:pPr>
            <w:r>
              <w:rPr>
                <w:sz w:val="24"/>
                <w:szCs w:val="24"/>
              </w:rPr>
            </w:r>
          </w:p>
          <w:p>
            <w:pPr>
              <w:pStyle w:val="Normal"/>
              <w:spacing w:lineRule="auto" w:line="240" w:before="0" w:after="0"/>
              <w:ind w:hanging="0" w:left="0" w:right="0"/>
              <w:jc w:val="both"/>
              <w:rPr>
                <w:rFonts w:ascii="Times New Roman" w:hAnsi="Times New Roman"/>
                <w:strike/>
                <w:color w:val="auto"/>
                <w:sz w:val="24"/>
                <w:szCs w:val="24"/>
              </w:rPr>
            </w:pPr>
            <w:r>
              <w:rPr>
                <w:b/>
                <w:bCs/>
                <w:strike w:val="false"/>
                <w:dstrike w:val="false"/>
                <w:color w:val="000000"/>
                <w:sz w:val="24"/>
                <w:szCs w:val="24"/>
              </w:rPr>
              <w:t>Решение о проведении аукциона принято в соответствии со статьей 39.11 Земельного кодекса Российской Федерации, аукцион является открытым по составу участников.</w:t>
            </w:r>
          </w:p>
        </w:tc>
      </w:tr>
      <w:tr>
        <w:trPr>
          <w:trHeight w:val="236" w:hRule="atLeast"/>
        </w:trPr>
        <w:tc>
          <w:tcPr>
            <w:tcW w:w="567"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6</w:t>
            </w:r>
          </w:p>
        </w:tc>
        <w:tc>
          <w:tcPr>
            <w:tcW w:w="3054" w:type="dxa"/>
            <w:tcBorders>
              <w:top w:val="single" w:sz="4" w:space="0" w:color="000000"/>
              <w:left w:val="single" w:sz="4" w:space="0" w:color="000000"/>
              <w:bottom w:val="single" w:sz="4" w:space="0" w:color="000000"/>
              <w:right w:val="single" w:sz="4" w:space="0" w:color="000000"/>
            </w:tcBorders>
          </w:tcPr>
          <w:p>
            <w:pPr>
              <w:pStyle w:val="Normal"/>
              <w:ind w:right="23"/>
              <w:rPr>
                <w:sz w:val="24"/>
                <w:szCs w:val="24"/>
              </w:rPr>
            </w:pPr>
            <w:r>
              <w:rPr>
                <w:sz w:val="24"/>
                <w:szCs w:val="24"/>
              </w:rPr>
              <w:t xml:space="preserve">Размер задатка (50% от начальной цены </w:t>
            </w:r>
            <w:r>
              <w:rPr>
                <w:sz w:val="24"/>
                <w:szCs w:val="24"/>
                <w:shd w:fill="auto" w:val="clear"/>
              </w:rPr>
              <w:t>предмета аукциона)</w:t>
            </w:r>
          </w:p>
          <w:p>
            <w:pPr>
              <w:pStyle w:val="Normal"/>
              <w:ind w:right="-263"/>
              <w:rPr>
                <w:sz w:val="24"/>
                <w:szCs w:val="24"/>
              </w:rPr>
            </w:pPr>
            <w:r>
              <w:rPr>
                <w:sz w:val="24"/>
                <w:szCs w:val="24"/>
              </w:rPr>
            </w:r>
          </w:p>
        </w:tc>
        <w:tc>
          <w:tcPr>
            <w:tcW w:w="6864"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rFonts w:eastAsia="Times New Roman" w:cs="Times New Roman"/>
                <w:color w:val="000000"/>
                <w:kern w:val="0"/>
                <w:sz w:val="24"/>
                <w:szCs w:val="24"/>
                <w:shd w:fill="auto" w:val="clear"/>
                <w:lang w:val="ru-RU" w:eastAsia="ru-RU" w:bidi="ar-SA"/>
              </w:rPr>
              <w:t>283 600</w:t>
            </w:r>
            <w:r>
              <w:rPr>
                <w:sz w:val="24"/>
                <w:szCs w:val="24"/>
              </w:rPr>
              <w:t xml:space="preserve"> руб.</w:t>
            </w:r>
          </w:p>
          <w:p>
            <w:pPr>
              <w:pStyle w:val="Normal"/>
              <w:jc w:val="both"/>
              <w:rPr>
                <w:sz w:val="24"/>
                <w:szCs w:val="24"/>
              </w:rPr>
            </w:pPr>
            <w:r>
              <w:rPr>
                <w:sz w:val="24"/>
                <w:szCs w:val="24"/>
              </w:rPr>
            </w:r>
          </w:p>
        </w:tc>
      </w:tr>
      <w:tr>
        <w:trPr>
          <w:trHeight w:val="236" w:hRule="atLeast"/>
        </w:trPr>
        <w:tc>
          <w:tcPr>
            <w:tcW w:w="567" w:type="dxa"/>
            <w:tcBorders>
              <w:left w:val="single" w:sz="4" w:space="0" w:color="000000"/>
              <w:bottom w:val="single" w:sz="4" w:space="0" w:color="000000"/>
              <w:right w:val="single" w:sz="4" w:space="0" w:color="000000"/>
            </w:tcBorders>
          </w:tcPr>
          <w:p>
            <w:pPr>
              <w:pStyle w:val="Normal"/>
              <w:jc w:val="center"/>
              <w:rPr>
                <w:sz w:val="24"/>
                <w:szCs w:val="24"/>
              </w:rPr>
            </w:pPr>
            <w:r>
              <w:rPr>
                <w:sz w:val="24"/>
                <w:szCs w:val="24"/>
              </w:rPr>
              <w:t>7</w:t>
            </w:r>
          </w:p>
        </w:tc>
        <w:tc>
          <w:tcPr>
            <w:tcW w:w="3054" w:type="dxa"/>
            <w:tcBorders>
              <w:left w:val="single" w:sz="4" w:space="0" w:color="000000"/>
              <w:bottom w:val="single" w:sz="4" w:space="0" w:color="000000"/>
              <w:right w:val="single" w:sz="4" w:space="0" w:color="000000"/>
            </w:tcBorders>
          </w:tcPr>
          <w:p>
            <w:pPr>
              <w:pStyle w:val="Normal"/>
              <w:ind w:right="0"/>
              <w:rPr>
                <w:sz w:val="24"/>
                <w:szCs w:val="24"/>
              </w:rPr>
            </w:pPr>
            <w:r>
              <w:rPr>
                <w:sz w:val="24"/>
                <w:szCs w:val="24"/>
              </w:rPr>
              <w:t>Срок аренды земельного участка</w:t>
            </w:r>
          </w:p>
          <w:p>
            <w:pPr>
              <w:pStyle w:val="Normal"/>
              <w:ind w:right="0"/>
              <w:rPr>
                <w:sz w:val="24"/>
                <w:szCs w:val="24"/>
              </w:rPr>
            </w:pPr>
            <w:r>
              <w:rPr>
                <w:sz w:val="24"/>
                <w:szCs w:val="24"/>
              </w:rPr>
            </w:r>
          </w:p>
        </w:tc>
        <w:tc>
          <w:tcPr>
            <w:tcW w:w="6864" w:type="dxa"/>
            <w:tcBorders>
              <w:left w:val="single" w:sz="4" w:space="0" w:color="000000"/>
              <w:bottom w:val="single" w:sz="4" w:space="0" w:color="000000"/>
              <w:right w:val="single" w:sz="4" w:space="0" w:color="000000"/>
            </w:tcBorders>
          </w:tcPr>
          <w:p>
            <w:pPr>
              <w:pStyle w:val="Normal"/>
              <w:jc w:val="both"/>
              <w:rPr>
                <w:sz w:val="24"/>
                <w:szCs w:val="24"/>
              </w:rPr>
            </w:pPr>
            <w:r>
              <w:rPr>
                <w:sz w:val="24"/>
                <w:szCs w:val="24"/>
              </w:rPr>
              <w:t>20 лет</w:t>
            </w:r>
          </w:p>
        </w:tc>
      </w:tr>
      <w:tr>
        <w:trPr>
          <w:trHeight w:val="1884" w:hRule="atLeast"/>
        </w:trPr>
        <w:tc>
          <w:tcPr>
            <w:tcW w:w="567"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8</w:t>
            </w:r>
          </w:p>
        </w:tc>
        <w:tc>
          <w:tcPr>
            <w:tcW w:w="3054" w:type="dxa"/>
            <w:tcBorders>
              <w:top w:val="single" w:sz="4" w:space="0" w:color="000000"/>
              <w:left w:val="single" w:sz="4" w:space="0" w:color="000000"/>
              <w:bottom w:val="single" w:sz="4" w:space="0" w:color="000000"/>
              <w:right w:val="single" w:sz="4" w:space="0" w:color="000000"/>
            </w:tcBorders>
          </w:tcPr>
          <w:p>
            <w:pPr>
              <w:pStyle w:val="Normal"/>
              <w:ind w:right="-263"/>
              <w:rPr>
                <w:sz w:val="24"/>
                <w:szCs w:val="24"/>
              </w:rPr>
            </w:pPr>
            <w:r>
              <w:rPr>
                <w:sz w:val="24"/>
                <w:szCs w:val="24"/>
              </w:rPr>
              <w:t>Проект договора аренды земельного участка</w:t>
            </w:r>
          </w:p>
        </w:tc>
        <w:tc>
          <w:tcPr>
            <w:tcW w:w="6864"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 xml:space="preserve">Проект договора аренды земельного участка, приобретаемого на торгах в форме аукциона, для строительства, является Приложением 9 к настоящему извещению и размещен на сайтах </w:t>
            </w:r>
            <w:r>
              <w:rPr>
                <w:sz w:val="24"/>
                <w:szCs w:val="24"/>
                <w:lang w:val="en-US"/>
              </w:rPr>
              <w:t>www</w:t>
            </w:r>
            <w:r>
              <w:rPr>
                <w:sz w:val="24"/>
                <w:szCs w:val="24"/>
              </w:rPr>
              <w:t>.</w:t>
            </w:r>
            <w:r>
              <w:rPr>
                <w:sz w:val="24"/>
                <w:szCs w:val="24"/>
                <w:lang w:val="en-US"/>
              </w:rPr>
              <w:t>torgi</w:t>
            </w:r>
            <w:r>
              <w:rPr>
                <w:sz w:val="24"/>
                <w:szCs w:val="24"/>
              </w:rPr>
              <w:t>.</w:t>
            </w:r>
            <w:r>
              <w:rPr>
                <w:sz w:val="24"/>
                <w:szCs w:val="24"/>
                <w:lang w:val="en-US"/>
              </w:rPr>
              <w:t>gov</w:t>
            </w:r>
            <w:r>
              <w:rPr>
                <w:sz w:val="24"/>
                <w:szCs w:val="24"/>
              </w:rPr>
              <w:t>.</w:t>
            </w:r>
            <w:r>
              <w:rPr>
                <w:sz w:val="24"/>
                <w:szCs w:val="24"/>
                <w:lang w:val="en-US"/>
              </w:rPr>
              <w:t>ru</w:t>
            </w:r>
            <w:r>
              <w:rPr>
                <w:sz w:val="24"/>
                <w:szCs w:val="24"/>
              </w:rPr>
              <w:t xml:space="preserve">, </w:t>
            </w:r>
            <w:r>
              <w:rPr>
                <w:sz w:val="24"/>
                <w:szCs w:val="24"/>
                <w:lang w:val="en-US"/>
              </w:rPr>
              <w:t>www</w:t>
            </w:r>
            <w:r>
              <w:rPr>
                <w:sz w:val="24"/>
                <w:szCs w:val="24"/>
              </w:rPr>
              <w:t>.</w:t>
            </w:r>
            <w:r>
              <w:rPr>
                <w:sz w:val="24"/>
                <w:szCs w:val="24"/>
                <w:lang w:val="en-US"/>
              </w:rPr>
              <w:t>gorodperm</w:t>
            </w:r>
            <w:r>
              <w:rPr>
                <w:sz w:val="24"/>
                <w:szCs w:val="24"/>
              </w:rPr>
              <w:t>.</w:t>
            </w:r>
            <w:r>
              <w:rPr>
                <w:sz w:val="24"/>
                <w:szCs w:val="24"/>
                <w:lang w:val="en-US"/>
              </w:rPr>
              <w:t>ru</w:t>
            </w:r>
            <w:r>
              <w:rPr>
                <w:sz w:val="24"/>
                <w:szCs w:val="24"/>
              </w:rPr>
              <w:t xml:space="preserve"> (раздел Деятельность/ муниципальная собственность/ Торговая площадка/Вид торгов Продажа и аренда земельных участков).</w:t>
            </w:r>
          </w:p>
        </w:tc>
      </w:tr>
      <w:tr>
        <w:trPr>
          <w:trHeight w:val="144" w:hRule="atLeast"/>
        </w:trPr>
        <w:tc>
          <w:tcPr>
            <w:tcW w:w="567"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9</w:t>
            </w:r>
          </w:p>
        </w:tc>
        <w:tc>
          <w:tcPr>
            <w:tcW w:w="3054" w:type="dxa"/>
            <w:tcBorders>
              <w:top w:val="single" w:sz="4" w:space="0" w:color="000000"/>
              <w:left w:val="single" w:sz="4" w:space="0" w:color="000000"/>
              <w:bottom w:val="single" w:sz="4" w:space="0" w:color="000000"/>
              <w:right w:val="single" w:sz="4" w:space="0" w:color="000000"/>
            </w:tcBorders>
          </w:tcPr>
          <w:p>
            <w:pPr>
              <w:pStyle w:val="Normal"/>
              <w:ind w:hanging="0" w:left="0" w:right="-42"/>
              <w:rPr>
                <w:sz w:val="24"/>
                <w:szCs w:val="24"/>
              </w:rPr>
            </w:pPr>
            <w:r>
              <w:rPr>
                <w:sz w:val="24"/>
                <w:szCs w:val="24"/>
              </w:rPr>
              <w:t xml:space="preserve">Порядок осмотра земельного участка </w:t>
              <w:br/>
              <w:t>на местности</w:t>
            </w:r>
          </w:p>
        </w:tc>
        <w:tc>
          <w:tcPr>
            <w:tcW w:w="6864"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 xml:space="preserve">Осмотр земельного участка производится заявителем </w:t>
              <w:br/>
              <w:t>самостоятельно в любое время с даты опубликования настоящего извещения.</w:t>
            </w:r>
          </w:p>
        </w:tc>
      </w:tr>
    </w:tbl>
    <w:p>
      <w:pPr>
        <w:pStyle w:val="Normal"/>
        <w:spacing w:lineRule="exact" w:line="240"/>
        <w:ind w:hanging="0" w:left="1134"/>
        <w:jc w:val="left"/>
        <w:rPr>
          <w:rFonts w:ascii="Times New Roman" w:hAnsi="Times New Roman" w:cs="Times New Roman"/>
        </w:rPr>
      </w:pPr>
      <w:r>
        <w:rPr>
          <w:rFonts w:cs="Times New Roman"/>
        </w:rPr>
      </w:r>
    </w:p>
    <w:p>
      <w:pPr>
        <w:pStyle w:val="Normal"/>
        <w:widowControl w:val="false"/>
        <w:spacing w:before="0" w:after="0"/>
        <w:ind w:left="0"/>
        <w:contextualSpacing/>
        <w:jc w:val="center"/>
        <w:rPr>
          <w:rFonts w:eastAsia="Courier New"/>
          <w:b/>
          <w:bCs/>
          <w:highlight w:val="none"/>
          <w:lang w:bidi="ru-RU"/>
        </w:rPr>
      </w:pPr>
      <w:r>
        <w:rPr>
          <w:rFonts w:eastAsia="Courier New"/>
          <w:b/>
          <w:lang w:bidi="ru-RU"/>
        </w:rPr>
        <w:t>Сроки, время подачи заявок, рассмотрения заявок, проведения аукциона</w:t>
      </w:r>
    </w:p>
    <w:p>
      <w:pPr>
        <w:pStyle w:val="Normal"/>
        <w:widowControl w:val="false"/>
        <w:spacing w:before="0" w:after="0"/>
        <w:ind w:left="567"/>
        <w:contextualSpacing/>
        <w:jc w:val="center"/>
        <w:rPr>
          <w:rFonts w:eastAsia="Courier New"/>
          <w:b/>
          <w:lang w:bidi="ru-RU"/>
        </w:rPr>
      </w:pPr>
      <w:r>
        <w:rPr>
          <w:rFonts w:eastAsia="Courier New"/>
          <w:b/>
          <w:lang w:bidi="ru-RU"/>
        </w:rPr>
      </w:r>
    </w:p>
    <w:p>
      <w:pPr>
        <w:pStyle w:val="Normal"/>
        <w:widowControl w:val="false"/>
        <w:ind w:firstLine="687" w:left="-567" w:right="0"/>
        <w:jc w:val="both"/>
        <w:rPr>
          <w:rFonts w:eastAsia="Courier New"/>
          <w:lang w:bidi="ru-RU"/>
        </w:rPr>
      </w:pPr>
      <w:r>
        <w:rPr>
          <w:rFonts w:eastAsia="Courier New"/>
          <w:b/>
          <w:lang w:bidi="ru-RU"/>
        </w:rPr>
        <w:t>Дата и время начала срока подачи заявок на участие в аукционе – 04.07.2026</w:t>
      </w:r>
      <w:r>
        <w:rPr>
          <w:rFonts w:eastAsia="Courier New"/>
          <w:lang w:bidi="ru-RU"/>
        </w:rPr>
        <w:t xml:space="preserve"> в 9:00 </w:t>
      </w:r>
      <w:r>
        <w:rPr>
          <w:rFonts w:eastAsia="Courier New"/>
          <w:lang w:bidi="ru-RU"/>
        </w:rPr>
        <w:br w:type="textWrapping" w:clear="all"/>
      </w:r>
      <w:r>
        <w:rPr>
          <w:rFonts w:eastAsia="Courier New"/>
          <w:lang w:bidi="ru-RU"/>
        </w:rPr>
        <w:t>по местному времени (7:00 МСК).</w:t>
      </w:r>
    </w:p>
    <w:p>
      <w:pPr>
        <w:pStyle w:val="Normal"/>
        <w:widowControl w:val="false"/>
        <w:ind w:firstLine="709" w:left="-567"/>
        <w:jc w:val="both"/>
        <w:rPr>
          <w:rFonts w:eastAsia="Courier New"/>
          <w:lang w:bidi="ru-RU"/>
        </w:rPr>
      </w:pPr>
      <w:r>
        <w:rPr>
          <w:rFonts w:eastAsia="Courier New"/>
          <w:lang w:bidi="ru-RU"/>
        </w:rPr>
      </w:r>
    </w:p>
    <w:p>
      <w:pPr>
        <w:pStyle w:val="Normal"/>
        <w:widowControl w:val="false"/>
        <w:ind w:firstLine="709" w:left="-567"/>
        <w:jc w:val="both"/>
        <w:rPr>
          <w:rFonts w:eastAsia="Courier New"/>
          <w:b/>
          <w:lang w:bidi="ru-RU"/>
        </w:rPr>
      </w:pPr>
      <w:r>
        <w:rPr>
          <w:rFonts w:eastAsia="Courier New"/>
          <w:b/>
          <w:lang w:bidi="ru-RU"/>
        </w:rPr>
        <w:t>Дата и время окончания срока подачи заявок на участие в аукционе – 28.07.2026</w:t>
      </w:r>
      <w:r>
        <w:rPr>
          <w:rFonts w:eastAsia="Courier New"/>
          <w:lang w:bidi="ru-RU"/>
        </w:rPr>
        <w:t xml:space="preserve"> </w:t>
      </w:r>
      <w:r>
        <w:rPr>
          <w:rFonts w:eastAsia="Courier New"/>
          <w:lang w:bidi="ru-RU"/>
        </w:rPr>
        <w:br w:type="textWrapping" w:clear="all"/>
      </w:r>
      <w:r>
        <w:rPr>
          <w:rFonts w:eastAsia="Courier New"/>
          <w:lang w:bidi="ru-RU"/>
        </w:rPr>
        <w:t xml:space="preserve">в 18:00 по местному времени (16:00 МСК). </w:t>
      </w:r>
    </w:p>
    <w:p>
      <w:pPr>
        <w:pStyle w:val="Normal"/>
        <w:widowControl w:val="false"/>
        <w:ind w:firstLine="709" w:left="-567"/>
        <w:jc w:val="both"/>
        <w:rPr>
          <w:rFonts w:eastAsia="Courier New"/>
          <w:b/>
          <w:lang w:bidi="ru-RU"/>
        </w:rPr>
      </w:pPr>
      <w:r>
        <w:rPr>
          <w:rFonts w:eastAsia="Courier New"/>
          <w:b/>
          <w:lang w:bidi="ru-RU"/>
        </w:rPr>
      </w:r>
    </w:p>
    <w:p>
      <w:pPr>
        <w:pStyle w:val="Normal"/>
        <w:widowControl w:val="false"/>
        <w:ind w:firstLine="709" w:left="-567"/>
        <w:jc w:val="both"/>
        <w:rPr>
          <w:rFonts w:eastAsia="Courier New"/>
          <w:lang w:bidi="ru-RU"/>
        </w:rPr>
      </w:pPr>
      <w:r>
        <w:rPr>
          <w:rFonts w:eastAsia="Courier New"/>
          <w:b/>
          <w:lang w:bidi="ru-RU"/>
        </w:rPr>
        <w:t>Дата окончания срока рассмотрения заявок на участие в аукционе (определение участников аукциона)</w:t>
      </w:r>
      <w:r>
        <w:rPr>
          <w:rFonts w:eastAsia="Courier New"/>
          <w:lang w:bidi="ru-RU"/>
        </w:rPr>
        <w:t xml:space="preserve"> –</w:t>
      </w:r>
      <w:r>
        <w:rPr>
          <w:rFonts w:eastAsia="Courier New"/>
          <w:b/>
          <w:bCs/>
          <w:lang w:bidi="ru-RU"/>
        </w:rPr>
        <w:t xml:space="preserve"> 29.07.2026. </w:t>
      </w:r>
    </w:p>
    <w:p>
      <w:pPr>
        <w:pStyle w:val="Normal"/>
        <w:widowControl w:val="false"/>
        <w:ind w:firstLine="709" w:left="-567"/>
        <w:jc w:val="both"/>
        <w:rPr>
          <w:rFonts w:eastAsia="Courier New"/>
          <w:b/>
          <w:bCs/>
          <w:lang w:bidi="ru-RU"/>
        </w:rPr>
      </w:pPr>
      <w:r>
        <w:rPr>
          <w:rFonts w:eastAsia="Courier New"/>
          <w:b/>
          <w:bCs/>
          <w:lang w:bidi="ru-RU"/>
        </w:rPr>
      </w:r>
    </w:p>
    <w:p>
      <w:pPr>
        <w:pStyle w:val="Normal"/>
        <w:widowControl w:val="false"/>
        <w:ind w:firstLine="709" w:left="-567"/>
        <w:jc w:val="both"/>
        <w:rPr>
          <w:rFonts w:eastAsia="Courier New"/>
          <w:b/>
          <w:lang w:bidi="ru-RU"/>
        </w:rPr>
      </w:pPr>
      <w:r>
        <w:rPr>
          <w:rFonts w:eastAsia="Courier New"/>
          <w:b/>
          <w:bCs/>
          <w:lang w:bidi="ru-RU"/>
        </w:rPr>
        <w:t xml:space="preserve">Дата проведения аукциона (дата и время начала приема предложений </w:t>
      </w:r>
      <w:r>
        <w:rPr>
          <w:rFonts w:eastAsia="Courier New"/>
          <w:b/>
          <w:bCs/>
          <w:lang w:bidi="ru-RU"/>
        </w:rPr>
        <w:br w:type="textWrapping" w:clear="all"/>
      </w:r>
      <w:r>
        <w:rPr>
          <w:rFonts w:eastAsia="Courier New"/>
          <w:b/>
          <w:bCs/>
          <w:lang w:bidi="ru-RU"/>
        </w:rPr>
        <w:t>от участников аукциона) – 30.07</w:t>
      </w:r>
      <w:r>
        <w:rPr>
          <w:rFonts w:eastAsia="Courier New"/>
          <w:b/>
          <w:lang w:bidi="ru-RU"/>
        </w:rPr>
        <w:t>.2026</w:t>
      </w:r>
      <w:r>
        <w:rPr>
          <w:rFonts w:eastAsia="Courier New"/>
          <w:lang w:bidi="ru-RU"/>
        </w:rPr>
        <w:t xml:space="preserve"> в 09:00 по местному времени (07:00 МСК). </w:t>
      </w:r>
    </w:p>
    <w:p>
      <w:pPr>
        <w:pStyle w:val="Normal"/>
        <w:widowControl w:val="false"/>
        <w:ind w:firstLine="709" w:left="-567"/>
        <w:jc w:val="both"/>
        <w:rPr>
          <w:rFonts w:eastAsia="Courier New"/>
          <w:b/>
          <w:lang w:bidi="ru-RU"/>
        </w:rPr>
      </w:pPr>
      <w:r>
        <w:rPr>
          <w:rFonts w:eastAsia="Courier New"/>
          <w:b/>
          <w:lang w:bidi="ru-RU"/>
        </w:rPr>
      </w:r>
    </w:p>
    <w:p>
      <w:pPr>
        <w:pStyle w:val="Normal"/>
        <w:widowControl w:val="false"/>
        <w:ind w:firstLine="709" w:left="-567"/>
        <w:jc w:val="both"/>
        <w:rPr>
          <w:highlight w:val="none"/>
        </w:rPr>
      </w:pPr>
      <w:r>
        <w:rPr>
          <w:b/>
        </w:rPr>
        <w:t>Место подачи (приема) заявок и место проведения аукциона:</w:t>
      </w:r>
      <w:r>
        <w:rPr/>
        <w:t xml:space="preserve"> электронная </w:t>
        <w:br/>
        <w:t>площадка – универсальная торговая платформа АО «Сбербанк-АСТ», размещенная на сайте http://utp.sberbank-ast.ru в сети Интернет (торговая секция «Приватизация, аренда и продажа прав»).</w:t>
      </w:r>
    </w:p>
    <w:p>
      <w:pPr>
        <w:pStyle w:val="Normal"/>
        <w:widowControl w:val="false"/>
        <w:jc w:val="both"/>
        <w:rPr/>
      </w:pPr>
      <w:r>
        <w:rPr/>
      </w:r>
    </w:p>
    <w:p>
      <w:pPr>
        <w:pStyle w:val="Normal"/>
        <w:widowControl w:val="false"/>
        <w:ind w:firstLine="709" w:left="-567"/>
        <w:jc w:val="center"/>
        <w:rPr>
          <w:b/>
        </w:rPr>
      </w:pPr>
      <w:r>
        <w:rPr>
          <w:b/>
        </w:rPr>
        <w:t>Плата оператору электронной площадки за участие в электронном аукционе</w:t>
      </w:r>
    </w:p>
    <w:p>
      <w:pPr>
        <w:pStyle w:val="Normal"/>
        <w:widowControl w:val="false"/>
        <w:ind w:firstLine="709" w:left="-567"/>
        <w:jc w:val="center"/>
        <w:rPr>
          <w:b/>
        </w:rPr>
      </w:pPr>
      <w:r>
        <w:rPr>
          <w:b/>
        </w:rPr>
      </w:r>
    </w:p>
    <w:p>
      <w:pPr>
        <w:pStyle w:val="Normal"/>
        <w:widowControl w:val="false"/>
        <w:ind w:firstLine="709" w:left="-567"/>
        <w:jc w:val="both"/>
        <w:rPr/>
      </w:pPr>
      <w:r>
        <w:rPr/>
        <w:t xml:space="preserve">В соответствии с постановлением Правительства Российской Федерации от 10 мая 2018 г. </w:t>
      </w:r>
      <w:r>
        <w:rPr/>
        <w:br w:type="textWrapping" w:clear="all"/>
      </w:r>
      <w:r>
        <w:rPr/>
        <w:t>№ 564 «О взимании операторами электронных площадок, операторами специализированных электронных площадок платы при проведении электронной процедуры, закрытой электронной процедуры и установления ее предельных размеров» оператор электронной площадки вправе взимать плату с победителя аукциона или иного лица, с которыми в соответствии с пунктами 13, 14, 20 и 25 статьи 39.12 Земельного кодекса Российской Федерации заключается договор купли-продажи земельного участка, находящегося в государственной или муниципальной собственности, либо договор аренды такого участка, в размере 1% начальной цены предмета аукциона, но не более 5 тыс. рублей без учета налога на добавленную стоимость.</w:t>
      </w:r>
    </w:p>
    <w:p>
      <w:pPr>
        <w:pStyle w:val="Normal"/>
        <w:widowControl w:val="false"/>
        <w:ind w:firstLine="709" w:left="-567"/>
        <w:jc w:val="both"/>
        <w:rPr/>
      </w:pPr>
      <w:r>
        <w:rPr/>
        <w:t>По информации оператора электронной площадки АО «Сбербанк-АСТ» в настоящее время взимание платы не установлено.</w:t>
      </w:r>
    </w:p>
    <w:p>
      <w:pPr>
        <w:pStyle w:val="Normal"/>
        <w:widowControl w:val="false"/>
        <w:ind w:firstLine="709" w:left="-567"/>
        <w:jc w:val="both"/>
        <w:rPr/>
      </w:pPr>
      <w:r>
        <w:rPr/>
      </w:r>
    </w:p>
    <w:p>
      <w:pPr>
        <w:pStyle w:val="Normal"/>
        <w:widowControl w:val="false"/>
        <w:spacing w:before="0" w:after="0"/>
        <w:ind w:left="502"/>
        <w:contextualSpacing/>
        <w:jc w:val="center"/>
        <w:rPr>
          <w:b/>
          <w:bCs/>
          <w:lang w:bidi="ru-RU"/>
        </w:rPr>
      </w:pPr>
      <w:r>
        <w:rPr>
          <w:b/>
          <w:bCs/>
          <w:lang w:bidi="ru-RU"/>
        </w:rPr>
        <w:t>Размер задатка для участия в аукционе, порядок его внесения и возврата, реквизиты счета для перечисления задатка</w:t>
      </w:r>
    </w:p>
    <w:p>
      <w:pPr>
        <w:pStyle w:val="Normal"/>
        <w:widowControl w:val="false"/>
        <w:spacing w:before="0" w:after="0"/>
        <w:ind w:left="502"/>
        <w:contextualSpacing/>
        <w:jc w:val="center"/>
        <w:rPr>
          <w:b/>
          <w:bCs/>
          <w:lang w:bidi="ru-RU"/>
        </w:rPr>
      </w:pPr>
      <w:r>
        <w:rPr>
          <w:b/>
          <w:bCs/>
          <w:lang w:bidi="ru-RU"/>
        </w:rPr>
      </w:r>
    </w:p>
    <w:p>
      <w:pPr>
        <w:pStyle w:val="Normal"/>
        <w:widowControl w:val="false"/>
        <w:spacing w:before="0" w:after="0"/>
        <w:ind w:firstLine="567" w:left="-567"/>
        <w:contextualSpacing/>
        <w:jc w:val="both"/>
        <w:rPr>
          <w:bCs/>
          <w:lang w:bidi="ru-RU"/>
        </w:rPr>
      </w:pPr>
      <w:r>
        <w:rPr>
          <w:bCs/>
          <w:lang w:bidi="ru-RU"/>
        </w:rPr>
        <w:t xml:space="preserve">Заявители, зарегистрированные на электронной площадке в установленном порядке, </w:t>
        <w:br/>
        <w:t xml:space="preserve">до подачи заявки на участие в аукционе (далее – заявка), осуществляют перечисление суммы задатка на участие в аукционе на банковские реквизиты Оператора, размещенные в открытой части торговой секции. </w:t>
      </w:r>
    </w:p>
    <w:p>
      <w:pPr>
        <w:pStyle w:val="Normal"/>
        <w:widowControl w:val="false"/>
        <w:spacing w:before="0" w:after="0"/>
        <w:ind w:firstLine="567" w:left="-567"/>
        <w:contextualSpacing/>
        <w:jc w:val="both"/>
        <w:rPr>
          <w:bCs/>
          <w:lang w:bidi="ru-RU"/>
        </w:rPr>
      </w:pPr>
      <w:r>
        <w:rPr>
          <w:bCs/>
          <w:lang w:bidi="ru-RU"/>
        </w:rPr>
        <w:t xml:space="preserve">В момент подачи заявки Оператор проверяет наличие денежной суммы в размере задатка </w:t>
      </w:r>
      <w:r>
        <w:rPr>
          <w:bCs/>
          <w:lang w:bidi="ru-RU"/>
        </w:rPr>
        <w:br w:type="textWrapping" w:clear="all"/>
      </w:r>
      <w:r>
        <w:rPr>
          <w:bCs/>
          <w:lang w:bidi="ru-RU"/>
        </w:rPr>
        <w:t>на лицевом счете заявителя и осуществляет блокирование необходимой денежной суммы.</w:t>
      </w:r>
    </w:p>
    <w:p>
      <w:pPr>
        <w:pStyle w:val="Normal"/>
        <w:widowControl w:val="false"/>
        <w:spacing w:before="0" w:after="0"/>
        <w:ind w:firstLine="567" w:left="-567"/>
        <w:contextualSpacing/>
        <w:jc w:val="both"/>
        <w:rPr>
          <w:bCs/>
          <w:lang w:bidi="ru-RU"/>
        </w:rPr>
      </w:pPr>
      <w:r>
        <w:rPr>
          <w:bCs/>
          <w:lang w:bidi="ru-RU"/>
        </w:rPr>
        <w:t>Представление документов, подтверждающих внесение задатка, признается заключением соглашения о задатке (п.2 ст. 39.12 Земельного кодекса Российской Федерации).</w:t>
      </w:r>
    </w:p>
    <w:p>
      <w:pPr>
        <w:pStyle w:val="Normal"/>
        <w:widowControl w:val="false"/>
        <w:spacing w:before="0" w:after="0"/>
        <w:ind w:firstLine="567" w:left="-567"/>
        <w:contextualSpacing/>
        <w:jc w:val="both"/>
        <w:rPr>
          <w:bCs/>
          <w:lang w:bidi="ru-RU"/>
        </w:rPr>
      </w:pPr>
      <w:r>
        <w:rPr>
          <w:bCs/>
          <w:lang w:bidi="ru-RU"/>
        </w:rPr>
        <w:t>Сумма задатка для участия в аукционе определяется в размере 50 процентов от начальной цены предмета аукциона. Размер задатка в извещении о проведении аукциона указан по каждому лоту.</w:t>
      </w:r>
    </w:p>
    <w:p>
      <w:pPr>
        <w:pStyle w:val="Normal"/>
        <w:widowControl w:val="false"/>
        <w:spacing w:before="0" w:after="0"/>
        <w:ind w:firstLine="567" w:left="-567"/>
        <w:contextualSpacing/>
        <w:jc w:val="both"/>
        <w:rPr>
          <w:b/>
          <w:bCs/>
          <w:lang w:bidi="ru-RU"/>
        </w:rPr>
      </w:pPr>
      <w:r>
        <w:rPr>
          <w:bCs/>
          <w:lang w:bidi="ru-RU"/>
        </w:rPr>
        <w:t xml:space="preserve">Перечисление задатка для участия в аукционе и возврат задатка осуществляются с учетом особенностей, установленных регламентом электронной площадки. </w:t>
      </w:r>
    </w:p>
    <w:p>
      <w:pPr>
        <w:pStyle w:val="Normal"/>
        <w:widowControl w:val="false"/>
        <w:ind w:firstLine="567" w:left="-567"/>
        <w:jc w:val="both"/>
        <w:rPr>
          <w:rFonts w:eastAsia="Calibri"/>
          <w:bCs/>
          <w:lang w:eastAsia="en-US"/>
        </w:rPr>
      </w:pPr>
      <w:r>
        <w:rPr>
          <w:b/>
          <w:bCs/>
          <w:lang w:bidi="ru-RU"/>
        </w:rPr>
        <w:t>Задаток перечисляется на реквизиты Оператора электронной площадки (</w:t>
      </w:r>
      <w:hyperlink r:id="rId30" w:tgtFrame="http://utp.sberbank-ast.ru/AP/Notice/653/Requisites">
        <w:r>
          <w:rPr>
            <w:rStyle w:val="Hyperlink"/>
            <w:b/>
            <w:bCs/>
            <w:lang w:bidi="ru-RU"/>
          </w:rPr>
          <w:t>http://utp.sberbank-ast.ru/AP/Notice/653/Requisites</w:t>
        </w:r>
      </w:hyperlink>
      <w:r>
        <w:rPr>
          <w:b/>
          <w:bCs/>
          <w:lang w:bidi="ru-RU"/>
        </w:rPr>
        <w:t>).</w:t>
      </w:r>
    </w:p>
    <w:p>
      <w:pPr>
        <w:pStyle w:val="Normal"/>
        <w:spacing w:lineRule="exact" w:line="240"/>
        <w:rPr>
          <w:rFonts w:eastAsia="Calibri"/>
          <w:bCs/>
          <w:lang w:eastAsia="en-US"/>
        </w:rPr>
      </w:pPr>
      <w:r>
        <w:rPr>
          <w:rFonts w:eastAsia="Calibri"/>
          <w:bCs/>
          <w:lang w:eastAsia="en-US"/>
        </w:rPr>
        <w:t>Получатель: АО «Сбербанк-АСТ»</w:t>
      </w:r>
    </w:p>
    <w:p>
      <w:pPr>
        <w:pStyle w:val="Normal"/>
        <w:spacing w:lineRule="exact" w:line="240"/>
        <w:rPr>
          <w:rFonts w:eastAsia="Calibri"/>
          <w:bCs/>
          <w:lang w:eastAsia="en-US"/>
        </w:rPr>
      </w:pPr>
      <w:r>
        <w:rPr>
          <w:rFonts w:eastAsia="Calibri"/>
          <w:bCs/>
          <w:lang w:eastAsia="en-US"/>
        </w:rPr>
        <w:t xml:space="preserve">ИНН: 7707308480, КПП: 770401001, </w:t>
      </w:r>
    </w:p>
    <w:p>
      <w:pPr>
        <w:pStyle w:val="Normal"/>
        <w:spacing w:lineRule="exact" w:line="240"/>
        <w:rPr/>
      </w:pPr>
      <w:r>
        <w:rPr>
          <w:rFonts w:eastAsia="Calibri"/>
          <w:bCs/>
          <w:lang w:eastAsia="en-US"/>
        </w:rPr>
        <w:t>Банк получателя: ПАО «СБЕРБАНК РОССИИ» Г. МОСКВА</w:t>
      </w:r>
    </w:p>
    <w:p>
      <w:pPr>
        <w:pStyle w:val="Normal"/>
        <w:spacing w:lineRule="exact" w:line="240"/>
        <w:rPr>
          <w:rFonts w:eastAsia="Calibri"/>
          <w:bCs/>
          <w:lang w:eastAsia="en-US"/>
        </w:rPr>
      </w:pPr>
      <w:r>
        <w:rPr/>
        <w:t xml:space="preserve">Расчетный счет: </w:t>
      </w:r>
      <w:r>
        <w:rPr>
          <w:rFonts w:eastAsia="Calibri"/>
          <w:bCs/>
          <w:lang w:eastAsia="en-US"/>
        </w:rPr>
        <w:t>40702810300020038047</w:t>
      </w:r>
    </w:p>
    <w:p>
      <w:pPr>
        <w:pStyle w:val="Normal"/>
        <w:spacing w:lineRule="exact" w:line="240"/>
        <w:rPr>
          <w:rFonts w:eastAsia="Calibri"/>
          <w:bCs/>
          <w:lang w:eastAsia="en-US"/>
        </w:rPr>
      </w:pPr>
      <w:r>
        <w:rPr>
          <w:rFonts w:eastAsia="Calibri"/>
          <w:bCs/>
          <w:lang w:eastAsia="en-US"/>
        </w:rPr>
        <w:t>БИК: 044525225</w:t>
      </w:r>
    </w:p>
    <w:p>
      <w:pPr>
        <w:pStyle w:val="Normal"/>
        <w:spacing w:lineRule="exact" w:line="240"/>
        <w:rPr>
          <w:bCs/>
          <w:lang w:bidi="ru-RU"/>
        </w:rPr>
      </w:pPr>
      <w:r>
        <w:rPr>
          <w:rFonts w:eastAsia="Calibri"/>
          <w:bCs/>
          <w:lang w:eastAsia="en-US"/>
        </w:rPr>
        <w:t>Корреспондентский счет: 30101810400000000225</w:t>
      </w:r>
    </w:p>
    <w:p>
      <w:pPr>
        <w:pStyle w:val="Normal"/>
        <w:widowControl w:val="false"/>
        <w:ind w:firstLine="567" w:left="-567"/>
        <w:jc w:val="both"/>
        <w:rPr>
          <w:b/>
        </w:rPr>
      </w:pPr>
      <w:r>
        <w:rPr>
          <w:bCs/>
          <w:lang w:bidi="ru-RU"/>
        </w:rPr>
        <w:t>В платёжном поручении в части «Назначение платежа» необходимо указать: Задаток по лоту  № ___, ИНН плательщика. НДС не облагается.</w:t>
      </w:r>
    </w:p>
    <w:p>
      <w:pPr>
        <w:pStyle w:val="Normal"/>
        <w:widowControl w:val="false"/>
        <w:ind w:firstLine="567" w:left="-567"/>
        <w:jc w:val="both"/>
        <w:rPr>
          <w:bCs/>
          <w:lang w:bidi="ru-RU"/>
        </w:rPr>
      </w:pPr>
      <w:r>
        <w:rPr>
          <w:b/>
        </w:rPr>
        <w:t xml:space="preserve">Срок внесения задатка, т.е. поступления суммы задатка на счет </w:t>
      </w:r>
      <w:r>
        <w:rPr>
          <w:rFonts w:eastAsia="Calibri"/>
          <w:b/>
        </w:rPr>
        <w:t>Оператора</w:t>
      </w:r>
      <w:r>
        <w:rPr>
          <w:b/>
        </w:rPr>
        <w:t xml:space="preserve">: </w:t>
      </w:r>
      <w:r>
        <w:rPr>
          <w:b/>
        </w:rPr>
        <w:br w:type="textWrapping" w:clear="all"/>
      </w:r>
      <w:r>
        <w:rPr>
          <w:b w:val="false"/>
          <w:bCs w:val="false"/>
          <w:lang w:bidi="ru-RU"/>
        </w:rPr>
        <w:t>c 04.07.2026 по 28.07.2026.</w:t>
      </w:r>
    </w:p>
    <w:p>
      <w:pPr>
        <w:pStyle w:val="Normal"/>
        <w:widowControl w:val="false"/>
        <w:ind w:firstLine="709" w:left="-567"/>
        <w:jc w:val="both"/>
        <w:rPr>
          <w:bCs/>
          <w:lang w:bidi="ru-RU"/>
        </w:rPr>
      </w:pPr>
      <w:r>
        <w:rPr>
          <w:bCs/>
          <w:lang w:bidi="ru-RU"/>
        </w:rPr>
      </w:r>
    </w:p>
    <w:p>
      <w:pPr>
        <w:pStyle w:val="Normal"/>
        <w:widowControl w:val="false"/>
        <w:ind w:firstLine="709" w:left="-567"/>
        <w:jc w:val="center"/>
        <w:rPr>
          <w:b/>
          <w:lang w:bidi="ru-RU"/>
        </w:rPr>
      </w:pPr>
      <w:r>
        <w:rPr>
          <w:b/>
          <w:lang w:bidi="ru-RU"/>
        </w:rPr>
        <w:t>Порядок возврата задатка:</w:t>
      </w:r>
    </w:p>
    <w:p>
      <w:pPr>
        <w:pStyle w:val="Normal"/>
        <w:widowControl w:val="false"/>
        <w:ind w:firstLine="709" w:left="-567"/>
        <w:jc w:val="both"/>
        <w:rPr>
          <w:b/>
          <w:lang w:bidi="ru-RU"/>
        </w:rPr>
      </w:pPr>
      <w:r>
        <w:rPr>
          <w:b/>
          <w:lang w:bidi="ru-RU"/>
        </w:rPr>
      </w:r>
    </w:p>
    <w:p>
      <w:pPr>
        <w:pStyle w:val="Normal"/>
        <w:widowControl w:val="false"/>
        <w:spacing w:before="0" w:after="0"/>
        <w:ind w:firstLine="567" w:left="-567"/>
        <w:contextualSpacing/>
        <w:jc w:val="both"/>
        <w:rPr>
          <w:lang w:bidi="ru-RU"/>
        </w:rPr>
      </w:pPr>
      <w:r>
        <w:rPr>
          <w:bCs/>
          <w:lang w:bidi="ru-RU"/>
        </w:rPr>
        <w:t>Задаток возвращается лицам, участвовавшим в аукционе, но не победившим в нем, в течение трех ра</w:t>
      </w:r>
      <w:r>
        <w:rPr>
          <w:bCs/>
          <w:shd w:fill="auto" w:val="clear"/>
          <w:lang w:bidi="ru-RU"/>
        </w:rPr>
        <w:t xml:space="preserve">бочих дней со дня подписания протокола о результатах аукциона, </w:t>
      </w:r>
      <w:r>
        <w:rPr>
          <w:b w:val="false"/>
          <w:bCs/>
          <w:shd w:fill="auto" w:val="clear"/>
          <w:lang w:bidi="ru-RU"/>
        </w:rPr>
        <w:t>за исключением участника аукциона, который сделал предпоследнее предложение о цене предмета аукциона. Задаток, внесенный таким участником, возвращается ему в течение трех дней со дня подписания договора аренды земельного участка победителем аукциона.</w:t>
      </w:r>
    </w:p>
    <w:p>
      <w:pPr>
        <w:pStyle w:val="Normal"/>
        <w:widowControl w:val="false"/>
        <w:spacing w:before="0" w:after="0"/>
        <w:ind w:firstLine="567" w:left="-567"/>
        <w:contextualSpacing/>
        <w:jc w:val="both"/>
        <w:rPr>
          <w:highlight w:val="none"/>
          <w:shd w:fill="auto" w:val="clear"/>
        </w:rPr>
      </w:pPr>
      <w:r>
        <w:rPr>
          <w:shd w:fill="auto" w:val="clear"/>
          <w:lang w:bidi="ru-RU"/>
        </w:rPr>
        <w:t xml:space="preserve">Заявителю, не допущенному к участию в аукционе, внесенный им задаток возвращается </w:t>
      </w:r>
      <w:r>
        <w:rPr>
          <w:shd w:fill="auto" w:val="clear"/>
          <w:lang w:bidi="ru-RU"/>
        </w:rPr>
        <w:br w:type="textWrapping" w:clear="all"/>
      </w:r>
      <w:r>
        <w:rPr>
          <w:shd w:fill="auto" w:val="clear"/>
          <w:lang w:bidi="ru-RU"/>
        </w:rPr>
        <w:t xml:space="preserve">в течение трех рабочих дней со дня оформления протокола рассмотрения заявок на участие </w:t>
        <w:br/>
        <w:t xml:space="preserve">в аукционе. </w:t>
      </w:r>
    </w:p>
    <w:p>
      <w:pPr>
        <w:pStyle w:val="Normal"/>
        <w:widowControl w:val="false"/>
        <w:ind w:firstLine="567" w:left="-567"/>
        <w:jc w:val="both"/>
        <w:rPr>
          <w:highlight w:val="none"/>
          <w:shd w:fill="auto" w:val="clear"/>
        </w:rPr>
      </w:pPr>
      <w:r>
        <w:rPr>
          <w:shd w:fill="auto" w:val="clear"/>
          <w:lang w:bidi="ru-RU"/>
        </w:rPr>
        <w:t xml:space="preserve">Оператор прекращает блокирование в отношении денежных средств участников аукциона, заблокированных в размере задатков на их лицевых счетах на электронной площадке после публикации протокола о результатах аукциона, за исключением единственного заявителя, признанного участником аукциона, победителя аукциона, единственного принявшего участие </w:t>
        <w:br/>
        <w:t xml:space="preserve">в аукционе участника, а также </w:t>
      </w:r>
      <w:r>
        <w:rPr>
          <w:b w:val="false"/>
          <w:shd w:fill="auto" w:val="clear"/>
          <w:lang w:bidi="ru-RU"/>
        </w:rPr>
        <w:t xml:space="preserve">участника аукциона, который сделал предпоследнее предложение </w:t>
        <w:br/>
        <w:t>о цене предмета аукциона.</w:t>
      </w:r>
    </w:p>
    <w:p>
      <w:pPr>
        <w:pStyle w:val="Normal"/>
        <w:widowControl w:val="false"/>
        <w:ind w:firstLine="567" w:left="-567"/>
        <w:jc w:val="both"/>
        <w:rPr>
          <w:highlight w:val="none"/>
          <w:shd w:fill="auto" w:val="clear"/>
        </w:rPr>
      </w:pPr>
      <w:r>
        <w:rPr>
          <w:shd w:fill="auto" w:val="clear"/>
          <w:lang w:bidi="ru-RU"/>
        </w:rPr>
        <w:t xml:space="preserve">Организатор аукциона посредством штатного интерфейса торговой секции </w:t>
      </w:r>
      <w:r>
        <w:rPr>
          <w:shd w:fill="auto" w:val="clear"/>
          <w:lang w:bidi="ru-RU"/>
        </w:rPr>
        <w:br w:type="textWrapping" w:clear="all"/>
      </w:r>
      <w:r>
        <w:rPr>
          <w:shd w:fill="auto" w:val="clear"/>
          <w:lang w:bidi="ru-RU"/>
        </w:rPr>
        <w:t>в установленные сроки формирует поручение Оператору:</w:t>
      </w:r>
    </w:p>
    <w:p>
      <w:pPr>
        <w:pStyle w:val="Normal"/>
        <w:widowControl w:val="false"/>
        <w:ind w:firstLine="567" w:left="-567"/>
        <w:jc w:val="both"/>
        <w:rPr>
          <w:highlight w:val="none"/>
          <w:shd w:fill="auto" w:val="clear"/>
        </w:rPr>
      </w:pPr>
      <w:r>
        <w:rPr>
          <w:shd w:fill="auto" w:val="clear"/>
          <w:lang w:bidi="ru-RU"/>
        </w:rPr>
        <w:t>- о перечислении задатка единственного заявителя, признанного участником аукциона, победителя аукциона или единственного принявшего участие в аукционе участника после формирования протокола о результатах аукциона на указанные в поручении банковские реквизиты;</w:t>
      </w:r>
    </w:p>
    <w:p>
      <w:pPr>
        <w:pStyle w:val="Normal"/>
        <w:widowControl w:val="false"/>
        <w:ind w:firstLine="567" w:left="-567"/>
        <w:jc w:val="both"/>
        <w:rPr>
          <w:highlight w:val="none"/>
          <w:shd w:fill="auto" w:val="clear"/>
        </w:rPr>
      </w:pPr>
      <w:r>
        <w:rPr>
          <w:bCs/>
          <w:shd w:fill="auto" w:val="clear"/>
          <w:lang w:bidi="ru-RU"/>
        </w:rPr>
        <w:t xml:space="preserve">Задаток, внесенный лицом, признанным победителем аукциона, задаток, внесенный иным лицом, с которым договор аренды земельного участка заключается в соответствии с пунктами 13, 14, 20 или 25 ст. 39.12 Земельного кодекса Российской Федерации, засчитываются  в счет арендной платы за него. Задатки, внесенные этими лицами, не заключившими в установленном настоящей статьей порядке договора аренды земельного участка вследствие уклонения от заключения указанного договора, не возвращаются. </w:t>
      </w:r>
    </w:p>
    <w:p>
      <w:pPr>
        <w:pStyle w:val="Normal"/>
        <w:widowControl w:val="false"/>
        <w:spacing w:lineRule="auto" w:line="276"/>
        <w:jc w:val="both"/>
        <w:rPr>
          <w:bCs/>
          <w:highlight w:val="none"/>
          <w:shd w:fill="auto" w:val="clear"/>
          <w:lang w:bidi="ru-RU"/>
        </w:rPr>
      </w:pPr>
      <w:r>
        <w:rPr>
          <w:bCs/>
          <w:shd w:fill="auto" w:val="clear"/>
          <w:lang w:bidi="ru-RU"/>
        </w:rPr>
      </w:r>
    </w:p>
    <w:p>
      <w:pPr>
        <w:pStyle w:val="Normal"/>
        <w:widowControl w:val="false"/>
        <w:jc w:val="center"/>
        <w:rPr>
          <w:highlight w:val="none"/>
          <w:shd w:fill="auto" w:val="clear"/>
        </w:rPr>
      </w:pPr>
      <w:r>
        <w:rPr>
          <w:b/>
          <w:shd w:fill="auto" w:val="clear"/>
        </w:rPr>
        <w:t>Организатор аукциона вправе:</w:t>
      </w:r>
    </w:p>
    <w:p>
      <w:pPr>
        <w:pStyle w:val="Normal"/>
        <w:widowControl w:val="false"/>
        <w:jc w:val="center"/>
        <w:rPr>
          <w:rFonts w:eastAsia="Courier New"/>
          <w:highlight w:val="none"/>
          <w:shd w:fill="auto" w:val="clear"/>
          <w:lang w:bidi="ru-RU"/>
        </w:rPr>
      </w:pPr>
      <w:r>
        <w:rPr>
          <w:rFonts w:eastAsia="Courier New"/>
          <w:shd w:fill="auto" w:val="clear"/>
          <w:lang w:bidi="ru-RU"/>
        </w:rPr>
      </w:r>
    </w:p>
    <w:p>
      <w:pPr>
        <w:pStyle w:val="BodyText"/>
        <w:widowControl w:val="false"/>
        <w:ind w:firstLine="709" w:left="-567"/>
        <w:jc w:val="both"/>
        <w:rPr>
          <w:highlight w:val="none"/>
          <w:shd w:fill="auto" w:val="clear"/>
        </w:rPr>
      </w:pPr>
      <w:r>
        <w:rPr>
          <w:rFonts w:eastAsia="Droid Sans Fallback" w:cs="Lohit Devanagari"/>
          <w:color w:val="000000"/>
          <w:sz w:val="24"/>
          <w:szCs w:val="24"/>
          <w:shd w:fill="auto" w:val="clear"/>
          <w:lang w:val="ru-RU" w:eastAsia="zh-CN" w:bidi="ar-SA"/>
        </w:rPr>
        <w:t xml:space="preserve">Не позднее чем за один рабочий день до даты окончания приема заявок на участие в аукционе  принять решение о внесении изменений в извещение о проведении аукциона в целях исправления технических ошибок, не связанных с предметом аукциона, начальной ценой предмета аукциона, «шагом аукциона», размером задатка, со сроком заключаемого по результатам аукциона договора аренды, а также с видом права, на котором земельный участок предоставляется по результатам аукциона. При этом срок подачи заявок на участие в аукционе должен быть продлен таким образом, чтобы со дня размещения в порядке, установленном п. 19 ст. 39.11 Земельного кодекса Российской Федерации, изменений в извещение о проведении аукциона до дня проведения аукциона такой срок составлял не менее десяти рабочих дней. </w:t>
      </w:r>
      <w:r>
        <w:rPr>
          <w:rFonts w:eastAsia="Droid Sans Fallback" w:cs="Lohit Devanagari"/>
          <w:b w:val="false"/>
          <w:color w:val="000000"/>
          <w:sz w:val="24"/>
          <w:szCs w:val="24"/>
          <w:shd w:fill="auto" w:val="clear"/>
          <w:lang w:val="ru-RU" w:eastAsia="zh-CN" w:bidi="ar-SA"/>
        </w:rPr>
        <w:t xml:space="preserve">Информация о внесении изменений в извещение </w:t>
        <w:br/>
        <w:t xml:space="preserve">о проведении аукциона размещается на официальных сайтах </w:t>
      </w:r>
      <w:r>
        <w:rPr>
          <w:rFonts w:eastAsia="Droid Sans Fallback" w:cs="Lohit Devanagari"/>
          <w:b w:val="false"/>
          <w:bCs/>
          <w:color w:val="000000"/>
          <w:sz w:val="24"/>
          <w:szCs w:val="24"/>
          <w:shd w:fill="auto" w:val="clear"/>
          <w:lang w:val="ru-RU" w:eastAsia="zh-CN" w:bidi="ar-SA"/>
        </w:rPr>
        <w:t>www.torgi.gov.ru,  www.gorodperm.ru.</w:t>
      </w:r>
    </w:p>
    <w:p>
      <w:pPr>
        <w:pStyle w:val="BodyText"/>
        <w:widowControl w:val="false"/>
        <w:ind w:firstLine="709" w:left="-567"/>
        <w:jc w:val="both"/>
        <w:rPr>
          <w:highlight w:val="none"/>
          <w:shd w:fill="auto" w:val="clear"/>
        </w:rPr>
      </w:pPr>
      <w:r>
        <w:rPr>
          <w:rFonts w:eastAsia="Droid Sans Fallback" w:cs="Lohit Devanagari"/>
          <w:b w:val="false"/>
          <w:color w:val="000000"/>
          <w:sz w:val="24"/>
          <w:szCs w:val="24"/>
          <w:shd w:fill="auto" w:val="clear"/>
          <w:lang w:val="ru-RU" w:eastAsia="zh-CN" w:bidi="ar-SA"/>
        </w:rPr>
        <w:t xml:space="preserve">В случае, если за один рабочий день до даты окончания приема заявок на участие в аукционе не поступило ни одной заявки, организатор аукциона до момента окончания срока подачи заявок </w:t>
        <w:br/>
        <w:t xml:space="preserve">на участие в аукционе может принять решение о продлении срока подачи заявок в соответствии </w:t>
        <w:br/>
        <w:t>с правилами, предусмотренными п. 22.1  ст. 39.11 Земельного кодекса Российской Федерации.</w:t>
      </w:r>
    </w:p>
    <w:p>
      <w:pPr>
        <w:pStyle w:val="Normal"/>
        <w:widowControl w:val="false"/>
        <w:ind w:firstLine="567" w:left="-567"/>
        <w:jc w:val="both"/>
        <w:rPr/>
      </w:pPr>
      <w:r>
        <w:rPr>
          <w:shd w:fill="auto" w:val="clear"/>
        </w:rPr>
        <w:t xml:space="preserve">В соответствии с п. 4 ст. 448 Гражданского кодекса Российской Федерации отказаться </w:t>
      </w:r>
      <w:r>
        <w:rPr/>
        <w:br w:type="textWrapping" w:clear="all"/>
      </w:r>
      <w:r>
        <w:rPr/>
        <w:t xml:space="preserve">от проведения аукциона в любое время, но не позднее чем за три дня до наступления даты </w:t>
      </w:r>
      <w:r>
        <w:rPr/>
        <w:br w:type="textWrapping" w:clear="all"/>
      </w:r>
      <w:r>
        <w:rPr/>
        <w:t xml:space="preserve">его проведения, указанной в извещении </w:t>
      </w:r>
      <w:r>
        <w:rPr>
          <w:shd w:fill="auto" w:val="clear"/>
        </w:rPr>
        <w:t xml:space="preserve">о проведении аукциона. </w:t>
      </w:r>
    </w:p>
    <w:p>
      <w:pPr>
        <w:pStyle w:val="Normal"/>
        <w:widowControl w:val="false"/>
        <w:ind w:firstLine="567" w:left="-567"/>
        <w:jc w:val="both"/>
        <w:rPr>
          <w:highlight w:val="none"/>
          <w:shd w:fill="auto" w:val="clear"/>
        </w:rPr>
      </w:pPr>
      <w:r>
        <w:rPr>
          <w:shd w:fill="auto" w:val="clear"/>
        </w:rPr>
      </w:r>
    </w:p>
    <w:p>
      <w:pPr>
        <w:pStyle w:val="Normal"/>
        <w:widowControl w:val="false"/>
        <w:jc w:val="center"/>
        <w:rPr>
          <w:highlight w:val="none"/>
          <w:shd w:fill="auto" w:val="clear"/>
        </w:rPr>
      </w:pPr>
      <w:r>
        <w:rPr>
          <w:b/>
          <w:shd w:fill="auto" w:val="clear"/>
        </w:rPr>
        <w:t xml:space="preserve">Организатор аукциона обязан:  </w:t>
      </w:r>
    </w:p>
    <w:p>
      <w:pPr>
        <w:pStyle w:val="Normal"/>
        <w:widowControl w:val="false"/>
        <w:ind w:firstLine="567" w:left="-567"/>
        <w:jc w:val="both"/>
        <w:rPr>
          <w:highlight w:val="none"/>
          <w:shd w:fill="auto" w:val="clear"/>
        </w:rPr>
      </w:pPr>
      <w:r>
        <w:rPr>
          <w:shd w:fill="auto" w:val="clear"/>
        </w:rPr>
      </w:r>
    </w:p>
    <w:p>
      <w:pPr>
        <w:pStyle w:val="Normal"/>
        <w:widowControl w:val="false"/>
        <w:ind w:firstLine="567" w:left="-567"/>
        <w:jc w:val="both"/>
        <w:rPr>
          <w:highlight w:val="none"/>
          <w:shd w:fill="auto" w:val="clear"/>
        </w:rPr>
      </w:pPr>
      <w:r>
        <w:rPr>
          <w:shd w:fill="auto" w:val="clear"/>
        </w:rPr>
        <w:t xml:space="preserve">Принять решение об отказе в проведении аукциона в случае выявления обстоятельств, предусмотренных п. 8 ст. 39.11 Земельного кодекса Российской Федерации. </w:t>
      </w:r>
    </w:p>
    <w:p>
      <w:pPr>
        <w:pStyle w:val="Normal"/>
        <w:widowControl w:val="false"/>
        <w:ind w:firstLine="567" w:left="-567"/>
        <w:jc w:val="both"/>
        <w:rPr>
          <w:highlight w:val="none"/>
          <w:shd w:fill="auto" w:val="clear"/>
        </w:rPr>
      </w:pPr>
      <w:r>
        <w:rPr>
          <w:shd w:fill="auto" w:val="clear"/>
        </w:rPr>
        <w:t xml:space="preserve">Извещение об отказе в проведении аукциона размещается организатором аукциона </w:t>
        <w:br/>
        <w:t xml:space="preserve">на официальных сайтах  </w:t>
      </w:r>
      <w:r>
        <w:rPr>
          <w:rFonts w:eastAsia="Droid Sans Fallback" w:cs="Lohit Devanagari"/>
          <w:b w:val="false"/>
          <w:bCs/>
          <w:color w:val="000000"/>
          <w:sz w:val="24"/>
          <w:szCs w:val="24"/>
          <w:shd w:fill="auto" w:val="clear"/>
          <w:lang w:val="ru-RU" w:eastAsia="zh-CN" w:bidi="ar-SA"/>
        </w:rPr>
        <w:t xml:space="preserve">www.torgi.gov.ru,  www.gorodperm.ru </w:t>
      </w:r>
      <w:r>
        <w:rPr>
          <w:shd w:fill="auto" w:val="clear"/>
        </w:rPr>
        <w:t xml:space="preserve"> и на электронной площадке в течение трех дней со дня принятия данного решения.</w:t>
      </w:r>
    </w:p>
    <w:p>
      <w:pPr>
        <w:pStyle w:val="Normal"/>
        <w:widowControl w:val="false"/>
        <w:ind w:firstLine="567" w:left="-567"/>
        <w:jc w:val="both"/>
        <w:rPr>
          <w:highlight w:val="none"/>
          <w:shd w:fill="auto" w:val="clear"/>
        </w:rPr>
      </w:pPr>
      <w:r>
        <w:rPr>
          <w:shd w:fill="auto" w:val="clear"/>
        </w:rPr>
        <w:t>В течение трех дней со дня принятия решения об отказе в проведении аукциона участники аукциона извещаются об отказе в проведении аукциона, внесенные задатки возвращаются его участникам.</w:t>
      </w:r>
    </w:p>
    <w:p>
      <w:pPr>
        <w:pStyle w:val="Normal"/>
        <w:widowControl w:val="false"/>
        <w:ind w:firstLine="567" w:left="-567"/>
        <w:jc w:val="both"/>
        <w:rPr>
          <w:highlight w:val="none"/>
          <w:shd w:fill="auto" w:val="clear"/>
        </w:rPr>
      </w:pPr>
      <w:r>
        <w:rPr>
          <w:shd w:fill="auto" w:val="clear"/>
        </w:rPr>
        <w:t xml:space="preserve">В случае отказа от проведения аукциона организатором (в т. ч. одного или нескольких лотов) Оператор в течение одного часа прекращает блокирование денежных средств участников аукциона </w:t>
        <w:br/>
        <w:t>в размере задатка на их лицевых счетах на электронной площадке.</w:t>
      </w:r>
    </w:p>
    <w:p>
      <w:pPr>
        <w:pStyle w:val="Normal"/>
        <w:widowControl w:val="false"/>
        <w:jc w:val="both"/>
        <w:rPr>
          <w:highlight w:val="none"/>
          <w:shd w:fill="auto" w:val="clear"/>
        </w:rPr>
      </w:pPr>
      <w:r>
        <w:rPr>
          <w:shd w:fill="auto" w:val="clear"/>
        </w:rPr>
      </w:r>
    </w:p>
    <w:p>
      <w:pPr>
        <w:pStyle w:val="Normal"/>
        <w:widowControl w:val="false"/>
        <w:ind w:left="502"/>
        <w:jc w:val="center"/>
        <w:rPr>
          <w:highlight w:val="none"/>
          <w:shd w:fill="auto" w:val="clear"/>
        </w:rPr>
      </w:pPr>
      <w:r>
        <w:rPr>
          <w:rFonts w:eastAsia="Courier New"/>
          <w:b/>
          <w:shd w:fill="auto" w:val="clear"/>
          <w:lang w:bidi="ru-RU"/>
        </w:rPr>
        <w:t>Порядок регистрации на электронной площадке</w:t>
      </w:r>
    </w:p>
    <w:p>
      <w:pPr>
        <w:pStyle w:val="Normal"/>
        <w:widowControl w:val="false"/>
        <w:ind w:firstLine="709" w:left="-567"/>
        <w:jc w:val="both"/>
        <w:rPr>
          <w:rFonts w:eastAsia="Courier New"/>
          <w:b/>
          <w:bCs/>
          <w:highlight w:val="none"/>
          <w:shd w:fill="auto" w:val="clear"/>
          <w:lang w:bidi="ru-RU"/>
        </w:rPr>
      </w:pPr>
      <w:r>
        <w:rPr>
          <w:rFonts w:eastAsia="Courier New"/>
          <w:b/>
          <w:bCs/>
          <w:shd w:fill="auto" w:val="clear"/>
          <w:lang w:bidi="ru-RU"/>
        </w:rPr>
      </w:r>
    </w:p>
    <w:p>
      <w:pPr>
        <w:pStyle w:val="Normal"/>
        <w:widowControl w:val="false"/>
        <w:ind w:firstLine="567" w:left="-567"/>
        <w:jc w:val="both"/>
        <w:rPr>
          <w:highlight w:val="none"/>
          <w:shd w:fill="auto" w:val="clear"/>
        </w:rPr>
      </w:pPr>
      <w:r>
        <w:rPr>
          <w:bCs/>
          <w:shd w:fill="auto" w:val="clear"/>
          <w:lang w:bidi="ru-RU"/>
        </w:rPr>
        <w:t>Для обеспечения доступа к участию в аукционе заявителю необходимо пройти процедуру регистрации на электронной площадке. Регистрации на электронной площадке подлежат лица, ранее не зарегистрированные на электронной площадке.</w:t>
      </w:r>
    </w:p>
    <w:p>
      <w:pPr>
        <w:pStyle w:val="Normal"/>
        <w:widowControl w:val="false"/>
        <w:ind w:firstLine="567" w:left="-567"/>
        <w:jc w:val="both"/>
        <w:rPr>
          <w:highlight w:val="none"/>
          <w:shd w:fill="auto" w:val="clear"/>
        </w:rPr>
      </w:pPr>
      <w:r>
        <w:rPr>
          <w:bCs/>
          <w:shd w:fill="auto" w:val="clear"/>
          <w:lang w:bidi="ru-RU"/>
        </w:rPr>
        <w:t>Регистрация на электронной площадке проводится в соответствии с регламентом электронной площадки.</w:t>
      </w:r>
    </w:p>
    <w:p>
      <w:pPr>
        <w:pStyle w:val="Normal"/>
        <w:widowControl w:val="false"/>
        <w:ind w:firstLine="567" w:left="-567"/>
        <w:jc w:val="both"/>
        <w:rPr>
          <w:highlight w:val="none"/>
          <w:shd w:fill="auto" w:val="clear"/>
        </w:rPr>
      </w:pPr>
      <w:r>
        <w:rPr>
          <w:bCs/>
          <w:shd w:fill="auto" w:val="clear"/>
          <w:lang w:bidi="ru-RU"/>
        </w:rPr>
        <w:t xml:space="preserve">Дата и время регистрации участников аукциона на участие в аукционе на электронной площадке на сайте в сети Интернет: c 04.07.2026 по 28.07.2026 с 9.00 до 18.00 по местному времени (7:00 – 16:00 МСК). </w:t>
      </w:r>
    </w:p>
    <w:p>
      <w:pPr>
        <w:pStyle w:val="NormalWeb"/>
        <w:jc w:val="center"/>
        <w:rPr>
          <w:highlight w:val="none"/>
        </w:rPr>
      </w:pPr>
      <w:r>
        <w:rPr/>
      </w:r>
    </w:p>
    <w:p>
      <w:pPr>
        <w:pStyle w:val="NormalWeb"/>
        <w:jc w:val="center"/>
        <w:rPr>
          <w:b/>
          <w:bCs/>
          <w:color w:val="000000"/>
          <w:highlight w:val="none"/>
          <w:shd w:fill="auto" w:val="clear"/>
        </w:rPr>
      </w:pPr>
      <w:r>
        <w:rPr>
          <w:b/>
          <w:color w:val="000000"/>
          <w:shd w:fill="auto" w:val="clear"/>
        </w:rPr>
        <w:t>Разъяснение положений извещения о проведении аукциона</w:t>
      </w:r>
    </w:p>
    <w:p>
      <w:pPr>
        <w:pStyle w:val="ListParagraph"/>
        <w:widowControl w:val="false"/>
        <w:ind w:firstLine="567" w:left="-567"/>
        <w:jc w:val="both"/>
        <w:rPr>
          <w:highlight w:val="none"/>
          <w:shd w:fill="auto" w:val="clear"/>
        </w:rPr>
      </w:pPr>
      <w:r>
        <w:rPr>
          <w:bCs/>
          <w:shd w:fill="auto" w:val="clear"/>
          <w:lang w:bidi="ru-RU"/>
        </w:rPr>
        <w:t xml:space="preserve">На этапе приема заявок любое заинтересованное лицо вправе не позднее 10 календарных дней до окончания срока подачи заявок направить Организатору аукциона запрос о разъяснениях положений извещения о проведении аукциона посредством функционала электронной площадки. Запросы о разъяснении положений извещения, полученные после вышеуказанного срока, </w:t>
        <w:br/>
        <w:t>не рассматриваются.</w:t>
      </w:r>
    </w:p>
    <w:p>
      <w:pPr>
        <w:pStyle w:val="ListParagraph"/>
        <w:widowControl w:val="false"/>
        <w:ind w:firstLine="567" w:left="-567"/>
        <w:jc w:val="both"/>
        <w:rPr>
          <w:highlight w:val="none"/>
          <w:shd w:fill="auto" w:val="clear"/>
        </w:rPr>
      </w:pPr>
      <w:r>
        <w:rPr>
          <w:bCs/>
          <w:shd w:fill="auto" w:val="clear"/>
          <w:lang w:bidi="ru-RU"/>
        </w:rPr>
        <w:t xml:space="preserve">Ответ на запрос о разъяснении положений извещения должен быть подготовлен в течение трех рабочих дней со дня поступления указанного запроса.  </w:t>
      </w:r>
    </w:p>
    <w:p>
      <w:pPr>
        <w:pStyle w:val="Normal"/>
        <w:widowControl w:val="false"/>
        <w:spacing w:lineRule="auto" w:line="276"/>
        <w:ind w:firstLine="709" w:left="-567"/>
        <w:jc w:val="both"/>
        <w:rPr>
          <w:bCs/>
          <w:highlight w:val="none"/>
          <w:shd w:fill="auto" w:val="clear"/>
          <w:lang w:bidi="ru-RU"/>
        </w:rPr>
      </w:pPr>
      <w:r>
        <w:rPr>
          <w:bCs/>
          <w:shd w:fill="auto" w:val="clear"/>
          <w:lang w:bidi="ru-RU"/>
        </w:rPr>
      </w:r>
    </w:p>
    <w:p>
      <w:pPr>
        <w:pStyle w:val="Normal"/>
        <w:numPr>
          <w:ilvl w:val="0"/>
          <w:numId w:val="0"/>
        </w:numPr>
        <w:tabs>
          <w:tab w:val="clear" w:pos="708"/>
          <w:tab w:val="center" w:pos="5076" w:leader="none"/>
        </w:tabs>
        <w:ind w:hanging="0" w:left="0"/>
        <w:jc w:val="center"/>
        <w:outlineLvl w:val="0"/>
        <w:rPr>
          <w:highlight w:val="none"/>
          <w:shd w:fill="auto" w:val="clear"/>
        </w:rPr>
      </w:pPr>
      <w:r>
        <w:rPr>
          <w:b/>
          <w:bCs/>
          <w:shd w:fill="auto" w:val="clear"/>
        </w:rPr>
        <w:t>Требования к содержанию и составу заявки на участие в аукционе</w:t>
      </w:r>
    </w:p>
    <w:p>
      <w:pPr>
        <w:pStyle w:val="Normal"/>
        <w:numPr>
          <w:ilvl w:val="0"/>
          <w:numId w:val="0"/>
        </w:numPr>
        <w:tabs>
          <w:tab w:val="clear" w:pos="708"/>
          <w:tab w:val="center" w:pos="5076" w:leader="none"/>
        </w:tabs>
        <w:ind w:hanging="0" w:left="0"/>
        <w:jc w:val="center"/>
        <w:outlineLvl w:val="0"/>
        <w:rPr>
          <w:b/>
          <w:bCs/>
          <w:highlight w:val="none"/>
          <w:shd w:fill="auto" w:val="clear"/>
        </w:rPr>
      </w:pPr>
      <w:r>
        <w:rPr>
          <w:b/>
          <w:bCs/>
          <w:shd w:fill="auto" w:val="clear"/>
        </w:rPr>
      </w:r>
    </w:p>
    <w:p>
      <w:pPr>
        <w:pStyle w:val="Normal"/>
        <w:widowControl w:val="false"/>
        <w:ind w:firstLine="567" w:left="-567"/>
        <w:jc w:val="both"/>
        <w:rPr>
          <w:highlight w:val="none"/>
          <w:shd w:fill="auto" w:val="clear"/>
        </w:rPr>
      </w:pPr>
      <w:r>
        <w:rPr>
          <w:rFonts w:eastAsia="Courier New"/>
          <w:shd w:fill="auto" w:val="clear"/>
          <w:lang w:bidi="ru-RU"/>
        </w:rPr>
        <w:t xml:space="preserve">Для участия в аукционе заявители представляют в установленный в извещении </w:t>
      </w:r>
      <w:r>
        <w:rPr>
          <w:rFonts w:eastAsia="Courier New"/>
          <w:shd w:fill="auto" w:val="clear"/>
          <w:lang w:bidi="ru-RU"/>
        </w:rPr>
        <w:br w:type="textWrapping" w:clear="all"/>
      </w:r>
      <w:r>
        <w:rPr>
          <w:rFonts w:eastAsia="Courier New"/>
          <w:shd w:fill="auto" w:val="clear"/>
          <w:lang w:bidi="ru-RU"/>
        </w:rPr>
        <w:t>о проведении аукциона срок следующие документы:</w:t>
      </w:r>
    </w:p>
    <w:p>
      <w:pPr>
        <w:pStyle w:val="Normal"/>
        <w:jc w:val="both"/>
        <w:rPr>
          <w:highlight w:val="none"/>
          <w:shd w:fill="auto" w:val="clear"/>
        </w:rPr>
      </w:pPr>
      <w:r>
        <w:rPr>
          <w:rFonts w:eastAsia="Calibri"/>
          <w:shd w:fill="auto" w:val="clear"/>
        </w:rPr>
        <w:t>1) копии документов, удостоверяющих личность заявителя (для граждан), всех страниц;</w:t>
      </w:r>
    </w:p>
    <w:p>
      <w:pPr>
        <w:pStyle w:val="Normal"/>
        <w:ind w:firstLine="567" w:left="-567"/>
        <w:jc w:val="both"/>
        <w:rPr>
          <w:highlight w:val="none"/>
          <w:shd w:fill="auto" w:val="clear"/>
        </w:rPr>
      </w:pPr>
      <w:r>
        <w:rPr>
          <w:rFonts w:eastAsia="Calibri"/>
          <w:shd w:fill="auto" w:val="clear"/>
        </w:rPr>
        <w:t xml:space="preserve">2) надлежащим образом заверенный перевод на русский язык документов </w:t>
      </w:r>
      <w:r>
        <w:rPr>
          <w:rFonts w:eastAsia="Calibri"/>
          <w:shd w:fill="auto" w:val="clear"/>
        </w:rPr>
        <w:br w:type="textWrapping" w:clear="all"/>
      </w:r>
      <w:r>
        <w:rPr>
          <w:rFonts w:eastAsia="Calibri"/>
          <w:shd w:fill="auto" w:val="clear"/>
        </w:rPr>
        <w:t>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pPr>
        <w:pStyle w:val="Normal"/>
        <w:jc w:val="both"/>
        <w:rPr>
          <w:highlight w:val="none"/>
          <w:shd w:fill="auto" w:val="clear"/>
        </w:rPr>
      </w:pPr>
      <w:r>
        <w:rPr>
          <w:rFonts w:eastAsia="Calibri"/>
          <w:shd w:fill="auto" w:val="clear"/>
        </w:rPr>
        <w:t>3) документы, подтверждающие внесение задатка.</w:t>
      </w:r>
    </w:p>
    <w:p>
      <w:pPr>
        <w:pStyle w:val="Normal"/>
        <w:jc w:val="both"/>
        <w:rPr>
          <w:rFonts w:eastAsia="Calibri"/>
          <w:highlight w:val="none"/>
          <w:shd w:fill="auto" w:val="clear"/>
        </w:rPr>
      </w:pPr>
      <w:r>
        <w:rPr>
          <w:rFonts w:eastAsia="Calibri"/>
          <w:shd w:fill="auto" w:val="clear"/>
        </w:rPr>
      </w:r>
    </w:p>
    <w:p>
      <w:pPr>
        <w:pStyle w:val="Normal"/>
        <w:ind w:firstLine="708"/>
        <w:jc w:val="center"/>
        <w:rPr>
          <w:highlight w:val="none"/>
          <w:shd w:fill="auto" w:val="clear"/>
        </w:rPr>
      </w:pPr>
      <w:r>
        <w:rPr>
          <w:b/>
          <w:shd w:fill="auto" w:val="clear"/>
        </w:rPr>
        <w:t>Инструкция по заполнению и подаче заявки, порядок приема заявки</w:t>
      </w:r>
    </w:p>
    <w:p>
      <w:pPr>
        <w:pStyle w:val="Normal"/>
        <w:ind w:firstLine="708"/>
        <w:jc w:val="center"/>
        <w:rPr>
          <w:b/>
          <w:highlight w:val="none"/>
          <w:shd w:fill="auto" w:val="clear"/>
        </w:rPr>
      </w:pPr>
      <w:r>
        <w:rPr>
          <w:b/>
          <w:shd w:fill="auto" w:val="clear"/>
        </w:rPr>
      </w:r>
    </w:p>
    <w:p>
      <w:pPr>
        <w:pStyle w:val="Normal"/>
        <w:ind w:firstLine="567" w:left="-567"/>
        <w:jc w:val="both"/>
        <w:rPr>
          <w:highlight w:val="none"/>
          <w:shd w:fill="auto" w:val="clear"/>
        </w:rPr>
      </w:pPr>
      <w:r>
        <w:rPr>
          <w:shd w:fill="auto" w:val="clear"/>
        </w:rPr>
        <w:t xml:space="preserve">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 указанных в подпунктах 2 - 4 пункта 1, пункте 1.1 статьи 39.12 Земельного кодекса Российской Федерации (копии </w:t>
      </w:r>
      <w:r>
        <w:rPr>
          <w:b w:val="false"/>
          <w:shd w:fill="auto" w:val="clear"/>
        </w:rPr>
        <w:t xml:space="preserve">документов, удостоверяющих личность заявителя (для граждан); </w:t>
      </w:r>
      <w:r>
        <w:rPr>
          <w:b w:val="false"/>
        </w:rPr>
        <w:t xml:space="preserve">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 документы, подтверждающие внесение задатка). </w:t>
      </w:r>
    </w:p>
    <w:p>
      <w:pPr>
        <w:pStyle w:val="Normal"/>
        <w:ind w:firstLine="567" w:left="-567"/>
        <w:jc w:val="both"/>
        <w:rPr>
          <w:highlight w:val="none"/>
          <w:shd w:fill="auto" w:val="clear"/>
        </w:rPr>
      </w:pPr>
      <w:r>
        <w:rPr>
          <w:shd w:fill="auto" w:val="clear"/>
        </w:rPr>
        <w:t>Заявка на участие в электронном аукционе, а также прилагаемые к ней документы подписываются усиленной квалифицированной электронной подписью заявителя.</w:t>
      </w:r>
    </w:p>
    <w:p>
      <w:pPr>
        <w:pStyle w:val="Normal"/>
        <w:ind w:firstLine="567" w:left="-567"/>
        <w:jc w:val="both"/>
        <w:rPr>
          <w:highlight w:val="none"/>
        </w:rPr>
      </w:pPr>
      <w:r>
        <w:rPr>
          <w:sz w:val="24"/>
          <w:szCs w:val="24"/>
        </w:rPr>
        <w:t>На каждый лот представляется отдельный пакет документов.</w:t>
      </w:r>
    </w:p>
    <w:p>
      <w:pPr>
        <w:pStyle w:val="Normal"/>
        <w:ind w:firstLine="567" w:left="-567"/>
        <w:jc w:val="both"/>
        <w:rPr>
          <w:highlight w:val="none"/>
          <w:shd w:fill="auto" w:val="clear"/>
        </w:rPr>
      </w:pPr>
      <w:r>
        <w:rPr>
          <w:shd w:fill="auto" w:val="clear"/>
        </w:rPr>
        <w:t>Заполнение заявки осуществляется в соответствии с порядком, определенным регламентом электронной площадки АО «Сбербанк-АСТ».</w:t>
      </w:r>
    </w:p>
    <w:p>
      <w:pPr>
        <w:pStyle w:val="Normal"/>
        <w:ind w:firstLine="567" w:left="-567"/>
        <w:jc w:val="both"/>
        <w:rPr>
          <w:highlight w:val="none"/>
          <w:shd w:fill="auto" w:val="clear"/>
        </w:rPr>
      </w:pPr>
      <w:r>
        <w:rPr>
          <w:shd w:fill="auto" w:val="clear"/>
        </w:rPr>
        <w:t>Все документы и сведения, связанные с получением регистрации на универсальной торговой платформе и проведением закупок/продаж, направляются заявителями, пользователями, оператором электронной площадки либо размещаются ими на универсальной торговой платформе в форме электронных документов (п. 10.1.1. Регламента Универсальной торговой платформы).</w:t>
      </w:r>
    </w:p>
    <w:p>
      <w:pPr>
        <w:pStyle w:val="Normal"/>
        <w:ind w:firstLine="567" w:left="-567"/>
        <w:jc w:val="both"/>
        <w:rPr>
          <w:highlight w:val="none"/>
          <w:shd w:fill="auto" w:val="clear"/>
        </w:rPr>
      </w:pPr>
      <w:r>
        <w:rPr>
          <w:shd w:fill="auto" w:val="clear"/>
        </w:rPr>
        <w:t>Пользователи принимают, что в случае наличия требований к формату и содержанию электронного документа, в системе используются электронные документы установленного формата (п. 10.2.3.</w:t>
      </w:r>
      <w:r>
        <w:rPr>
          <w:rFonts w:eastAsia="Droid Sans Fallback" w:cs="Lohit Devanagari"/>
          <w:color w:val="000000"/>
          <w:sz w:val="24"/>
          <w:szCs w:val="24"/>
          <w:shd w:fill="auto" w:val="clear"/>
          <w:lang w:val="ru-RU" w:eastAsia="zh-CN" w:bidi="ar-SA"/>
        </w:rPr>
        <w:t xml:space="preserve"> Регламента Универсальной торговой платформы).</w:t>
      </w:r>
    </w:p>
    <w:p>
      <w:pPr>
        <w:pStyle w:val="Normal"/>
        <w:ind w:firstLine="567" w:left="-567"/>
        <w:jc w:val="both"/>
        <w:rPr>
          <w:highlight w:val="none"/>
          <w:shd w:fill="auto" w:val="clear"/>
        </w:rPr>
      </w:pPr>
      <w:r>
        <w:rPr>
          <w:rFonts w:eastAsia="Droid Sans Fallback" w:cs="Lohit Devanagari"/>
          <w:color w:val="000000"/>
          <w:sz w:val="24"/>
          <w:szCs w:val="24"/>
          <w:shd w:fill="auto" w:val="clear"/>
          <w:lang w:val="ru-RU" w:eastAsia="zh-CN" w:bidi="ar-SA"/>
        </w:rPr>
        <w:t>Заявка подается в виде электронного документа, подписанного электронной подписью заявителя (п. 3.2.2. Регламента торговой секции).</w:t>
      </w:r>
    </w:p>
    <w:p>
      <w:pPr>
        <w:pStyle w:val="Normal"/>
        <w:ind w:firstLine="567" w:left="-567"/>
        <w:jc w:val="both"/>
        <w:rPr>
          <w:highlight w:val="none"/>
          <w:shd w:fill="auto" w:val="clear"/>
        </w:rPr>
      </w:pPr>
      <w:r>
        <w:rPr>
          <w:rFonts w:eastAsia="Droid Sans Fallback" w:cs="Lohit Devanagari"/>
          <w:color w:val="000000"/>
          <w:sz w:val="24"/>
          <w:szCs w:val="24"/>
          <w:shd w:fill="auto" w:val="clear"/>
          <w:lang w:val="ru-RU" w:eastAsia="zh-CN" w:bidi="ar-SA"/>
        </w:rPr>
        <w:t>Заявитель заполняет электронную форму заявки, при</w:t>
      </w:r>
      <w:r>
        <w:rPr>
          <w:shd w:fill="auto" w:val="clear"/>
        </w:rPr>
        <w:t xml:space="preserve">кладывает предусмотренные извещением </w:t>
        <w:br/>
        <w:t xml:space="preserve">о проведении аукциона файлы документов (при необходимости). Документы и сведения </w:t>
        <w:br/>
        <w:t xml:space="preserve">из регистрационных данных заявителя на универсальной торговой платформе, актуальные на дату </w:t>
        <w:br/>
        <w:t>и время окончания приема заявок, направляются оператором электронной площадки вместе с заявкой организатору аукциона после окончания приема заявок (п. 3.2.3. Регламента торговой секции).</w:t>
      </w:r>
    </w:p>
    <w:p>
      <w:pPr>
        <w:pStyle w:val="Normal"/>
        <w:ind w:firstLine="567" w:left="-567"/>
        <w:jc w:val="both"/>
        <w:rPr>
          <w:highlight w:val="none"/>
          <w:shd w:fill="auto" w:val="clear"/>
        </w:rPr>
      </w:pPr>
      <w:r>
        <w:rPr>
          <w:shd w:fill="auto" w:val="clear"/>
        </w:rPr>
        <w:t xml:space="preserve">Подача заявки осуществляется заявителем, зарегистрированным в торговой секции, </w:t>
      </w:r>
      <w:r>
        <w:rPr>
          <w:shd w:fill="auto" w:val="clear"/>
        </w:rPr>
        <w:br w:type="textWrapping" w:clear="all"/>
      </w:r>
      <w:r>
        <w:rPr>
          <w:shd w:fill="auto" w:val="clear"/>
        </w:rPr>
        <w:t>из личного кабинета посредством штатного интерфейса отдельно по каждому лоту в сроки, установленные в извещении о проведении аукциона.</w:t>
      </w:r>
    </w:p>
    <w:p>
      <w:pPr>
        <w:pStyle w:val="Normal"/>
        <w:ind w:firstLine="567" w:left="-567"/>
        <w:jc w:val="both"/>
        <w:rPr>
          <w:highlight w:val="none"/>
          <w:shd w:fill="auto" w:val="clear"/>
        </w:rPr>
      </w:pPr>
      <w:r>
        <w:rPr>
          <w:shd w:fill="auto" w:val="clear"/>
        </w:rPr>
        <w:t xml:space="preserve">Заявитель вправе подать заявку в любое время с момента размещения извещения </w:t>
      </w:r>
      <w:r>
        <w:rPr>
          <w:shd w:fill="auto" w:val="clear"/>
        </w:rPr>
        <w:br w:type="textWrapping" w:clear="all"/>
      </w:r>
      <w:r>
        <w:rPr>
          <w:shd w:fill="auto" w:val="clear"/>
        </w:rPr>
        <w:t>о проведении аукциона до предусмотренных указанным извещением даты и времени окончания срока подачи заявок.</w:t>
      </w:r>
    </w:p>
    <w:p>
      <w:pPr>
        <w:pStyle w:val="Normal"/>
        <w:ind w:firstLine="567" w:left="-567"/>
        <w:jc w:val="both"/>
        <w:rPr>
          <w:highlight w:val="none"/>
          <w:shd w:fill="auto" w:val="clear"/>
        </w:rPr>
      </w:pPr>
      <w:r>
        <w:rPr>
          <w:shd w:fill="auto" w:val="clear"/>
        </w:rPr>
        <w:t>Один заявитель вправе подать только одну заявку на участие в аукционе в отношении каждого лота.</w:t>
      </w:r>
    </w:p>
    <w:p>
      <w:pPr>
        <w:pStyle w:val="Normal"/>
        <w:ind w:firstLine="567" w:left="-567"/>
        <w:jc w:val="both"/>
        <w:rPr>
          <w:highlight w:val="none"/>
          <w:shd w:fill="auto" w:val="clear"/>
        </w:rPr>
      </w:pPr>
      <w:r>
        <w:rPr>
          <w:shd w:fill="auto" w:val="clear"/>
        </w:rPr>
        <w:t>Заявка на участие в аукционе, поступившая по истечении срока приема заявок, возвращается заявителю в день ее поступления.</w:t>
      </w:r>
    </w:p>
    <w:p>
      <w:pPr>
        <w:pStyle w:val="Normal"/>
        <w:ind w:firstLine="567" w:left="-567"/>
        <w:jc w:val="both"/>
        <w:rPr>
          <w:highlight w:val="none"/>
          <w:shd w:fill="auto" w:val="clear"/>
        </w:rPr>
      </w:pPr>
      <w:r>
        <w:rPr>
          <w:shd w:fill="auto" w:val="clear"/>
        </w:rPr>
        <w:t xml:space="preserve">Участие в аукционе возможно при наличии на лицевом счете заявителя денежных средств </w:t>
      </w:r>
      <w:r>
        <w:rPr>
          <w:shd w:fill="auto" w:val="clear"/>
        </w:rPr>
        <w:br w:type="textWrapping" w:clear="all"/>
      </w:r>
      <w:r>
        <w:rPr>
          <w:shd w:fill="auto" w:val="clear"/>
        </w:rPr>
        <w:t xml:space="preserve">в размере не менее чем размер задатка на участие в аукционе, предусмотренный извещением </w:t>
      </w:r>
      <w:r>
        <w:rPr>
          <w:shd w:fill="auto" w:val="clear"/>
        </w:rPr>
        <w:br w:type="textWrapping" w:clear="all"/>
      </w:r>
      <w:r>
        <w:rPr>
          <w:shd w:fill="auto" w:val="clear"/>
        </w:rPr>
        <w:t>о проведении аукциона.</w:t>
      </w:r>
    </w:p>
    <w:p>
      <w:pPr>
        <w:pStyle w:val="Normal"/>
        <w:ind w:firstLine="567" w:left="-567"/>
        <w:jc w:val="both"/>
        <w:rPr>
          <w:highlight w:val="none"/>
          <w:shd w:fill="auto" w:val="clear"/>
        </w:rPr>
      </w:pPr>
      <w:r>
        <w:rPr>
          <w:shd w:fill="auto" w:val="clear"/>
        </w:rPr>
        <w:t>Все документы, входящие в состав заявки, должны иметь четко читаемый текст.</w:t>
      </w:r>
    </w:p>
    <w:p>
      <w:pPr>
        <w:pStyle w:val="Normal"/>
        <w:ind w:firstLine="567" w:left="-567"/>
        <w:jc w:val="both"/>
        <w:rPr>
          <w:highlight w:val="none"/>
          <w:shd w:fill="auto" w:val="clear"/>
        </w:rPr>
      </w:pPr>
      <w:r>
        <w:rPr>
          <w:shd w:fill="auto" w:val="clear"/>
        </w:rPr>
        <w:t>Заявка предоставляется организатору аукциона через Оператора.</w:t>
      </w:r>
    </w:p>
    <w:p>
      <w:pPr>
        <w:pStyle w:val="Normal"/>
        <w:numPr>
          <w:ilvl w:val="0"/>
          <w:numId w:val="0"/>
        </w:numPr>
        <w:tabs>
          <w:tab w:val="clear" w:pos="708"/>
          <w:tab w:val="center" w:pos="5076" w:leader="none"/>
        </w:tabs>
        <w:ind w:hanging="0" w:left="0"/>
        <w:jc w:val="both"/>
        <w:outlineLvl w:val="0"/>
        <w:rPr>
          <w:highlight w:val="none"/>
          <w:shd w:fill="auto" w:val="clear"/>
        </w:rPr>
      </w:pPr>
      <w:r>
        <w:rPr>
          <w:bCs/>
          <w:shd w:fill="auto" w:val="clear"/>
        </w:rPr>
        <w:t>Заявка не может быть принята Оператором в случае:</w:t>
      </w:r>
    </w:p>
    <w:p>
      <w:pPr>
        <w:pStyle w:val="Normal"/>
        <w:numPr>
          <w:ilvl w:val="0"/>
          <w:numId w:val="0"/>
        </w:numPr>
        <w:tabs>
          <w:tab w:val="clear" w:pos="708"/>
          <w:tab w:val="center" w:pos="5076" w:leader="none"/>
        </w:tabs>
        <w:ind w:firstLine="567" w:left="-567"/>
        <w:jc w:val="both"/>
        <w:outlineLvl w:val="0"/>
        <w:rPr>
          <w:highlight w:val="none"/>
          <w:shd w:fill="auto" w:val="clear"/>
        </w:rPr>
      </w:pPr>
      <w:r>
        <w:rPr>
          <w:bCs/>
          <w:shd w:fill="auto" w:val="clear"/>
        </w:rPr>
        <w:t xml:space="preserve">а) отсутствия на лицевом счете заявителя достаточной суммы денежных средств </w:t>
      </w:r>
      <w:r>
        <w:rPr>
          <w:bCs/>
          <w:shd w:fill="auto" w:val="clear"/>
        </w:rPr>
        <w:br w:type="textWrapping" w:clear="all"/>
      </w:r>
      <w:r>
        <w:rPr>
          <w:bCs/>
          <w:shd w:fill="auto" w:val="clear"/>
        </w:rPr>
        <w:t>в размере задатка;</w:t>
      </w:r>
    </w:p>
    <w:p>
      <w:pPr>
        <w:pStyle w:val="Normal"/>
        <w:numPr>
          <w:ilvl w:val="0"/>
          <w:numId w:val="0"/>
        </w:numPr>
        <w:tabs>
          <w:tab w:val="clear" w:pos="708"/>
          <w:tab w:val="center" w:pos="5076" w:leader="none"/>
        </w:tabs>
        <w:ind w:firstLine="567" w:left="-567"/>
        <w:jc w:val="both"/>
        <w:outlineLvl w:val="0"/>
        <w:rPr>
          <w:highlight w:val="none"/>
          <w:shd w:fill="auto" w:val="clear"/>
        </w:rPr>
      </w:pPr>
      <w:r>
        <w:rPr>
          <w:bCs/>
          <w:shd w:fill="auto" w:val="clear"/>
        </w:rPr>
        <w:t>б) подачи заявителем второй заявки на участие в отношении одного и того же лота при условии, что поданная ранее заявка таким заявителем не отозвана;</w:t>
      </w:r>
    </w:p>
    <w:p>
      <w:pPr>
        <w:pStyle w:val="Normal"/>
        <w:numPr>
          <w:ilvl w:val="0"/>
          <w:numId w:val="0"/>
        </w:numPr>
        <w:tabs>
          <w:tab w:val="clear" w:pos="708"/>
          <w:tab w:val="center" w:pos="5076" w:leader="none"/>
        </w:tabs>
        <w:ind w:hanging="0" w:left="0"/>
        <w:jc w:val="both"/>
        <w:outlineLvl w:val="0"/>
        <w:rPr>
          <w:highlight w:val="none"/>
          <w:shd w:fill="auto" w:val="clear"/>
        </w:rPr>
      </w:pPr>
      <w:r>
        <w:rPr>
          <w:bCs/>
          <w:shd w:fill="auto" w:val="clear"/>
        </w:rPr>
        <w:t>в) подачи заявки по истечении установленного срока подачи заявок;</w:t>
      </w:r>
    </w:p>
    <w:p>
      <w:pPr>
        <w:pStyle w:val="Normal"/>
        <w:numPr>
          <w:ilvl w:val="0"/>
          <w:numId w:val="0"/>
        </w:numPr>
        <w:tabs>
          <w:tab w:val="clear" w:pos="708"/>
          <w:tab w:val="center" w:pos="5076" w:leader="none"/>
        </w:tabs>
        <w:ind w:firstLine="567" w:left="-567"/>
        <w:jc w:val="both"/>
        <w:outlineLvl w:val="0"/>
        <w:rPr>
          <w:highlight w:val="none"/>
          <w:shd w:fill="auto" w:val="clear"/>
        </w:rPr>
      </w:pPr>
      <w:r>
        <w:rPr>
          <w:bCs/>
          <w:shd w:fill="auto" w:val="clear"/>
        </w:rPr>
        <w:t>г) некорректного заполнения формы заявки, в том числе незаполнения полей, являющихся обязательными для заполнения.</w:t>
      </w:r>
    </w:p>
    <w:p>
      <w:pPr>
        <w:pStyle w:val="Normal"/>
        <w:numPr>
          <w:ilvl w:val="0"/>
          <w:numId w:val="0"/>
        </w:numPr>
        <w:tabs>
          <w:tab w:val="clear" w:pos="708"/>
          <w:tab w:val="center" w:pos="284" w:leader="none"/>
        </w:tabs>
        <w:ind w:firstLine="567" w:left="-567"/>
        <w:jc w:val="both"/>
        <w:outlineLvl w:val="0"/>
        <w:rPr>
          <w:highlight w:val="none"/>
          <w:shd w:fill="auto" w:val="clear"/>
        </w:rPr>
      </w:pPr>
      <w:r>
        <w:rPr>
          <w:bCs/>
          <w:shd w:fill="auto" w:val="clear"/>
        </w:rPr>
        <w:t xml:space="preserve">Заявителям, признанным участниками аукциона, и заявителям, не допущенным к участию </w:t>
        <w:br/>
        <w:t xml:space="preserve">в аукционе, оператор электронной площадки направляет в электронной форме уведомления </w:t>
        <w:br/>
        <w:t xml:space="preserve">о принятых в отношении их решениях не позднее дня, следующего после дня подписания протокола рассмотрения заявок на участие в аукционе. </w:t>
      </w:r>
    </w:p>
    <w:p>
      <w:pPr>
        <w:pStyle w:val="Normal"/>
        <w:numPr>
          <w:ilvl w:val="0"/>
          <w:numId w:val="0"/>
        </w:numPr>
        <w:tabs>
          <w:tab w:val="clear" w:pos="708"/>
          <w:tab w:val="center" w:pos="284" w:leader="none"/>
        </w:tabs>
        <w:spacing w:lineRule="auto" w:line="276"/>
        <w:ind w:firstLine="567" w:left="-567"/>
        <w:jc w:val="both"/>
        <w:outlineLvl w:val="0"/>
        <w:rPr>
          <w:bCs/>
          <w:highlight w:val="none"/>
          <w:shd w:fill="auto" w:val="clear"/>
        </w:rPr>
      </w:pPr>
      <w:r>
        <w:rPr>
          <w:bCs/>
          <w:shd w:fill="auto" w:val="clear"/>
        </w:rPr>
      </w:r>
    </w:p>
    <w:p>
      <w:pPr>
        <w:pStyle w:val="Normal"/>
        <w:widowControl w:val="false"/>
        <w:ind w:left="502"/>
        <w:jc w:val="center"/>
        <w:rPr>
          <w:highlight w:val="none"/>
          <w:shd w:fill="auto" w:val="clear"/>
        </w:rPr>
      </w:pPr>
      <w:r>
        <w:rPr>
          <w:b/>
          <w:bCs/>
          <w:shd w:fill="auto" w:val="clear"/>
          <w:lang w:bidi="ru-RU"/>
        </w:rPr>
        <w:t>Порядок и срок изменения, отзыва заявки на участие в аукционе</w:t>
      </w:r>
    </w:p>
    <w:p>
      <w:pPr>
        <w:pStyle w:val="Normal"/>
        <w:widowControl w:val="false"/>
        <w:ind w:left="502"/>
        <w:rPr>
          <w:b/>
          <w:bCs/>
          <w:highlight w:val="none"/>
          <w:shd w:fill="auto" w:val="clear"/>
          <w:lang w:bidi="ru-RU"/>
        </w:rPr>
      </w:pPr>
      <w:r>
        <w:rPr>
          <w:b/>
          <w:bCs/>
          <w:shd w:fill="auto" w:val="clear"/>
          <w:lang w:bidi="ru-RU"/>
        </w:rPr>
      </w:r>
    </w:p>
    <w:p>
      <w:pPr>
        <w:pStyle w:val="Normal"/>
        <w:widowControl w:val="false"/>
        <w:ind w:firstLine="567" w:left="-567"/>
        <w:jc w:val="both"/>
        <w:rPr>
          <w:highlight w:val="none"/>
          <w:shd w:fill="auto" w:val="clear"/>
        </w:rPr>
      </w:pPr>
      <w:r>
        <w:rPr>
          <w:shd w:fill="auto" w:val="clear"/>
        </w:rPr>
        <w:t xml:space="preserve">Заявитель имеет право отозвать принятую организатором аукциона заявку на участие </w:t>
      </w:r>
      <w:r>
        <w:rPr>
          <w:shd w:fill="auto" w:val="clear"/>
        </w:rPr>
        <w:br w:type="textWrapping" w:clear="all"/>
      </w:r>
      <w:r>
        <w:rPr>
          <w:shd w:fill="auto" w:val="clear"/>
        </w:rPr>
        <w:t xml:space="preserve">в аукционе до дня окончания срока приема заявок, путем направления уведомления об отзыве заявки на электронную площадку. В случае отзыва заявки в установленном порядке, уведомление об отзыве заявки поступает в «личный кабинет» организатора аукциона, о чем заявителю направляется соответствующее уведомление. Заявителю внесенный им задаток возвращается в течение трех рабочих дней со дня поступления уведомления об отзыве заявки. В случае отзыва заявки заявителем позднее дня окончания срока приема заявок задаток возвращается в порядке, установленном для участников аукциона. </w:t>
      </w:r>
    </w:p>
    <w:p>
      <w:pPr>
        <w:pStyle w:val="Normal"/>
        <w:jc w:val="center"/>
        <w:rPr>
          <w:highlight w:val="none"/>
          <w:shd w:fill="auto" w:val="clear"/>
        </w:rPr>
      </w:pPr>
      <w:r>
        <w:rPr>
          <w:b/>
          <w:bCs/>
          <w:shd w:fill="auto" w:val="clear"/>
        </w:rPr>
        <w:t>Определение участников аукциона</w:t>
      </w:r>
    </w:p>
    <w:p>
      <w:pPr>
        <w:pStyle w:val="Normal"/>
        <w:jc w:val="center"/>
        <w:rPr>
          <w:b/>
          <w:bCs/>
          <w:highlight w:val="none"/>
          <w:shd w:fill="auto" w:val="clear"/>
        </w:rPr>
      </w:pPr>
      <w:r>
        <w:rPr>
          <w:b/>
          <w:bCs/>
          <w:shd w:fill="auto" w:val="clear"/>
        </w:rPr>
      </w:r>
    </w:p>
    <w:p>
      <w:pPr>
        <w:pStyle w:val="Normal"/>
        <w:ind w:firstLine="567" w:left="-567"/>
        <w:jc w:val="both"/>
        <w:rPr>
          <w:highlight w:val="none"/>
          <w:shd w:fill="auto" w:val="clear"/>
        </w:rPr>
      </w:pPr>
      <w:r>
        <w:rPr>
          <w:bCs/>
          <w:shd w:fill="auto" w:val="clear"/>
        </w:rPr>
        <w:t xml:space="preserve">По результатам рассмотрения заявок комиссия принимает решение о допуске заявителей </w:t>
      </w:r>
      <w:r>
        <w:rPr>
          <w:bCs/>
          <w:shd w:fill="auto" w:val="clear"/>
        </w:rPr>
        <w:br w:type="textWrapping" w:clear="all"/>
      </w:r>
      <w:r>
        <w:rPr>
          <w:bCs/>
          <w:shd w:fill="auto" w:val="clear"/>
        </w:rPr>
        <w:t>к участию в аукционе или об отказе в допуске к участию в аукционе.</w:t>
      </w:r>
    </w:p>
    <w:p>
      <w:pPr>
        <w:pStyle w:val="Normal"/>
        <w:jc w:val="both"/>
        <w:rPr>
          <w:highlight w:val="none"/>
          <w:shd w:fill="auto" w:val="clear"/>
        </w:rPr>
      </w:pPr>
      <w:r>
        <w:rPr>
          <w:shd w:fill="auto" w:val="clear"/>
        </w:rPr>
        <w:t>Заявитель не допускается к участию в аукционе в следующих случаях:</w:t>
      </w:r>
    </w:p>
    <w:p>
      <w:pPr>
        <w:pStyle w:val="Normal"/>
        <w:widowControl w:val="false"/>
        <w:ind w:firstLine="567" w:left="-567"/>
        <w:jc w:val="both"/>
        <w:rPr>
          <w:highlight w:val="none"/>
          <w:shd w:fill="auto" w:val="clear"/>
        </w:rPr>
      </w:pPr>
      <w:r>
        <w:rPr>
          <w:sz w:val="20"/>
          <w:shd w:fill="auto" w:val="clear"/>
        </w:rPr>
        <w:t xml:space="preserve">1) </w:t>
      </w:r>
      <w:r>
        <w:rPr>
          <w:shd w:fill="auto" w:val="clear"/>
        </w:rPr>
        <w:t>непредставление необходимых для участия в аукционе документов или представление недостоверных сведений;</w:t>
      </w:r>
    </w:p>
    <w:p>
      <w:pPr>
        <w:pStyle w:val="Normal"/>
        <w:widowControl w:val="false"/>
        <w:jc w:val="both"/>
        <w:rPr>
          <w:highlight w:val="none"/>
          <w:shd w:fill="auto" w:val="clear"/>
        </w:rPr>
      </w:pPr>
      <w:r>
        <w:rPr>
          <w:shd w:fill="auto" w:val="clear"/>
        </w:rPr>
        <w:t>2) непоступление задатка на дату рассмотрения заявок на участие в аукционе;</w:t>
      </w:r>
    </w:p>
    <w:p>
      <w:pPr>
        <w:pStyle w:val="Normal"/>
        <w:widowControl w:val="false"/>
        <w:ind w:firstLine="567" w:left="-567"/>
        <w:jc w:val="both"/>
        <w:rPr>
          <w:highlight w:val="none"/>
          <w:shd w:fill="auto" w:val="clear"/>
        </w:rPr>
      </w:pPr>
      <w:r>
        <w:rPr>
          <w:shd w:fill="auto" w:val="clear"/>
        </w:rPr>
        <w:t xml:space="preserve">3) подача заявки на участие в аукционе лицом, которое в соответствии с Земельным Кодексом Российской Федерации и другими федеральными законами не имеет права быть участником конкретного аукциона, покупателем земельного участка или приобрести земельный участок </w:t>
        <w:br/>
        <w:t>в аренду;</w:t>
      </w:r>
    </w:p>
    <w:p>
      <w:pPr>
        <w:pStyle w:val="Normal"/>
        <w:widowControl w:val="false"/>
        <w:ind w:firstLine="567" w:left="-567"/>
        <w:jc w:val="both"/>
        <w:rPr>
          <w:highlight w:val="none"/>
          <w:shd w:fill="auto" w:val="clear"/>
        </w:rPr>
      </w:pPr>
      <w:r>
        <w:rPr>
          <w:shd w:fill="auto" w:val="clear"/>
        </w:rPr>
        <w:t>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w:t>
      </w:r>
    </w:p>
    <w:p>
      <w:pPr>
        <w:pStyle w:val="Normal"/>
        <w:widowControl w:val="false"/>
        <w:ind w:firstLine="567" w:left="-567"/>
        <w:jc w:val="both"/>
        <w:rPr>
          <w:highlight w:val="none"/>
          <w:shd w:fill="auto" w:val="clear"/>
        </w:rPr>
      </w:pPr>
      <w:r>
        <w:rPr>
          <w:shd w:fill="auto" w:val="clear"/>
        </w:rPr>
        <w:t xml:space="preserve">В день признания заявителей участниками аукциона, указанный в извещении </w:t>
        <w:br/>
        <w:t>о проведении аукциона, оператор через «личный кабинет» организатора торгов обеспечивает доступ организатора торгов к поданным  заявителями заявкам и документам, а также к журналу приема заявок.</w:t>
      </w:r>
    </w:p>
    <w:p>
      <w:pPr>
        <w:pStyle w:val="Normal"/>
        <w:widowControl w:val="false"/>
        <w:ind w:firstLine="567" w:left="-567"/>
        <w:jc w:val="both"/>
        <w:rPr>
          <w:highlight w:val="none"/>
          <w:shd w:fill="auto" w:val="clear"/>
        </w:rPr>
      </w:pPr>
      <w:r>
        <w:rPr>
          <w:shd w:fill="auto" w:val="clear"/>
        </w:rPr>
        <w:t>Заявитель приобретает статус участника аукциона с момента подписания протокола рассмотрения заявок.</w:t>
      </w:r>
    </w:p>
    <w:p>
      <w:pPr>
        <w:pStyle w:val="Normal"/>
        <w:widowControl w:val="false"/>
        <w:ind w:firstLine="567" w:left="-567"/>
        <w:jc w:val="both"/>
        <w:rPr>
          <w:highlight w:val="none"/>
          <w:shd w:fill="auto" w:val="clear"/>
        </w:rPr>
      </w:pPr>
      <w:r>
        <w:rPr>
          <w:shd w:fill="auto" w:val="clear"/>
        </w:rPr>
        <w:t xml:space="preserve">Не позднее следующего рабочего дня после дня подписания протокола рассмотрения заявок, всем заявителям оператором электронной площадки направляется в личные кабинеты уведомления </w:t>
        <w:br/>
        <w:t xml:space="preserve">о признании их участниками аукциона или об отказе в признании участниками аукциона с указанием оснований отказа. </w:t>
      </w:r>
    </w:p>
    <w:p>
      <w:pPr>
        <w:pStyle w:val="BodyText"/>
        <w:widowControl w:val="false"/>
        <w:ind w:firstLine="567" w:left="-567"/>
        <w:jc w:val="both"/>
        <w:rPr>
          <w:highlight w:val="none"/>
          <w:shd w:fill="auto" w:val="clear"/>
        </w:rPr>
      </w:pPr>
      <w:r>
        <w:rPr>
          <w:rFonts w:eastAsia="Droid Sans Fallback" w:cs="Lohit Devanagari"/>
          <w:color w:val="000000"/>
          <w:sz w:val="24"/>
          <w:szCs w:val="24"/>
          <w:shd w:fill="auto" w:val="clear"/>
          <w:lang w:val="ru-RU" w:eastAsia="zh-CN" w:bidi="ar-SA"/>
        </w:rPr>
        <w:t xml:space="preserve">В случае, если по окончании срока подачи заявок на участие в аукционе не подано ни одной заявки на участие в аукционе, подана только одна заявка на участие в аукционе либо по результатам рассмотрения заявок на участие в аукционе принято решение об отказе в допуске к участию </w:t>
        <w:br/>
        <w:t xml:space="preserve">в аукционе всех заявителей или о допуске к участию в аукционе и признании участником аукциона только одного заявителя, аукцион признается несостоявшимся. При признании аукциона несостоявшимся в протокол рассмотрения заявок на участие в аукционе, включается информация </w:t>
        <w:br/>
        <w:t>об основании признания аукциона несостоявшимся и сведения, указанные в подпункте 4 пункта 15  ст. 39.12 З</w:t>
      </w:r>
      <w:r>
        <w:rPr>
          <w:rFonts w:eastAsia="Droid Sans Fallback" w:cs="Lohit Devanagari"/>
          <w:bCs/>
          <w:color w:val="000000"/>
          <w:sz w:val="24"/>
          <w:szCs w:val="24"/>
          <w:shd w:fill="auto" w:val="clear"/>
          <w:lang w:val="ru-RU" w:eastAsia="zh-CN" w:bidi="ar-SA"/>
        </w:rPr>
        <w:t>емельного кодекса Российской Федерации</w:t>
      </w:r>
      <w:r>
        <w:rPr>
          <w:rFonts w:eastAsia="Droid Sans Fallback" w:cs="Lohit Devanagari"/>
          <w:color w:val="000000"/>
          <w:sz w:val="24"/>
          <w:szCs w:val="24"/>
          <w:shd w:fill="auto" w:val="clear"/>
          <w:lang w:val="ru-RU" w:eastAsia="zh-CN" w:bidi="ar-SA"/>
        </w:rPr>
        <w:t>, в отношении лиц, указанных в пунктах 13 и 14 ст. 39.12 З</w:t>
      </w:r>
      <w:r>
        <w:rPr>
          <w:rFonts w:eastAsia="Droid Sans Fallback" w:cs="Lohit Devanagari"/>
          <w:bCs/>
          <w:color w:val="000000"/>
          <w:sz w:val="24"/>
          <w:szCs w:val="24"/>
          <w:shd w:fill="auto" w:val="clear"/>
          <w:lang w:val="ru-RU" w:eastAsia="zh-CN" w:bidi="ar-SA"/>
        </w:rPr>
        <w:t>емельного кодекса Российской Федерации.</w:t>
      </w:r>
    </w:p>
    <w:p>
      <w:pPr>
        <w:pStyle w:val="Normal"/>
        <w:widowControl w:val="false"/>
        <w:ind w:firstLine="567" w:left="-567"/>
        <w:jc w:val="both"/>
        <w:rPr>
          <w:rFonts w:ascii="Times New Roman" w:hAnsi="Times New Roman" w:eastAsia="Droid Sans Fallback" w:cs="Lohit Devanagari"/>
          <w:color w:val="auto"/>
          <w:sz w:val="24"/>
          <w:szCs w:val="24"/>
          <w:highlight w:val="none"/>
          <w:shd w:fill="auto" w:val="clear"/>
          <w:lang w:val="ru-RU" w:eastAsia="zh-CN" w:bidi="ar-SA"/>
        </w:rPr>
      </w:pPr>
      <w:r>
        <w:rPr>
          <w:rFonts w:eastAsia="Droid Sans Fallback" w:cs="Lohit Devanagari"/>
          <w:color w:val="000000"/>
          <w:sz w:val="24"/>
          <w:szCs w:val="24"/>
          <w:shd w:fill="auto" w:val="clear"/>
          <w:lang w:val="ru-RU" w:eastAsia="zh-CN" w:bidi="ar-SA"/>
        </w:rPr>
      </w:r>
    </w:p>
    <w:p>
      <w:pPr>
        <w:pStyle w:val="Normal"/>
        <w:jc w:val="center"/>
        <w:rPr>
          <w:b/>
          <w:bCs/>
          <w:highlight w:val="none"/>
          <w:shd w:fill="auto" w:val="clear"/>
        </w:rPr>
      </w:pPr>
      <w:r>
        <w:rPr>
          <w:b/>
          <w:bCs/>
          <w:shd w:fill="auto" w:val="clear"/>
        </w:rPr>
        <w:t>Порядок проведения аукциона</w:t>
      </w:r>
    </w:p>
    <w:p>
      <w:pPr>
        <w:pStyle w:val="Normal"/>
        <w:widowControl w:val="false"/>
        <w:ind w:left="502"/>
        <w:jc w:val="center"/>
        <w:rPr>
          <w:rFonts w:eastAsia="Courier New"/>
          <w:b/>
          <w:bCs/>
          <w:highlight w:val="none"/>
          <w:shd w:fill="auto" w:val="clear"/>
          <w:lang w:bidi="ru-RU"/>
        </w:rPr>
      </w:pPr>
      <w:r>
        <w:rPr>
          <w:rFonts w:eastAsia="Courier New"/>
          <w:b/>
          <w:bCs/>
          <w:shd w:fill="auto" w:val="clear"/>
          <w:lang w:bidi="ru-RU"/>
        </w:rPr>
      </w:r>
    </w:p>
    <w:p>
      <w:pPr>
        <w:pStyle w:val="Normal"/>
        <w:ind w:firstLine="567" w:left="-567"/>
        <w:jc w:val="both"/>
        <w:rPr>
          <w:highlight w:val="none"/>
          <w:shd w:fill="auto" w:val="clear"/>
        </w:rPr>
      </w:pPr>
      <w:r>
        <w:rPr>
          <w:rFonts w:eastAsia="Calibri"/>
          <w:shd w:fill="auto" w:val="clear"/>
        </w:rPr>
        <w:t>Торговая сессия проводится путем последовательного повышения участниками аукциона начальной цены аукциона на величину, равную величине «шага аукциона».</w:t>
      </w:r>
    </w:p>
    <w:p>
      <w:pPr>
        <w:pStyle w:val="Normal"/>
        <w:ind w:firstLine="567" w:left="-567"/>
        <w:jc w:val="both"/>
        <w:rPr>
          <w:highlight w:val="none"/>
          <w:shd w:fill="auto" w:val="clear"/>
        </w:rPr>
      </w:pPr>
      <w:r>
        <w:rPr>
          <w:rFonts w:eastAsia="Calibri"/>
          <w:shd w:fill="auto" w:val="clear"/>
        </w:rPr>
        <w:t xml:space="preserve">«Шаг аукциона» устанавливается Организатором аукциона в фиксированной сумме, составляющей </w:t>
      </w:r>
      <w:r>
        <w:rPr>
          <w:rFonts w:eastAsia="Droid Sans Fallback" w:cs="Lohit Devanagari"/>
          <w:bCs/>
          <w:color w:val="000000"/>
          <w:sz w:val="24"/>
          <w:szCs w:val="24"/>
          <w:shd w:fill="auto" w:val="clear"/>
          <w:lang w:val="ru-RU" w:eastAsia="zh-CN" w:bidi="ar-SA"/>
        </w:rPr>
        <w:t>5% от начальной цены предмета аукциона</w:t>
      </w:r>
      <w:r>
        <w:rPr>
          <w:rFonts w:eastAsia="Calibri"/>
          <w:shd w:fill="auto" w:val="clear"/>
        </w:rPr>
        <w:t>, и не изменяется в течение всего времени подачи предложений о цене.</w:t>
      </w:r>
    </w:p>
    <w:p>
      <w:pPr>
        <w:pStyle w:val="Normal"/>
        <w:ind w:firstLine="567" w:left="-567"/>
        <w:jc w:val="both"/>
        <w:rPr>
          <w:highlight w:val="none"/>
          <w:shd w:fill="auto" w:val="clear"/>
        </w:rPr>
      </w:pPr>
      <w:r>
        <w:rPr>
          <w:rFonts w:eastAsia="Calibri"/>
          <w:shd w:fill="auto" w:val="clear"/>
        </w:rPr>
        <w:t>В ходе проведения аукциона участники аукциона подают предложения о цене предмета аукциона в соответствии со следующими требованиями:</w:t>
      </w:r>
    </w:p>
    <w:p>
      <w:pPr>
        <w:pStyle w:val="Normal"/>
        <w:ind w:firstLine="567" w:left="-567"/>
        <w:jc w:val="both"/>
        <w:rPr>
          <w:highlight w:val="none"/>
          <w:shd w:fill="auto" w:val="clear"/>
        </w:rPr>
      </w:pPr>
      <w:r>
        <w:rPr>
          <w:rFonts w:eastAsia="Calibri"/>
          <w:shd w:fill="auto" w:val="clear"/>
        </w:rPr>
        <w:t xml:space="preserve">1) предложение о цене предмета аукциона увеличивает текущее максимальное предложение </w:t>
      </w:r>
      <w:r>
        <w:rPr>
          <w:rFonts w:eastAsia="Calibri"/>
          <w:shd w:fill="auto" w:val="clear"/>
        </w:rPr>
        <w:br w:type="textWrapping" w:clear="all"/>
      </w:r>
      <w:r>
        <w:rPr>
          <w:rFonts w:eastAsia="Calibri"/>
          <w:shd w:fill="auto" w:val="clear"/>
        </w:rPr>
        <w:t>о цене предмета аукциона на величину «шага аукциона»;</w:t>
      </w:r>
    </w:p>
    <w:p>
      <w:pPr>
        <w:pStyle w:val="Normal"/>
        <w:ind w:firstLine="567" w:left="-567"/>
        <w:jc w:val="both"/>
        <w:rPr>
          <w:highlight w:val="none"/>
          <w:shd w:fill="auto" w:val="clear"/>
        </w:rPr>
      </w:pPr>
      <w:r>
        <w:rPr>
          <w:rFonts w:eastAsia="Calibri"/>
          <w:shd w:fill="auto" w:val="clear"/>
        </w:rPr>
        <w:t>2) участник аукциона не вправе подать предложение о цене предмета аукциона в случае, если текущее максимальное предложение о цене предмета аукциона подано таким участником аукциона.</w:t>
      </w:r>
    </w:p>
    <w:p>
      <w:pPr>
        <w:pStyle w:val="Normal"/>
        <w:ind w:firstLine="567" w:left="-567"/>
        <w:jc w:val="both"/>
        <w:rPr>
          <w:highlight w:val="none"/>
          <w:shd w:fill="auto" w:val="clear"/>
        </w:rPr>
      </w:pPr>
      <w:r>
        <w:rPr>
          <w:rFonts w:eastAsia="Calibri"/>
          <w:shd w:fill="auto" w:val="clear"/>
        </w:rPr>
        <w:t>Время для подачи предложений о цене аукциона определяется в следующем порядке:</w:t>
      </w:r>
    </w:p>
    <w:p>
      <w:pPr>
        <w:pStyle w:val="Normal"/>
        <w:ind w:firstLine="567" w:left="-567"/>
        <w:jc w:val="both"/>
        <w:rPr>
          <w:highlight w:val="none"/>
          <w:shd w:fill="auto" w:val="clear"/>
        </w:rPr>
      </w:pPr>
      <w:r>
        <w:rPr>
          <w:rFonts w:eastAsia="Calibri"/>
          <w:shd w:fill="auto" w:val="clear"/>
        </w:rPr>
        <w:t xml:space="preserve">Время ожидания предложения участника аукциона о цене предмета аукциона составляет </w:t>
      </w:r>
      <w:r>
        <w:rPr>
          <w:rFonts w:eastAsia="Calibri"/>
          <w:shd w:fill="auto" w:val="clear"/>
        </w:rPr>
        <w:br w:type="textWrapping" w:clear="all"/>
      </w:r>
      <w:r>
        <w:rPr>
          <w:rFonts w:eastAsia="Calibri"/>
          <w:shd w:fill="auto" w:val="clear"/>
        </w:rPr>
        <w:t xml:space="preserve">10 (десять) минут. При поступлении предложения участника аукциона </w:t>
        <w:br/>
        <w:t>о повышении цены предмета аукциона время, оставшееся до истечения указанного срока, обновляется до десяти минут. Если в течение указанного времени ни одного предложения о более высокой цене предмета аукциона не поступило, аукцион завершается.</w:t>
      </w:r>
    </w:p>
    <w:p>
      <w:pPr>
        <w:pStyle w:val="Normal"/>
        <w:ind w:firstLine="567" w:left="-567"/>
        <w:jc w:val="both"/>
        <w:rPr>
          <w:highlight w:val="none"/>
          <w:shd w:fill="auto" w:val="clear"/>
        </w:rPr>
      </w:pPr>
      <w:r>
        <w:rPr>
          <w:rFonts w:eastAsia="Calibri"/>
          <w:shd w:fill="auto" w:val="clear"/>
        </w:rPr>
        <w:t>Срок для подачи предложений о цене обновляется автоматически после улучшения текущего предложения о цене. Время срока подачи предложений отсчитывается с момента подачи последнего (лучшего) предложения (или с начала подачи предложений о цене), отображается в закрытой части электронной площадки как расчетное время окончания торгов, а так же как время, оставшееся до окончания торгов в минутах.</w:t>
      </w:r>
    </w:p>
    <w:p>
      <w:pPr>
        <w:pStyle w:val="Normal"/>
        <w:ind w:firstLine="567" w:left="-567"/>
        <w:jc w:val="both"/>
        <w:rPr>
          <w:highlight w:val="none"/>
          <w:shd w:fill="auto" w:val="clear"/>
        </w:rPr>
      </w:pPr>
      <w:r>
        <w:rPr>
          <w:rFonts w:eastAsia="Calibri"/>
          <w:shd w:fill="auto" w:val="clear"/>
        </w:rPr>
        <w:t xml:space="preserve">В ходе проведения подачи предложений о цене аукциона Оператор программными средствами электронной площадки обеспечивает отклонение предложения о цене аукциона </w:t>
      </w:r>
      <w:r>
        <w:rPr>
          <w:rFonts w:eastAsia="Calibri"/>
          <w:shd w:fill="auto" w:val="clear"/>
        </w:rPr>
        <w:br w:type="textWrapping" w:clear="all"/>
      </w:r>
      <w:r>
        <w:rPr>
          <w:rFonts w:eastAsia="Calibri"/>
          <w:shd w:fill="auto" w:val="clear"/>
        </w:rPr>
        <w:t>в момент его поступления и соответствующее уведомление участника аукциона, в случаях, если:</w:t>
      </w:r>
    </w:p>
    <w:p>
      <w:pPr>
        <w:pStyle w:val="Normal"/>
        <w:ind w:firstLine="567" w:left="-567"/>
        <w:jc w:val="both"/>
        <w:rPr>
          <w:highlight w:val="none"/>
          <w:shd w:fill="auto" w:val="clear"/>
        </w:rPr>
      </w:pPr>
      <w:r>
        <w:rPr>
          <w:rFonts w:eastAsia="Calibri"/>
          <w:shd w:fill="auto" w:val="clear"/>
        </w:rPr>
        <w:t>- предложение о цене аукциона предоставлено до начала или по истечении установленного времени для подачи предложений о цене аукциона;</w:t>
      </w:r>
    </w:p>
    <w:p>
      <w:pPr>
        <w:pStyle w:val="Normal"/>
        <w:ind w:firstLine="567" w:left="-567"/>
        <w:jc w:val="both"/>
        <w:rPr>
          <w:highlight w:val="none"/>
          <w:shd w:fill="auto" w:val="clear"/>
        </w:rPr>
      </w:pPr>
      <w:r>
        <w:rPr>
          <w:rFonts w:eastAsia="Calibri"/>
          <w:shd w:fill="auto" w:val="clear"/>
        </w:rPr>
        <w:t>- представленное предложение о цене аукциона ниже начальной цены;</w:t>
      </w:r>
    </w:p>
    <w:p>
      <w:pPr>
        <w:pStyle w:val="Normal"/>
        <w:ind w:firstLine="567" w:left="-567"/>
        <w:jc w:val="both"/>
        <w:rPr>
          <w:highlight w:val="none"/>
          <w:shd w:fill="auto" w:val="clear"/>
        </w:rPr>
      </w:pPr>
      <w:r>
        <w:rPr>
          <w:rFonts w:eastAsia="Calibri"/>
          <w:shd w:fill="auto" w:val="clear"/>
        </w:rPr>
        <w:t>- представленное предложение о цене аукциона равно нулю;</w:t>
      </w:r>
    </w:p>
    <w:p>
      <w:pPr>
        <w:pStyle w:val="Normal"/>
        <w:ind w:firstLine="567" w:left="-567"/>
        <w:jc w:val="both"/>
        <w:rPr>
          <w:highlight w:val="none"/>
          <w:shd w:fill="auto" w:val="clear"/>
        </w:rPr>
      </w:pPr>
      <w:r>
        <w:rPr>
          <w:rFonts w:eastAsia="Calibri"/>
          <w:shd w:fill="auto" w:val="clear"/>
        </w:rPr>
        <w:t>- представленное предложение о цене аукциона не соответствует увеличению текущей цены на величину «шага аукциона»;</w:t>
      </w:r>
    </w:p>
    <w:p>
      <w:pPr>
        <w:pStyle w:val="Normal"/>
        <w:ind w:firstLine="567" w:left="-567"/>
        <w:jc w:val="both"/>
        <w:rPr>
          <w:highlight w:val="none"/>
          <w:shd w:fill="auto" w:val="clear"/>
        </w:rPr>
      </w:pPr>
      <w:r>
        <w:rPr>
          <w:rFonts w:eastAsia="Calibri"/>
          <w:shd w:fill="auto" w:val="clear"/>
        </w:rPr>
        <w:t>- предыдущее представленное данным участником аукциона предложение о цене аукциона является лучшим текущим предложением о цене;</w:t>
      </w:r>
    </w:p>
    <w:p>
      <w:pPr>
        <w:pStyle w:val="Normal"/>
        <w:ind w:firstLine="567" w:left="-567"/>
        <w:jc w:val="both"/>
        <w:rPr>
          <w:highlight w:val="none"/>
          <w:shd w:fill="auto" w:val="clear"/>
        </w:rPr>
      </w:pPr>
      <w:r>
        <w:rPr>
          <w:rFonts w:eastAsia="Calibri"/>
          <w:shd w:fill="auto" w:val="clear"/>
        </w:rPr>
        <w:t>- представленное участником аукциона предложение о цене аукциона меньше ранее представленных предложений.</w:t>
      </w:r>
    </w:p>
    <w:p>
      <w:pPr>
        <w:pStyle w:val="Normal"/>
        <w:ind w:firstLine="567" w:left="-567"/>
        <w:jc w:val="both"/>
        <w:rPr>
          <w:highlight w:val="none"/>
          <w:shd w:fill="auto" w:val="clear"/>
        </w:rPr>
      </w:pPr>
      <w:r>
        <w:rPr>
          <w:rFonts w:eastAsia="Calibri"/>
          <w:shd w:fill="auto" w:val="clear"/>
        </w:rPr>
        <w:t>В случае если при проведении процедуры подачи ценовых предложений были поданы равные ценовые предложения несколькими участниками аукциона, то лучшим признается ценовое предложение, поступившее ранее других ценовых предложений.</w:t>
      </w:r>
    </w:p>
    <w:p>
      <w:pPr>
        <w:pStyle w:val="Normal"/>
        <w:ind w:firstLine="567" w:left="-567"/>
        <w:jc w:val="both"/>
        <w:rPr>
          <w:highlight w:val="none"/>
          <w:shd w:fill="auto" w:val="clear"/>
        </w:rPr>
      </w:pPr>
      <w:r>
        <w:rPr>
          <w:rFonts w:eastAsia="Calibri"/>
          <w:shd w:fill="auto" w:val="clear"/>
        </w:rPr>
        <w:t xml:space="preserve">Победителем аукциона признается участник аукциона, предложивший наибольшую цену </w:t>
      </w:r>
      <w:r>
        <w:rPr>
          <w:rFonts w:eastAsia="Calibri"/>
          <w:shd w:fill="auto" w:val="clear"/>
        </w:rPr>
        <w:br w:type="textWrapping" w:clear="all"/>
      </w:r>
      <w:r>
        <w:rPr>
          <w:rFonts w:eastAsia="Calibri"/>
          <w:shd w:fill="auto" w:val="clear"/>
        </w:rPr>
        <w:t>за земельный участок или наибольший размер ежегодной арендной платы за земельный участок.</w:t>
      </w:r>
    </w:p>
    <w:p>
      <w:pPr>
        <w:pStyle w:val="Normal"/>
        <w:ind w:firstLine="567" w:left="-567"/>
        <w:jc w:val="both"/>
        <w:rPr>
          <w:highlight w:val="none"/>
          <w:shd w:fill="auto" w:val="clear"/>
        </w:rPr>
      </w:pPr>
      <w:r>
        <w:rPr>
          <w:rFonts w:eastAsia="Calibri"/>
          <w:shd w:fill="auto" w:val="clear"/>
        </w:rPr>
        <w:t>Протокол проведения аукциона подписывается усиленной квалифицированной электронной подписью оператором электронной площадки и размещается им на электронной площадке в течение одного часа после окончания аукциона.</w:t>
      </w:r>
    </w:p>
    <w:p>
      <w:pPr>
        <w:pStyle w:val="Normal"/>
        <w:ind w:firstLine="567" w:left="-567"/>
        <w:jc w:val="both"/>
        <w:rPr>
          <w:rFonts w:eastAsia="Calibri"/>
          <w:highlight w:val="none"/>
          <w:shd w:fill="auto" w:val="clear"/>
        </w:rPr>
      </w:pPr>
      <w:r>
        <w:rPr>
          <w:rFonts w:eastAsia="Calibri"/>
          <w:shd w:fill="auto" w:val="clear"/>
        </w:rPr>
      </w:r>
    </w:p>
    <w:p>
      <w:pPr>
        <w:pStyle w:val="Normal"/>
        <w:numPr>
          <w:ilvl w:val="0"/>
          <w:numId w:val="0"/>
        </w:numPr>
        <w:tabs>
          <w:tab w:val="clear" w:pos="708"/>
          <w:tab w:val="center" w:pos="5076" w:leader="none"/>
        </w:tabs>
        <w:ind w:hanging="0" w:left="0"/>
        <w:jc w:val="center"/>
        <w:outlineLvl w:val="0"/>
        <w:rPr>
          <w:highlight w:val="none"/>
          <w:shd w:fill="auto" w:val="clear"/>
        </w:rPr>
      </w:pPr>
      <w:r>
        <w:rPr>
          <w:b/>
          <w:bCs/>
          <w:shd w:fill="auto" w:val="clear"/>
        </w:rPr>
        <w:t>Порядок и срок заключения договора</w:t>
      </w:r>
      <w:r>
        <w:rPr>
          <w:b/>
          <w:bCs/>
          <w:shd w:fill="auto" w:val="clear"/>
        </w:rPr>
        <w:br w:type="textWrapping" w:clear="all"/>
      </w:r>
    </w:p>
    <w:p>
      <w:pPr>
        <w:pStyle w:val="Normal"/>
        <w:numPr>
          <w:ilvl w:val="0"/>
          <w:numId w:val="0"/>
        </w:numPr>
        <w:tabs>
          <w:tab w:val="clear" w:pos="708"/>
          <w:tab w:val="center" w:pos="5076" w:leader="none"/>
        </w:tabs>
        <w:ind w:firstLine="567" w:left="-567"/>
        <w:jc w:val="both"/>
        <w:outlineLvl w:val="0"/>
        <w:rPr>
          <w:highlight w:val="none"/>
          <w:shd w:fill="auto" w:val="clear"/>
        </w:rPr>
      </w:pPr>
      <w:r>
        <w:rPr>
          <w:bCs/>
          <w:shd w:fill="auto" w:val="clear"/>
        </w:rPr>
        <w:t xml:space="preserve">По результатам проведения аукциона не допускается заключение договора аренды земельного участка ранее чем через десять дней со дня размещения протокола рассмотрения заявок на участие </w:t>
        <w:br/>
        <w:t>в аукционе в случае, ес</w:t>
      </w:r>
      <w:r>
        <w:rPr>
          <w:rFonts w:eastAsia="Droid Sans Fallback" w:cs="Lohit Devanagari"/>
          <w:bCs/>
          <w:color w:val="000000"/>
          <w:sz w:val="24"/>
          <w:szCs w:val="24"/>
          <w:shd w:fill="auto" w:val="clear"/>
          <w:lang w:val="ru-RU" w:eastAsia="zh-CN" w:bidi="ar-SA"/>
        </w:rPr>
        <w:t>ли аукцион признан несостоявшимся, либо протокола о результатах аукциона на официальных сайтах www.torgi.gov.ru,  www.gorodperm.ru.</w:t>
      </w:r>
    </w:p>
    <w:p>
      <w:pPr>
        <w:pStyle w:val="Normal"/>
        <w:numPr>
          <w:ilvl w:val="0"/>
          <w:numId w:val="0"/>
        </w:numPr>
        <w:tabs>
          <w:tab w:val="clear" w:pos="708"/>
          <w:tab w:val="center" w:pos="5076" w:leader="none"/>
        </w:tabs>
        <w:ind w:firstLine="567" w:left="-567"/>
        <w:jc w:val="both"/>
        <w:outlineLvl w:val="0"/>
        <w:rPr>
          <w:highlight w:val="none"/>
          <w:shd w:fill="auto" w:val="clear"/>
        </w:rPr>
      </w:pPr>
      <w:r>
        <w:rPr>
          <w:bCs/>
          <w:shd w:fill="auto" w:val="clear"/>
        </w:rPr>
        <w:t>Департамент земельных отношений администрации города Перми обязан в течение пяти дней со дня истечения срока, предусмотренного пунктом 11 статьи 39.13 Земельного кодекса Российской Федерации, направить победителю аукциона или иным лицам, с которыми в соответствии</w:t>
        <w:br/>
        <w:t>с пунктами 13, 14, 20 и 25 статьи 39.12 Земельного кодекса Российской Федерации заключается  договор аренды земельного участка, подписанный проект договора  аренды земельного участка.</w:t>
      </w:r>
    </w:p>
    <w:p>
      <w:pPr>
        <w:pStyle w:val="Normal"/>
        <w:numPr>
          <w:ilvl w:val="0"/>
          <w:numId w:val="0"/>
        </w:numPr>
        <w:tabs>
          <w:tab w:val="clear" w:pos="708"/>
          <w:tab w:val="center" w:pos="5076" w:leader="none"/>
        </w:tabs>
        <w:ind w:firstLine="567" w:left="-567"/>
        <w:jc w:val="both"/>
        <w:outlineLvl w:val="0"/>
        <w:rPr>
          <w:highlight w:val="none"/>
          <w:shd w:fill="auto" w:val="clear"/>
        </w:rPr>
      </w:pPr>
      <w:r>
        <w:rPr>
          <w:bCs/>
          <w:shd w:fill="auto" w:val="clear"/>
        </w:rPr>
        <w:t>По результатам проведения аукциона договор аренды земельного участка заключается</w:t>
        <w:br/>
        <w:t>в электронной форме и подписывается усиленной квалифицированной электронной подписью сторон такого договора.</w:t>
      </w:r>
    </w:p>
    <w:p>
      <w:pPr>
        <w:pStyle w:val="Normal"/>
        <w:ind w:firstLine="567" w:left="-567"/>
        <w:jc w:val="both"/>
        <w:rPr>
          <w:highlight w:val="none"/>
          <w:shd w:fill="auto" w:val="clear"/>
        </w:rPr>
      </w:pPr>
      <w:r>
        <w:rPr>
          <w:bCs/>
          <w:shd w:fill="auto" w:val="clear"/>
        </w:rPr>
        <w:t>Проекты договоров являются частью извещения и представлены в Приложениях 1, 3, 5, 7, 9</w:t>
        <w:br/>
        <w:t>к настоящему извещению.</w:t>
        <w:tab/>
      </w:r>
    </w:p>
    <w:p>
      <w:pPr>
        <w:pStyle w:val="Normal"/>
        <w:ind w:firstLine="567" w:left="-567"/>
        <w:jc w:val="both"/>
        <w:rPr>
          <w:highlight w:val="none"/>
          <w:shd w:fill="auto" w:val="clear"/>
        </w:rPr>
      </w:pPr>
      <w:r>
        <w:rPr>
          <w:bCs/>
          <w:shd w:fill="auto" w:val="clear"/>
        </w:rPr>
        <w:t xml:space="preserve">Если договор аренды земельного участка </w:t>
      </w:r>
      <w:r>
        <w:rPr>
          <w:b w:val="false"/>
          <w:bCs/>
          <w:shd w:fill="auto" w:val="clear"/>
        </w:rPr>
        <w:t>в течение десяти рабочих дней со дня направления победителю аукциона проекта указанного договора не был им подписан и представлен в департамент земельных отношений администрации города Перми, департамент земельных отношений администрации города Перми направляет указанный договор участнику аукциона, который сделал предпоследнее предложение о цене предмета аукциона, для их заключения по цене, предложенной таким участником аукциона.</w:t>
      </w:r>
    </w:p>
    <w:p>
      <w:pPr>
        <w:pStyle w:val="Normal"/>
        <w:numPr>
          <w:ilvl w:val="0"/>
          <w:numId w:val="0"/>
        </w:numPr>
        <w:tabs>
          <w:tab w:val="clear" w:pos="708"/>
          <w:tab w:val="center" w:pos="567" w:leader="none"/>
        </w:tabs>
        <w:ind w:firstLine="567" w:left="-567"/>
        <w:jc w:val="both"/>
        <w:outlineLvl w:val="0"/>
        <w:rPr>
          <w:highlight w:val="none"/>
          <w:shd w:fill="auto" w:val="clear"/>
        </w:rPr>
      </w:pPr>
      <w:r>
        <w:rPr>
          <w:rFonts w:eastAsia="Courier New"/>
          <w:shd w:fill="auto" w:val="clear"/>
          <w:lang w:bidi="ru-RU"/>
        </w:rPr>
        <w:t>Сведения о победителях аукционов, уклонившихся от заключения договора  аренды земельного участка, являющегося предметом аукциона, и об иных лицах, с которыми указанный договор заключается в соответствии с пунктом 13, 14, 20 или 25 ст. 39.12 Земельного кодекса Российской Федерации и которые уклонились от заключения, включаются в реестр недобросовестных участников аукциона.</w:t>
      </w:r>
    </w:p>
    <w:sectPr>
      <w:headerReference w:type="default" r:id="rId31"/>
      <w:headerReference w:type="first" r:id="rId32"/>
      <w:type w:val="nextPage"/>
      <w:pgSz w:w="11906" w:h="16838"/>
      <w:pgMar w:left="1418" w:right="567" w:gutter="0" w:header="363" w:top="420" w:footer="0" w:bottom="1134"/>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Tempora LGC Uni">
    <w:charset w:val="01"/>
    <w:family w:val="roman"/>
    <w:pitch w:val="variable"/>
  </w:font>
  <w:font w:name="Times New Roman">
    <w:charset w:val="01"/>
    <w:family w:val="roman"/>
    <w:pitch w:val="variable"/>
  </w:font>
  <w:font w:name="Arial">
    <w:charset w:val="01"/>
    <w:family w:val="roman"/>
    <w:pitch w:val="variable"/>
  </w:font>
  <w:font w:name="Symbol">
    <w:charset w:val="01"/>
    <w:family w:val="roman"/>
    <w:pitch w:val="variable"/>
  </w:font>
  <w:font w:name="Courier New">
    <w:charset w:val="01"/>
    <w:family w:val="roman"/>
    <w:pitch w:val="variable"/>
  </w:font>
  <w:font w:name="Calibri Light">
    <w:charset w:val="01"/>
    <w:family w:val="roman"/>
    <w:pitch w:val="variable"/>
  </w:font>
  <w:font w:name="OpenSymbol">
    <w:altName w:val="Arial Unicode MS"/>
    <w:charset w:val="01"/>
    <w:family w:val="roman"/>
    <w:pitch w:val="variable"/>
  </w:font>
  <w:font w:name="Open Sans">
    <w:charset w:val="01"/>
    <w:family w:val="roman"/>
    <w:pitch w:val="variable"/>
  </w:font>
  <w:font w:name="Consultant">
    <w:charset w:val="01"/>
    <w:family w:val="roman"/>
    <w:pitch w:val="variable"/>
  </w:font>
  <w:font w:name="Tahoma">
    <w:charset w:val="01"/>
    <w:family w:val="roman"/>
    <w:pitch w:val="variable"/>
  </w:font>
  <w:font w:name="Verdana">
    <w:charset w:val="01"/>
    <w:family w:val="roman"/>
    <w:pitch w:val="variable"/>
  </w:font>
  <w:font w:name="Calibri">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0"/>
        <w:szCs w:val="28"/>
      </w:rPr>
    </w:pPr>
    <w:r>
      <w:rPr>
        <w:sz w:val="20"/>
        <w:szCs w:val="28"/>
      </w:rPr>
      <w:fldChar w:fldCharType="begin"/>
    </w:r>
    <w:r>
      <w:rPr>
        <w:sz w:val="20"/>
        <w:szCs w:val="28"/>
      </w:rPr>
      <w:instrText xml:space="preserve"> PAGE </w:instrText>
    </w:r>
    <w:r>
      <w:rPr>
        <w:sz w:val="20"/>
        <w:szCs w:val="28"/>
      </w:rPr>
      <w:fldChar w:fldCharType="separate"/>
    </w:r>
    <w:r>
      <w:rPr>
        <w:sz w:val="20"/>
        <w:szCs w:val="28"/>
      </w:rPr>
      <w:t>53</w:t>
    </w:r>
    <w:r>
      <w:rPr>
        <w:sz w:val="20"/>
        <w:szCs w:val="28"/>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suff w:val="nothing"/>
      <w:lvlText w:val=""/>
      <w:lvlJc w:val="left"/>
      <w:pPr>
        <w:tabs>
          <w:tab w:val="num" w:pos="0"/>
        </w:tabs>
        <w:ind w:left="0" w:hanging="0"/>
      </w:pPr>
      <w:rPr/>
    </w:lvl>
    <w:lvl w:ilvl="1">
      <w:start w:val="1"/>
      <w:numFmt w:val="decimal"/>
      <w:suff w:val="nothing"/>
      <w:lvlText w:val=""/>
      <w:lvlJc w:val="left"/>
      <w:pPr>
        <w:tabs>
          <w:tab w:val="num" w:pos="0"/>
        </w:tabs>
        <w:ind w:left="0" w:hanging="0"/>
      </w:pPr>
      <w:rPr/>
    </w:lvl>
    <w:lvl w:ilvl="2">
      <w:start w:val="1"/>
      <w:numFmt w:val="decimal"/>
      <w:suff w:val="nothing"/>
      <w:lvlText w:val=""/>
      <w:lvlJc w:val="left"/>
      <w:pPr>
        <w:tabs>
          <w:tab w:val="num" w:pos="0"/>
        </w:tabs>
        <w:ind w:left="0" w:hanging="0"/>
      </w:pPr>
      <w:rPr/>
    </w:lvl>
    <w:lvl w:ilvl="3">
      <w:start w:val="1"/>
      <w:numFmt w:val="decimal"/>
      <w:suff w:val="nothing"/>
      <w:lvlText w:val=""/>
      <w:lvlJc w:val="left"/>
      <w:pPr>
        <w:tabs>
          <w:tab w:val="num" w:pos="0"/>
        </w:tabs>
        <w:ind w:left="0" w:hanging="0"/>
      </w:pPr>
      <w:rPr/>
    </w:lvl>
    <w:lvl w:ilvl="4">
      <w:start w:val="1"/>
      <w:numFmt w:val="decimal"/>
      <w:suff w:val="nothing"/>
      <w:lvlText w:val=""/>
      <w:lvlJc w:val="left"/>
      <w:pPr>
        <w:tabs>
          <w:tab w:val="num" w:pos="0"/>
        </w:tabs>
        <w:ind w:left="0" w:hanging="0"/>
      </w:pPr>
      <w:rPr/>
    </w:lvl>
    <w:lvl w:ilvl="5">
      <w:start w:val="1"/>
      <w:pStyle w:val="Heading6"/>
      <w:numFmt w:val="decimal"/>
      <w:suff w:val="nothing"/>
      <w:lvlText w:val=""/>
      <w:lvlJc w:val="left"/>
      <w:pPr>
        <w:tabs>
          <w:tab w:val="num" w:pos="0"/>
        </w:tabs>
        <w:ind w:left="0" w:hanging="0"/>
      </w:pPr>
      <w:rPr/>
    </w:lvl>
    <w:lvl w:ilvl="6">
      <w:start w:val="1"/>
      <w:numFmt w:val="decimal"/>
      <w:suff w:val="nothing"/>
      <w:lvlText w:val=""/>
      <w:lvlJc w:val="left"/>
      <w:pPr>
        <w:tabs>
          <w:tab w:val="num" w:pos="0"/>
        </w:tabs>
        <w:ind w:left="0" w:hanging="0"/>
      </w:pPr>
      <w:rPr/>
    </w:lvl>
    <w:lvl w:ilvl="7">
      <w:start w:val="1"/>
      <w:numFmt w:val="decimal"/>
      <w:suff w:val="nothing"/>
      <w:lvlText w:val=""/>
      <w:lvlJc w:val="left"/>
      <w:pPr>
        <w:tabs>
          <w:tab w:val="num" w:pos="0"/>
        </w:tabs>
        <w:ind w:left="0" w:hanging="0"/>
      </w:pPr>
      <w:rPr/>
    </w:lvl>
    <w:lvl w:ilvl="8">
      <w:start w:val="1"/>
      <w:numFmt w:val="decimal"/>
      <w:suff w:val="nothing"/>
      <w:lvlText w:val=""/>
      <w:lvlJc w:val="left"/>
      <w:pPr>
        <w:tabs>
          <w:tab w:val="num" w:pos="0"/>
        </w:tabs>
        <w:ind w:left="0" w:hanging="0"/>
      </w:pPr>
      <w:rPr/>
    </w:lvl>
  </w:abstractNum>
  <w:abstractNum w:abstractNumId="2">
    <w:lvl w:ilvl="0">
      <w:start w:val="1"/>
      <w:numFmt w:val="bullet"/>
      <w:lvlText w:val=""/>
      <w:lvlJc w:val="left"/>
      <w:pPr>
        <w:tabs>
          <w:tab w:val="num" w:pos="0"/>
        </w:tabs>
        <w:ind w:left="720" w:hanging="360"/>
      </w:pPr>
      <w:rPr>
        <w:rFonts w:ascii="Symbol" w:hAnsi="Symbol" w:cs="Symbol" w:hint="default"/>
      </w:rPr>
    </w:lvl>
    <w:lvl w:ilvl="1">
      <w:start w:val="1"/>
      <w:numFmt w:val="decimal"/>
      <w:lvlText w:val="%2."/>
      <w:lvlJc w:val="left"/>
      <w:pPr>
        <w:tabs>
          <w:tab w:val="num" w:pos="360"/>
        </w:tabs>
        <w:ind w:left="36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3">
    <w:lvl w:ilvl="0">
      <w:start w:val="1"/>
      <w:numFmt w:val="bullet"/>
      <w:lvlText w:val=""/>
      <w:lvlJc w:val="left"/>
      <w:pPr>
        <w:tabs>
          <w:tab w:val="num" w:pos="0"/>
        </w:tabs>
        <w:ind w:left="720" w:hanging="360"/>
      </w:pPr>
      <w:rPr>
        <w:rFonts w:ascii="Symbol" w:hAnsi="Symbol" w:cs="Symbol" w:hint="default"/>
        <w:sz w:val="24"/>
        <w:u w:val="none"/>
        <w:szCs w:val="24"/>
        <w:color w:val="000000"/>
      </w:rPr>
    </w:lvl>
    <w:lvl w:ilvl="1">
      <w:start w:val="1"/>
      <w:numFmt w:val="bullet"/>
      <w:lvlText w:val="o"/>
      <w:lvlJc w:val="left"/>
      <w:pPr>
        <w:tabs>
          <w:tab w:val="num" w:pos="0"/>
        </w:tabs>
        <w:ind w:left="1440" w:hanging="360"/>
      </w:pPr>
      <w:rPr>
        <w:rFonts w:ascii="Courier New" w:hAnsi="Courier New" w:cs="Courier New" w:hint="default"/>
        <w:sz w:val="24"/>
        <w:u w:val="none"/>
        <w:szCs w:val="24"/>
        <w:color w:val="000000"/>
        <w:lang w:val="ru-RU"/>
      </w:rPr>
    </w:lvl>
    <w:lvl w:ilvl="2">
      <w:start w:val="1"/>
      <w:numFmt w:val="bullet"/>
      <w:lvlText w:val="§"/>
      <w:lvlJc w:val="left"/>
      <w:pPr>
        <w:tabs>
          <w:tab w:val="num" w:pos="0"/>
        </w:tabs>
        <w:ind w:left="2160" w:hanging="360"/>
      </w:pPr>
      <w:rPr>
        <w:rFonts w:ascii="Wingdings" w:hAnsi="Wingdings" w:cs="Wingdings" w:hint="default"/>
        <w:sz w:val="24"/>
        <w:szCs w:val="24"/>
      </w:rPr>
    </w:lvl>
    <w:lvl w:ilvl="3">
      <w:start w:val="1"/>
      <w:numFmt w:val="bullet"/>
      <w:lvlText w:val="·"/>
      <w:lvlJc w:val="left"/>
      <w:pPr>
        <w:tabs>
          <w:tab w:val="num" w:pos="0"/>
        </w:tabs>
        <w:ind w:left="2880" w:hanging="360"/>
      </w:pPr>
      <w:rPr>
        <w:rFonts w:ascii="Symbol" w:hAnsi="Symbol" w:cs="Symbol" w:hint="default"/>
        <w:sz w:val="24"/>
        <w:szCs w:val="24"/>
        <w:lang w:val="ru-RU"/>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lang w:bidi="ru-RU"/>
      </w:rPr>
    </w:lvl>
    <w:lvl w:ilvl="6">
      <w:start w:val="1"/>
      <w:numFmt w:val="bullet"/>
      <w:lvlText w:val="·"/>
      <w:lvlJc w:val="left"/>
      <w:pPr>
        <w:tabs>
          <w:tab w:val="num" w:pos="0"/>
        </w:tabs>
        <w:ind w:left="5040" w:hanging="360"/>
      </w:pPr>
      <w:rPr>
        <w:rFonts w:ascii="Symbol" w:hAnsi="Symbol" w:cs="Symbol" w:hint="default"/>
        <w:lang w:eastAsia="en-US"/>
      </w:rPr>
    </w:lvl>
    <w:lvl w:ilvl="7">
      <w:start w:val="1"/>
      <w:numFmt w:val="bullet"/>
      <w:lvlText w:val="o"/>
      <w:lvlJc w:val="left"/>
      <w:pPr>
        <w:tabs>
          <w:tab w:val="num" w:pos="0"/>
        </w:tabs>
        <w:ind w:left="5760" w:hanging="360"/>
      </w:pPr>
      <w:rPr>
        <w:rFonts w:ascii="Courier New" w:hAnsi="Courier New" w:cs="Courier New" w:hint="default"/>
        <w:bCs/>
        <w:lang w:eastAsia="en-US" w:bidi="ru-RU"/>
      </w:rPr>
    </w:lvl>
    <w:lvl w:ilvl="8">
      <w:start w:val="1"/>
      <w:numFmt w:val="bullet"/>
      <w:lvlText w:val="§"/>
      <w:lvlJc w:val="left"/>
      <w:pPr>
        <w:tabs>
          <w:tab w:val="num" w:pos="0"/>
        </w:tabs>
        <w:ind w:left="6480" w:hanging="360"/>
      </w:pPr>
      <w:rPr>
        <w:rFonts w:ascii="Wingdings" w:hAnsi="Wingdings" w:cs="Wingdings" w:hint="default"/>
        <w:b/>
        <w:bCs/>
        <w:lang w:bidi="ru-RU"/>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Droid Sans Fallback" w:cs="Lohit Devanagari"/>
        <w:lang w:val="ru-RU" w:eastAsia="ru-RU"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before="0" w:after="0"/>
      <w:jc w:val="left"/>
    </w:pPr>
    <w:rPr>
      <w:rFonts w:ascii="Times New Roman" w:hAnsi="Times New Roman" w:eastAsia="Droid Sans Fallback" w:cs="Lohit Devanagari"/>
      <w:color w:val="auto"/>
      <w:kern w:val="0"/>
      <w:sz w:val="24"/>
      <w:szCs w:val="24"/>
      <w:lang w:val="ru-RU" w:eastAsia="zh-CN" w:bidi="ar-SA"/>
    </w:rPr>
  </w:style>
  <w:style w:type="paragraph" w:styleId="Heading1">
    <w:name w:val="Heading 1"/>
    <w:basedOn w:val="Normal"/>
    <w:qFormat/>
    <w:pPr>
      <w:keepNext w:val="true"/>
      <w:numPr>
        <w:ilvl w:val="0"/>
        <w:numId w:val="1"/>
      </w:numPr>
      <w:jc w:val="center"/>
      <w:outlineLvl w:val="0"/>
    </w:pPr>
    <w:rPr>
      <w:b/>
      <w:sz w:val="28"/>
      <w:szCs w:val="20"/>
    </w:rPr>
  </w:style>
  <w:style w:type="paragraph" w:styleId="Heading2">
    <w:name w:val="Heading 2"/>
    <w:basedOn w:val="Normal"/>
    <w:uiPriority w:val="9"/>
    <w:unhideWhenUsed/>
    <w:qFormat/>
    <w:pPr>
      <w:keepNext w:val="true"/>
      <w:keepLines/>
      <w:spacing w:before="360" w:after="200"/>
      <w:outlineLvl w:val="1"/>
    </w:pPr>
    <w:rPr>
      <w:rFonts w:ascii="Arial" w:hAnsi="Arial" w:eastAsia="Arial" w:cs="Arial"/>
      <w:sz w:val="34"/>
    </w:rPr>
  </w:style>
  <w:style w:type="paragraph" w:styleId="Heading3">
    <w:name w:val="Heading 3"/>
    <w:basedOn w:val="Normal"/>
    <w:uiPriority w:val="9"/>
    <w:unhideWhenUsed/>
    <w:qFormat/>
    <w:pPr>
      <w:keepNext w:val="true"/>
      <w:keepLines/>
      <w:spacing w:before="320" w:after="200"/>
      <w:outlineLvl w:val="2"/>
    </w:pPr>
    <w:rPr>
      <w:rFonts w:ascii="Arial" w:hAnsi="Arial" w:eastAsia="Arial" w:cs="Arial"/>
      <w:sz w:val="30"/>
      <w:szCs w:val="30"/>
    </w:rPr>
  </w:style>
  <w:style w:type="paragraph" w:styleId="Heading4">
    <w:name w:val="Heading 4"/>
    <w:basedOn w:val="Normal"/>
    <w:uiPriority w:val="9"/>
    <w:unhideWhenUsed/>
    <w:qFormat/>
    <w:pPr>
      <w:keepNext w:val="true"/>
      <w:keepLines/>
      <w:spacing w:before="320" w:after="200"/>
      <w:outlineLvl w:val="3"/>
    </w:pPr>
    <w:rPr>
      <w:rFonts w:ascii="Arial" w:hAnsi="Arial" w:eastAsia="Arial" w:cs="Arial"/>
      <w:b/>
      <w:bCs/>
      <w:sz w:val="26"/>
      <w:szCs w:val="26"/>
    </w:rPr>
  </w:style>
  <w:style w:type="paragraph" w:styleId="Heading5">
    <w:name w:val="Heading 5"/>
    <w:basedOn w:val="Normal"/>
    <w:uiPriority w:val="9"/>
    <w:unhideWhenUsed/>
    <w:qFormat/>
    <w:pPr>
      <w:keepNext w:val="true"/>
      <w:keepLines/>
      <w:spacing w:before="320" w:after="200"/>
      <w:outlineLvl w:val="4"/>
    </w:pPr>
    <w:rPr>
      <w:rFonts w:ascii="Arial" w:hAnsi="Arial" w:eastAsia="Arial" w:cs="Arial"/>
      <w:b/>
      <w:bCs/>
    </w:rPr>
  </w:style>
  <w:style w:type="paragraph" w:styleId="Heading6">
    <w:name w:val="Heading 6"/>
    <w:basedOn w:val="Normal"/>
    <w:qFormat/>
    <w:pPr>
      <w:numPr>
        <w:ilvl w:val="5"/>
        <w:numId w:val="1"/>
      </w:numPr>
      <w:spacing w:before="240" w:after="60"/>
      <w:outlineLvl w:val="5"/>
    </w:pPr>
    <w:rPr>
      <w:b/>
      <w:bCs/>
      <w:sz w:val="22"/>
      <w:szCs w:val="22"/>
    </w:rPr>
  </w:style>
  <w:style w:type="paragraph" w:styleId="Heading7">
    <w:name w:val="Heading 7"/>
    <w:basedOn w:val="Normal"/>
    <w:uiPriority w:val="9"/>
    <w:unhideWhenUsed/>
    <w:qFormat/>
    <w:pPr>
      <w:keepNext w:val="true"/>
      <w:keepLines/>
      <w:spacing w:before="320" w:after="200"/>
      <w:outlineLvl w:val="6"/>
    </w:pPr>
    <w:rPr>
      <w:rFonts w:ascii="Arial" w:hAnsi="Arial" w:eastAsia="Arial" w:cs="Arial"/>
      <w:b/>
      <w:bCs/>
      <w:i/>
      <w:iCs/>
      <w:sz w:val="22"/>
      <w:szCs w:val="22"/>
    </w:rPr>
  </w:style>
  <w:style w:type="paragraph" w:styleId="Heading8">
    <w:name w:val="Heading 8"/>
    <w:basedOn w:val="Normal"/>
    <w:uiPriority w:val="9"/>
    <w:unhideWhenUsed/>
    <w:qFormat/>
    <w:pPr>
      <w:keepNext w:val="true"/>
      <w:keepLines/>
      <w:spacing w:before="320" w:after="200"/>
      <w:outlineLvl w:val="7"/>
    </w:pPr>
    <w:rPr>
      <w:rFonts w:ascii="Arial" w:hAnsi="Arial" w:eastAsia="Arial" w:cs="Arial"/>
      <w:i/>
      <w:iCs/>
      <w:sz w:val="22"/>
      <w:szCs w:val="22"/>
    </w:rPr>
  </w:style>
  <w:style w:type="paragraph" w:styleId="Heading9">
    <w:name w:val="Heading 9"/>
    <w:basedOn w:val="Normal"/>
    <w:uiPriority w:val="9"/>
    <w:unhideWhenUsed/>
    <w:qFormat/>
    <w:pPr>
      <w:keepNext w:val="true"/>
      <w:keepLines/>
      <w:spacing w:before="320" w:after="200"/>
      <w:outlineLvl w:val="8"/>
    </w:pPr>
    <w:rPr>
      <w:rFonts w:ascii="Arial" w:hAnsi="Arial" w:eastAsia="Arial" w:cs="Arial"/>
      <w:i/>
      <w:iCs/>
      <w:sz w:val="21"/>
      <w:szCs w:val="21"/>
    </w:rPr>
  </w:style>
  <w:style w:type="character" w:styleId="Heading1Char">
    <w:name w:val="Heading 1 Char"/>
    <w:basedOn w:val="DefaultParagraphFont"/>
    <w:uiPriority w:val="9"/>
    <w:qFormat/>
    <w:rPr>
      <w:rFonts w:ascii="Arial" w:hAnsi="Arial" w:eastAsia="Arial" w:cs="Arial"/>
      <w:sz w:val="40"/>
      <w:szCs w:val="40"/>
    </w:rPr>
  </w:style>
  <w:style w:type="character" w:styleId="Heading2Char">
    <w:name w:val="Heading 2 Char"/>
    <w:basedOn w:val="DefaultParagraphFont"/>
    <w:uiPriority w:val="9"/>
    <w:qFormat/>
    <w:rPr>
      <w:rFonts w:ascii="Arial" w:hAnsi="Arial" w:eastAsia="Arial" w:cs="Arial"/>
      <w:sz w:val="34"/>
    </w:rPr>
  </w:style>
  <w:style w:type="character" w:styleId="Heading3Char">
    <w:name w:val="Heading 3 Char"/>
    <w:basedOn w:val="DefaultParagraphFont"/>
    <w:uiPriority w:val="9"/>
    <w:qFormat/>
    <w:rPr>
      <w:rFonts w:ascii="Arial" w:hAnsi="Arial" w:eastAsia="Arial" w:cs="Arial"/>
      <w:sz w:val="30"/>
      <w:szCs w:val="30"/>
    </w:rPr>
  </w:style>
  <w:style w:type="character" w:styleId="Heading4Char">
    <w:name w:val="Heading 4 Char"/>
    <w:basedOn w:val="DefaultParagraphFont"/>
    <w:uiPriority w:val="9"/>
    <w:qFormat/>
    <w:rPr>
      <w:rFonts w:ascii="Arial" w:hAnsi="Arial" w:eastAsia="Arial" w:cs="Arial"/>
      <w:b/>
      <w:bCs/>
      <w:sz w:val="26"/>
      <w:szCs w:val="26"/>
    </w:rPr>
  </w:style>
  <w:style w:type="character" w:styleId="Heading5Char">
    <w:name w:val="Heading 5 Char"/>
    <w:basedOn w:val="DefaultParagraphFont"/>
    <w:uiPriority w:val="9"/>
    <w:qFormat/>
    <w:rPr>
      <w:rFonts w:ascii="Arial" w:hAnsi="Arial" w:eastAsia="Arial" w:cs="Arial"/>
      <w:b/>
      <w:bCs/>
      <w:sz w:val="24"/>
      <w:szCs w:val="24"/>
    </w:rPr>
  </w:style>
  <w:style w:type="character" w:styleId="Heading6Char">
    <w:name w:val="Heading 6 Char"/>
    <w:basedOn w:val="DefaultParagraphFont"/>
    <w:uiPriority w:val="9"/>
    <w:qFormat/>
    <w:rPr>
      <w:rFonts w:ascii="Arial" w:hAnsi="Arial" w:eastAsia="Arial" w:cs="Arial"/>
      <w:b/>
      <w:bCs/>
      <w:sz w:val="22"/>
      <w:szCs w:val="22"/>
    </w:rPr>
  </w:style>
  <w:style w:type="character" w:styleId="Heading7Char">
    <w:name w:val="Heading 7 Char"/>
    <w:basedOn w:val="DefaultParagraphFont"/>
    <w:uiPriority w:val="9"/>
    <w:qFormat/>
    <w:rPr>
      <w:rFonts w:ascii="Arial" w:hAnsi="Arial" w:eastAsia="Arial" w:cs="Arial"/>
      <w:b/>
      <w:bCs/>
      <w:i/>
      <w:iCs/>
      <w:sz w:val="22"/>
      <w:szCs w:val="22"/>
    </w:rPr>
  </w:style>
  <w:style w:type="character" w:styleId="Heading8Char">
    <w:name w:val="Heading 8 Char"/>
    <w:basedOn w:val="DefaultParagraphFont"/>
    <w:uiPriority w:val="9"/>
    <w:qFormat/>
    <w:rPr>
      <w:rFonts w:ascii="Arial" w:hAnsi="Arial" w:eastAsia="Arial" w:cs="Arial"/>
      <w:i/>
      <w:iCs/>
      <w:sz w:val="22"/>
      <w:szCs w:val="22"/>
    </w:rPr>
  </w:style>
  <w:style w:type="character" w:styleId="Heading9Char">
    <w:name w:val="Heading 9 Char"/>
    <w:basedOn w:val="DefaultParagraphFont"/>
    <w:uiPriority w:val="9"/>
    <w:qFormat/>
    <w:rPr>
      <w:rFonts w:ascii="Arial" w:hAnsi="Arial" w:eastAsia="Arial" w:cs="Arial"/>
      <w:i/>
      <w:iCs/>
      <w:sz w:val="21"/>
      <w:szCs w:val="21"/>
    </w:rPr>
  </w:style>
  <w:style w:type="character" w:styleId="TitleChar">
    <w:name w:val="Title Char"/>
    <w:basedOn w:val="DefaultParagraphFont"/>
    <w:uiPriority w:val="10"/>
    <w:qFormat/>
    <w:rPr>
      <w:sz w:val="48"/>
      <w:szCs w:val="48"/>
    </w:rPr>
  </w:style>
  <w:style w:type="character" w:styleId="SubtitleChar">
    <w:name w:val="Subtitle Char"/>
    <w:basedOn w:val="DefaultParagraphFont"/>
    <w:uiPriority w:val="11"/>
    <w:qFormat/>
    <w:rPr>
      <w:sz w:val="24"/>
      <w:szCs w:val="24"/>
    </w:rPr>
  </w:style>
  <w:style w:type="character" w:styleId="QuoteChar">
    <w:name w:val="Quote Char"/>
    <w:uiPriority w:val="29"/>
    <w:qFormat/>
    <w:rPr>
      <w:i/>
    </w:rPr>
  </w:style>
  <w:style w:type="character" w:styleId="IntenseQuoteChar">
    <w:name w:val="Intense Quote Char"/>
    <w:uiPriority w:val="30"/>
    <w:qFormat/>
    <w:rPr>
      <w:i/>
    </w:rPr>
  </w:style>
  <w:style w:type="character" w:styleId="HeaderChar">
    <w:name w:val="Header Char"/>
    <w:basedOn w:val="DefaultParagraphFont"/>
    <w:uiPriority w:val="99"/>
    <w:qFormat/>
    <w:rPr/>
  </w:style>
  <w:style w:type="character" w:styleId="CaptionChar">
    <w:name w:val="Caption Char"/>
    <w:uiPriority w:val="99"/>
    <w:qFormat/>
    <w:rPr/>
  </w:style>
  <w:style w:type="character" w:styleId="FootnoteTextChar">
    <w:name w:val="Footnote Text Char"/>
    <w:uiPriority w:val="99"/>
    <w:qFormat/>
    <w:rPr>
      <w:sz w:val="18"/>
    </w:rPr>
  </w:style>
  <w:style w:type="character" w:styleId="EndnoteTextChar">
    <w:name w:val="Endnote Text Char"/>
    <w:uiPriority w:val="99"/>
    <w:qFormat/>
    <w:rPr>
      <w:sz w:val="20"/>
    </w:rPr>
  </w:style>
  <w:style w:type="character" w:styleId="DefaultParagraphFont" w:default="1">
    <w:name w:val="Default Paragraph Font"/>
    <w:uiPriority w:val="1"/>
    <w:semiHidden/>
    <w:unhideWhenUsed/>
    <w:qFormat/>
    <w:rPr/>
  </w:style>
  <w:style w:type="character" w:styleId="1" w:customStyle="1">
    <w:name w:val="Заголовок 1 Знак"/>
    <w:uiPriority w:val="9"/>
    <w:qFormat/>
    <w:rPr>
      <w:rFonts w:ascii="Arial" w:hAnsi="Arial" w:eastAsia="Arial" w:cs="Arial"/>
      <w:sz w:val="40"/>
      <w:szCs w:val="40"/>
    </w:rPr>
  </w:style>
  <w:style w:type="character" w:styleId="2" w:customStyle="1">
    <w:name w:val="Заголовок 2 Знак"/>
    <w:uiPriority w:val="9"/>
    <w:qFormat/>
    <w:rPr>
      <w:rFonts w:ascii="Arial" w:hAnsi="Arial" w:eastAsia="Arial" w:cs="Arial"/>
      <w:sz w:val="34"/>
    </w:rPr>
  </w:style>
  <w:style w:type="character" w:styleId="3" w:customStyle="1">
    <w:name w:val="Заголовок 3 Знак"/>
    <w:uiPriority w:val="9"/>
    <w:qFormat/>
    <w:rPr>
      <w:rFonts w:ascii="Arial" w:hAnsi="Arial" w:eastAsia="Arial" w:cs="Arial"/>
      <w:sz w:val="30"/>
      <w:szCs w:val="30"/>
    </w:rPr>
  </w:style>
  <w:style w:type="character" w:styleId="4" w:customStyle="1">
    <w:name w:val="Заголовок 4 Знак"/>
    <w:uiPriority w:val="9"/>
    <w:qFormat/>
    <w:rPr>
      <w:rFonts w:ascii="Arial" w:hAnsi="Arial" w:eastAsia="Arial" w:cs="Arial"/>
      <w:b/>
      <w:bCs/>
      <w:sz w:val="26"/>
      <w:szCs w:val="26"/>
    </w:rPr>
  </w:style>
  <w:style w:type="character" w:styleId="5" w:customStyle="1">
    <w:name w:val="Заголовок 5 Знак"/>
    <w:uiPriority w:val="9"/>
    <w:qFormat/>
    <w:rPr>
      <w:rFonts w:ascii="Arial" w:hAnsi="Arial" w:eastAsia="Arial" w:cs="Arial"/>
      <w:b/>
      <w:bCs/>
      <w:sz w:val="24"/>
      <w:szCs w:val="24"/>
    </w:rPr>
  </w:style>
  <w:style w:type="character" w:styleId="61" w:customStyle="1">
    <w:name w:val="Заголовок 6 Знак1"/>
    <w:uiPriority w:val="9"/>
    <w:qFormat/>
    <w:rPr>
      <w:rFonts w:ascii="Arial" w:hAnsi="Arial" w:eastAsia="Arial" w:cs="Arial"/>
      <w:b/>
      <w:bCs/>
      <w:sz w:val="22"/>
      <w:szCs w:val="22"/>
    </w:rPr>
  </w:style>
  <w:style w:type="character" w:styleId="7" w:customStyle="1">
    <w:name w:val="Заголовок 7 Знак"/>
    <w:uiPriority w:val="9"/>
    <w:qFormat/>
    <w:rPr>
      <w:rFonts w:ascii="Arial" w:hAnsi="Arial" w:eastAsia="Arial" w:cs="Arial"/>
      <w:b/>
      <w:bCs/>
      <w:i/>
      <w:iCs/>
      <w:sz w:val="22"/>
      <w:szCs w:val="22"/>
    </w:rPr>
  </w:style>
  <w:style w:type="character" w:styleId="8" w:customStyle="1">
    <w:name w:val="Заголовок 8 Знак"/>
    <w:uiPriority w:val="9"/>
    <w:qFormat/>
    <w:rPr>
      <w:rFonts w:ascii="Arial" w:hAnsi="Arial" w:eastAsia="Arial" w:cs="Arial"/>
      <w:i/>
      <w:iCs/>
      <w:sz w:val="22"/>
      <w:szCs w:val="22"/>
    </w:rPr>
  </w:style>
  <w:style w:type="character" w:styleId="9" w:customStyle="1">
    <w:name w:val="Заголовок 9 Знак"/>
    <w:uiPriority w:val="9"/>
    <w:qFormat/>
    <w:rPr>
      <w:rFonts w:ascii="Arial" w:hAnsi="Arial" w:eastAsia="Arial" w:cs="Arial"/>
      <w:i/>
      <w:iCs/>
      <w:sz w:val="21"/>
      <w:szCs w:val="21"/>
    </w:rPr>
  </w:style>
  <w:style w:type="character" w:styleId="11" w:customStyle="1">
    <w:name w:val="Заголовок Знак1"/>
    <w:uiPriority w:val="10"/>
    <w:qFormat/>
    <w:rPr>
      <w:sz w:val="48"/>
      <w:szCs w:val="48"/>
    </w:rPr>
  </w:style>
  <w:style w:type="character" w:styleId="Style5" w:customStyle="1">
    <w:name w:val="Подзаголовок Знак"/>
    <w:uiPriority w:val="11"/>
    <w:qFormat/>
    <w:rPr>
      <w:sz w:val="24"/>
      <w:szCs w:val="24"/>
    </w:rPr>
  </w:style>
  <w:style w:type="character" w:styleId="21" w:customStyle="1">
    <w:name w:val="Цитата 2 Знак"/>
    <w:uiPriority w:val="29"/>
    <w:qFormat/>
    <w:rPr>
      <w:i/>
    </w:rPr>
  </w:style>
  <w:style w:type="character" w:styleId="Style6" w:customStyle="1">
    <w:name w:val="Выделенная цитата Знак"/>
    <w:uiPriority w:val="30"/>
    <w:qFormat/>
    <w:rPr>
      <w:i/>
    </w:rPr>
  </w:style>
  <w:style w:type="character" w:styleId="12" w:customStyle="1">
    <w:name w:val="Верхний колонтитул Знак1"/>
    <w:uiPriority w:val="99"/>
    <w:qFormat/>
    <w:rPr/>
  </w:style>
  <w:style w:type="character" w:styleId="FooterChar" w:customStyle="1">
    <w:name w:val="Footer Char"/>
    <w:uiPriority w:val="99"/>
    <w:qFormat/>
    <w:rPr/>
  </w:style>
  <w:style w:type="character" w:styleId="13" w:customStyle="1">
    <w:name w:val="Нижний колонтитул Знак1"/>
    <w:uiPriority w:val="99"/>
    <w:qFormat/>
    <w:rPr/>
  </w:style>
  <w:style w:type="character" w:styleId="Style7" w:customStyle="1">
    <w:name w:val="Текст сноски Знак"/>
    <w:uiPriority w:val="99"/>
    <w:qFormat/>
    <w:rPr>
      <w:sz w:val="18"/>
    </w:rPr>
  </w:style>
  <w:style w:type="character" w:styleId="Style8">
    <w:name w:val="Символ сноски"/>
    <w:uiPriority w:val="99"/>
    <w:unhideWhenUsed/>
    <w:qFormat/>
    <w:rPr>
      <w:vertAlign w:val="superscript"/>
    </w:rPr>
  </w:style>
  <w:style w:type="character" w:styleId="FootnoteReference">
    <w:name w:val="Footnote Reference"/>
    <w:rPr>
      <w:vertAlign w:val="superscript"/>
    </w:rPr>
  </w:style>
  <w:style w:type="character" w:styleId="Style9" w:customStyle="1">
    <w:name w:val="Текст концевой сноски Знак"/>
    <w:uiPriority w:val="99"/>
    <w:qFormat/>
    <w:rPr>
      <w:sz w:val="20"/>
    </w:rPr>
  </w:style>
  <w:style w:type="character" w:styleId="Style10">
    <w:name w:val="Символ концевой сноски"/>
    <w:uiPriority w:val="99"/>
    <w:semiHidden/>
    <w:unhideWhenUsed/>
    <w:qFormat/>
    <w:rPr>
      <w:vertAlign w:val="superscript"/>
    </w:rPr>
  </w:style>
  <w:style w:type="character" w:styleId="EndnoteReference">
    <w:name w:val="Endnote Reference"/>
    <w:rPr>
      <w:vertAlign w:val="superscript"/>
    </w:rPr>
  </w:style>
  <w:style w:type="character" w:styleId="WW8Num2z0" w:customStyle="1">
    <w:name w:val="WW8Num2z0"/>
    <w:qFormat/>
    <w:rPr>
      <w:rFonts w:ascii="Symbol" w:hAnsi="Symbol" w:cs="Symbol"/>
    </w:rPr>
  </w:style>
  <w:style w:type="character" w:styleId="WW8Num3z0" w:customStyle="1">
    <w:name w:val="WW8Num3z0"/>
    <w:qFormat/>
    <w:rPr/>
  </w:style>
  <w:style w:type="character" w:styleId="WW8Num4z0" w:customStyle="1">
    <w:name w:val="WW8Num4z0"/>
    <w:qFormat/>
    <w:rPr/>
  </w:style>
  <w:style w:type="character" w:styleId="WW8Num5z0" w:customStyle="1">
    <w:name w:val="WW8Num5z0"/>
    <w:qFormat/>
    <w:rPr>
      <w:sz w:val="16"/>
      <w:szCs w:val="16"/>
    </w:rPr>
  </w:style>
  <w:style w:type="character" w:styleId="WW8Num6z0" w:customStyle="1">
    <w:name w:val="WW8Num6z0"/>
    <w:qFormat/>
    <w:rPr/>
  </w:style>
  <w:style w:type="character" w:styleId="WW8Num7z0" w:customStyle="1">
    <w:name w:val="WW8Num7z0"/>
    <w:qFormat/>
    <w:rPr/>
  </w:style>
  <w:style w:type="character" w:styleId="WW8Num8z0" w:customStyle="1">
    <w:name w:val="WW8Num8z0"/>
    <w:qFormat/>
    <w:rPr/>
  </w:style>
  <w:style w:type="character" w:styleId="WW8Num9z0" w:customStyle="1">
    <w:name w:val="WW8Num9z0"/>
    <w:qFormat/>
    <w:rPr/>
  </w:style>
  <w:style w:type="character" w:styleId="WW8Num10z0" w:customStyle="1">
    <w:name w:val="WW8Num10z0"/>
    <w:qFormat/>
    <w:rPr/>
  </w:style>
  <w:style w:type="character" w:styleId="WW8Num11z0" w:customStyle="1">
    <w:name w:val="WW8Num11z0"/>
    <w:qFormat/>
    <w:rPr/>
  </w:style>
  <w:style w:type="character" w:styleId="WW8Num12z0" w:customStyle="1">
    <w:name w:val="WW8Num12z0"/>
    <w:qFormat/>
    <w:rPr/>
  </w:style>
  <w:style w:type="character" w:styleId="WW8Num13z0" w:customStyle="1">
    <w:name w:val="WW8Num13z0"/>
    <w:qFormat/>
    <w:rPr/>
  </w:style>
  <w:style w:type="character" w:styleId="WW8Num14z0" w:customStyle="1">
    <w:name w:val="WW8Num14z0"/>
    <w:qFormat/>
    <w:rPr/>
  </w:style>
  <w:style w:type="character" w:styleId="WW8Num15z0" w:customStyle="1">
    <w:name w:val="WW8Num15z0"/>
    <w:qFormat/>
    <w:rPr/>
  </w:style>
  <w:style w:type="character" w:styleId="WW8Num18z0" w:customStyle="1">
    <w:name w:val="WW8Num18z0"/>
    <w:qFormat/>
    <w:rPr/>
  </w:style>
  <w:style w:type="character" w:styleId="WW8Num19z0" w:customStyle="1">
    <w:name w:val="WW8Num19z0"/>
    <w:qFormat/>
    <w:rPr/>
  </w:style>
  <w:style w:type="character" w:styleId="WW8Num20z0" w:customStyle="1">
    <w:name w:val="WW8Num20z0"/>
    <w:qFormat/>
    <w:rPr/>
  </w:style>
  <w:style w:type="character" w:styleId="WW8Num21z0" w:customStyle="1">
    <w:name w:val="WW8Num21z0"/>
    <w:qFormat/>
    <w:rPr/>
  </w:style>
  <w:style w:type="character" w:styleId="WW8Num22z0" w:customStyle="1">
    <w:name w:val="WW8Num22z0"/>
    <w:qFormat/>
    <w:rPr/>
  </w:style>
  <w:style w:type="character" w:styleId="WW8Num23z0" w:customStyle="1">
    <w:name w:val="WW8Num23z0"/>
    <w:qFormat/>
    <w:rPr/>
  </w:style>
  <w:style w:type="character" w:styleId="WW8Num25z0" w:customStyle="1">
    <w:name w:val="WW8Num25z0"/>
    <w:qFormat/>
    <w:rPr/>
  </w:style>
  <w:style w:type="character" w:styleId="WW8Num26z0" w:customStyle="1">
    <w:name w:val="WW8Num26z0"/>
    <w:qFormat/>
    <w:rPr/>
  </w:style>
  <w:style w:type="character" w:styleId="WW8Num27z0" w:customStyle="1">
    <w:name w:val="WW8Num27z0"/>
    <w:qFormat/>
    <w:rPr/>
  </w:style>
  <w:style w:type="character" w:styleId="WW8Num29z0" w:customStyle="1">
    <w:name w:val="WW8Num29z0"/>
    <w:qFormat/>
    <w:rPr>
      <w:rFonts w:ascii="Symbol" w:hAnsi="Symbol" w:cs="Symbol"/>
    </w:rPr>
  </w:style>
  <w:style w:type="character" w:styleId="WW8Num30z0" w:customStyle="1">
    <w:name w:val="WW8Num30z0"/>
    <w:qFormat/>
    <w:rPr/>
  </w:style>
  <w:style w:type="character" w:styleId="WW8Num31z0" w:customStyle="1">
    <w:name w:val="WW8Num31z0"/>
    <w:qFormat/>
    <w:rPr/>
  </w:style>
  <w:style w:type="character" w:styleId="WW8Num32z0" w:customStyle="1">
    <w:name w:val="WW8Num32z0"/>
    <w:qFormat/>
    <w:rPr/>
  </w:style>
  <w:style w:type="character" w:styleId="WW8Num33z0" w:customStyle="1">
    <w:name w:val="WW8Num33z0"/>
    <w:qFormat/>
    <w:rPr/>
  </w:style>
  <w:style w:type="character" w:styleId="WW8Num34z0" w:customStyle="1">
    <w:name w:val="WW8Num34z0"/>
    <w:qFormat/>
    <w:rPr/>
  </w:style>
  <w:style w:type="character" w:styleId="Pagenumber">
    <w:name w:val="page number"/>
    <w:basedOn w:val="DefaultParagraphFont"/>
    <w:qFormat/>
    <w:rPr/>
  </w:style>
  <w:style w:type="character" w:styleId="Style11" w:customStyle="1">
    <w:name w:val="Текст Знак"/>
    <w:qFormat/>
    <w:rPr>
      <w:rFonts w:ascii="Courier New" w:hAnsi="Courier New" w:cs="Courier New"/>
    </w:rPr>
  </w:style>
  <w:style w:type="character" w:styleId="Style12" w:customStyle="1">
    <w:name w:val="Верхний колонтитул Знак"/>
    <w:qFormat/>
    <w:rPr>
      <w:sz w:val="16"/>
      <w:lang w:val="ru-RU" w:bidi="ar-SA"/>
    </w:rPr>
  </w:style>
  <w:style w:type="character" w:styleId="31" w:customStyle="1">
    <w:name w:val="Основной текст с отступом 3 Знак"/>
    <w:qFormat/>
    <w:rPr>
      <w:sz w:val="16"/>
      <w:szCs w:val="16"/>
    </w:rPr>
  </w:style>
  <w:style w:type="character" w:styleId="Hyperlink">
    <w:name w:val="Hyperlink"/>
    <w:rPr>
      <w:color w:val="0563C1"/>
      <w:u w:val="single"/>
    </w:rPr>
  </w:style>
  <w:style w:type="character" w:styleId="Style13" w:customStyle="1">
    <w:name w:val="Абзац списка Знак"/>
    <w:qFormat/>
    <w:rPr>
      <w:sz w:val="24"/>
      <w:szCs w:val="24"/>
    </w:rPr>
  </w:style>
  <w:style w:type="character" w:styleId="6" w:customStyle="1">
    <w:name w:val="Заголовок 6 Знак"/>
    <w:qFormat/>
    <w:rPr>
      <w:b/>
      <w:bCs/>
      <w:sz w:val="22"/>
      <w:szCs w:val="22"/>
    </w:rPr>
  </w:style>
  <w:style w:type="character" w:styleId="Style14" w:customStyle="1">
    <w:name w:val="Название Знак"/>
    <w:qFormat/>
    <w:rPr>
      <w:sz w:val="28"/>
      <w:lang w:val="ru-RU" w:bidi="ar-SA"/>
    </w:rPr>
  </w:style>
  <w:style w:type="character" w:styleId="Style15" w:customStyle="1">
    <w:name w:val="Заголовок Знак"/>
    <w:qFormat/>
    <w:rPr>
      <w:rFonts w:ascii="Calibri Light" w:hAnsi="Calibri Light" w:eastAsia="Times New Roman" w:cs="Times New Roman"/>
      <w:b/>
      <w:bCs/>
      <w:sz w:val="32"/>
      <w:szCs w:val="32"/>
    </w:rPr>
  </w:style>
  <w:style w:type="character" w:styleId="Style16" w:customStyle="1">
    <w:name w:val="Нижний колонтитул Знак"/>
    <w:qFormat/>
    <w:rPr/>
  </w:style>
  <w:style w:type="character" w:styleId="FollowedHyperlink">
    <w:name w:val="FollowedHyperlink"/>
    <w:rPr>
      <w:color w:val="954F72"/>
      <w:u w:val="single"/>
    </w:rPr>
  </w:style>
  <w:style w:type="character" w:styleId="Style17" w:customStyle="1">
    <w:name w:val="Гиперссылка"/>
    <w:qFormat/>
    <w:rPr>
      <w:color w:val="0000FF"/>
      <w:u w:val="single"/>
    </w:rPr>
  </w:style>
  <w:style w:type="character" w:styleId="Style18">
    <w:name w:val="Символ нумерации"/>
    <w:qFormat/>
    <w:rPr/>
  </w:style>
  <w:style w:type="character" w:styleId="Style19">
    <w:name w:val="Маркеры"/>
    <w:qFormat/>
    <w:rPr>
      <w:rFonts w:ascii="OpenSymbol" w:hAnsi="OpenSymbol" w:eastAsia="OpenSymbol" w:cs="OpenSymbol"/>
    </w:rPr>
  </w:style>
  <w:style w:type="paragraph" w:styleId="Style20">
    <w:name w:val="Заголовок"/>
    <w:basedOn w:val="Normal"/>
    <w:next w:val="BodyText"/>
    <w:qFormat/>
    <w:pPr>
      <w:keepNext w:val="true"/>
      <w:spacing w:before="240" w:after="120"/>
    </w:pPr>
    <w:rPr>
      <w:rFonts w:ascii="Open Sans" w:hAnsi="Open Sans" w:eastAsia="Droid Sans Fallback" w:cs="Lohit Devanagari"/>
      <w:sz w:val="28"/>
      <w:szCs w:val="28"/>
    </w:rPr>
  </w:style>
  <w:style w:type="paragraph" w:styleId="BodyText">
    <w:name w:val="Body Text"/>
    <w:basedOn w:val="Normal"/>
    <w:pPr>
      <w:jc w:val="right"/>
    </w:pPr>
    <w:rPr>
      <w:sz w:val="28"/>
    </w:rPr>
  </w:style>
  <w:style w:type="paragraph" w:styleId="List">
    <w:name w:val="List"/>
    <w:basedOn w:val="BodyText"/>
    <w:pPr/>
    <w:rPr>
      <w:rFonts w:cs="Lohit Devanagari"/>
    </w:rPr>
  </w:style>
  <w:style w:type="paragraph" w:styleId="Caption">
    <w:name w:val="Caption"/>
    <w:basedOn w:val="Normal"/>
    <w:qFormat/>
    <w:pPr>
      <w:suppressLineNumbers/>
      <w:spacing w:before="120" w:after="120"/>
    </w:pPr>
    <w:rPr>
      <w:rFonts w:cs="Lohit Devanagari"/>
      <w:i/>
      <w:iCs/>
    </w:rPr>
  </w:style>
  <w:style w:type="paragraph" w:styleId="Style21">
    <w:name w:val="Указатель"/>
    <w:basedOn w:val="Normal"/>
    <w:qFormat/>
    <w:pPr>
      <w:suppressLineNumbers/>
    </w:pPr>
    <w:rPr>
      <w:rFonts w:cs="Lohit Devanagari"/>
    </w:rPr>
  </w:style>
  <w:style w:type="paragraph" w:styleId="ListParagraph">
    <w:name w:val="List Paragraph"/>
    <w:basedOn w:val="Normal"/>
    <w:qFormat/>
    <w:pPr>
      <w:ind w:left="708"/>
    </w:pPr>
    <w:rPr/>
  </w:style>
  <w:style w:type="paragraph" w:styleId="NoSpacing">
    <w:name w:val="No Spacing"/>
    <w:uiPriority w:val="1"/>
    <w:qFormat/>
    <w:pPr>
      <w:widowControl/>
      <w:suppressAutoHyphens w:val="true"/>
      <w:bidi w:val="0"/>
      <w:spacing w:before="0" w:after="0"/>
      <w:jc w:val="left"/>
    </w:pPr>
    <w:rPr>
      <w:rFonts w:ascii="Times New Roman" w:hAnsi="Times New Roman" w:eastAsia="Droid Sans Fallback" w:cs="Lohit Devanagari"/>
      <w:color w:val="auto"/>
      <w:kern w:val="0"/>
      <w:sz w:val="20"/>
      <w:szCs w:val="20"/>
      <w:lang w:val="ru-RU" w:eastAsia="ru-RU" w:bidi="ar-SA"/>
    </w:rPr>
  </w:style>
  <w:style w:type="paragraph" w:styleId="Title">
    <w:name w:val="Title"/>
    <w:basedOn w:val="Normal"/>
    <w:qFormat/>
    <w:pPr>
      <w:spacing w:before="240" w:after="60"/>
      <w:jc w:val="center"/>
      <w:outlineLvl w:val="0"/>
    </w:pPr>
    <w:rPr>
      <w:rFonts w:ascii="Calibri Light" w:hAnsi="Calibri Light"/>
      <w:b/>
      <w:bCs/>
      <w:sz w:val="32"/>
      <w:szCs w:val="32"/>
    </w:rPr>
  </w:style>
  <w:style w:type="paragraph" w:styleId="Subtitle">
    <w:name w:val="Subtitle"/>
    <w:basedOn w:val="Normal"/>
    <w:uiPriority w:val="11"/>
    <w:qFormat/>
    <w:pPr>
      <w:spacing w:before="200" w:after="200"/>
    </w:pPr>
    <w:rPr/>
  </w:style>
  <w:style w:type="paragraph" w:styleId="Quote">
    <w:name w:val="Quote"/>
    <w:basedOn w:val="Normal"/>
    <w:uiPriority w:val="29"/>
    <w:qFormat/>
    <w:pPr>
      <w:ind w:left="720" w:right="720"/>
    </w:pPr>
    <w:rPr>
      <w:i/>
    </w:rPr>
  </w:style>
  <w:style w:type="paragraph" w:styleId="IntenseQuote">
    <w:name w:val="Intense Quote"/>
    <w:basedOn w:val="Normal"/>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paragraph" w:styleId="FootnoteText">
    <w:name w:val="Footnote Text"/>
    <w:basedOn w:val="Normal"/>
    <w:uiPriority w:val="99"/>
    <w:semiHidden/>
    <w:unhideWhenUsed/>
    <w:pPr>
      <w:spacing w:before="0" w:after="40"/>
    </w:pPr>
    <w:rPr>
      <w:sz w:val="18"/>
    </w:rPr>
  </w:style>
  <w:style w:type="paragraph" w:styleId="EndnoteText">
    <w:name w:val="Endnote Text"/>
    <w:basedOn w:val="Normal"/>
    <w:uiPriority w:val="99"/>
    <w:semiHidden/>
    <w:unhideWhenUsed/>
    <w:pPr/>
    <w:rPr>
      <w:sz w:val="20"/>
    </w:rPr>
  </w:style>
  <w:style w:type="paragraph" w:styleId="TOC1">
    <w:name w:val="TOC 1"/>
    <w:basedOn w:val="Normal"/>
    <w:uiPriority w:val="39"/>
    <w:unhideWhenUsed/>
    <w:pPr>
      <w:spacing w:before="0" w:after="57"/>
    </w:pPr>
    <w:rPr/>
  </w:style>
  <w:style w:type="paragraph" w:styleId="TOC2">
    <w:name w:val="TOC 2"/>
    <w:basedOn w:val="Normal"/>
    <w:uiPriority w:val="39"/>
    <w:unhideWhenUsed/>
    <w:pPr>
      <w:spacing w:before="0" w:after="57"/>
      <w:ind w:left="283"/>
    </w:pPr>
    <w:rPr/>
  </w:style>
  <w:style w:type="paragraph" w:styleId="TOC3">
    <w:name w:val="TOC 3"/>
    <w:basedOn w:val="Normal"/>
    <w:uiPriority w:val="39"/>
    <w:unhideWhenUsed/>
    <w:pPr>
      <w:spacing w:before="0" w:after="57"/>
      <w:ind w:left="567"/>
    </w:pPr>
    <w:rPr/>
  </w:style>
  <w:style w:type="paragraph" w:styleId="TOC4">
    <w:name w:val="TOC 4"/>
    <w:basedOn w:val="Normal"/>
    <w:uiPriority w:val="39"/>
    <w:unhideWhenUsed/>
    <w:pPr>
      <w:spacing w:before="0" w:after="57"/>
      <w:ind w:left="850"/>
    </w:pPr>
    <w:rPr/>
  </w:style>
  <w:style w:type="paragraph" w:styleId="TOC5">
    <w:name w:val="TOC 5"/>
    <w:basedOn w:val="Normal"/>
    <w:uiPriority w:val="39"/>
    <w:unhideWhenUsed/>
    <w:pPr>
      <w:spacing w:before="0" w:after="57"/>
      <w:ind w:left="1134"/>
    </w:pPr>
    <w:rPr/>
  </w:style>
  <w:style w:type="paragraph" w:styleId="TOC6">
    <w:name w:val="TOC 6"/>
    <w:basedOn w:val="Normal"/>
    <w:uiPriority w:val="39"/>
    <w:unhideWhenUsed/>
    <w:pPr>
      <w:spacing w:before="0" w:after="57"/>
      <w:ind w:left="1417"/>
    </w:pPr>
    <w:rPr/>
  </w:style>
  <w:style w:type="paragraph" w:styleId="TOC7">
    <w:name w:val="TOC 7"/>
    <w:basedOn w:val="Normal"/>
    <w:uiPriority w:val="39"/>
    <w:unhideWhenUsed/>
    <w:pPr>
      <w:spacing w:before="0" w:after="57"/>
      <w:ind w:left="1701"/>
    </w:pPr>
    <w:rPr/>
  </w:style>
  <w:style w:type="paragraph" w:styleId="TOC8">
    <w:name w:val="TOC 8"/>
    <w:basedOn w:val="Normal"/>
    <w:uiPriority w:val="39"/>
    <w:unhideWhenUsed/>
    <w:pPr>
      <w:spacing w:before="0" w:after="57"/>
      <w:ind w:left="1984"/>
    </w:pPr>
    <w:rPr/>
  </w:style>
  <w:style w:type="paragraph" w:styleId="TOC9">
    <w:name w:val="TOC 9"/>
    <w:basedOn w:val="Normal"/>
    <w:uiPriority w:val="39"/>
    <w:unhideWhenUsed/>
    <w:pPr>
      <w:spacing w:before="0" w:after="57"/>
      <w:ind w:left="2268"/>
    </w:pPr>
    <w:rPr/>
  </w:style>
  <w:style w:type="paragraph" w:styleId="IndexHeading">
    <w:name w:val="Index Heading"/>
    <w:basedOn w:val="Style20"/>
    <w:pPr/>
    <w:rPr/>
  </w:style>
  <w:style w:type="paragraph" w:styleId="TOCHeading">
    <w:name w:val="TOC Heading"/>
    <w:uiPriority w:val="39"/>
    <w:unhideWhenUsed/>
    <w:qFormat/>
    <w:pPr>
      <w:widowControl/>
      <w:suppressAutoHyphens w:val="true"/>
      <w:bidi w:val="0"/>
      <w:spacing w:before="0" w:after="0"/>
      <w:jc w:val="left"/>
    </w:pPr>
    <w:rPr>
      <w:rFonts w:ascii="Times New Roman" w:hAnsi="Times New Roman" w:eastAsia="Droid Sans Fallback" w:cs="Lohit Devanagari"/>
      <w:color w:val="auto"/>
      <w:kern w:val="0"/>
      <w:sz w:val="20"/>
      <w:szCs w:val="20"/>
      <w:lang w:val="ru-RU" w:eastAsia="ru-RU" w:bidi="ar-SA"/>
    </w:rPr>
  </w:style>
  <w:style w:type="paragraph" w:styleId="TableofFigures">
    <w:name w:val="Table of Figures"/>
    <w:basedOn w:val="Normal"/>
    <w:uiPriority w:val="99"/>
    <w:unhideWhenUsed/>
    <w:pPr/>
    <w:rPr/>
  </w:style>
  <w:style w:type="paragraph" w:styleId="Indexheading1">
    <w:name w:val="index heading1"/>
    <w:basedOn w:val="Normal"/>
    <w:qFormat/>
    <w:pPr>
      <w:suppressLineNumbers/>
    </w:pPr>
    <w:rPr>
      <w:rFonts w:cs="Lohit Devanagari"/>
    </w:rPr>
  </w:style>
  <w:style w:type="paragraph" w:styleId="Caption1" w:customStyle="1">
    <w:name w:val="Caption1"/>
    <w:basedOn w:val="Normal"/>
    <w:qFormat/>
    <w:pPr>
      <w:suppressLineNumbers/>
      <w:spacing w:before="120" w:after="120"/>
    </w:pPr>
    <w:rPr>
      <w:rFonts w:cs="Lohit Devanagari"/>
      <w:i/>
      <w:iCs/>
    </w:rPr>
  </w:style>
  <w:style w:type="paragraph" w:styleId="PlainText">
    <w:name w:val="Plain Text"/>
    <w:basedOn w:val="Normal"/>
    <w:qFormat/>
    <w:pPr/>
    <w:rPr>
      <w:rFonts w:ascii="Courier New" w:hAnsi="Courier New" w:cs="Courier New"/>
      <w:sz w:val="20"/>
      <w:szCs w:val="20"/>
      <w:lang w:val="en-US"/>
    </w:rPr>
  </w:style>
  <w:style w:type="paragraph" w:styleId="ConsNormal" w:customStyle="1">
    <w:name w:val="ConsNormal"/>
    <w:qFormat/>
    <w:pPr>
      <w:widowControl/>
      <w:suppressAutoHyphens w:val="true"/>
      <w:bidi w:val="0"/>
      <w:spacing w:before="0" w:after="0"/>
      <w:ind w:firstLine="720"/>
      <w:jc w:val="left"/>
    </w:pPr>
    <w:rPr>
      <w:rFonts w:ascii="Consultant" w:hAnsi="Consultant" w:eastAsia="Droid Sans Fallback" w:cs="Consultant"/>
      <w:color w:val="auto"/>
      <w:kern w:val="0"/>
      <w:sz w:val="20"/>
      <w:szCs w:val="20"/>
      <w:lang w:val="ru-RU" w:eastAsia="zh-CN" w:bidi="ar-SA"/>
    </w:rPr>
  </w:style>
  <w:style w:type="paragraph" w:styleId="BodyText2">
    <w:name w:val="Body Text 2"/>
    <w:basedOn w:val="Normal"/>
    <w:qFormat/>
    <w:pPr>
      <w:spacing w:lineRule="auto" w:line="480" w:before="0" w:after="120"/>
    </w:pPr>
    <w:rPr/>
  </w:style>
  <w:style w:type="paragraph" w:styleId="BodyText3">
    <w:name w:val="Body Text 3"/>
    <w:basedOn w:val="Normal"/>
    <w:qFormat/>
    <w:pPr>
      <w:spacing w:before="0" w:after="120"/>
    </w:pPr>
    <w:rPr>
      <w:sz w:val="16"/>
      <w:szCs w:val="16"/>
    </w:rPr>
  </w:style>
  <w:style w:type="paragraph" w:styleId="Style22" w:customStyle="1">
    <w:name w:val="Колонтитул"/>
    <w:basedOn w:val="Normal"/>
    <w:qFormat/>
    <w:pPr>
      <w:suppressLineNumbers/>
      <w:tabs>
        <w:tab w:val="clear" w:pos="708"/>
        <w:tab w:val="center" w:pos="4819" w:leader="none"/>
        <w:tab w:val="right" w:pos="9638" w:leader="none"/>
      </w:tabs>
    </w:pPr>
    <w:rPr/>
  </w:style>
  <w:style w:type="paragraph" w:styleId="Footer">
    <w:name w:val="Footer"/>
    <w:basedOn w:val="Normal"/>
    <w:pPr>
      <w:tabs>
        <w:tab w:val="clear" w:pos="708"/>
        <w:tab w:val="center" w:pos="4153" w:leader="none"/>
        <w:tab w:val="right" w:pos="8306" w:leader="none"/>
      </w:tabs>
    </w:pPr>
    <w:rPr>
      <w:sz w:val="20"/>
      <w:szCs w:val="20"/>
    </w:rPr>
  </w:style>
  <w:style w:type="paragraph" w:styleId="BalloonText">
    <w:name w:val="Balloon Text"/>
    <w:basedOn w:val="Normal"/>
    <w:qFormat/>
    <w:pPr/>
    <w:rPr>
      <w:rFonts w:ascii="Tahoma" w:hAnsi="Tahoma" w:cs="Tahoma"/>
      <w:sz w:val="16"/>
      <w:szCs w:val="16"/>
    </w:rPr>
  </w:style>
  <w:style w:type="paragraph" w:styleId="Style23" w:customStyle="1">
    <w:name w:val="Знак Знак Знак Знак Знак Знак Знак Знак Знак Знак Знак Знак"/>
    <w:basedOn w:val="Normal"/>
    <w:qFormat/>
    <w:pPr/>
    <w:rPr>
      <w:rFonts w:ascii="Verdana" w:hAnsi="Verdana" w:cs="Verdana"/>
      <w:sz w:val="20"/>
      <w:szCs w:val="20"/>
      <w:lang w:val="en-US"/>
    </w:rPr>
  </w:style>
  <w:style w:type="paragraph" w:styleId="ConsPlusNormal" w:customStyle="1">
    <w:name w:val="ConsPlusNormal"/>
    <w:qFormat/>
    <w:pPr>
      <w:widowControl/>
      <w:suppressAutoHyphens w:val="true"/>
      <w:bidi w:val="0"/>
      <w:spacing w:before="0" w:after="0"/>
      <w:jc w:val="left"/>
    </w:pPr>
    <w:rPr>
      <w:rFonts w:ascii="Times New Roman" w:hAnsi="Times New Roman" w:eastAsia="Calibri" w:cs="Lohit Devanagari"/>
      <w:color w:val="auto"/>
      <w:kern w:val="0"/>
      <w:sz w:val="20"/>
      <w:szCs w:val="20"/>
      <w:lang w:val="ru-RU" w:eastAsia="zh-CN" w:bidi="ar-SA"/>
    </w:rPr>
  </w:style>
  <w:style w:type="paragraph" w:styleId="Header">
    <w:name w:val="Header"/>
    <w:pPr>
      <w:widowControl/>
      <w:tabs>
        <w:tab w:val="clear" w:pos="708"/>
        <w:tab w:val="center" w:pos="4153" w:leader="none"/>
        <w:tab w:val="right" w:pos="8306" w:leader="none"/>
      </w:tabs>
      <w:suppressAutoHyphens w:val="true"/>
      <w:bidi w:val="0"/>
      <w:spacing w:before="0" w:after="0"/>
      <w:jc w:val="center"/>
    </w:pPr>
    <w:rPr>
      <w:rFonts w:ascii="Times New Roman" w:hAnsi="Times New Roman" w:eastAsia="Droid Sans Fallback" w:cs="Lohit Devanagari"/>
      <w:color w:val="auto"/>
      <w:kern w:val="0"/>
      <w:sz w:val="16"/>
      <w:szCs w:val="20"/>
      <w:lang w:val="ru-RU" w:eastAsia="zh-CN" w:bidi="ar-SA"/>
    </w:rPr>
  </w:style>
  <w:style w:type="paragraph" w:styleId="BodyTextIndent3">
    <w:name w:val="Body Text Indent 3"/>
    <w:basedOn w:val="Normal"/>
    <w:qFormat/>
    <w:pPr>
      <w:spacing w:before="0" w:after="120"/>
      <w:ind w:left="283"/>
    </w:pPr>
    <w:rPr>
      <w:sz w:val="16"/>
      <w:szCs w:val="16"/>
      <w:lang w:val="en-US"/>
    </w:rPr>
  </w:style>
  <w:style w:type="paragraph" w:styleId="NormalWeb">
    <w:name w:val="Normal (Web)"/>
    <w:basedOn w:val="Normal"/>
    <w:qFormat/>
    <w:pPr>
      <w:spacing w:before="280" w:after="280"/>
    </w:pPr>
    <w:rPr/>
  </w:style>
  <w:style w:type="paragraph" w:styleId="Default" w:customStyle="1">
    <w:name w:val="Default"/>
    <w:qFormat/>
    <w:pPr>
      <w:widowControl/>
      <w:suppressAutoHyphens w:val="true"/>
      <w:bidi w:val="0"/>
      <w:spacing w:before="0" w:after="0"/>
      <w:jc w:val="left"/>
    </w:pPr>
    <w:rPr>
      <w:rFonts w:ascii="Times New Roman" w:hAnsi="Times New Roman" w:eastAsia="Droid Sans Fallback" w:cs="Lohit Devanagari"/>
      <w:color w:val="000000"/>
      <w:kern w:val="0"/>
      <w:sz w:val="24"/>
      <w:szCs w:val="24"/>
      <w:lang w:val="ru-RU" w:eastAsia="zh-CN" w:bidi="ar-SA"/>
    </w:rPr>
  </w:style>
  <w:style w:type="paragraph" w:styleId="Style24" w:customStyle="1">
    <w:name w:val="Содержимое таблицы"/>
    <w:basedOn w:val="Normal"/>
    <w:qFormat/>
    <w:pPr>
      <w:widowControl w:val="false"/>
      <w:suppressLineNumbers/>
    </w:pPr>
    <w:rPr/>
  </w:style>
  <w:style w:type="paragraph" w:styleId="Style25" w:customStyle="1">
    <w:name w:val="Заголовок таблицы"/>
    <w:basedOn w:val="Style24"/>
    <w:qFormat/>
    <w:pPr>
      <w:jc w:val="center"/>
    </w:pPr>
    <w:rPr>
      <w:b/>
      <w:bCs/>
    </w:rPr>
  </w:style>
  <w:style w:type="paragraph" w:styleId="TimesNewRoman">
    <w:name w:val="Times New Roman"/>
    <w:qFormat/>
    <w:pPr>
      <w:keepNext w:val="false"/>
      <w:keepLines w:val="false"/>
      <w:pageBreakBefore w:val="false"/>
      <w:widowControl/>
      <w:shd w:val="nil"/>
      <w:suppressAutoHyphens w:val="true"/>
      <w:bidi w:val="0"/>
      <w:spacing w:lineRule="auto" w:line="240" w:beforeAutospacing="0" w:before="0" w:afterAutospacing="0" w:after="0"/>
      <w:ind w:firstLine="311" w:left="0" w:right="0"/>
      <w:jc w:val="both"/>
    </w:pPr>
    <w:rPr>
      <w:rFonts w:ascii="Times New Roman" w:hAnsi="Times New Roman" w:eastAsia="Times New Roman" w:cs="Times New Roman"/>
      <w:b w:val="false"/>
      <w:bCs w:val="false"/>
      <w:i w:val="false"/>
      <w:iCs w:val="false"/>
      <w:caps w:val="false"/>
      <w:smallCaps w:val="false"/>
      <w:strike w:val="false"/>
      <w:dstrike w:val="false"/>
      <w:vanish w:val="false"/>
      <w:color w:val="auto"/>
      <w:spacing w:val="0"/>
      <w:kern w:val="0"/>
      <w:position w:val="0"/>
      <w:sz w:val="24"/>
      <w:sz w:val="24"/>
      <w:szCs w:val="24"/>
      <w:u w:val="none"/>
      <w:vertAlign w:val="baseline"/>
      <w:lang w:val="ru-RU" w:eastAsia="ru-RU" w:bidi="ar-SA"/>
      <w14:ligatures w14:val="none"/>
    </w:rPr>
  </w:style>
  <w:style w:type="numbering" w:styleId="NoList" w:default="1">
    <w:name w:val="No List"/>
    <w:uiPriority w:val="99"/>
    <w:semiHidden/>
    <w:unhideWhenUsed/>
    <w:qFormat/>
  </w:style>
  <w:style w:type="table" w:styleId="831">
    <w:name w:val="Table Grid"/>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832">
    <w:name w:val="Table Grid Light"/>
    <w:uiPriority w:val="59"/>
    <w:pPr>
      <w:spacing w:after="0" w:line="240" w:lineRule="auto"/>
    </w:pPr>
    <w:tblP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833">
    <w:name w:val="Plain Table 1"/>
    <w:uiPriority w:val="59"/>
    <w:pPr>
      <w:spacing w:after="0" w:line="240" w:lineRule="auto"/>
    </w:pPr>
    <w:tblP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blPr/>
      <w:tcPr>
        <w:shd w:val="clear" w:color="FFFFFF" w:fill="F2F2F2" w:themeFill="text1" w:themeFillTint="0"/>
      </w:tcPr>
    </w:tblStylePr>
    <w:tblStylePr w:type="band1Vert">
      <w:tblPr/>
      <w:tcPr>
        <w:shd w:val="clear" w:color="FFFFFF" w:fill="F2F2F2" w:themeFill="text1" w:themeFillTint="0"/>
      </w:tcPr>
    </w:tblStylePr>
    <w:tblStylePr w:type="firstCol">
      <w:rPr>
        <w:b/>
        <w:sz w:val="22"/>
      </w:rPr>
      <w:tblPr/>
    </w:tblStylePr>
    <w:tblStylePr w:type="firstRow">
      <w:rPr>
        <w:b/>
        <w:sz w:val="22"/>
      </w:rPr>
      <w:tblPr/>
    </w:tblStylePr>
    <w:tblStylePr w:type="lastCol">
      <w:rPr>
        <w:b/>
        <w:sz w:val="22"/>
      </w:rPr>
      <w:tblPr/>
    </w:tblStylePr>
    <w:tblStylePr w:type="lastRow">
      <w:rPr>
        <w:b/>
        <w:sz w:val="22"/>
      </w:rPr>
      <w:tblPr/>
    </w:tblStylePr>
  </w:style>
  <w:style w:type="table" w:styleId="834">
    <w:name w:val="Plain Table 2"/>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blPr/>
      <w:tcPr>
        <w:tcBorders>
          <w:top w:val="single" w:color="000000" w:themeColor="text1" w:sz="4" w:space="0"/>
          <w:bottom w:val="single" w:color="000000" w:themeColor="text1" w:sz="4" w:space="0"/>
        </w:tcBorders>
      </w:tcPr>
    </w:tblStylePr>
    <w:tblStylePr w:type="band1Vert">
      <w:tblPr/>
      <w:tcPr>
        <w:tcBorders>
          <w:left w:val="single" w:color="000000" w:themeColor="text1" w:sz="4" w:space="0"/>
          <w:right w:val="single" w:color="000000" w:themeColor="text1" w:sz="4" w:space="0"/>
        </w:tcBorders>
      </w:tcPr>
    </w:tblStylePr>
    <w:tblStylePr w:type="band2Vert">
      <w:tblPr/>
      <w:tcPr>
        <w:tcBorders>
          <w:left w:val="single" w:color="000000" w:themeColor="text1" w:sz="4" w:space="0"/>
          <w:right w:val="single" w:color="000000" w:themeColor="text1" w:sz="4" w:space="0"/>
        </w:tcBorders>
      </w:tcPr>
    </w:tblStylePr>
    <w:tblStylePr w:type="firstCol">
      <w:rPr>
        <w:b/>
        <w:sz w:val="22"/>
      </w:rPr>
      <w:tblPr/>
    </w:tblStylePr>
    <w:tblStylePr w:type="firstRow">
      <w:rPr>
        <w:b/>
        <w:sz w:val="22"/>
      </w:rPr>
      <w:tblPr/>
      <w:tcPr>
        <w:tcBorders>
          <w:top w:val="single" w:color="000000" w:themeColor="text1" w:sz="4" w:space="0"/>
          <w:bottom w:val="single" w:color="000000" w:themeColor="text1" w:sz="4" w:space="0"/>
        </w:tcBorders>
      </w:tcPr>
    </w:tblStylePr>
    <w:tblStylePr w:type="lastCol">
      <w:rPr>
        <w:b/>
        <w:sz w:val="22"/>
      </w:rPr>
      <w:tblPr/>
    </w:tblStylePr>
    <w:tblStylePr w:type="lastRow">
      <w:rPr>
        <w:b/>
        <w:sz w:val="22"/>
      </w:rPr>
      <w:tblPr/>
    </w:tblStylePr>
  </w:style>
  <w:style w:type="table" w:styleId="835">
    <w:name w:val="Plain Table 3"/>
    <w:uiPriority w:val="99"/>
    <w:pPr>
      <w:spacing w:after="0" w:line="240" w:lineRule="auto"/>
    </w:pPr>
    <w:tblPr>
      <w:tblStyleRowBandSize w:val="1"/>
      <w:tblStyleColBandSize w:val="1"/>
    </w:tblPr>
    <w:tblStylePr w:type="band1Horz">
      <w:rPr>
        <w:sz w:val="22"/>
      </w:rPr>
      <w:tblPr/>
      <w:tcPr>
        <w:shd w:val="clear" w:color="FFFFFF" w:fill="F2F2F2" w:themeFill="text1" w:themeFillTint="0"/>
      </w:tcPr>
    </w:tblStylePr>
    <w:tblStylePr w:type="band1Vert">
      <w:rPr>
        <w:sz w:val="22"/>
      </w:rPr>
      <w:tblPr/>
      <w:tcPr>
        <w:shd w:val="clear" w:color="FFFFFF" w:fill="F2F2F2" w:themeFill="text1" w:themeFillTint="0"/>
      </w:tcPr>
    </w:tblStylePr>
    <w:tblStylePr w:type="firstCol">
      <w:rPr>
        <w:b/>
        <w:caps/>
      </w:rPr>
      <w:tblPr/>
      <w:tcPr>
        <w:tcBorders>
          <w:top w:val="none" w:color="000000" w:sz="4" w:space="0"/>
          <w:left w:val="none" w:color="000000" w:sz="4" w:space="0"/>
          <w:bottom w:val="none" w:color="000000" w:sz="4" w:space="0"/>
          <w:right w:val="single" w:color="404040" w:sz="4" w:space="0"/>
        </w:tcBorders>
      </w:tcPr>
    </w:tblStylePr>
    <w:tblStylePr w:type="firstRow">
      <w:rPr>
        <w:b/>
        <w:caps/>
      </w:rPr>
      <w:tblPr/>
      <w:tcPr>
        <w:tcBorders>
          <w:top w:val="none" w:color="000000" w:sz="4" w:space="0"/>
          <w:left w:val="none" w:color="000000" w:sz="4" w:space="0"/>
          <w:bottom w:val="single" w:color="404040" w:sz="4" w:space="0"/>
          <w:right w:val="none" w:color="000000" w:sz="4" w:space="0"/>
        </w:tcBorders>
      </w:tcPr>
    </w:tblStylePr>
    <w:tblStylePr w:type="lastCol">
      <w:rPr>
        <w:b/>
        <w:caps/>
      </w:rPr>
      <w:tblPr/>
    </w:tblStylePr>
    <w:tblStylePr w:type="lastRow">
      <w:rPr>
        <w:b/>
        <w:caps/>
      </w:rPr>
      <w:tblPr/>
    </w:tblStylePr>
  </w:style>
  <w:style w:type="table" w:styleId="836">
    <w:name w:val="Plain Table 4"/>
    <w:uiPriority w:val="99"/>
    <w:pPr>
      <w:spacing w:after="0" w:line="240" w:lineRule="auto"/>
    </w:pPr>
    <w:tblPr>
      <w:tblStyleRowBandSize w:val="1"/>
      <w:tblStyleColBandSize w:val="1"/>
    </w:tblPr>
    <w:tblStylePr w:type="band1Horz">
      <w:rPr>
        <w:sz w:val="22"/>
      </w:rPr>
      <w:tblPr/>
      <w:tcPr>
        <w:shd w:val="clear" w:color="FFFFFF" w:fill="F2F2F2" w:themeFill="text1" w:themeFillTint="0"/>
      </w:tcPr>
    </w:tblStylePr>
    <w:tblStylePr w:type="band1Vert">
      <w:rPr>
        <w:sz w:val="22"/>
      </w:rPr>
      <w:tblPr/>
      <w:tcPr>
        <w:shd w:val="clear" w:color="FFFFFF" w:fill="F2F2F2" w:themeFill="text1" w:themeFillTint="0"/>
      </w:tcPr>
    </w:tblStylePr>
    <w:tblStylePr w:type="firstCol">
      <w:rPr>
        <w:b/>
      </w:rPr>
      <w:tblPr/>
    </w:tblStylePr>
    <w:tblStylePr w:type="firstRow">
      <w:rPr>
        <w:b/>
      </w:rPr>
      <w:tblPr/>
    </w:tblStylePr>
    <w:tblStylePr w:type="lastCol">
      <w:rPr>
        <w:b/>
      </w:rPr>
      <w:tblPr/>
    </w:tblStylePr>
    <w:tblStylePr w:type="lastRow">
      <w:rPr>
        <w:b/>
      </w:rPr>
      <w:tblPr/>
    </w:tblStylePr>
  </w:style>
  <w:style w:type="table" w:styleId="837">
    <w:name w:val="Plain Table 5"/>
    <w:uiPriority w:val="99"/>
    <w:pPr>
      <w:spacing w:after="0" w:line="240" w:lineRule="auto"/>
    </w:pPr>
    <w:tblPr>
      <w:tblStyleRowBandSize w:val="1"/>
      <w:tblStyleColBandSize w:val="1"/>
    </w:tblPr>
    <w:tblStylePr w:type="band1Horz">
      <w:rPr>
        <w:sz w:val="22"/>
      </w:rPr>
      <w:tblPr/>
      <w:tcPr>
        <w:shd w:val="clear" w:color="FFFFFF" w:fill="F2F2F2" w:themeFill="text1" w:themeFillTint="0"/>
      </w:tcPr>
    </w:tblStylePr>
    <w:tblStylePr w:type="band1Vert">
      <w:rPr>
        <w:sz w:val="22"/>
      </w:rPr>
      <w:tblPr/>
      <w:tcPr>
        <w:shd w:val="clear" w:color="FFFFFF" w:fill="F2F2F2" w:themeFill="text1" w:themeFillTint="0"/>
      </w:tcPr>
    </w:tblStylePr>
    <w:tblStylePr w:type="firstCol">
      <w:pPr>
        <w:jc w:val="right"/>
      </w:pPr>
      <w:rPr>
        <w:i/>
      </w:rPr>
      <w:tblPr/>
      <w:tcPr>
        <w:tcBorders>
          <w:right w:val="single" w:color="404040" w:sz="4" w:space="0"/>
        </w:tcBorders>
        <w:shd w:val="clear" w:color="FFFFFF"/>
      </w:tcPr>
    </w:tblStylePr>
    <w:tblStylePr w:type="firstRow">
      <w:rPr>
        <w:i/>
      </w:rPr>
      <w:tblPr/>
      <w:tcPr>
        <w:tcBorders>
          <w:left w:val="none" w:color="000000" w:sz="4" w:space="0"/>
          <w:bottom w:val="single" w:color="404040" w:sz="4" w:space="0"/>
          <w:right w:val="none" w:color="000000" w:sz="4" w:space="0"/>
        </w:tcBorders>
        <w:shd w:val="clear" w:color="FFFFFF"/>
      </w:tcPr>
    </w:tblStylePr>
    <w:tblStylePr w:type="lastCol">
      <w:rPr>
        <w:i/>
      </w:rPr>
      <w:tblPr/>
      <w:tcPr>
        <w:tcBorders>
          <w:left w:val="single" w:color="404040" w:sz="4" w:space="0"/>
        </w:tcBorders>
        <w:shd w:val="clear" w:color="FFFFFF"/>
      </w:tcPr>
    </w:tblStylePr>
    <w:tblStylePr w:type="lastRow">
      <w:rPr>
        <w:i/>
      </w:rPr>
      <w:tblPr/>
      <w:tcPr>
        <w:tcBorders>
          <w:top w:val="single" w:color="404040" w:sz="4" w:space="0"/>
          <w:left w:val="none" w:color="000000" w:sz="4" w:space="0"/>
          <w:right w:val="none" w:color="000000" w:sz="4" w:space="0"/>
        </w:tcBorders>
        <w:shd w:val="clear" w:color="FFFFFF"/>
      </w:tcPr>
    </w:tblStylePr>
  </w:style>
  <w:style w:type="table" w:styleId="838">
    <w:name w:val="Grid Table 1 Light"/>
    <w:uiPriority w:val="99"/>
    <w:pPr>
      <w:spacing w:after="0" w:line="240" w:lineRule="auto"/>
    </w:pPr>
    <w:tblPr>
      <w:tblStyleRowBandSize w:val="1"/>
      <w:tblStyleColBandSize w:val="1"/>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firstCol">
      <w:rPr>
        <w:b/>
      </w:rPr>
      <w:tblPr/>
    </w:tblStylePr>
    <w:tblStylePr w:type="firstRow">
      <w:rPr>
        <w:b/>
      </w:rPr>
      <w:tblPr/>
      <w:tcPr>
        <w:tcBorders>
          <w:bottom w:val="single" w:color="000000" w:themeColor="text1" w:sz="12" w:space="0"/>
        </w:tcBorders>
      </w:tcPr>
    </w:tblStylePr>
    <w:tblStylePr w:type="lastCol">
      <w:rPr>
        <w:b/>
      </w:rPr>
      <w:tblPr/>
    </w:tblStylePr>
    <w:tblStylePr w:type="lastRow">
      <w:rPr>
        <w:b/>
      </w:rPr>
      <w:tblPr/>
    </w:tblStylePr>
  </w:style>
  <w:style w:type="table" w:styleId="839">
    <w:name w:val="Grid Table 1 Light - Accent 1"/>
    <w:uiPriority w:val="99"/>
    <w:pPr>
      <w:spacing w:after="0" w:line="240" w:lineRule="auto"/>
    </w:pPr>
    <w:tblPr>
      <w:tblStyleRowBandSize w:val="1"/>
      <w:tblStyleColBandSize w:val="1"/>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sz w:val="22"/>
      </w:rPr>
      <w:tblPr/>
      <w:tcPr>
        <w:tcBorders>
          <w:top w:val="single" w:color="000000" w:themeColor="accent1" w:sz="4" w:space="0"/>
          <w:left w:val="single" w:color="000000" w:themeColor="accent1" w:sz="4" w:space="0"/>
          <w:bottom w:val="single" w:color="000000" w:themeColor="accent1" w:sz="4" w:space="0"/>
          <w:right w:val="single" w:color="000000" w:themeColor="accent1" w:sz="4" w:space="0"/>
        </w:tcBorders>
      </w:tcPr>
    </w:tblStylePr>
    <w:tblStylePr w:type="firstCol">
      <w:rPr>
        <w:b/>
      </w:rPr>
      <w:tblPr/>
    </w:tblStylePr>
    <w:tblStylePr w:type="firstRow">
      <w:rPr>
        <w:b/>
      </w:rPr>
      <w:tblPr/>
      <w:tcPr>
        <w:tcBorders>
          <w:bottom w:val="single" w:color="000000" w:themeColor="accent1" w:sz="12" w:space="0"/>
        </w:tcBorders>
      </w:tcPr>
    </w:tblStylePr>
    <w:tblStylePr w:type="lastCol">
      <w:rPr>
        <w:b/>
      </w:rPr>
      <w:tblPr/>
    </w:tblStylePr>
    <w:tblStylePr w:type="lastRow">
      <w:rPr>
        <w:b/>
      </w:rPr>
      <w:tblPr/>
    </w:tblStylePr>
  </w:style>
  <w:style w:type="table" w:styleId="840">
    <w:name w:val="Grid Table 1 Light - Accent 2"/>
    <w:uiPriority w:val="99"/>
    <w:pPr>
      <w:spacing w:after="0" w:line="240" w:lineRule="auto"/>
    </w:pPr>
    <w:tblPr>
      <w:tblStyleRowBandSize w:val="1"/>
      <w:tblStyleColBandSize w:val="1"/>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sz w:val="22"/>
      </w:rPr>
      <w:tblPr/>
      <w:tcPr>
        <w:tcBorders>
          <w:top w:val="single" w:color="000000" w:themeColor="accent2" w:sz="4" w:space="0"/>
          <w:left w:val="single" w:color="000000" w:themeColor="accent2" w:sz="4" w:space="0"/>
          <w:bottom w:val="single" w:color="000000" w:themeColor="accent2" w:sz="4" w:space="0"/>
          <w:right w:val="single" w:color="000000" w:themeColor="accent2" w:sz="4" w:space="0"/>
        </w:tcBorders>
      </w:tcPr>
    </w:tblStylePr>
    <w:tblStylePr w:type="firstCol">
      <w:rPr>
        <w:b/>
      </w:rPr>
      <w:tblPr/>
    </w:tblStylePr>
    <w:tblStylePr w:type="firstRow">
      <w:rPr>
        <w:b/>
      </w:rPr>
      <w:tblPr/>
      <w:tcPr>
        <w:tcBorders>
          <w:bottom w:val="single" w:color="000000" w:themeColor="accent2" w:sz="12" w:space="0"/>
        </w:tcBorders>
      </w:tcPr>
    </w:tblStylePr>
    <w:tblStylePr w:type="lastCol">
      <w:rPr>
        <w:b/>
      </w:rPr>
      <w:tblPr/>
    </w:tblStylePr>
    <w:tblStylePr w:type="lastRow">
      <w:rPr>
        <w:b/>
      </w:rPr>
      <w:tblPr/>
    </w:tblStylePr>
  </w:style>
  <w:style w:type="table" w:styleId="841">
    <w:name w:val="Grid Table 1 Light - Accent 3"/>
    <w:uiPriority w:val="99"/>
    <w:pPr>
      <w:spacing w:after="0" w:line="240" w:lineRule="auto"/>
    </w:pPr>
    <w:tblPr>
      <w:tblStyleRowBandSize w:val="1"/>
      <w:tblStyleColBandSize w:val="1"/>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sz w:val="22"/>
      </w:rPr>
      <w:tblPr/>
      <w:tcPr>
        <w:tcBorders>
          <w:top w:val="single" w:color="000000" w:themeColor="accent3" w:sz="4" w:space="0"/>
          <w:left w:val="single" w:color="000000" w:themeColor="accent3" w:sz="4" w:space="0"/>
          <w:bottom w:val="single" w:color="000000" w:themeColor="accent3" w:sz="4" w:space="0"/>
          <w:right w:val="single" w:color="000000" w:themeColor="accent3" w:sz="4" w:space="0"/>
        </w:tcBorders>
      </w:tcPr>
    </w:tblStylePr>
    <w:tblStylePr w:type="firstCol">
      <w:rPr>
        <w:b/>
      </w:rPr>
      <w:tblPr/>
    </w:tblStylePr>
    <w:tblStylePr w:type="firstRow">
      <w:rPr>
        <w:b/>
      </w:rPr>
      <w:tblPr/>
      <w:tcPr>
        <w:tcBorders>
          <w:bottom w:val="single" w:color="000000" w:themeColor="accent3" w:sz="12" w:space="0"/>
        </w:tcBorders>
      </w:tcPr>
    </w:tblStylePr>
    <w:tblStylePr w:type="lastCol">
      <w:rPr>
        <w:b/>
      </w:rPr>
      <w:tblPr/>
    </w:tblStylePr>
    <w:tblStylePr w:type="lastRow">
      <w:rPr>
        <w:b/>
      </w:rPr>
      <w:tblPr/>
    </w:tblStylePr>
  </w:style>
  <w:style w:type="table" w:styleId="842">
    <w:name w:val="Grid Table 1 Light - Accent 4"/>
    <w:uiPriority w:val="99"/>
    <w:pPr>
      <w:spacing w:after="0" w:line="240" w:lineRule="auto"/>
    </w:pPr>
    <w:tblPr>
      <w:tblStyleRowBandSize w:val="1"/>
      <w:tblStyleColBandSize w:val="1"/>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sz w:val="22"/>
      </w:rPr>
      <w:tblPr/>
      <w:tcPr>
        <w:tcBorders>
          <w:top w:val="single" w:color="000000" w:themeColor="accent4" w:sz="4" w:space="0"/>
          <w:left w:val="single" w:color="000000" w:themeColor="accent4" w:sz="4" w:space="0"/>
          <w:bottom w:val="single" w:color="000000" w:themeColor="accent4" w:sz="4" w:space="0"/>
          <w:right w:val="single" w:color="000000" w:themeColor="accent4" w:sz="4" w:space="0"/>
        </w:tcBorders>
      </w:tcPr>
    </w:tblStylePr>
    <w:tblStylePr w:type="firstCol">
      <w:rPr>
        <w:b/>
      </w:rPr>
      <w:tblPr/>
    </w:tblStylePr>
    <w:tblStylePr w:type="firstRow">
      <w:rPr>
        <w:b/>
      </w:rPr>
      <w:tblPr/>
      <w:tcPr>
        <w:tcBorders>
          <w:bottom w:val="single" w:color="000000" w:themeColor="accent4" w:sz="12" w:space="0"/>
        </w:tcBorders>
      </w:tcPr>
    </w:tblStylePr>
    <w:tblStylePr w:type="lastCol">
      <w:rPr>
        <w:b/>
      </w:rPr>
      <w:tblPr/>
    </w:tblStylePr>
    <w:tblStylePr w:type="lastRow">
      <w:rPr>
        <w:b/>
      </w:rPr>
      <w:tblPr/>
    </w:tblStylePr>
  </w:style>
  <w:style w:type="table" w:styleId="843">
    <w:name w:val="Grid Table 1 Light - Accent 5"/>
    <w:uiPriority w:val="99"/>
    <w:pPr>
      <w:spacing w:after="0" w:line="240" w:lineRule="auto"/>
    </w:pPr>
    <w:tblPr>
      <w:tblStyleRowBandSize w:val="1"/>
      <w:tblStyleColBandSize w:val="1"/>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sz w:val="22"/>
      </w:rPr>
      <w:tblPr/>
      <w:tcPr>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firstCol">
      <w:rPr>
        <w:b/>
      </w:rPr>
      <w:tblPr/>
    </w:tblStylePr>
    <w:tblStylePr w:type="firstRow">
      <w:rPr>
        <w:b/>
      </w:rPr>
      <w:tblPr/>
      <w:tcPr>
        <w:tcBorders>
          <w:bottom w:val="single" w:color="000000" w:themeColor="accent5" w:sz="12" w:space="0"/>
        </w:tcBorders>
      </w:tcPr>
    </w:tblStylePr>
    <w:tblStylePr w:type="lastCol">
      <w:rPr>
        <w:b/>
      </w:rPr>
      <w:tblPr/>
    </w:tblStylePr>
    <w:tblStylePr w:type="lastRow">
      <w:rPr>
        <w:b/>
      </w:rPr>
      <w:tblPr/>
    </w:tblStylePr>
  </w:style>
  <w:style w:type="table" w:styleId="844">
    <w:name w:val="Grid Table 1 Light - Accent 6"/>
    <w:uiPriority w:val="99"/>
    <w:pPr>
      <w:spacing w:after="0" w:line="240" w:lineRule="auto"/>
    </w:pPr>
    <w:tblPr>
      <w:tblStyleRowBandSize w:val="1"/>
      <w:tblStyleColBandSize w:val="1"/>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sz w:val="22"/>
      </w:rPr>
      <w:tblPr/>
      <w:tcPr>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firstCol">
      <w:rPr>
        <w:b/>
      </w:rPr>
      <w:tblPr/>
    </w:tblStylePr>
    <w:tblStylePr w:type="firstRow">
      <w:rPr>
        <w:b/>
      </w:rPr>
      <w:tblPr/>
      <w:tcPr>
        <w:tcBorders>
          <w:bottom w:val="single" w:color="000000" w:themeColor="accent6" w:sz="12" w:space="0"/>
        </w:tcBorders>
      </w:tcPr>
    </w:tblStylePr>
    <w:tblStylePr w:type="lastCol">
      <w:rPr>
        <w:b/>
      </w:rPr>
      <w:tblPr/>
    </w:tblStylePr>
    <w:tblStylePr w:type="lastRow">
      <w:rPr>
        <w:b/>
      </w:rPr>
      <w:tblPr/>
    </w:tblStylePr>
  </w:style>
  <w:style w:type="table" w:styleId="845">
    <w:name w:val="Grid Table 2"/>
    <w:uiPriority w:val="99"/>
    <w:pPr>
      <w:spacing w:after="0" w:line="240" w:lineRule="auto"/>
    </w:pPr>
    <w:tblPr>
      <w:tblStyleRowBandSize w:val="1"/>
      <w:tblStyleColBandSize w:val="1"/>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sz w:val="22"/>
      </w:rPr>
      <w:tblPr/>
      <w:tcPr>
        <w:shd w:val="clear" w:color="FFFFFF" w:fill="CBCBCB" w:themeFill="text1" w:themeFillTint="34"/>
      </w:tcPr>
    </w:tblStylePr>
    <w:tblStylePr w:type="band1Vert">
      <w:rPr>
        <w:sz w:val="22"/>
      </w:rPr>
      <w:tblPr/>
      <w:tcPr>
        <w:shd w:val="clear" w:color="FFFFFF" w:fill="CBCBCB" w:themeFill="text1" w:themeFillTint="34"/>
      </w:tcPr>
    </w:tblStylePr>
    <w:tblStylePr w:type="firstCol">
      <w:rPr>
        <w:b/>
      </w:rPr>
      <w:tblPr/>
    </w:tblStylePr>
    <w:tblStylePr w:type="firstRow">
      <w:rPr>
        <w:b/>
      </w:rPr>
      <w:tblPr/>
      <w:tcPr>
        <w:tcBorders>
          <w:top w:val="none" w:color="000000" w:sz="4" w:space="0"/>
          <w:left w:val="none" w:color="000000" w:sz="4" w:space="0"/>
          <w:bottom w:val="single" w:color="000000" w:themeColor="text1" w:sz="12" w:space="0"/>
          <w:right w:val="none" w:color="000000" w:sz="4" w:space="0"/>
        </w:tcBorders>
        <w:shd w:val="clear" w:color="FFFFFF"/>
      </w:tcPr>
    </w:tblStylePr>
    <w:tblStylePr w:type="lastCol">
      <w:rPr>
        <w:b/>
      </w:rPr>
      <w:tblPr/>
    </w:tblStylePr>
    <w:tblStylePr w:type="lastRow">
      <w:rPr>
        <w:b/>
      </w:rPr>
      <w:tblPr/>
      <w:tcPr>
        <w:tcBorders>
          <w:top w:val="single" w:color="000000" w:themeColor="text1" w:sz="4" w:space="0"/>
          <w:left w:val="none" w:color="000000" w:sz="4" w:space="0"/>
          <w:bottom w:val="none" w:color="000000" w:sz="4" w:space="0"/>
          <w:right w:val="none" w:color="000000" w:sz="4" w:space="0"/>
        </w:tcBorders>
        <w:shd w:val="clear" w:color="FFFFFF"/>
      </w:tcPr>
    </w:tblStylePr>
  </w:style>
  <w:style w:type="table" w:styleId="846">
    <w:name w:val="Grid Table 2 - Accent 1"/>
    <w:uiPriority w:val="99"/>
    <w:pPr>
      <w:spacing w:after="0" w:line="240" w:lineRule="auto"/>
    </w:pPr>
    <w:tblPr>
      <w:tblStyleRowBandSize w:val="1"/>
      <w:tblStyleColBandSize w:val="1"/>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sz w:val="22"/>
      </w:rPr>
      <w:tblPr/>
      <w:tcPr>
        <w:shd w:val="clear" w:color="FFFFFF" w:fill="DAE5F1" w:themeFill="accent1" w:themeFillTint="34"/>
      </w:tcPr>
    </w:tblStylePr>
    <w:tblStylePr w:type="band1Vert">
      <w:rPr>
        <w:sz w:val="22"/>
      </w:rPr>
      <w:tblPr/>
      <w:tcPr>
        <w:shd w:val="clear" w:color="FFFFFF" w:fill="DAE5F1" w:themeFill="accent1" w:themeFillTint="34"/>
      </w:tcPr>
    </w:tblStylePr>
    <w:tblStylePr w:type="firstCol">
      <w:rPr>
        <w:b/>
      </w:rPr>
      <w:tblPr/>
    </w:tblStylePr>
    <w:tblStylePr w:type="firstRow">
      <w:rPr>
        <w:b/>
      </w:rPr>
      <w:tblPr/>
      <w:tcPr>
        <w:tcBorders>
          <w:top w:val="none" w:color="000000" w:sz="4" w:space="0"/>
          <w:left w:val="none" w:color="000000" w:sz="4" w:space="0"/>
          <w:bottom w:val="single" w:color="000000" w:themeColor="accent1" w:sz="12" w:space="0"/>
          <w:right w:val="none" w:color="000000" w:sz="4" w:space="0"/>
        </w:tcBorders>
        <w:shd w:val="clear" w:color="FFFFFF"/>
      </w:tcPr>
    </w:tblStylePr>
    <w:tblStylePr w:type="lastCol">
      <w:rPr>
        <w:b/>
      </w:rPr>
      <w:tblPr/>
    </w:tblStylePr>
    <w:tblStylePr w:type="lastRow">
      <w:rPr>
        <w:b/>
      </w:rPr>
      <w:tblPr/>
      <w:tcPr>
        <w:tcBorders>
          <w:top w:val="single" w:color="000000" w:themeColor="accent1" w:sz="4" w:space="0"/>
          <w:left w:val="none" w:color="000000" w:sz="4" w:space="0"/>
          <w:bottom w:val="none" w:color="000000" w:sz="4" w:space="0"/>
          <w:right w:val="none" w:color="000000" w:sz="4" w:space="0"/>
        </w:tcBorders>
        <w:shd w:val="clear" w:color="FFFFFF"/>
      </w:tcPr>
    </w:tblStylePr>
  </w:style>
  <w:style w:type="table" w:styleId="847">
    <w:name w:val="Grid Table 2 - Accent 2"/>
    <w:uiPriority w:val="99"/>
    <w:pPr>
      <w:spacing w:after="0" w:line="240" w:lineRule="auto"/>
    </w:pPr>
    <w:tblPr>
      <w:tblStyleRowBandSize w:val="1"/>
      <w:tblStyleColBandSize w:val="1"/>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sz w:val="22"/>
      </w:rPr>
      <w:tblPr/>
      <w:tcPr>
        <w:shd w:val="clear" w:color="FFFFFF" w:fill="F2DCDB" w:themeFill="accent2" w:themeFillTint="32"/>
      </w:tcPr>
    </w:tblStylePr>
    <w:tblStylePr w:type="band1Vert">
      <w:rPr>
        <w:sz w:val="22"/>
      </w:rPr>
      <w:tblPr/>
      <w:tcPr>
        <w:shd w:val="clear" w:color="FFFFFF" w:fill="F2DCDB" w:themeFill="accent2" w:themeFillTint="32"/>
      </w:tcPr>
    </w:tblStylePr>
    <w:tblStylePr w:type="firstCol">
      <w:rPr>
        <w:b/>
      </w:rPr>
      <w:tblPr/>
    </w:tblStylePr>
    <w:tblStylePr w:type="firstRow">
      <w:rPr>
        <w:b/>
      </w:rPr>
      <w:tblPr/>
      <w:tcPr>
        <w:tcBorders>
          <w:top w:val="none" w:color="000000" w:sz="4" w:space="0"/>
          <w:left w:val="none" w:color="000000" w:sz="4" w:space="0"/>
          <w:bottom w:val="single" w:color="000000" w:themeColor="accent2" w:sz="12" w:space="0"/>
          <w:right w:val="none" w:color="000000" w:sz="4" w:space="0"/>
        </w:tcBorders>
        <w:shd w:val="clear" w:color="FFFFFF"/>
      </w:tcPr>
    </w:tblStylePr>
    <w:tblStylePr w:type="lastCol">
      <w:rPr>
        <w:b/>
      </w:rPr>
      <w:tblPr/>
    </w:tblStylePr>
    <w:tblStylePr w:type="lastRow">
      <w:rPr>
        <w:b/>
      </w:rPr>
      <w:tblPr/>
      <w:tcPr>
        <w:tcBorders>
          <w:top w:val="single" w:color="000000" w:themeColor="accent2" w:sz="4" w:space="0"/>
          <w:left w:val="none" w:color="000000" w:sz="4" w:space="0"/>
          <w:bottom w:val="none" w:color="000000" w:sz="4" w:space="0"/>
          <w:right w:val="none" w:color="000000" w:sz="4" w:space="0"/>
        </w:tcBorders>
        <w:shd w:val="clear" w:color="FFFFFF"/>
      </w:tcPr>
    </w:tblStylePr>
  </w:style>
  <w:style w:type="table" w:styleId="848">
    <w:name w:val="Grid Table 2 - Accent 3"/>
    <w:uiPriority w:val="99"/>
    <w:pPr>
      <w:spacing w:after="0" w:line="240" w:lineRule="auto"/>
    </w:pPr>
    <w:tblPr>
      <w:tblStyleRowBandSize w:val="1"/>
      <w:tblStyleColBandSize w:val="1"/>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sz w:val="22"/>
      </w:rPr>
      <w:tblPr/>
      <w:tcPr>
        <w:shd w:val="clear" w:color="FFFFFF" w:fill="EAF0DD" w:themeFill="accent3" w:themeFillTint="34"/>
      </w:tcPr>
    </w:tblStylePr>
    <w:tblStylePr w:type="band1Vert">
      <w:rPr>
        <w:sz w:val="22"/>
      </w:rPr>
      <w:tblPr/>
      <w:tcPr>
        <w:shd w:val="clear" w:color="FFFFFF" w:fill="EAF0DD" w:themeFill="accent3" w:themeFillTint="34"/>
      </w:tcPr>
    </w:tblStylePr>
    <w:tblStylePr w:type="firstCol">
      <w:rPr>
        <w:b/>
      </w:rPr>
      <w:tblPr/>
    </w:tblStylePr>
    <w:tblStylePr w:type="firstRow">
      <w:rPr>
        <w:b/>
      </w:rPr>
      <w:tblPr/>
      <w:tcPr>
        <w:tcBorders>
          <w:top w:val="none" w:color="000000" w:sz="4" w:space="0"/>
          <w:left w:val="none" w:color="000000" w:sz="4" w:space="0"/>
          <w:bottom w:val="single" w:color="000000" w:themeColor="accent3" w:sz="12" w:space="0"/>
          <w:right w:val="none" w:color="000000" w:sz="4" w:space="0"/>
        </w:tcBorders>
        <w:shd w:val="clear" w:color="FFFFFF"/>
      </w:tcPr>
    </w:tblStylePr>
    <w:tblStylePr w:type="lastCol">
      <w:rPr>
        <w:b/>
      </w:rPr>
      <w:tblPr/>
    </w:tblStylePr>
    <w:tblStylePr w:type="lastRow">
      <w:rPr>
        <w:b/>
      </w:rPr>
      <w:tblPr/>
      <w:tcPr>
        <w:tcBorders>
          <w:top w:val="single" w:color="000000" w:themeColor="accent3" w:sz="4" w:space="0"/>
          <w:left w:val="none" w:color="000000" w:sz="4" w:space="0"/>
          <w:bottom w:val="none" w:color="000000" w:sz="4" w:space="0"/>
          <w:right w:val="none" w:color="000000" w:sz="4" w:space="0"/>
        </w:tcBorders>
        <w:shd w:val="clear" w:color="FFFFFF"/>
      </w:tcPr>
    </w:tblStylePr>
  </w:style>
  <w:style w:type="table" w:styleId="849">
    <w:name w:val="Grid Table 2 - Accent 4"/>
    <w:uiPriority w:val="99"/>
    <w:pPr>
      <w:spacing w:after="0" w:line="240" w:lineRule="auto"/>
    </w:pPr>
    <w:tblPr>
      <w:tblStyleRowBandSize w:val="1"/>
      <w:tblStyleColBandSize w:val="1"/>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sz w:val="22"/>
      </w:rPr>
      <w:tblPr/>
      <w:tcPr>
        <w:shd w:val="clear" w:color="FFFFFF" w:fill="E5DFEC" w:themeFill="accent4" w:themeFillTint="34"/>
      </w:tcPr>
    </w:tblStylePr>
    <w:tblStylePr w:type="band1Vert">
      <w:rPr>
        <w:sz w:val="22"/>
      </w:rPr>
      <w:tblPr/>
      <w:tcPr>
        <w:shd w:val="clear" w:color="FFFFFF" w:fill="E5DFEC" w:themeFill="accent4" w:themeFillTint="34"/>
      </w:tcPr>
    </w:tblStylePr>
    <w:tblStylePr w:type="firstCol">
      <w:rPr>
        <w:b/>
      </w:rPr>
      <w:tblPr/>
    </w:tblStylePr>
    <w:tblStylePr w:type="firstRow">
      <w:rPr>
        <w:b/>
      </w:rPr>
      <w:tblPr/>
      <w:tcPr>
        <w:tcBorders>
          <w:top w:val="none" w:color="000000" w:sz="4" w:space="0"/>
          <w:left w:val="none" w:color="000000" w:sz="4" w:space="0"/>
          <w:bottom w:val="single" w:color="000000" w:themeColor="accent4" w:sz="12" w:space="0"/>
          <w:right w:val="none" w:color="000000" w:sz="4" w:space="0"/>
        </w:tcBorders>
        <w:shd w:val="clear" w:color="FFFFFF"/>
      </w:tcPr>
    </w:tblStylePr>
    <w:tblStylePr w:type="lastCol">
      <w:rPr>
        <w:b/>
      </w:rPr>
      <w:tblPr/>
    </w:tblStylePr>
    <w:tblStylePr w:type="lastRow">
      <w:rPr>
        <w:b/>
      </w:rPr>
      <w:tblPr/>
      <w:tcPr>
        <w:tcBorders>
          <w:top w:val="single" w:color="000000" w:themeColor="accent4" w:sz="4" w:space="0"/>
          <w:left w:val="none" w:color="000000" w:sz="4" w:space="0"/>
          <w:bottom w:val="none" w:color="000000" w:sz="4" w:space="0"/>
          <w:right w:val="none" w:color="000000" w:sz="4" w:space="0"/>
        </w:tcBorders>
        <w:shd w:val="clear" w:color="FFFFFF"/>
      </w:tcPr>
    </w:tblStylePr>
  </w:style>
  <w:style w:type="table" w:styleId="850">
    <w:name w:val="Grid Table 2 - Accent 5"/>
    <w:uiPriority w:val="99"/>
    <w:pPr>
      <w:spacing w:after="0" w:line="240" w:lineRule="auto"/>
    </w:pPr>
    <w:tblPr>
      <w:tblStyleRowBandSize w:val="1"/>
      <w:tblStyleColBandSize w:val="1"/>
      <w:tblBorders>
        <w:bottom w:val="single" w:color="000000" w:themeColor="accent5" w:sz="4" w:space="0"/>
        <w:insideH w:val="single" w:color="000000" w:themeColor="accent5" w:sz="4" w:space="0"/>
        <w:insideV w:val="single" w:color="000000" w:themeColor="accent5" w:sz="4" w:space="0"/>
      </w:tblBorders>
    </w:tblPr>
    <w:tblStylePr w:type="band1Horz">
      <w:rPr>
        <w:sz w:val="22"/>
      </w:rPr>
      <w:tblPr/>
      <w:tcPr>
        <w:shd w:val="clear" w:color="FFFFFF" w:fill="DAEEF3" w:themeFill="accent5" w:themeFillTint="34"/>
      </w:tcPr>
    </w:tblStylePr>
    <w:tblStylePr w:type="band1Vert">
      <w:rPr>
        <w:sz w:val="22"/>
      </w:rPr>
      <w:tblPr/>
      <w:tcPr>
        <w:shd w:val="clear" w:color="FFFFFF" w:fill="DAEEF3" w:themeFill="accent5" w:themeFillTint="34"/>
      </w:tcPr>
    </w:tblStylePr>
    <w:tblStylePr w:type="firstCol">
      <w:rPr>
        <w:b/>
      </w:rPr>
      <w:tblPr/>
    </w:tblStylePr>
    <w:tblStylePr w:type="firstRow">
      <w:rPr>
        <w:b/>
      </w:rPr>
      <w:tblPr/>
      <w:tcPr>
        <w:tcBorders>
          <w:top w:val="none" w:color="000000" w:sz="4" w:space="0"/>
          <w:left w:val="none" w:color="000000" w:sz="4" w:space="0"/>
          <w:bottom w:val="single" w:color="000000" w:themeColor="accent5" w:sz="12" w:space="0"/>
          <w:right w:val="none" w:color="000000" w:sz="4" w:space="0"/>
        </w:tcBorders>
        <w:shd w:val="clear" w:color="FFFFFF"/>
      </w:tcPr>
    </w:tblStylePr>
    <w:tblStylePr w:type="lastCol">
      <w:rPr>
        <w:b/>
      </w:rPr>
      <w:tblPr/>
    </w:tblStylePr>
    <w:tblStylePr w:type="lastRow">
      <w:rPr>
        <w:b/>
      </w:rPr>
      <w:tblPr/>
      <w:tcPr>
        <w:tcBorders>
          <w:top w:val="single" w:color="000000" w:themeColor="accent5" w:sz="4" w:space="0"/>
          <w:left w:val="none" w:color="000000" w:sz="4" w:space="0"/>
          <w:bottom w:val="none" w:color="000000" w:sz="4" w:space="0"/>
          <w:right w:val="none" w:color="000000" w:sz="4" w:space="0"/>
        </w:tcBorders>
        <w:shd w:val="clear" w:color="FFFFFF"/>
      </w:tcPr>
    </w:tblStylePr>
  </w:style>
  <w:style w:type="table" w:styleId="851">
    <w:name w:val="Grid Table 2 - Accent 6"/>
    <w:uiPriority w:val="99"/>
    <w:pPr>
      <w:spacing w:after="0" w:line="240" w:lineRule="auto"/>
    </w:pPr>
    <w:tblPr>
      <w:tblStyleRowBandSize w:val="1"/>
      <w:tblStyleColBandSize w:val="1"/>
      <w:tblBorders>
        <w:bottom w:val="single" w:color="000000" w:themeColor="accent6" w:sz="4" w:space="0"/>
        <w:insideH w:val="single" w:color="000000" w:themeColor="accent6" w:sz="4" w:space="0"/>
        <w:insideV w:val="single" w:color="000000" w:themeColor="accent6" w:sz="4" w:space="0"/>
      </w:tblBorders>
    </w:tblPr>
    <w:tblStylePr w:type="band1Horz">
      <w:rPr>
        <w:sz w:val="22"/>
      </w:rPr>
      <w:tblPr/>
      <w:tcPr>
        <w:shd w:val="clear" w:color="FFFFFF" w:fill="FDE9D8" w:themeFill="accent6" w:themeFillTint="34"/>
      </w:tcPr>
    </w:tblStylePr>
    <w:tblStylePr w:type="band1Vert">
      <w:rPr>
        <w:sz w:val="22"/>
      </w:rPr>
      <w:tblPr/>
      <w:tcPr>
        <w:shd w:val="clear" w:color="FFFFFF" w:fill="FDE9D8" w:themeFill="accent6" w:themeFillTint="34"/>
      </w:tcPr>
    </w:tblStylePr>
    <w:tblStylePr w:type="firstCol">
      <w:rPr>
        <w:b/>
      </w:rPr>
      <w:tblPr/>
    </w:tblStylePr>
    <w:tblStylePr w:type="firstRow">
      <w:rPr>
        <w:b/>
      </w:rPr>
      <w:tblPr/>
      <w:tcPr>
        <w:tcBorders>
          <w:top w:val="none" w:color="000000" w:sz="4" w:space="0"/>
          <w:left w:val="none" w:color="000000" w:sz="4" w:space="0"/>
          <w:bottom w:val="single" w:color="000000" w:themeColor="accent6" w:sz="12" w:space="0"/>
          <w:right w:val="none" w:color="000000" w:sz="4" w:space="0"/>
        </w:tcBorders>
        <w:shd w:val="clear" w:color="FFFFFF"/>
      </w:tcPr>
    </w:tblStylePr>
    <w:tblStylePr w:type="lastCol">
      <w:rPr>
        <w:b/>
      </w:rPr>
      <w:tblPr/>
    </w:tblStylePr>
    <w:tblStylePr w:type="lastRow">
      <w:rPr>
        <w:b/>
      </w:rPr>
      <w:tblPr/>
      <w:tcPr>
        <w:tcBorders>
          <w:top w:val="single" w:color="000000" w:themeColor="accent6" w:sz="4" w:space="0"/>
          <w:left w:val="none" w:color="000000" w:sz="4" w:space="0"/>
          <w:bottom w:val="none" w:color="000000" w:sz="4" w:space="0"/>
          <w:right w:val="none" w:color="000000" w:sz="4" w:space="0"/>
        </w:tcBorders>
        <w:shd w:val="clear" w:color="FFFFFF"/>
      </w:tcPr>
    </w:tblStylePr>
  </w:style>
  <w:style w:type="table" w:styleId="852">
    <w:name w:val="Grid Table 3"/>
    <w:uiPriority w:val="99"/>
    <w:pPr>
      <w:spacing w:after="0" w:line="240" w:lineRule="auto"/>
    </w:pPr>
    <w:tblPr>
      <w:tblStyleRowBandSize w:val="1"/>
      <w:tblStyleColBandSize w:val="1"/>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sz w:val="22"/>
      </w:rPr>
      <w:tblPr/>
      <w:tcPr>
        <w:shd w:val="clear" w:color="FFFFFF" w:fill="CBCBCB" w:themeFill="text1" w:themeFillTint="34"/>
      </w:tcPr>
    </w:tblStylePr>
    <w:tblStylePr w:type="band1Vert">
      <w:rPr>
        <w:sz w:val="22"/>
      </w:rPr>
      <w:tblPr/>
      <w:tcPr>
        <w:shd w:val="clear" w:color="FFFFFF" w:fill="CBCBCB" w:themeFill="text1" w:themeFillTint="34"/>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style>
  <w:style w:type="table" w:styleId="853">
    <w:name w:val="Grid Table 3 - Accent 1"/>
    <w:uiPriority w:val="99"/>
    <w:pPr>
      <w:spacing w:after="0" w:line="240" w:lineRule="auto"/>
    </w:pPr>
    <w:tblPr>
      <w:tblStyleRowBandSize w:val="1"/>
      <w:tblStyleColBandSize w:val="1"/>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sz w:val="22"/>
      </w:rPr>
      <w:tblPr/>
      <w:tcPr>
        <w:shd w:val="clear" w:color="FFFFFF" w:fill="DAE5F1" w:themeFill="accent1" w:themeFillTint="34"/>
      </w:tcPr>
    </w:tblStylePr>
    <w:tblStylePr w:type="band1Vert">
      <w:rPr>
        <w:sz w:val="22"/>
      </w:rPr>
      <w:tblPr/>
      <w:tcPr>
        <w:shd w:val="clear" w:color="FFFFFF" w:fill="DAE5F1" w:themeFill="accent1" w:themeFillTint="34"/>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style>
  <w:style w:type="table" w:styleId="854">
    <w:name w:val="Grid Table 3 - Accent 2"/>
    <w:uiPriority w:val="99"/>
    <w:pPr>
      <w:spacing w:after="0" w:line="240" w:lineRule="auto"/>
    </w:pPr>
    <w:tblPr>
      <w:tblStyleRowBandSize w:val="1"/>
      <w:tblStyleColBandSize w:val="1"/>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sz w:val="22"/>
      </w:rPr>
      <w:tblPr/>
      <w:tcPr>
        <w:shd w:val="clear" w:color="FFFFFF" w:fill="F2DCDB" w:themeFill="accent2" w:themeFillTint="32"/>
      </w:tcPr>
    </w:tblStylePr>
    <w:tblStylePr w:type="band1Vert">
      <w:rPr>
        <w:sz w:val="22"/>
      </w:rPr>
      <w:tblPr/>
      <w:tcPr>
        <w:shd w:val="clear" w:color="FFFFFF" w:fill="F2DCDB" w:themeFill="accent2" w:themeFillTint="32"/>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style>
  <w:style w:type="table" w:styleId="855">
    <w:name w:val="Grid Table 3 - Accent 3"/>
    <w:uiPriority w:val="99"/>
    <w:pPr>
      <w:spacing w:after="0" w:line="240" w:lineRule="auto"/>
    </w:pPr>
    <w:tblPr>
      <w:tblStyleRowBandSize w:val="1"/>
      <w:tblStyleColBandSize w:val="1"/>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sz w:val="22"/>
      </w:rPr>
      <w:tblPr/>
      <w:tcPr>
        <w:shd w:val="clear" w:color="FFFFFF" w:fill="EAF0DD" w:themeFill="accent3" w:themeFillTint="34"/>
      </w:tcPr>
    </w:tblStylePr>
    <w:tblStylePr w:type="band1Vert">
      <w:rPr>
        <w:sz w:val="22"/>
      </w:rPr>
      <w:tblPr/>
      <w:tcPr>
        <w:shd w:val="clear" w:color="FFFFFF" w:fill="EAF0DD" w:themeFill="accent3" w:themeFillTint="34"/>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style>
  <w:style w:type="table" w:styleId="856">
    <w:name w:val="Grid Table 3 - Accent 4"/>
    <w:uiPriority w:val="99"/>
    <w:pPr>
      <w:spacing w:after="0" w:line="240" w:lineRule="auto"/>
    </w:pPr>
    <w:tblPr>
      <w:tblStyleRowBandSize w:val="1"/>
      <w:tblStyleColBandSize w:val="1"/>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sz w:val="22"/>
      </w:rPr>
      <w:tblPr/>
      <w:tcPr>
        <w:shd w:val="clear" w:color="FFFFFF" w:fill="E5DFEC" w:themeFill="accent4" w:themeFillTint="34"/>
      </w:tcPr>
    </w:tblStylePr>
    <w:tblStylePr w:type="band1Vert">
      <w:rPr>
        <w:sz w:val="22"/>
      </w:rPr>
      <w:tblPr/>
      <w:tcPr>
        <w:shd w:val="clear" w:color="FFFFFF" w:fill="E5DFEC" w:themeFill="accent4" w:themeFillTint="34"/>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style>
  <w:style w:type="table" w:styleId="857">
    <w:name w:val="Grid Table 3 - Accent 5"/>
    <w:uiPriority w:val="99"/>
    <w:pPr>
      <w:spacing w:after="0" w:line="240" w:lineRule="auto"/>
    </w:pPr>
    <w:tblPr>
      <w:tblStyleRowBandSize w:val="1"/>
      <w:tblStyleColBandSize w:val="1"/>
      <w:tblBorders>
        <w:bottom w:val="single" w:color="000000" w:themeColor="accent5" w:sz="4" w:space="0"/>
        <w:insideH w:val="single" w:color="000000" w:themeColor="accent5" w:sz="4" w:space="0"/>
        <w:insideV w:val="single" w:color="000000" w:themeColor="accent5" w:sz="4" w:space="0"/>
      </w:tblBorders>
    </w:tblPr>
    <w:tblStylePr w:type="band1Horz">
      <w:rPr>
        <w:sz w:val="22"/>
      </w:rPr>
      <w:tblPr/>
      <w:tcPr>
        <w:shd w:val="clear" w:color="FFFFFF" w:fill="DAEEF3" w:themeFill="accent5" w:themeFillTint="34"/>
      </w:tcPr>
    </w:tblStylePr>
    <w:tblStylePr w:type="band1Vert">
      <w:rPr>
        <w:sz w:val="22"/>
      </w:rPr>
      <w:tblPr/>
      <w:tcPr>
        <w:shd w:val="clear" w:color="FFFFFF" w:fill="DAEEF3" w:themeFill="accent5" w:themeFillTint="34"/>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style>
  <w:style w:type="table" w:styleId="858">
    <w:name w:val="Grid Table 3 - Accent 6"/>
    <w:uiPriority w:val="99"/>
    <w:pPr>
      <w:spacing w:after="0" w:line="240" w:lineRule="auto"/>
    </w:pPr>
    <w:tblPr>
      <w:tblStyleRowBandSize w:val="1"/>
      <w:tblStyleColBandSize w:val="1"/>
      <w:tblBorders>
        <w:bottom w:val="single" w:color="000000" w:themeColor="accent6" w:sz="4" w:space="0"/>
        <w:insideH w:val="single" w:color="000000" w:themeColor="accent6" w:sz="4" w:space="0"/>
        <w:insideV w:val="single" w:color="000000" w:themeColor="accent6" w:sz="4" w:space="0"/>
      </w:tblBorders>
    </w:tblPr>
    <w:tblStylePr w:type="band1Horz">
      <w:rPr>
        <w:sz w:val="22"/>
      </w:rPr>
      <w:tblPr/>
      <w:tcPr>
        <w:shd w:val="clear" w:color="FFFFFF" w:fill="FDE9D8" w:themeFill="accent6" w:themeFillTint="34"/>
      </w:tcPr>
    </w:tblStylePr>
    <w:tblStylePr w:type="band1Vert">
      <w:rPr>
        <w:sz w:val="22"/>
      </w:rPr>
      <w:tblPr/>
      <w:tcPr>
        <w:shd w:val="clear" w:color="FFFFFF" w:fill="FDE9D8" w:themeFill="accent6" w:themeFillTint="34"/>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style>
  <w:style w:type="table" w:styleId="859">
    <w:name w:val="Grid Table 4"/>
    <w:uiPriority w:val="59"/>
    <w:pPr>
      <w:spacing w:after="0" w:line="240" w:lineRule="auto"/>
    </w:pPr>
    <w:tblPr>
      <w:tblStyleRowBandSize w:val="1"/>
      <w:tblStyleColBandSize w:val="1"/>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sz w:val="22"/>
      </w:rPr>
      <w:tblPr/>
      <w:tcPr>
        <w:shd w:val="clear" w:color="FFFFFF" w:fill="CBCBCB" w:themeFill="text1" w:themeFillTint="34"/>
      </w:tcPr>
    </w:tblStylePr>
    <w:tblStylePr w:type="band1Vert">
      <w:rPr>
        <w:sz w:val="22"/>
      </w:rPr>
      <w:tblPr/>
      <w:tcPr>
        <w:shd w:val="clear" w:color="FFFFFF" w:fill="CBCBCB" w:themeFill="text1" w:themeFillTint="34"/>
      </w:tcPr>
    </w:tblStylePr>
    <w:tblStylePr w:type="firstCol">
      <w:rPr>
        <w:b/>
      </w:rPr>
      <w:tblPr/>
    </w:tblStylePr>
    <w:tblStylePr w:type="firstRow">
      <w:rPr>
        <w:b/>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FFFFFF" w:fill="000000" w:themeFill="text1"/>
      </w:tcPr>
    </w:tblStylePr>
    <w:tblStylePr w:type="lastCol">
      <w:rPr>
        <w:b/>
      </w:rPr>
      <w:tblPr/>
    </w:tblStylePr>
    <w:tblStylePr w:type="lastRow">
      <w:rPr>
        <w:b/>
      </w:rPr>
      <w:tblPr/>
      <w:tcPr>
        <w:tcBorders>
          <w:top w:val="single" w:color="000000" w:themeColor="text1" w:sz="4" w:space="0"/>
        </w:tcBorders>
      </w:tcPr>
    </w:tblStylePr>
  </w:style>
  <w:style w:type="table" w:styleId="860">
    <w:name w:val="Grid Table 4 - Accent 1"/>
    <w:uiPriority w:val="59"/>
    <w:pPr>
      <w:spacing w:after="0" w:line="240" w:lineRule="auto"/>
    </w:pPr>
    <w:tblPr>
      <w:tblStyleRowBandSize w:val="1"/>
      <w:tblStyleColBandSize w:val="1"/>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sz w:val="22"/>
      </w:rPr>
      <w:tblPr/>
      <w:tcPr>
        <w:shd w:val="clear" w:color="FFFFFF" w:fill="DCE6F1" w:themeFill="accent1" w:themeFillTint="32"/>
      </w:tcPr>
    </w:tblStylePr>
    <w:tblStylePr w:type="band1Vert">
      <w:rPr>
        <w:sz w:val="22"/>
      </w:rPr>
      <w:tblPr/>
      <w:tcPr>
        <w:shd w:val="clear" w:color="FFFFFF" w:fill="DCE6F1" w:themeFill="accent1" w:themeFillTint="32"/>
      </w:tcPr>
    </w:tblStylePr>
    <w:tblStylePr w:type="firstCol">
      <w:rPr>
        <w:b/>
      </w:rPr>
      <w:tblPr/>
    </w:tblStylePr>
    <w:tblStylePr w:type="firstRow">
      <w:rPr>
        <w:b/>
        <w:sz w:val="22"/>
      </w:rPr>
      <w:tblPr/>
      <w:tcPr>
        <w:tcBorders>
          <w:top w:val="single" w:color="000000" w:themeColor="accent1" w:sz="4" w:space="0"/>
          <w:left w:val="single" w:color="000000" w:themeColor="accent1" w:sz="4" w:space="0"/>
          <w:bottom w:val="single" w:color="000000" w:themeColor="accent1" w:sz="4" w:space="0"/>
          <w:right w:val="single" w:color="000000" w:themeColor="accent1" w:sz="4" w:space="0"/>
        </w:tcBorders>
        <w:shd w:val="clear" w:color="FFFFFF" w:fill="5D8DC2" w:themeFill="accent1" w:themeFillTint="ea"/>
      </w:tcPr>
    </w:tblStylePr>
    <w:tblStylePr w:type="lastCol">
      <w:rPr>
        <w:b/>
      </w:rPr>
      <w:tblPr/>
    </w:tblStylePr>
    <w:tblStylePr w:type="lastRow">
      <w:rPr>
        <w:b/>
      </w:rPr>
      <w:tblPr/>
      <w:tcPr>
        <w:tcBorders>
          <w:top w:val="single" w:color="000000" w:themeColor="accent1" w:sz="4" w:space="0"/>
        </w:tcBorders>
      </w:tcPr>
    </w:tblStylePr>
  </w:style>
  <w:style w:type="table" w:styleId="861">
    <w:name w:val="Grid Table 4 - Accent 2"/>
    <w:uiPriority w:val="59"/>
    <w:pPr>
      <w:spacing w:after="0" w:line="240" w:lineRule="auto"/>
    </w:pPr>
    <w:tblPr>
      <w:tblStyleRowBandSize w:val="1"/>
      <w:tblStyleColBandSize w:val="1"/>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sz w:val="22"/>
      </w:rPr>
      <w:tblPr/>
      <w:tcPr>
        <w:shd w:val="clear" w:color="FFFFFF" w:fill="F2DCDB" w:themeFill="accent2" w:themeFillTint="32"/>
      </w:tcPr>
    </w:tblStylePr>
    <w:tblStylePr w:type="band1Vert">
      <w:rPr>
        <w:sz w:val="22"/>
      </w:rPr>
      <w:tblPr/>
      <w:tcPr>
        <w:shd w:val="clear" w:color="FFFFFF" w:fill="F2DCDB" w:themeFill="accent2" w:themeFillTint="32"/>
      </w:tcPr>
    </w:tblStylePr>
    <w:tblStylePr w:type="firstCol">
      <w:rPr>
        <w:b/>
      </w:rPr>
      <w:tblPr/>
    </w:tblStylePr>
    <w:tblStylePr w:type="firstRow">
      <w:rPr>
        <w:b/>
        <w:sz w:val="22"/>
      </w:rPr>
      <w:tblPr/>
      <w:tcPr>
        <w:tcBorders>
          <w:top w:val="single" w:color="000000" w:themeColor="accent2" w:sz="4" w:space="0"/>
          <w:left w:val="single" w:color="000000" w:themeColor="accent2" w:sz="4" w:space="0"/>
          <w:bottom w:val="single" w:color="000000" w:themeColor="accent2" w:sz="4" w:space="0"/>
          <w:right w:val="single" w:color="000000" w:themeColor="accent2" w:sz="4" w:space="0"/>
        </w:tcBorders>
        <w:shd w:val="clear" w:color="FFFFFF" w:fill="D99694" w:themeFill="accent2" w:themeFillTint="97"/>
      </w:tcPr>
    </w:tblStylePr>
    <w:tblStylePr w:type="lastCol">
      <w:rPr>
        <w:b/>
      </w:rPr>
      <w:tblPr/>
    </w:tblStylePr>
    <w:tblStylePr w:type="lastRow">
      <w:rPr>
        <w:b/>
      </w:rPr>
      <w:tblPr/>
      <w:tcPr>
        <w:tcBorders>
          <w:top w:val="single" w:color="000000" w:themeColor="accent2" w:sz="4" w:space="0"/>
        </w:tcBorders>
      </w:tcPr>
    </w:tblStylePr>
  </w:style>
  <w:style w:type="table" w:styleId="862">
    <w:name w:val="Grid Table 4 - Accent 3"/>
    <w:uiPriority w:val="59"/>
    <w:pPr>
      <w:spacing w:after="0" w:line="240" w:lineRule="auto"/>
    </w:pPr>
    <w:tblPr>
      <w:tblStyleRowBandSize w:val="1"/>
      <w:tblStyleColBandSize w:val="1"/>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sz w:val="22"/>
      </w:rPr>
      <w:tblPr/>
      <w:tcPr>
        <w:shd w:val="clear" w:color="FFFFFF" w:fill="EAF0DD" w:themeFill="accent3" w:themeFillTint="34"/>
      </w:tcPr>
    </w:tblStylePr>
    <w:tblStylePr w:type="band1Vert">
      <w:rPr>
        <w:sz w:val="22"/>
      </w:rPr>
      <w:tblPr/>
      <w:tcPr>
        <w:shd w:val="clear" w:color="FFFFFF" w:fill="EAF0DD" w:themeFill="accent3" w:themeFillTint="34"/>
      </w:tcPr>
    </w:tblStylePr>
    <w:tblStylePr w:type="firstCol">
      <w:rPr>
        <w:b/>
      </w:rPr>
      <w:tblPr/>
    </w:tblStylePr>
    <w:tblStylePr w:type="firstRow">
      <w:rPr>
        <w:b/>
        <w:sz w:val="22"/>
      </w:rPr>
      <w:tblPr/>
      <w:tcPr>
        <w:tcBorders>
          <w:top w:val="single" w:color="000000" w:themeColor="accent3" w:sz="4" w:space="0"/>
          <w:left w:val="single" w:color="000000" w:themeColor="accent3" w:sz="4" w:space="0"/>
          <w:bottom w:val="single" w:color="000000" w:themeColor="accent3" w:sz="4" w:space="0"/>
          <w:right w:val="single" w:color="000000" w:themeColor="accent3" w:sz="4" w:space="0"/>
        </w:tcBorders>
        <w:shd w:val="clear" w:color="FFFFFF" w:fill="9BBA59" w:themeFill="accent3" w:themeFillTint="fe"/>
      </w:tcPr>
    </w:tblStylePr>
    <w:tblStylePr w:type="lastCol">
      <w:rPr>
        <w:b/>
      </w:rPr>
      <w:tblPr/>
    </w:tblStylePr>
    <w:tblStylePr w:type="lastRow">
      <w:rPr>
        <w:b/>
      </w:rPr>
      <w:tblPr/>
      <w:tcPr>
        <w:tcBorders>
          <w:top w:val="single" w:color="000000" w:themeColor="accent3" w:sz="4" w:space="0"/>
        </w:tcBorders>
      </w:tcPr>
    </w:tblStylePr>
  </w:style>
  <w:style w:type="table" w:styleId="863">
    <w:name w:val="Grid Table 4 - Accent 4"/>
    <w:uiPriority w:val="59"/>
    <w:pPr>
      <w:spacing w:after="0" w:line="240" w:lineRule="auto"/>
    </w:pPr>
    <w:tblPr>
      <w:tblStyleRowBandSize w:val="1"/>
      <w:tblStyleColBandSize w:val="1"/>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sz w:val="22"/>
      </w:rPr>
      <w:tblPr/>
      <w:tcPr>
        <w:shd w:val="clear" w:color="FFFFFF" w:fill="E5DFEC" w:themeFill="accent4" w:themeFillTint="34"/>
      </w:tcPr>
    </w:tblStylePr>
    <w:tblStylePr w:type="band1Vert">
      <w:rPr>
        <w:sz w:val="22"/>
      </w:rPr>
      <w:tblPr/>
      <w:tcPr>
        <w:shd w:val="clear" w:color="FFFFFF" w:fill="E5DFEC" w:themeFill="accent4" w:themeFillTint="34"/>
      </w:tcPr>
    </w:tblStylePr>
    <w:tblStylePr w:type="firstCol">
      <w:rPr>
        <w:b/>
      </w:rPr>
      <w:tblPr/>
    </w:tblStylePr>
    <w:tblStylePr w:type="firstRow">
      <w:rPr>
        <w:b/>
        <w:sz w:val="22"/>
      </w:rPr>
      <w:tblPr/>
      <w:tcPr>
        <w:tcBorders>
          <w:top w:val="single" w:color="000000" w:themeColor="accent4" w:sz="4" w:space="0"/>
          <w:left w:val="single" w:color="000000" w:themeColor="accent4" w:sz="4" w:space="0"/>
          <w:bottom w:val="single" w:color="000000" w:themeColor="accent4" w:sz="4" w:space="0"/>
          <w:right w:val="single" w:color="000000" w:themeColor="accent4" w:sz="4" w:space="0"/>
        </w:tcBorders>
        <w:shd w:val="clear" w:color="FFFFFF" w:fill="B2A1C6" w:themeFill="accent4" w:themeFillTint="9a"/>
      </w:tcPr>
    </w:tblStylePr>
    <w:tblStylePr w:type="lastCol">
      <w:rPr>
        <w:b/>
      </w:rPr>
      <w:tblPr/>
    </w:tblStylePr>
    <w:tblStylePr w:type="lastRow">
      <w:rPr>
        <w:b/>
      </w:rPr>
      <w:tblPr/>
      <w:tcPr>
        <w:tcBorders>
          <w:top w:val="single" w:color="000000" w:themeColor="accent4" w:sz="4" w:space="0"/>
        </w:tcBorders>
      </w:tcPr>
    </w:tblStylePr>
  </w:style>
  <w:style w:type="table" w:styleId="864">
    <w:name w:val="Grid Table 4 - Accent 5"/>
    <w:uiPriority w:val="59"/>
    <w:pPr>
      <w:spacing w:after="0" w:line="240" w:lineRule="auto"/>
    </w:pPr>
    <w:tblPr>
      <w:tblStyleRowBandSize w:val="1"/>
      <w:tblStyleColBandSize w:val="1"/>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sz w:val="22"/>
      </w:rPr>
      <w:tblPr/>
      <w:tcPr>
        <w:shd w:val="clear" w:color="FFFFFF" w:fill="DAEEF3" w:themeFill="accent5" w:themeFillTint="34"/>
      </w:tcPr>
    </w:tblStylePr>
    <w:tblStylePr w:type="band1Vert">
      <w:rPr>
        <w:sz w:val="22"/>
      </w:rPr>
      <w:tblPr/>
      <w:tcPr>
        <w:shd w:val="clear" w:color="FFFFFF" w:fill="DAEEF3" w:themeFill="accent5" w:themeFillTint="34"/>
      </w:tcPr>
    </w:tblStylePr>
    <w:tblStylePr w:type="firstCol">
      <w:rPr>
        <w:b/>
      </w:rPr>
      <w:tblPr/>
    </w:tblStylePr>
    <w:tblStylePr w:type="firstRow">
      <w:rPr>
        <w:b/>
        <w:sz w:val="22"/>
      </w:rPr>
      <w:tblPr/>
      <w:tcPr>
        <w:tcBorders>
          <w:top w:val="single" w:color="000000" w:themeColor="accent5" w:sz="4" w:space="0"/>
          <w:left w:val="single" w:color="000000" w:themeColor="accent5" w:sz="4" w:space="0"/>
          <w:bottom w:val="single" w:color="000000" w:themeColor="accent5" w:sz="4" w:space="0"/>
          <w:right w:val="single" w:color="000000" w:themeColor="accent5" w:sz="4" w:space="0"/>
        </w:tcBorders>
        <w:shd w:val="clear" w:color="FFFFFF" w:fill="4BACC6" w:themeFill="accent5"/>
      </w:tcPr>
    </w:tblStylePr>
    <w:tblStylePr w:type="lastCol">
      <w:rPr>
        <w:b/>
      </w:rPr>
      <w:tblPr/>
    </w:tblStylePr>
    <w:tblStylePr w:type="lastRow">
      <w:rPr>
        <w:b/>
      </w:rPr>
      <w:tblPr/>
      <w:tcPr>
        <w:tcBorders>
          <w:top w:val="single" w:color="000000" w:themeColor="accent5" w:sz="4" w:space="0"/>
        </w:tcBorders>
      </w:tcPr>
    </w:tblStylePr>
  </w:style>
  <w:style w:type="table" w:styleId="865">
    <w:name w:val="Grid Table 4 - Accent 6"/>
    <w:uiPriority w:val="59"/>
    <w:pPr>
      <w:spacing w:after="0" w:line="240" w:lineRule="auto"/>
    </w:pPr>
    <w:tblPr>
      <w:tblStyleRowBandSize w:val="1"/>
      <w:tblStyleColBandSize w:val="1"/>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sz w:val="22"/>
      </w:rPr>
      <w:tblPr/>
      <w:tcPr>
        <w:shd w:val="clear" w:color="FFFFFF" w:fill="FDE9D8" w:themeFill="accent6" w:themeFillTint="34"/>
      </w:tcPr>
    </w:tblStylePr>
    <w:tblStylePr w:type="band1Vert">
      <w:rPr>
        <w:sz w:val="22"/>
      </w:rPr>
      <w:tblPr/>
      <w:tcPr>
        <w:shd w:val="clear" w:color="FFFFFF" w:fill="FDE9D8" w:themeFill="accent6" w:themeFillTint="34"/>
      </w:tcPr>
    </w:tblStylePr>
    <w:tblStylePr w:type="firstCol">
      <w:rPr>
        <w:b/>
      </w:rPr>
      <w:tblPr/>
    </w:tblStylePr>
    <w:tblStylePr w:type="firstRow">
      <w:rPr>
        <w:b/>
        <w:sz w:val="22"/>
      </w:rPr>
      <w:tblPr/>
      <w:tcPr>
        <w:tcBorders>
          <w:top w:val="single" w:color="000000" w:themeColor="accent6" w:sz="4" w:space="0"/>
          <w:left w:val="single" w:color="000000" w:themeColor="accent6" w:sz="4" w:space="0"/>
          <w:bottom w:val="single" w:color="000000" w:themeColor="accent6" w:sz="4" w:space="0"/>
          <w:right w:val="single" w:color="000000" w:themeColor="accent6" w:sz="4" w:space="0"/>
        </w:tcBorders>
        <w:shd w:val="clear" w:color="FFFFFF" w:fill="F79646" w:themeFill="accent6"/>
      </w:tcPr>
    </w:tblStylePr>
    <w:tblStylePr w:type="lastCol">
      <w:rPr>
        <w:b/>
      </w:rPr>
      <w:tblPr/>
    </w:tblStylePr>
    <w:tblStylePr w:type="lastRow">
      <w:rPr>
        <w:b/>
      </w:rPr>
      <w:tblPr/>
      <w:tcPr>
        <w:tcBorders>
          <w:top w:val="single" w:color="000000" w:themeColor="accent6" w:sz="4" w:space="0"/>
        </w:tcBorders>
      </w:tcPr>
    </w:tblStylePr>
  </w:style>
  <w:style w:type="table" w:styleId="866">
    <w:name w:val="Grid Table 5 Dark"/>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8A8A8A" w:themeFill="text1" w:themeFillTint="75"/>
      </w:tcPr>
    </w:tblStylePr>
    <w:tblStylePr w:type="band1Vert">
      <w:tblPr/>
      <w:tcPr>
        <w:shd w:val="clear" w:color="FFFFFF" w:fill="8A8A8A" w:themeFill="text1" w:themeFillTint="75"/>
      </w:tcPr>
    </w:tblStylePr>
    <w:tblStylePr w:type="firstCol">
      <w:rPr>
        <w:b/>
        <w:sz w:val="22"/>
      </w:rPr>
      <w:tblPr/>
      <w:tcPr>
        <w:shd w:val="clear" w:color="FFFFFF" w:fill="000000" w:themeFill="text1"/>
      </w:tcPr>
    </w:tblStylePr>
    <w:tblStylePr w:type="firstRow">
      <w:rPr>
        <w:b/>
        <w:sz w:val="22"/>
      </w:rPr>
      <w:tblPr/>
      <w:tcPr>
        <w:shd w:val="clear" w:color="FFFFFF" w:fill="000000" w:themeFill="text1"/>
      </w:tcPr>
    </w:tblStylePr>
    <w:tblStylePr w:type="lastCol">
      <w:rPr>
        <w:b/>
        <w:sz w:val="22"/>
      </w:rPr>
      <w:tblPr/>
      <w:tcPr>
        <w:shd w:val="clear" w:color="FFFFFF" w:fill="000000" w:themeFill="text1"/>
      </w:tcPr>
    </w:tblStylePr>
    <w:tblStylePr w:type="lastRow">
      <w:rPr>
        <w:b/>
        <w:sz w:val="22"/>
      </w:rPr>
      <w:tblPr/>
      <w:tcPr>
        <w:tcBorders>
          <w:top w:val="single" w:color="000000" w:themeColor="light1" w:sz="4" w:space="0"/>
        </w:tcBorders>
        <w:shd w:val="clear" w:color="FFFFFF" w:fill="000000" w:themeFill="text1"/>
      </w:tcPr>
    </w:tblStylePr>
  </w:style>
  <w:style w:type="table" w:styleId="867">
    <w:name w:val="Grid Table 5 Dark- Accent 1"/>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ADC5E0" w:themeFill="accent1" w:themeFillTint="75"/>
      </w:tcPr>
    </w:tblStylePr>
    <w:tblStylePr w:type="band1Vert">
      <w:tblPr/>
      <w:tcPr>
        <w:shd w:val="clear" w:color="FFFFFF" w:fill="ADC5E0" w:themeFill="accent1" w:themeFillTint="75"/>
      </w:tcPr>
    </w:tblStylePr>
    <w:tblStylePr w:type="firstCol">
      <w:rPr>
        <w:b/>
        <w:sz w:val="22"/>
      </w:rPr>
      <w:tblPr/>
      <w:tcPr>
        <w:shd w:val="clear" w:color="FFFFFF" w:fill="4F81BD" w:themeFill="accent1"/>
      </w:tcPr>
    </w:tblStylePr>
    <w:tblStylePr w:type="firstRow">
      <w:rPr>
        <w:b/>
        <w:sz w:val="22"/>
      </w:rPr>
      <w:tblPr/>
      <w:tcPr>
        <w:shd w:val="clear" w:color="FFFFFF" w:fill="4F81BD" w:themeFill="accent1"/>
      </w:tcPr>
    </w:tblStylePr>
    <w:tblStylePr w:type="lastCol">
      <w:rPr>
        <w:b/>
        <w:sz w:val="22"/>
      </w:rPr>
      <w:tblPr/>
      <w:tcPr>
        <w:shd w:val="clear" w:color="FFFFFF" w:fill="4F81BD" w:themeFill="accent1"/>
      </w:tcPr>
    </w:tblStylePr>
    <w:tblStylePr w:type="lastRow">
      <w:rPr>
        <w:b/>
        <w:sz w:val="22"/>
      </w:rPr>
      <w:tblPr/>
      <w:tcPr>
        <w:tcBorders>
          <w:top w:val="single" w:color="000000" w:themeColor="light1" w:sz="4" w:space="0"/>
        </w:tcBorders>
        <w:shd w:val="clear" w:color="FFFFFF" w:fill="4F81BD" w:themeFill="accent1"/>
      </w:tcPr>
    </w:tblStylePr>
  </w:style>
  <w:style w:type="table" w:styleId="868">
    <w:name w:val="Grid Table 5 Dark - Accent 2"/>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E1ADAC" w:themeFill="accent2" w:themeFillTint="75"/>
      </w:tcPr>
    </w:tblStylePr>
    <w:tblStylePr w:type="band1Vert">
      <w:tblPr/>
      <w:tcPr>
        <w:shd w:val="clear" w:color="FFFFFF" w:fill="E1ADAC" w:themeFill="accent2" w:themeFillTint="75"/>
      </w:tcPr>
    </w:tblStylePr>
    <w:tblStylePr w:type="firstCol">
      <w:rPr>
        <w:b/>
        <w:sz w:val="22"/>
      </w:rPr>
      <w:tblPr/>
      <w:tcPr>
        <w:shd w:val="clear" w:color="FFFFFF" w:fill="C0504D" w:themeFill="accent2"/>
      </w:tcPr>
    </w:tblStylePr>
    <w:tblStylePr w:type="firstRow">
      <w:rPr>
        <w:b/>
        <w:sz w:val="22"/>
      </w:rPr>
      <w:tblPr/>
      <w:tcPr>
        <w:shd w:val="clear" w:color="FFFFFF" w:fill="C0504D" w:themeFill="accent2"/>
      </w:tcPr>
    </w:tblStylePr>
    <w:tblStylePr w:type="lastCol">
      <w:rPr>
        <w:b/>
        <w:sz w:val="22"/>
      </w:rPr>
      <w:tblPr/>
      <w:tcPr>
        <w:shd w:val="clear" w:color="FFFFFF" w:fill="C0504D" w:themeFill="accent2"/>
      </w:tcPr>
    </w:tblStylePr>
    <w:tblStylePr w:type="lastRow">
      <w:rPr>
        <w:b/>
        <w:sz w:val="22"/>
      </w:rPr>
      <w:tblPr/>
      <w:tcPr>
        <w:tcBorders>
          <w:top w:val="single" w:color="000000" w:themeColor="light1" w:sz="4" w:space="0"/>
        </w:tcBorders>
        <w:shd w:val="clear" w:color="FFFFFF" w:fill="C0504D" w:themeFill="accent2"/>
      </w:tcPr>
    </w:tblStylePr>
  </w:style>
  <w:style w:type="table" w:styleId="869">
    <w:name w:val="Grid Table 5 Dark - Accent 3"/>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D1DFB2" w:themeFill="accent3" w:themeFillTint="75"/>
      </w:tcPr>
    </w:tblStylePr>
    <w:tblStylePr w:type="band1Vert">
      <w:tblPr/>
      <w:tcPr>
        <w:shd w:val="clear" w:color="FFFFFF" w:fill="D1DFB2" w:themeFill="accent3" w:themeFillTint="75"/>
      </w:tcPr>
    </w:tblStylePr>
    <w:tblStylePr w:type="firstCol">
      <w:rPr>
        <w:b/>
        <w:sz w:val="22"/>
      </w:rPr>
      <w:tblPr/>
      <w:tcPr>
        <w:shd w:val="clear" w:color="FFFFFF" w:fill="9BBB59" w:themeFill="accent3"/>
      </w:tcPr>
    </w:tblStylePr>
    <w:tblStylePr w:type="firstRow">
      <w:rPr>
        <w:b/>
        <w:sz w:val="22"/>
      </w:rPr>
      <w:tblPr/>
      <w:tcPr>
        <w:shd w:val="clear" w:color="FFFFFF" w:fill="9BBB59" w:themeFill="accent3"/>
      </w:tcPr>
    </w:tblStylePr>
    <w:tblStylePr w:type="lastCol">
      <w:rPr>
        <w:b/>
        <w:sz w:val="22"/>
      </w:rPr>
      <w:tblPr/>
      <w:tcPr>
        <w:shd w:val="clear" w:color="FFFFFF" w:fill="9BBB59" w:themeFill="accent3"/>
      </w:tcPr>
    </w:tblStylePr>
    <w:tblStylePr w:type="lastRow">
      <w:rPr>
        <w:b/>
        <w:sz w:val="22"/>
      </w:rPr>
      <w:tblPr/>
      <w:tcPr>
        <w:tcBorders>
          <w:top w:val="single" w:color="000000" w:themeColor="light1" w:sz="4" w:space="0"/>
        </w:tcBorders>
        <w:shd w:val="clear" w:color="FFFFFF" w:fill="9BBB59" w:themeFill="accent3"/>
      </w:tcPr>
    </w:tblStylePr>
  </w:style>
  <w:style w:type="table" w:styleId="870">
    <w:name w:val="Grid Table 5 Dark- Accent 4"/>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C4B7D4" w:themeFill="accent4" w:themeFillTint="75"/>
      </w:tcPr>
    </w:tblStylePr>
    <w:tblStylePr w:type="band1Vert">
      <w:tblPr/>
      <w:tcPr>
        <w:shd w:val="clear" w:color="FFFFFF" w:fill="C4B7D4" w:themeFill="accent4" w:themeFillTint="75"/>
      </w:tcPr>
    </w:tblStylePr>
    <w:tblStylePr w:type="firstCol">
      <w:rPr>
        <w:b/>
        <w:sz w:val="22"/>
      </w:rPr>
      <w:tblPr/>
      <w:tcPr>
        <w:shd w:val="clear" w:color="FFFFFF" w:fill="8064A2" w:themeFill="accent4"/>
      </w:tcPr>
    </w:tblStylePr>
    <w:tblStylePr w:type="firstRow">
      <w:rPr>
        <w:b/>
        <w:sz w:val="22"/>
      </w:rPr>
      <w:tblPr/>
      <w:tcPr>
        <w:shd w:val="clear" w:color="FFFFFF" w:fill="8064A2" w:themeFill="accent4"/>
      </w:tcPr>
    </w:tblStylePr>
    <w:tblStylePr w:type="lastCol">
      <w:rPr>
        <w:b/>
        <w:sz w:val="22"/>
      </w:rPr>
      <w:tblPr/>
      <w:tcPr>
        <w:shd w:val="clear" w:color="FFFFFF" w:fill="8064A2" w:themeFill="accent4"/>
      </w:tcPr>
    </w:tblStylePr>
    <w:tblStylePr w:type="lastRow">
      <w:rPr>
        <w:b/>
        <w:sz w:val="22"/>
      </w:rPr>
      <w:tblPr/>
      <w:tcPr>
        <w:tcBorders>
          <w:top w:val="single" w:color="000000" w:themeColor="light1" w:sz="4" w:space="0"/>
        </w:tcBorders>
        <w:shd w:val="clear" w:color="FFFFFF" w:fill="8064A2" w:themeFill="accent4"/>
      </w:tcPr>
    </w:tblStylePr>
  </w:style>
  <w:style w:type="table" w:styleId="871">
    <w:name w:val="Grid Table 5 Dark - Accent 5"/>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ABD9E4" w:themeFill="accent5" w:themeFillTint="75"/>
      </w:tcPr>
    </w:tblStylePr>
    <w:tblStylePr w:type="band1Vert">
      <w:tblPr/>
      <w:tcPr>
        <w:shd w:val="clear" w:color="FFFFFF" w:fill="ABD9E4" w:themeFill="accent5" w:themeFillTint="75"/>
      </w:tcPr>
    </w:tblStylePr>
    <w:tblStylePr w:type="firstCol">
      <w:rPr>
        <w:b/>
        <w:sz w:val="22"/>
      </w:rPr>
      <w:tblPr/>
      <w:tcPr>
        <w:shd w:val="clear" w:color="FFFFFF" w:fill="4BACC6" w:themeFill="accent5"/>
      </w:tcPr>
    </w:tblStylePr>
    <w:tblStylePr w:type="firstRow">
      <w:rPr>
        <w:b/>
        <w:sz w:val="22"/>
      </w:rPr>
      <w:tblPr/>
      <w:tcPr>
        <w:shd w:val="clear" w:color="FFFFFF" w:fill="4BACC6" w:themeFill="accent5"/>
      </w:tcPr>
    </w:tblStylePr>
    <w:tblStylePr w:type="lastCol">
      <w:rPr>
        <w:b/>
        <w:sz w:val="22"/>
      </w:rPr>
      <w:tblPr/>
      <w:tcPr>
        <w:shd w:val="clear" w:color="FFFFFF" w:fill="4BACC6" w:themeFill="accent5"/>
      </w:tcPr>
    </w:tblStylePr>
    <w:tblStylePr w:type="lastRow">
      <w:rPr>
        <w:b/>
        <w:sz w:val="22"/>
      </w:rPr>
      <w:tblPr/>
      <w:tcPr>
        <w:tcBorders>
          <w:top w:val="single" w:color="000000" w:themeColor="light1" w:sz="4" w:space="0"/>
        </w:tcBorders>
        <w:shd w:val="clear" w:color="FFFFFF" w:fill="4BACC6" w:themeFill="accent5"/>
      </w:tcPr>
    </w:tblStylePr>
  </w:style>
  <w:style w:type="table" w:styleId="872">
    <w:name w:val="Grid Table 5 Dark - Accent 6"/>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FBCDA8" w:themeFill="accent6" w:themeFillTint="75"/>
      </w:tcPr>
    </w:tblStylePr>
    <w:tblStylePr w:type="band1Vert">
      <w:tblPr/>
      <w:tcPr>
        <w:shd w:val="clear" w:color="FFFFFF" w:fill="FBCDA8" w:themeFill="accent6" w:themeFillTint="75"/>
      </w:tcPr>
    </w:tblStylePr>
    <w:tblStylePr w:type="firstCol">
      <w:rPr>
        <w:b/>
        <w:sz w:val="22"/>
      </w:rPr>
      <w:tblPr/>
      <w:tcPr>
        <w:shd w:val="clear" w:color="FFFFFF" w:fill="F79646" w:themeFill="accent6"/>
      </w:tcPr>
    </w:tblStylePr>
    <w:tblStylePr w:type="firstRow">
      <w:rPr>
        <w:b/>
        <w:sz w:val="22"/>
      </w:rPr>
      <w:tblPr/>
      <w:tcPr>
        <w:shd w:val="clear" w:color="FFFFFF" w:fill="F79646" w:themeFill="accent6"/>
      </w:tcPr>
    </w:tblStylePr>
    <w:tblStylePr w:type="lastCol">
      <w:rPr>
        <w:b/>
        <w:sz w:val="22"/>
      </w:rPr>
      <w:tblPr/>
      <w:tcPr>
        <w:shd w:val="clear" w:color="FFFFFF" w:fill="F79646" w:themeFill="accent6"/>
      </w:tcPr>
    </w:tblStylePr>
    <w:tblStylePr w:type="lastRow">
      <w:rPr>
        <w:b/>
        <w:sz w:val="22"/>
      </w:rPr>
      <w:tblPr/>
      <w:tcPr>
        <w:tcBorders>
          <w:top w:val="single" w:color="000000" w:themeColor="light1" w:sz="4" w:space="0"/>
        </w:tcBorders>
        <w:shd w:val="clear" w:color="FFFFFF" w:fill="F79646" w:themeFill="accent6"/>
      </w:tcPr>
    </w:tblStylePr>
  </w:style>
  <w:style w:type="table" w:styleId="873">
    <w:name w:val="Grid Table 6 Colorful"/>
    <w:uiPriority w:val="99"/>
    <w:pPr>
      <w:spacing w:after="0" w:line="240" w:lineRule="auto"/>
    </w:pPr>
    <w:tblPr>
      <w:tblStyleRowBandSize w:val="1"/>
      <w:tblStyleColBandSize w:val="1"/>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color w:themeColor="text1" w:themeTint="80" w:themeShade="95"/>
        <w:sz w:val="22"/>
      </w:rPr>
      <w:tblPr/>
      <w:tcPr>
        <w:shd w:val="clear" w:color="FFFFFF" w:fill="CBCBCB" w:themeFill="text1" w:themeFillTint="34"/>
      </w:tcPr>
    </w:tblStylePr>
    <w:tblStylePr w:type="band1Vert">
      <w:tblPr/>
      <w:tcPr>
        <w:shd w:val="clear" w:color="FFFFFF" w:fill="CBCBCB" w:themeFill="text1" w:themeFillTint="34"/>
      </w:tcPr>
    </w:tblStylePr>
    <w:tblStylePr w:type="band2Horz">
      <w:rPr>
        <w:color w:themeColor="text1" w:themeTint="80" w:themeShade="95"/>
        <w:sz w:val="22"/>
      </w:rPr>
      <w:tblPr/>
    </w:tblStylePr>
    <w:tblStylePr w:type="firstCol">
      <w:rPr>
        <w:b/>
        <w:color w:themeColor="text1" w:themeTint="80" w:themeShade="95"/>
      </w:rPr>
      <w:tblPr/>
    </w:tblStylePr>
    <w:tblStylePr w:type="firstRow">
      <w:rPr>
        <w:b/>
        <w:color w:themeColor="text1" w:themeTint="80" w:themeShade="95"/>
      </w:rPr>
      <w:tblPr/>
      <w:tcPr>
        <w:tcBorders>
          <w:bottom w:val="single" w:color="000000" w:themeColor="text1" w:sz="12" w:space="0"/>
        </w:tcBorders>
      </w:tcPr>
    </w:tblStylePr>
    <w:tblStylePr w:type="lastCol">
      <w:rPr>
        <w:b/>
        <w:color w:themeColor="text1" w:themeTint="80" w:themeShade="95"/>
      </w:rPr>
      <w:tblPr/>
    </w:tblStylePr>
    <w:tblStylePr w:type="lastRow">
      <w:rPr>
        <w:b/>
        <w:color w:themeColor="text1" w:themeTint="80" w:themeShade="95"/>
      </w:rPr>
      <w:tblPr/>
    </w:tblStylePr>
    <w:tblStylePr w:type="wholeTable">
      <w:rPr>
        <w:color w:themeColor="text1" w:themeTint="80" w:themeShade="95"/>
        <w:sz w:val="22"/>
      </w:rPr>
      <w:tblPr/>
    </w:tblStylePr>
  </w:style>
  <w:style w:type="table" w:styleId="874">
    <w:name w:val="Grid Table 6 Colorful - Accent 1"/>
    <w:uiPriority w:val="99"/>
    <w:pPr>
      <w:spacing w:after="0" w:line="240" w:lineRule="auto"/>
    </w:pPr>
    <w:tblPr>
      <w:tblStyleRowBandSize w:val="1"/>
      <w:tblStyleColBandSize w:val="1"/>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color w:themeColor="accent1" w:themeTint="80" w:themeShade="95"/>
        <w:sz w:val="22"/>
      </w:rPr>
      <w:tblPr/>
      <w:tcPr>
        <w:shd w:val="clear" w:color="FFFFFF" w:fill="DAE5F1" w:themeFill="accent1" w:themeFillTint="34"/>
      </w:tcPr>
    </w:tblStylePr>
    <w:tblStylePr w:type="band1Vert">
      <w:tblPr/>
      <w:tcPr>
        <w:shd w:val="clear" w:color="FFFFFF" w:fill="DAE5F1" w:themeFill="accent1" w:themeFillTint="34"/>
      </w:tcPr>
    </w:tblStylePr>
    <w:tblStylePr w:type="band2Horz">
      <w:rPr>
        <w:color w:themeColor="accent1" w:themeTint="80" w:themeShade="95"/>
        <w:sz w:val="22"/>
      </w:rPr>
      <w:tblPr/>
    </w:tblStylePr>
    <w:tblStylePr w:type="firstCol">
      <w:rPr>
        <w:b/>
        <w:color w:themeColor="accent1" w:themeTint="80" w:themeShade="95"/>
      </w:rPr>
      <w:tblPr/>
    </w:tblStylePr>
    <w:tblStylePr w:type="firstRow">
      <w:rPr>
        <w:b/>
        <w:color w:themeColor="accent1" w:themeTint="80" w:themeShade="95"/>
      </w:rPr>
      <w:tblPr/>
      <w:tcPr>
        <w:tcBorders>
          <w:bottom w:val="single" w:color="000000" w:themeColor="accent1" w:sz="12" w:space="0"/>
        </w:tcBorders>
      </w:tcPr>
    </w:tblStylePr>
    <w:tblStylePr w:type="lastCol">
      <w:rPr>
        <w:b/>
        <w:color w:themeColor="accent1" w:themeTint="80" w:themeShade="95"/>
      </w:rPr>
      <w:tblPr/>
    </w:tblStylePr>
    <w:tblStylePr w:type="lastRow">
      <w:rPr>
        <w:b/>
        <w:color w:themeColor="accent1" w:themeTint="80" w:themeShade="95"/>
      </w:rPr>
      <w:tblPr/>
    </w:tblStylePr>
    <w:tblStylePr w:type="wholeTable">
      <w:rPr>
        <w:color w:themeColor="accent1" w:themeTint="80" w:themeShade="95"/>
        <w:sz w:val="22"/>
      </w:rPr>
      <w:tblPr/>
    </w:tblStylePr>
  </w:style>
  <w:style w:type="table" w:styleId="875">
    <w:name w:val="Grid Table 6 Colorful - Accent 2"/>
    <w:uiPriority w:val="99"/>
    <w:pPr>
      <w:spacing w:after="0" w:line="240" w:lineRule="auto"/>
    </w:pPr>
    <w:tblPr>
      <w:tblStyleRowBandSize w:val="1"/>
      <w:tblStyleColBandSize w:val="1"/>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color w:themeColor="accent2" w:themeTint="97" w:themeShade="95"/>
        <w:sz w:val="22"/>
      </w:rPr>
      <w:tblPr/>
      <w:tcPr>
        <w:shd w:val="clear" w:color="FFFFFF" w:fill="F2DCDB" w:themeFill="accent2" w:themeFillTint="32"/>
      </w:tcPr>
    </w:tblStylePr>
    <w:tblStylePr w:type="band1Vert">
      <w:tblPr/>
      <w:tcPr>
        <w:shd w:val="clear" w:color="FFFFFF" w:fill="F2DCDB" w:themeFill="accent2" w:themeFillTint="32"/>
      </w:tcPr>
    </w:tblStylePr>
    <w:tblStylePr w:type="band2Horz">
      <w:rPr>
        <w:color w:themeColor="accent2" w:themeTint="97" w:themeShade="95"/>
        <w:sz w:val="22"/>
      </w:rPr>
      <w:tblPr/>
    </w:tblStylePr>
    <w:tblStylePr w:type="firstCol">
      <w:rPr>
        <w:b/>
        <w:color w:themeColor="accent2" w:themeTint="97" w:themeShade="95"/>
      </w:rPr>
      <w:tblPr/>
    </w:tblStylePr>
    <w:tblStylePr w:type="firstRow">
      <w:rPr>
        <w:b/>
        <w:color w:themeColor="accent2" w:themeTint="97" w:themeShade="95"/>
      </w:rPr>
      <w:tblPr/>
      <w:tcPr>
        <w:tcBorders>
          <w:bottom w:val="single" w:color="000000" w:themeColor="accent2" w:sz="12" w:space="0"/>
        </w:tcBorders>
      </w:tcPr>
    </w:tblStylePr>
    <w:tblStylePr w:type="lastCol">
      <w:rPr>
        <w:b/>
        <w:color w:themeColor="accent2" w:themeTint="97" w:themeShade="95"/>
      </w:rPr>
      <w:tblPr/>
    </w:tblStylePr>
    <w:tblStylePr w:type="lastRow">
      <w:rPr>
        <w:b/>
        <w:color w:themeColor="accent2" w:themeTint="97" w:themeShade="95"/>
      </w:rPr>
      <w:tblPr/>
    </w:tblStylePr>
    <w:tblStylePr w:type="wholeTable">
      <w:rPr>
        <w:color w:themeColor="accent2" w:themeTint="97" w:themeShade="95"/>
        <w:sz w:val="22"/>
      </w:rPr>
      <w:tblPr/>
    </w:tblStylePr>
  </w:style>
  <w:style w:type="table" w:styleId="876">
    <w:name w:val="Grid Table 6 Colorful - Accent 3"/>
    <w:uiPriority w:val="99"/>
    <w:pPr>
      <w:spacing w:after="0" w:line="240" w:lineRule="auto"/>
    </w:pPr>
    <w:tblPr>
      <w:tblStyleRowBandSize w:val="1"/>
      <w:tblStyleColBandSize w:val="1"/>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color w:themeColor="accent3" w:themeTint="fe" w:themeShade="95"/>
        <w:sz w:val="22"/>
      </w:rPr>
      <w:tblPr/>
      <w:tcPr>
        <w:shd w:val="clear" w:color="FFFFFF" w:fill="EAF0DD" w:themeFill="accent3" w:themeFillTint="34"/>
      </w:tcPr>
    </w:tblStylePr>
    <w:tblStylePr w:type="band1Vert">
      <w:tblPr/>
      <w:tcPr>
        <w:shd w:val="clear" w:color="FFFFFF" w:fill="EAF0DD" w:themeFill="accent3" w:themeFillTint="34"/>
      </w:tcPr>
    </w:tblStylePr>
    <w:tblStylePr w:type="band2Horz">
      <w:rPr>
        <w:color w:themeColor="accent3" w:themeTint="fe" w:themeShade="95"/>
        <w:sz w:val="22"/>
      </w:rPr>
      <w:tblPr/>
    </w:tblStylePr>
    <w:tblStylePr w:type="firstCol">
      <w:rPr>
        <w:b/>
        <w:color w:themeColor="accent3" w:themeTint="fe" w:themeShade="95"/>
      </w:rPr>
      <w:tblPr/>
    </w:tblStylePr>
    <w:tblStylePr w:type="firstRow">
      <w:rPr>
        <w:b/>
        <w:color w:themeColor="accent3" w:themeTint="fe" w:themeShade="95"/>
      </w:rPr>
      <w:tblPr/>
      <w:tcPr>
        <w:tcBorders>
          <w:bottom w:val="single" w:color="000000" w:themeColor="accent3" w:sz="12" w:space="0"/>
        </w:tcBorders>
      </w:tcPr>
    </w:tblStylePr>
    <w:tblStylePr w:type="lastCol">
      <w:rPr>
        <w:b/>
        <w:color w:themeColor="accent3" w:themeTint="fe" w:themeShade="95"/>
      </w:rPr>
      <w:tblPr/>
    </w:tblStylePr>
    <w:tblStylePr w:type="lastRow">
      <w:rPr>
        <w:b/>
        <w:color w:themeColor="accent3" w:themeTint="fe" w:themeShade="95"/>
      </w:rPr>
      <w:tblPr/>
    </w:tblStylePr>
    <w:tblStylePr w:type="wholeTable">
      <w:rPr>
        <w:color w:themeColor="accent3" w:themeTint="fe" w:themeShade="95"/>
        <w:sz w:val="22"/>
      </w:rPr>
      <w:tblPr/>
    </w:tblStylePr>
  </w:style>
  <w:style w:type="table" w:styleId="877">
    <w:name w:val="Grid Table 6 Colorful - Accent 4"/>
    <w:uiPriority w:val="99"/>
    <w:pPr>
      <w:spacing w:after="0" w:line="240" w:lineRule="auto"/>
    </w:pPr>
    <w:tblPr>
      <w:tblStyleRowBandSize w:val="1"/>
      <w:tblStyleColBandSize w:val="1"/>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color w:themeColor="accent4" w:themeTint="9a" w:themeShade="95"/>
        <w:sz w:val="22"/>
      </w:rPr>
      <w:tblPr/>
      <w:tcPr>
        <w:shd w:val="clear" w:color="FFFFFF" w:fill="E5DFEC" w:themeFill="accent4" w:themeFillTint="34"/>
      </w:tcPr>
    </w:tblStylePr>
    <w:tblStylePr w:type="band1Vert">
      <w:tblPr/>
      <w:tcPr>
        <w:shd w:val="clear" w:color="FFFFFF" w:fill="E5DFEC" w:themeFill="accent4" w:themeFillTint="34"/>
      </w:tcPr>
    </w:tblStylePr>
    <w:tblStylePr w:type="band2Horz">
      <w:rPr>
        <w:color w:themeColor="accent4" w:themeTint="9a" w:themeShade="95"/>
        <w:sz w:val="22"/>
      </w:rPr>
      <w:tblPr/>
    </w:tblStylePr>
    <w:tblStylePr w:type="firstCol">
      <w:rPr>
        <w:b/>
        <w:color w:themeColor="accent4" w:themeTint="9a" w:themeShade="95"/>
      </w:rPr>
      <w:tblPr/>
    </w:tblStylePr>
    <w:tblStylePr w:type="firstRow">
      <w:rPr>
        <w:b/>
        <w:color w:themeColor="accent4" w:themeTint="9a" w:themeShade="95"/>
      </w:rPr>
      <w:tblPr/>
      <w:tcPr>
        <w:tcBorders>
          <w:bottom w:val="single" w:color="000000" w:themeColor="accent4" w:sz="12" w:space="0"/>
        </w:tcBorders>
      </w:tcPr>
    </w:tblStylePr>
    <w:tblStylePr w:type="lastCol">
      <w:rPr>
        <w:b/>
        <w:color w:themeColor="accent4" w:themeTint="9a" w:themeShade="95"/>
      </w:rPr>
      <w:tblPr/>
    </w:tblStylePr>
    <w:tblStylePr w:type="lastRow">
      <w:rPr>
        <w:b/>
        <w:color w:themeColor="accent4" w:themeTint="9a" w:themeShade="95"/>
      </w:rPr>
      <w:tblPr/>
    </w:tblStylePr>
    <w:tblStylePr w:type="wholeTable">
      <w:rPr>
        <w:color w:themeColor="accent4" w:themeTint="9a" w:themeShade="95"/>
        <w:sz w:val="22"/>
      </w:rPr>
      <w:tblPr/>
    </w:tblStylePr>
  </w:style>
  <w:style w:type="table" w:styleId="878">
    <w:name w:val="Grid Table 6 Colorful - Accent 5"/>
    <w:uiPriority w:val="99"/>
    <w:pPr>
      <w:spacing w:after="0" w:line="240" w:lineRule="auto"/>
    </w:pPr>
    <w:tblPr>
      <w:tblStyleRowBandSize w:val="1"/>
      <w:tblStyleColBandSize w:val="1"/>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color w:themeColor="accent5" w:themeShade="95"/>
        <w:sz w:val="22"/>
      </w:rPr>
      <w:tblPr/>
      <w:tcPr>
        <w:shd w:val="clear" w:color="FFFFFF" w:fill="DAEEF3" w:themeFill="accent5" w:themeFillTint="34"/>
      </w:tcPr>
    </w:tblStylePr>
    <w:tblStylePr w:type="band1Vert">
      <w:tblPr/>
      <w:tcPr>
        <w:shd w:val="clear" w:color="FFFFFF" w:fill="DAEEF3" w:themeFill="accent5" w:themeFillTint="34"/>
      </w:tcPr>
    </w:tblStylePr>
    <w:tblStylePr w:type="band2Horz">
      <w:rPr>
        <w:color w:themeColor="accent5" w:themeShade="95"/>
        <w:sz w:val="22"/>
      </w:rPr>
      <w:tblPr/>
    </w:tblStylePr>
    <w:tblStylePr w:type="firstCol">
      <w:rPr>
        <w:b/>
        <w:color w:themeColor="accent5" w:themeShade="95"/>
      </w:rPr>
      <w:tblPr/>
    </w:tblStylePr>
    <w:tblStylePr w:type="firstRow">
      <w:rPr>
        <w:b/>
        <w:color w:themeColor="accent5" w:themeShade="95"/>
      </w:rPr>
      <w:tblPr/>
      <w:tcPr>
        <w:tcBorders>
          <w:bottom w:val="single" w:color="000000" w:themeColor="accent5" w:sz="12" w:space="0"/>
        </w:tcBorders>
      </w:tcPr>
    </w:tblStylePr>
    <w:tblStylePr w:type="lastCol">
      <w:rPr>
        <w:b/>
        <w:color w:themeColor="accent5" w:themeShade="95"/>
      </w:rPr>
      <w:tblPr/>
    </w:tblStylePr>
    <w:tblStylePr w:type="lastRow">
      <w:rPr>
        <w:b/>
        <w:color w:themeColor="accent5" w:themeShade="95"/>
      </w:rPr>
      <w:tblPr/>
    </w:tblStylePr>
    <w:tblStylePr w:type="wholeTable">
      <w:rPr>
        <w:color w:themeColor="accent5" w:themeShade="95"/>
        <w:sz w:val="22"/>
      </w:rPr>
      <w:tblPr/>
    </w:tblStylePr>
  </w:style>
  <w:style w:type="table" w:styleId="879">
    <w:name w:val="Grid Table 6 Colorful - Accent 6"/>
    <w:uiPriority w:val="99"/>
    <w:pPr>
      <w:spacing w:after="0" w:line="240" w:lineRule="auto"/>
    </w:pPr>
    <w:tblPr>
      <w:tblStyleRowBandSize w:val="1"/>
      <w:tblStyleColBandSize w:val="1"/>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color w:themeColor="accent5" w:themeShade="95"/>
        <w:sz w:val="22"/>
      </w:rPr>
      <w:tblPr/>
      <w:tcPr>
        <w:shd w:val="clear" w:color="FFFFFF" w:fill="FDE9D8" w:themeFill="accent6" w:themeFillTint="34"/>
      </w:tcPr>
    </w:tblStylePr>
    <w:tblStylePr w:type="band1Vert">
      <w:tblPr/>
      <w:tcPr>
        <w:shd w:val="clear" w:color="FFFFFF" w:fill="FDE9D8" w:themeFill="accent6" w:themeFillTint="34"/>
      </w:tcPr>
    </w:tblStylePr>
    <w:tblStylePr w:type="band2Horz">
      <w:rPr>
        <w:color w:themeColor="accent5" w:themeShade="95"/>
        <w:sz w:val="22"/>
      </w:rPr>
      <w:tblPr/>
    </w:tblStylePr>
    <w:tblStylePr w:type="firstCol">
      <w:rPr>
        <w:b/>
        <w:color w:themeColor="accent5" w:themeShade="95"/>
      </w:rPr>
      <w:tblPr/>
    </w:tblStylePr>
    <w:tblStylePr w:type="firstRow">
      <w:rPr>
        <w:b/>
        <w:color w:themeColor="accent5" w:themeShade="95"/>
      </w:rPr>
      <w:tblPr/>
      <w:tcPr>
        <w:tcBorders>
          <w:bottom w:val="single" w:color="000000" w:themeColor="accent6" w:sz="12" w:space="0"/>
        </w:tcBorders>
      </w:tcPr>
    </w:tblStylePr>
    <w:tblStylePr w:type="lastCol">
      <w:rPr>
        <w:b/>
        <w:color w:themeColor="accent5" w:themeShade="95"/>
      </w:rPr>
      <w:tblPr/>
    </w:tblStylePr>
    <w:tblStylePr w:type="lastRow">
      <w:rPr>
        <w:b/>
        <w:color w:themeColor="accent5" w:themeShade="95"/>
      </w:rPr>
      <w:tblPr/>
    </w:tblStylePr>
    <w:tblStylePr w:type="wholeTable">
      <w:rPr>
        <w:color w:themeColor="accent5" w:themeShade="95"/>
        <w:sz w:val="22"/>
      </w:rPr>
      <w:tblPr/>
    </w:tblStylePr>
  </w:style>
  <w:style w:type="table" w:styleId="880">
    <w:name w:val="Grid Table 7 Colorful"/>
    <w:uiPriority w:val="99"/>
    <w:pPr>
      <w:spacing w:after="0" w:line="240" w:lineRule="auto"/>
    </w:pPr>
    <w:tblPr>
      <w:tblStyleRowBandSize w:val="1"/>
      <w:tblStyleColBandSize w:val="1"/>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color w:themeColor="text1" w:themeTint="80" w:themeShade="95"/>
        <w:sz w:val="22"/>
      </w:rPr>
      <w:tblPr/>
      <w:tcPr>
        <w:shd w:val="clear" w:color="FFFFFF" w:fill="F2F2F2" w:themeFill="text1" w:themeFillTint="0"/>
      </w:tcPr>
    </w:tblStylePr>
    <w:tblStylePr w:type="band1Vert">
      <w:tblPr/>
      <w:tcPr>
        <w:shd w:val="clear" w:color="FFFFFF" w:fill="F2F2F2" w:themeFill="text1" w:themeFillTint="0"/>
      </w:tcPr>
    </w:tblStylePr>
    <w:tblStylePr w:type="band2Horz">
      <w:rPr>
        <w:color w:themeColor="text1" w:themeTint="80" w:themeShade="95"/>
        <w:sz w:val="22"/>
      </w:rPr>
      <w:tblPr/>
    </w:tblStylePr>
    <w:tblStylePr w:type="firstCol">
      <w:pPr>
        <w:jc w:val="right"/>
      </w:pPr>
      <w:rPr>
        <w:i/>
        <w:color w:themeColor="text1" w:themeTint="80" w:themeShade="95"/>
        <w:sz w:val="22"/>
      </w:rPr>
      <w:tblPr/>
      <w:tcPr>
        <w:tcBorders>
          <w:top w:val="none" w:color="000000" w:sz="4" w:space="0"/>
          <w:left w:val="none" w:color="000000" w:sz="4" w:space="0"/>
          <w:bottom w:val="none" w:color="000000" w:sz="4" w:space="0"/>
          <w:right w:val="single" w:color="000000" w:themeColor="text1" w:sz="4" w:space="0"/>
        </w:tcBorders>
        <w:shd w:val="clear" w:color="FFFFFF"/>
      </w:tcPr>
    </w:tblStylePr>
    <w:tblStylePr w:type="firstRow">
      <w:rPr>
        <w:b/>
        <w:color w:themeColor="text1" w:themeTint="80" w:themeShade="95"/>
        <w:sz w:val="22"/>
      </w:rPr>
      <w:tblPr/>
      <w:tcPr>
        <w:tcBorders>
          <w:top w:val="none" w:color="000000" w:sz="4" w:space="0"/>
          <w:left w:val="none" w:color="000000" w:sz="4" w:space="0"/>
          <w:bottom w:val="single" w:color="000000" w:themeColor="text1" w:sz="4" w:space="0"/>
          <w:right w:val="none" w:color="000000" w:sz="4" w:space="0"/>
        </w:tcBorders>
        <w:shd w:val="clear" w:color="FFFFFF" w:fill="FFFFFF" w:themeFill="light1"/>
      </w:tcPr>
    </w:tblStylePr>
    <w:tblStylePr w:type="lastCol">
      <w:rPr>
        <w:i/>
        <w:color w:themeColor="text1" w:themeTint="80" w:themeShade="95"/>
        <w:sz w:val="22"/>
      </w:rPr>
      <w:tblPr/>
      <w:tcPr>
        <w:tcBorders>
          <w:top w:val="none" w:color="000000" w:sz="4" w:space="0"/>
          <w:left w:val="single" w:color="000000" w:themeColor="text1" w:sz="4" w:space="0"/>
          <w:bottom w:val="none" w:color="000000" w:sz="4" w:space="0"/>
          <w:right w:val="none" w:color="000000" w:sz="4" w:space="0"/>
        </w:tcBorders>
        <w:shd w:val="clear" w:color="FFFFFF"/>
      </w:tcPr>
    </w:tblStylePr>
    <w:tblStylePr w:type="lastRow">
      <w:rPr>
        <w:b/>
        <w:color w:themeColor="text1" w:themeTint="80" w:themeShade="95"/>
        <w:sz w:val="22"/>
      </w:rPr>
      <w:tblPr/>
      <w:tcPr>
        <w:tcBorders>
          <w:top w:val="single" w:color="000000" w:themeColor="text1" w:sz="4" w:space="0"/>
          <w:left w:val="none" w:color="000000" w:sz="4" w:space="0"/>
          <w:bottom w:val="none" w:color="000000" w:sz="4" w:space="0"/>
          <w:right w:val="none" w:color="000000" w:sz="4" w:space="0"/>
        </w:tcBorders>
        <w:shd w:val="clear" w:color="FFFFFF" w:fill="FFFFFF" w:themeFill="light1"/>
      </w:tcPr>
    </w:tblStylePr>
  </w:style>
  <w:style w:type="table" w:styleId="881">
    <w:name w:val="Grid Table 7 Colorful - Accent 1"/>
    <w:uiPriority w:val="99"/>
    <w:pPr>
      <w:spacing w:after="0" w:line="240" w:lineRule="auto"/>
    </w:pPr>
    <w:tblPr>
      <w:tblStyleRowBandSize w:val="1"/>
      <w:tblStyleColBandSize w:val="1"/>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color w:themeColor="accent1" w:themeTint="80" w:themeShade="95"/>
        <w:sz w:val="22"/>
      </w:rPr>
      <w:tblPr/>
      <w:tcPr>
        <w:shd w:val="clear" w:color="FFFFFF" w:fill="DAE5F1" w:themeFill="accent1" w:themeFillTint="34"/>
      </w:tcPr>
    </w:tblStylePr>
    <w:tblStylePr w:type="band1Vert">
      <w:tblPr/>
      <w:tcPr>
        <w:shd w:val="clear" w:color="FFFFFF" w:fill="DAE5F1" w:themeFill="accent1" w:themeFillTint="34"/>
      </w:tcPr>
    </w:tblStylePr>
    <w:tblStylePr w:type="band2Horz">
      <w:rPr>
        <w:color w:themeColor="accent1" w:themeTint="80" w:themeShade="95"/>
        <w:sz w:val="22"/>
      </w:rPr>
      <w:tblPr/>
    </w:tblStylePr>
    <w:tblStylePr w:type="firstCol">
      <w:pPr>
        <w:jc w:val="right"/>
      </w:pPr>
      <w:rPr>
        <w:i/>
        <w:color w:themeColor="accent1" w:themeTint="80" w:themeShade="95"/>
        <w:sz w:val="22"/>
      </w:rPr>
      <w:tblPr/>
      <w:tcPr>
        <w:tcBorders>
          <w:top w:val="none" w:color="000000" w:sz="4" w:space="0"/>
          <w:left w:val="none" w:color="000000" w:sz="4" w:space="0"/>
          <w:bottom w:val="none" w:color="000000" w:sz="4" w:space="0"/>
          <w:right w:val="single" w:color="000000" w:themeColor="accent1" w:sz="4" w:space="0"/>
        </w:tcBorders>
        <w:shd w:val="clear" w:color="FFFFFF"/>
      </w:tcPr>
    </w:tblStylePr>
    <w:tblStylePr w:type="firstRow">
      <w:rPr>
        <w:b/>
        <w:color w:themeColor="accent1" w:themeTint="80" w:themeShade="95"/>
        <w:sz w:val="22"/>
      </w:rPr>
      <w:tblPr/>
      <w:tcPr>
        <w:tcBorders>
          <w:top w:val="none" w:color="000000" w:sz="4" w:space="0"/>
          <w:left w:val="none" w:color="000000" w:sz="4" w:space="0"/>
          <w:bottom w:val="single" w:color="000000" w:themeColor="accent1" w:sz="4" w:space="0"/>
          <w:right w:val="none" w:color="000000" w:sz="4" w:space="0"/>
        </w:tcBorders>
        <w:shd w:val="clear" w:color="FFFFFF" w:fill="FFFFFF" w:themeFill="light1"/>
      </w:tcPr>
    </w:tblStylePr>
    <w:tblStylePr w:type="lastCol">
      <w:rPr>
        <w:i/>
        <w:color w:themeColor="accent1" w:themeTint="80" w:themeShade="95"/>
        <w:sz w:val="22"/>
      </w:rPr>
      <w:tblPr/>
      <w:tcPr>
        <w:tcBorders>
          <w:top w:val="none" w:color="000000" w:sz="4" w:space="0"/>
          <w:left w:val="single" w:color="000000" w:themeColor="accent1" w:sz="4" w:space="0"/>
          <w:bottom w:val="none" w:color="000000" w:sz="4" w:space="0"/>
          <w:right w:val="none" w:color="000000" w:sz="4" w:space="0"/>
        </w:tcBorders>
        <w:shd w:val="clear" w:color="FFFFFF"/>
      </w:tcPr>
    </w:tblStylePr>
    <w:tblStylePr w:type="lastRow">
      <w:rPr>
        <w:b/>
        <w:color w:themeColor="accent1" w:themeTint="80" w:themeShade="95"/>
        <w:sz w:val="22"/>
      </w:rPr>
      <w:tblPr/>
      <w:tcPr>
        <w:tcBorders>
          <w:top w:val="single" w:color="000000" w:themeColor="accent1" w:sz="4" w:space="0"/>
          <w:left w:val="none" w:color="000000" w:sz="4" w:space="0"/>
          <w:bottom w:val="none" w:color="000000" w:sz="4" w:space="0"/>
          <w:right w:val="none" w:color="000000" w:sz="4" w:space="0"/>
        </w:tcBorders>
        <w:shd w:val="clear" w:color="FFFFFF" w:fill="FFFFFF" w:themeFill="light1"/>
      </w:tcPr>
    </w:tblStylePr>
  </w:style>
  <w:style w:type="table" w:styleId="882">
    <w:name w:val="Grid Table 7 Colorful - Accent 2"/>
    <w:uiPriority w:val="99"/>
    <w:pPr>
      <w:spacing w:after="0" w:line="240" w:lineRule="auto"/>
    </w:pPr>
    <w:tblPr>
      <w:tblStyleRowBandSize w:val="1"/>
      <w:tblStyleColBandSize w:val="1"/>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color w:themeColor="accent2" w:themeTint="97" w:themeShade="95"/>
        <w:sz w:val="22"/>
      </w:rPr>
      <w:tblPr/>
      <w:tcPr>
        <w:shd w:val="clear" w:color="FFFFFF" w:fill="F2DCDB" w:themeFill="accent2" w:themeFillTint="32"/>
      </w:tcPr>
    </w:tblStylePr>
    <w:tblStylePr w:type="band1Vert">
      <w:tblPr/>
      <w:tcPr>
        <w:shd w:val="clear" w:color="FFFFFF" w:fill="F2DCDB" w:themeFill="accent2" w:themeFillTint="32"/>
      </w:tcPr>
    </w:tblStylePr>
    <w:tblStylePr w:type="band2Horz">
      <w:rPr>
        <w:color w:themeColor="accent2" w:themeTint="97" w:themeShade="95"/>
        <w:sz w:val="22"/>
      </w:rPr>
      <w:tblPr/>
    </w:tblStylePr>
    <w:tblStylePr w:type="firstCol">
      <w:pPr>
        <w:jc w:val="right"/>
      </w:pPr>
      <w:rPr>
        <w:i/>
        <w:color w:themeColor="accent2" w:themeTint="97" w:themeShade="95"/>
        <w:sz w:val="22"/>
      </w:rPr>
      <w:tblPr/>
      <w:tcPr>
        <w:tcBorders>
          <w:top w:val="none" w:color="000000" w:sz="4" w:space="0"/>
          <w:left w:val="none" w:color="000000" w:sz="4" w:space="0"/>
          <w:bottom w:val="none" w:color="000000" w:sz="4" w:space="0"/>
          <w:right w:val="single" w:color="000000" w:themeColor="accent2" w:sz="4" w:space="0"/>
        </w:tcBorders>
        <w:shd w:val="clear" w:color="FFFFFF"/>
      </w:tcPr>
    </w:tblStylePr>
    <w:tblStylePr w:type="firstRow">
      <w:rPr>
        <w:b/>
        <w:color w:themeColor="accent2" w:themeTint="97" w:themeShade="95"/>
        <w:sz w:val="22"/>
      </w:rPr>
      <w:tblPr/>
      <w:tcPr>
        <w:tcBorders>
          <w:top w:val="none" w:color="000000" w:sz="4" w:space="0"/>
          <w:left w:val="none" w:color="000000" w:sz="4" w:space="0"/>
          <w:bottom w:val="single" w:color="000000" w:themeColor="accent2" w:sz="4" w:space="0"/>
          <w:right w:val="none" w:color="000000" w:sz="4" w:space="0"/>
        </w:tcBorders>
        <w:shd w:val="clear" w:color="FFFFFF" w:fill="FFFFFF" w:themeFill="light1"/>
      </w:tcPr>
    </w:tblStylePr>
    <w:tblStylePr w:type="lastCol">
      <w:rPr>
        <w:i/>
        <w:color w:themeColor="accent2" w:themeTint="97" w:themeShade="95"/>
        <w:sz w:val="22"/>
      </w:rPr>
      <w:tblPr/>
      <w:tcPr>
        <w:tcBorders>
          <w:top w:val="none" w:color="000000" w:sz="4" w:space="0"/>
          <w:left w:val="single" w:color="000000" w:themeColor="accent2" w:sz="4" w:space="0"/>
          <w:bottom w:val="none" w:color="000000" w:sz="4" w:space="0"/>
          <w:right w:val="none" w:color="000000" w:sz="4" w:space="0"/>
        </w:tcBorders>
        <w:shd w:val="clear" w:color="FFFFFF"/>
      </w:tcPr>
    </w:tblStylePr>
    <w:tblStylePr w:type="lastRow">
      <w:rPr>
        <w:b/>
        <w:color w:themeColor="accent2" w:themeTint="97" w:themeShade="95"/>
        <w:sz w:val="22"/>
      </w:rPr>
      <w:tblPr/>
      <w:tcPr>
        <w:tcBorders>
          <w:top w:val="single" w:color="000000" w:themeColor="accent2" w:sz="4" w:space="0"/>
          <w:left w:val="none" w:color="000000" w:sz="4" w:space="0"/>
          <w:bottom w:val="none" w:color="000000" w:sz="4" w:space="0"/>
          <w:right w:val="none" w:color="000000" w:sz="4" w:space="0"/>
        </w:tcBorders>
        <w:shd w:val="clear" w:color="FFFFFF" w:fill="FFFFFF" w:themeFill="light1"/>
      </w:tcPr>
    </w:tblStylePr>
  </w:style>
  <w:style w:type="table" w:styleId="883">
    <w:name w:val="Grid Table 7 Colorful - Accent 3"/>
    <w:uiPriority w:val="99"/>
    <w:pPr>
      <w:spacing w:after="0" w:line="240" w:lineRule="auto"/>
    </w:pPr>
    <w:tblPr>
      <w:tblStyleRowBandSize w:val="1"/>
      <w:tblStyleColBandSize w:val="1"/>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color w:themeColor="accent3" w:themeTint="fe" w:themeShade="95"/>
        <w:sz w:val="22"/>
      </w:rPr>
      <w:tblPr/>
      <w:tcPr>
        <w:shd w:val="clear" w:color="FFFFFF" w:fill="EAF0DD" w:themeFill="accent3" w:themeFillTint="34"/>
      </w:tcPr>
    </w:tblStylePr>
    <w:tblStylePr w:type="band1Vert">
      <w:tblPr/>
      <w:tcPr>
        <w:shd w:val="clear" w:color="FFFFFF" w:fill="EAF0DD" w:themeFill="accent3" w:themeFillTint="34"/>
      </w:tcPr>
    </w:tblStylePr>
    <w:tblStylePr w:type="band2Horz">
      <w:rPr>
        <w:color w:themeColor="accent3" w:themeTint="fe" w:themeShade="95"/>
        <w:sz w:val="22"/>
      </w:rPr>
      <w:tblPr/>
    </w:tblStylePr>
    <w:tblStylePr w:type="firstCol">
      <w:pPr>
        <w:jc w:val="right"/>
      </w:pPr>
      <w:rPr>
        <w:i/>
        <w:color w:themeColor="accent3" w:themeTint="fe" w:themeShade="95"/>
        <w:sz w:val="22"/>
      </w:rPr>
      <w:tblPr/>
      <w:tcPr>
        <w:tcBorders>
          <w:top w:val="none" w:color="000000" w:sz="4" w:space="0"/>
          <w:left w:val="none" w:color="000000" w:sz="4" w:space="0"/>
          <w:bottom w:val="none" w:color="000000" w:sz="4" w:space="0"/>
          <w:right w:val="single" w:color="000000" w:themeColor="accent3" w:sz="4" w:space="0"/>
        </w:tcBorders>
        <w:shd w:val="clear" w:color="FFFFFF"/>
      </w:tcPr>
    </w:tblStylePr>
    <w:tblStylePr w:type="firstRow">
      <w:rPr>
        <w:b/>
        <w:color w:themeColor="accent3" w:themeTint="fe" w:themeShade="95"/>
        <w:sz w:val="22"/>
      </w:rPr>
      <w:tblPr/>
      <w:tcPr>
        <w:tcBorders>
          <w:top w:val="none" w:color="000000" w:sz="4" w:space="0"/>
          <w:left w:val="none" w:color="000000" w:sz="4" w:space="0"/>
          <w:bottom w:val="single" w:color="000000" w:themeColor="accent3" w:sz="4" w:space="0"/>
          <w:right w:val="none" w:color="000000" w:sz="4" w:space="0"/>
        </w:tcBorders>
        <w:shd w:val="clear" w:color="FFFFFF" w:fill="FFFFFF" w:themeFill="light1"/>
      </w:tcPr>
    </w:tblStylePr>
    <w:tblStylePr w:type="lastCol">
      <w:rPr>
        <w:i/>
        <w:color w:themeColor="accent3" w:themeTint="fe" w:themeShade="95"/>
        <w:sz w:val="22"/>
      </w:rPr>
      <w:tblPr/>
      <w:tcPr>
        <w:tcBorders>
          <w:top w:val="none" w:color="000000" w:sz="4" w:space="0"/>
          <w:left w:val="single" w:color="000000" w:themeColor="accent3" w:sz="4" w:space="0"/>
          <w:bottom w:val="none" w:color="000000" w:sz="4" w:space="0"/>
          <w:right w:val="none" w:color="000000" w:sz="4" w:space="0"/>
        </w:tcBorders>
        <w:shd w:val="clear" w:color="FFFFFF"/>
      </w:tcPr>
    </w:tblStylePr>
    <w:tblStylePr w:type="lastRow">
      <w:rPr>
        <w:b/>
        <w:color w:themeColor="accent3" w:themeTint="fe" w:themeShade="95"/>
        <w:sz w:val="22"/>
      </w:rPr>
      <w:tblPr/>
      <w:tcPr>
        <w:tcBorders>
          <w:top w:val="single" w:color="000000" w:themeColor="accent3" w:sz="4" w:space="0"/>
          <w:left w:val="none" w:color="000000" w:sz="4" w:space="0"/>
          <w:bottom w:val="none" w:color="000000" w:sz="4" w:space="0"/>
          <w:right w:val="none" w:color="000000" w:sz="4" w:space="0"/>
        </w:tcBorders>
        <w:shd w:val="clear" w:color="FFFFFF" w:fill="FFFFFF" w:themeFill="light1"/>
      </w:tcPr>
    </w:tblStylePr>
  </w:style>
  <w:style w:type="table" w:styleId="884">
    <w:name w:val="Grid Table 7 Colorful - Accent 4"/>
    <w:uiPriority w:val="99"/>
    <w:pPr>
      <w:spacing w:after="0" w:line="240" w:lineRule="auto"/>
    </w:pPr>
    <w:tblPr>
      <w:tblStyleRowBandSize w:val="1"/>
      <w:tblStyleColBandSize w:val="1"/>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color w:themeColor="accent4" w:themeTint="9a" w:themeShade="95"/>
        <w:sz w:val="22"/>
      </w:rPr>
      <w:tblPr/>
      <w:tcPr>
        <w:shd w:val="clear" w:color="FFFFFF" w:fill="E5DFEC" w:themeFill="accent4" w:themeFillTint="34"/>
      </w:tcPr>
    </w:tblStylePr>
    <w:tblStylePr w:type="band1Vert">
      <w:tblPr/>
      <w:tcPr>
        <w:shd w:val="clear" w:color="FFFFFF" w:fill="E5DFEC" w:themeFill="accent4" w:themeFillTint="34"/>
      </w:tcPr>
    </w:tblStylePr>
    <w:tblStylePr w:type="band2Horz">
      <w:rPr>
        <w:color w:themeColor="accent4" w:themeTint="9a" w:themeShade="95"/>
        <w:sz w:val="22"/>
      </w:rPr>
      <w:tblPr/>
    </w:tblStylePr>
    <w:tblStylePr w:type="firstCol">
      <w:pPr>
        <w:jc w:val="right"/>
      </w:pPr>
      <w:rPr>
        <w:i/>
        <w:color w:themeColor="accent4" w:themeTint="9a" w:themeShade="95"/>
        <w:sz w:val="22"/>
      </w:rPr>
      <w:tblPr/>
      <w:tcPr>
        <w:tcBorders>
          <w:top w:val="none" w:color="000000" w:sz="4" w:space="0"/>
          <w:left w:val="none" w:color="000000" w:sz="4" w:space="0"/>
          <w:bottom w:val="none" w:color="000000" w:sz="4" w:space="0"/>
          <w:right w:val="single" w:color="000000" w:themeColor="accent4" w:sz="4" w:space="0"/>
        </w:tcBorders>
        <w:shd w:val="clear" w:color="FFFFFF"/>
      </w:tcPr>
    </w:tblStylePr>
    <w:tblStylePr w:type="firstRow">
      <w:rPr>
        <w:b/>
        <w:color w:themeColor="accent4" w:themeTint="9a" w:themeShade="95"/>
        <w:sz w:val="22"/>
      </w:rPr>
      <w:tblPr/>
      <w:tcPr>
        <w:tcBorders>
          <w:top w:val="none" w:color="000000" w:sz="4" w:space="0"/>
          <w:left w:val="none" w:color="000000" w:sz="4" w:space="0"/>
          <w:bottom w:val="single" w:color="000000" w:themeColor="accent4" w:sz="4" w:space="0"/>
          <w:right w:val="none" w:color="000000" w:sz="4" w:space="0"/>
        </w:tcBorders>
        <w:shd w:val="clear" w:color="FFFFFF" w:fill="FFFFFF" w:themeFill="light1"/>
      </w:tcPr>
    </w:tblStylePr>
    <w:tblStylePr w:type="lastCol">
      <w:rPr>
        <w:i/>
        <w:color w:themeColor="accent4" w:themeTint="9a" w:themeShade="95"/>
        <w:sz w:val="22"/>
      </w:rPr>
      <w:tblPr/>
      <w:tcPr>
        <w:tcBorders>
          <w:top w:val="none" w:color="000000" w:sz="4" w:space="0"/>
          <w:left w:val="single" w:color="000000" w:themeColor="accent4" w:sz="4" w:space="0"/>
          <w:bottom w:val="none" w:color="000000" w:sz="4" w:space="0"/>
          <w:right w:val="none" w:color="000000" w:sz="4" w:space="0"/>
        </w:tcBorders>
        <w:shd w:val="clear" w:color="FFFFFF"/>
      </w:tcPr>
    </w:tblStylePr>
    <w:tblStylePr w:type="lastRow">
      <w:rPr>
        <w:b/>
        <w:color w:themeColor="accent4" w:themeTint="9a" w:themeShade="95"/>
        <w:sz w:val="22"/>
      </w:rPr>
      <w:tblPr/>
      <w:tcPr>
        <w:tcBorders>
          <w:top w:val="single" w:color="000000" w:themeColor="accent4" w:sz="4" w:space="0"/>
          <w:left w:val="none" w:color="000000" w:sz="4" w:space="0"/>
          <w:bottom w:val="none" w:color="000000" w:sz="4" w:space="0"/>
          <w:right w:val="none" w:color="000000" w:sz="4" w:space="0"/>
        </w:tcBorders>
        <w:shd w:val="clear" w:color="FFFFFF" w:fill="FFFFFF" w:themeFill="light1"/>
      </w:tcPr>
    </w:tblStylePr>
  </w:style>
  <w:style w:type="table" w:styleId="885">
    <w:name w:val="Grid Table 7 Colorful - Accent 5"/>
    <w:uiPriority w:val="99"/>
    <w:pPr>
      <w:spacing w:after="0" w:line="240" w:lineRule="auto"/>
    </w:pPr>
    <w:tblPr>
      <w:tblStyleRowBandSize w:val="1"/>
      <w:tblStyleColBandSize w:val="1"/>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color w:themeColor="accent5" w:themeShade="95"/>
        <w:sz w:val="22"/>
      </w:rPr>
      <w:tblPr/>
      <w:tcPr>
        <w:shd w:val="clear" w:color="FFFFFF" w:fill="DAEEF3" w:themeFill="accent5" w:themeFillTint="34"/>
      </w:tcPr>
    </w:tblStylePr>
    <w:tblStylePr w:type="band1Vert">
      <w:tblPr/>
      <w:tcPr>
        <w:shd w:val="clear" w:color="FFFFFF" w:fill="DAEEF3" w:themeFill="accent5" w:themeFillTint="34"/>
      </w:tcPr>
    </w:tblStylePr>
    <w:tblStylePr w:type="band2Horz">
      <w:rPr>
        <w:color w:themeColor="accent5" w:themeShade="95"/>
        <w:sz w:val="22"/>
      </w:rPr>
      <w:tblPr/>
    </w:tblStylePr>
    <w:tblStylePr w:type="firstCol">
      <w:pPr>
        <w:jc w:val="right"/>
      </w:pPr>
      <w:rPr>
        <w:i/>
        <w:color w:themeColor="accent5" w:themeShade="95"/>
        <w:sz w:val="22"/>
      </w:rPr>
      <w:tblPr/>
      <w:tcPr>
        <w:tcBorders>
          <w:top w:val="none" w:color="000000" w:sz="4" w:space="0"/>
          <w:left w:val="none" w:color="000000" w:sz="4" w:space="0"/>
          <w:bottom w:val="none" w:color="000000" w:sz="4" w:space="0"/>
          <w:right w:val="single" w:color="000000" w:themeColor="accent5" w:sz="4" w:space="0"/>
        </w:tcBorders>
        <w:shd w:val="clear" w:color="FFFFFF"/>
      </w:tcPr>
    </w:tblStylePr>
    <w:tblStylePr w:type="firstRow">
      <w:rPr>
        <w:b/>
        <w:color w:themeColor="accent5" w:themeShade="95"/>
        <w:sz w:val="22"/>
      </w:rPr>
      <w:tblPr/>
      <w:tcPr>
        <w:tcBorders>
          <w:top w:val="none" w:color="000000" w:sz="4" w:space="0"/>
          <w:left w:val="none" w:color="000000" w:sz="4" w:space="0"/>
          <w:bottom w:val="single" w:color="000000" w:themeColor="accent5" w:sz="4" w:space="0"/>
          <w:right w:val="none" w:color="000000" w:sz="4" w:space="0"/>
        </w:tcBorders>
        <w:shd w:val="clear" w:color="FFFFFF" w:fill="FFFFFF" w:themeFill="light1"/>
      </w:tcPr>
    </w:tblStylePr>
    <w:tblStylePr w:type="lastCol">
      <w:rPr>
        <w:i/>
        <w:color w:themeColor="accent5" w:themeShade="95"/>
        <w:sz w:val="22"/>
      </w:rPr>
      <w:tblPr/>
      <w:tcPr>
        <w:tcBorders>
          <w:top w:val="none" w:color="000000" w:sz="4" w:space="0"/>
          <w:left w:val="single" w:color="000000" w:themeColor="accent5" w:sz="4" w:space="0"/>
          <w:bottom w:val="none" w:color="000000" w:sz="4" w:space="0"/>
          <w:right w:val="none" w:color="000000" w:sz="4" w:space="0"/>
        </w:tcBorders>
        <w:shd w:val="clear" w:color="FFFFFF"/>
      </w:tcPr>
    </w:tblStylePr>
    <w:tblStylePr w:type="lastRow">
      <w:rPr>
        <w:b/>
        <w:color w:themeColor="accent5" w:themeShade="95"/>
        <w:sz w:val="22"/>
      </w:rPr>
      <w:tblPr/>
      <w:tcPr>
        <w:tcBorders>
          <w:top w:val="single" w:color="000000" w:themeColor="accent5" w:sz="4" w:space="0"/>
          <w:left w:val="none" w:color="000000" w:sz="4" w:space="0"/>
          <w:bottom w:val="none" w:color="000000" w:sz="4" w:space="0"/>
          <w:right w:val="none" w:color="000000" w:sz="4" w:space="0"/>
        </w:tcBorders>
        <w:shd w:val="clear" w:color="FFFFFF" w:fill="FFFFFF" w:themeFill="light1"/>
      </w:tcPr>
    </w:tblStylePr>
  </w:style>
  <w:style w:type="table" w:styleId="886">
    <w:name w:val="Grid Table 7 Colorful - Accent 6"/>
    <w:uiPriority w:val="99"/>
    <w:pPr>
      <w:spacing w:after="0" w:line="240" w:lineRule="auto"/>
    </w:pPr>
    <w:tblPr>
      <w:tblStyleRowBandSize w:val="1"/>
      <w:tblStyleColBandSize w:val="1"/>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color w:themeColor="accent6" w:themeShade="95"/>
        <w:sz w:val="22"/>
      </w:rPr>
      <w:tblPr/>
      <w:tcPr>
        <w:shd w:val="clear" w:color="FFFFFF" w:fill="FDE9D8" w:themeFill="accent6" w:themeFillTint="34"/>
      </w:tcPr>
    </w:tblStylePr>
    <w:tblStylePr w:type="band1Vert">
      <w:tblPr/>
      <w:tcPr>
        <w:shd w:val="clear" w:color="FFFFFF" w:fill="FDE9D8" w:themeFill="accent6" w:themeFillTint="34"/>
      </w:tcPr>
    </w:tblStylePr>
    <w:tblStylePr w:type="band2Horz">
      <w:rPr>
        <w:color w:themeColor="accent6" w:themeShade="95"/>
        <w:sz w:val="22"/>
      </w:rPr>
      <w:tblPr/>
    </w:tblStylePr>
    <w:tblStylePr w:type="firstCol">
      <w:pPr>
        <w:jc w:val="right"/>
      </w:pPr>
      <w:rPr>
        <w:i/>
        <w:color w:themeColor="accent6" w:themeShade="95"/>
        <w:sz w:val="22"/>
      </w:rPr>
      <w:tblPr/>
      <w:tcPr>
        <w:tcBorders>
          <w:top w:val="none" w:color="000000" w:sz="4" w:space="0"/>
          <w:left w:val="none" w:color="000000" w:sz="4" w:space="0"/>
          <w:bottom w:val="none" w:color="000000" w:sz="4" w:space="0"/>
          <w:right w:val="single" w:color="000000" w:themeColor="accent6" w:sz="4" w:space="0"/>
        </w:tcBorders>
        <w:shd w:val="clear" w:color="FFFFFF"/>
      </w:tcPr>
    </w:tblStylePr>
    <w:tblStylePr w:type="firstRow">
      <w:rPr>
        <w:b/>
        <w:color w:themeColor="accent6" w:themeShade="95"/>
        <w:sz w:val="22"/>
      </w:rPr>
      <w:tblPr/>
      <w:tcPr>
        <w:tcBorders>
          <w:top w:val="none" w:color="000000" w:sz="4" w:space="0"/>
          <w:left w:val="none" w:color="000000" w:sz="4" w:space="0"/>
          <w:bottom w:val="single" w:color="000000" w:themeColor="accent6" w:sz="4" w:space="0"/>
          <w:right w:val="none" w:color="000000" w:sz="4" w:space="0"/>
        </w:tcBorders>
        <w:shd w:val="clear" w:color="FFFFFF" w:fill="FFFFFF" w:themeFill="light1"/>
      </w:tcPr>
    </w:tblStylePr>
    <w:tblStylePr w:type="lastCol">
      <w:rPr>
        <w:i/>
        <w:color w:themeColor="accent6" w:themeShade="95"/>
        <w:sz w:val="22"/>
      </w:rPr>
      <w:tblPr/>
      <w:tcPr>
        <w:tcBorders>
          <w:top w:val="none" w:color="000000" w:sz="4" w:space="0"/>
          <w:left w:val="single" w:color="000000" w:themeColor="accent6" w:sz="4" w:space="0"/>
          <w:bottom w:val="none" w:color="000000" w:sz="4" w:space="0"/>
          <w:right w:val="none" w:color="000000" w:sz="4" w:space="0"/>
        </w:tcBorders>
        <w:shd w:val="clear" w:color="FFFFFF"/>
      </w:tcPr>
    </w:tblStylePr>
    <w:tblStylePr w:type="lastRow">
      <w:rPr>
        <w:b/>
        <w:color w:themeColor="accent6" w:themeShade="95"/>
        <w:sz w:val="22"/>
      </w:rPr>
      <w:tblPr/>
      <w:tcPr>
        <w:tcBorders>
          <w:top w:val="single" w:color="000000" w:themeColor="accent6" w:sz="4" w:space="0"/>
          <w:left w:val="none" w:color="000000" w:sz="4" w:space="0"/>
          <w:bottom w:val="none" w:color="000000" w:sz="4" w:space="0"/>
          <w:right w:val="none" w:color="000000" w:sz="4" w:space="0"/>
        </w:tcBorders>
        <w:shd w:val="clear" w:color="FFFFFF" w:fill="FFFFFF" w:themeFill="light1"/>
      </w:tcPr>
    </w:tblStylePr>
  </w:style>
  <w:style w:type="table" w:styleId="887">
    <w:name w:val="List Table 1 Light"/>
    <w:uiPriority w:val="99"/>
    <w:pPr>
      <w:spacing w:after="0" w:line="240" w:lineRule="auto"/>
    </w:pPr>
    <w:tblPr>
      <w:tblStyleRowBandSize w:val="1"/>
      <w:tblStyleColBandSize w:val="1"/>
    </w:tblPr>
    <w:tblStylePr w:type="band1Horz">
      <w:tblPr/>
      <w:tcPr>
        <w:shd w:val="clear" w:color="FFFFFF" w:fill="BFBFBF" w:themeFill="text1" w:themeFillTint="40"/>
      </w:tcPr>
    </w:tblStylePr>
    <w:tblStylePr w:type="band1Vert">
      <w:tblPr/>
      <w:tcPr>
        <w:shd w:val="clear" w:color="FFFFFF" w:fill="BFBFBF" w:themeFill="text1" w:themeFillTint="40"/>
      </w:tcPr>
    </w:tblStylePr>
    <w:tblStylePr w:type="firstCol">
      <w:rPr>
        <w:b/>
      </w:rPr>
      <w:tblPr/>
    </w:tblStylePr>
    <w:tblStylePr w:type="firstRow">
      <w:rPr>
        <w:b/>
      </w:rPr>
      <w:tblPr/>
      <w:tcPr>
        <w:tcBorders>
          <w:top w:val="none" w:color="000000" w:sz="4" w:space="0"/>
          <w:left w:val="none" w:color="000000" w:sz="4" w:space="0"/>
          <w:bottom w:val="single" w:color="000000" w:themeColor="text1" w:sz="4" w:space="0"/>
          <w:right w:val="none" w:color="000000" w:sz="4" w:space="0"/>
        </w:tcBorders>
      </w:tcPr>
    </w:tblStylePr>
    <w:tblStylePr w:type="lastCol">
      <w:rPr>
        <w:b/>
      </w:rPr>
      <w:tblPr/>
    </w:tblStylePr>
    <w:tblStylePr w:type="lastRow">
      <w:rPr>
        <w:b/>
      </w:rPr>
      <w:tblPr/>
      <w:tcPr>
        <w:tcBorders>
          <w:top w:val="single" w:color="000000" w:themeColor="text1" w:sz="4" w:space="0"/>
          <w:left w:val="none" w:color="000000" w:sz="4" w:space="0"/>
          <w:bottom w:val="none" w:color="000000" w:sz="4" w:space="0"/>
          <w:right w:val="none" w:color="000000" w:sz="4" w:space="0"/>
        </w:tcBorders>
      </w:tcPr>
    </w:tblStylePr>
  </w:style>
  <w:style w:type="table" w:styleId="888">
    <w:name w:val="List Table 1 Light - Accent 1"/>
    <w:uiPriority w:val="99"/>
    <w:pPr>
      <w:spacing w:after="0" w:line="240" w:lineRule="auto"/>
    </w:pPr>
    <w:tblPr>
      <w:tblStyleRowBandSize w:val="1"/>
      <w:tblStyleColBandSize w:val="1"/>
    </w:tblPr>
    <w:tblStylePr w:type="band1Horz">
      <w:tblPr/>
      <w:tcPr>
        <w:shd w:val="clear" w:color="FFFFFF" w:fill="D3E0EE" w:themeFill="accent1" w:themeFillTint="40"/>
      </w:tcPr>
    </w:tblStylePr>
    <w:tblStylePr w:type="band1Vert">
      <w:tblPr/>
      <w:tcPr>
        <w:shd w:val="clear" w:color="FFFFFF" w:fill="D3E0EE" w:themeFill="accent1" w:themeFillTint="40"/>
      </w:tcPr>
    </w:tblStylePr>
    <w:tblStylePr w:type="firstCol">
      <w:rPr>
        <w:b/>
      </w:rPr>
      <w:tblPr/>
    </w:tblStylePr>
    <w:tblStylePr w:type="firstRow">
      <w:rPr>
        <w:b/>
      </w:rPr>
      <w:tblPr/>
      <w:tcPr>
        <w:tcBorders>
          <w:top w:val="none" w:color="000000" w:sz="4" w:space="0"/>
          <w:left w:val="none" w:color="000000" w:sz="4" w:space="0"/>
          <w:bottom w:val="single" w:color="000000" w:themeColor="accent1" w:sz="4" w:space="0"/>
          <w:right w:val="none" w:color="000000" w:sz="4" w:space="0"/>
        </w:tcBorders>
      </w:tcPr>
    </w:tblStylePr>
    <w:tblStylePr w:type="lastCol">
      <w:rPr>
        <w:b/>
      </w:rPr>
      <w:tblPr/>
    </w:tblStylePr>
    <w:tblStylePr w:type="lastRow">
      <w:rPr>
        <w:b/>
      </w:rPr>
      <w:tblPr/>
      <w:tcPr>
        <w:tcBorders>
          <w:top w:val="single" w:color="000000" w:themeColor="accent1" w:sz="4" w:space="0"/>
          <w:left w:val="none" w:color="000000" w:sz="4" w:space="0"/>
          <w:bottom w:val="none" w:color="000000" w:sz="4" w:space="0"/>
          <w:right w:val="none" w:color="000000" w:sz="4" w:space="0"/>
        </w:tcBorders>
      </w:tcPr>
    </w:tblStylePr>
  </w:style>
  <w:style w:type="table" w:styleId="889">
    <w:name w:val="List Table 1 Light - Accent 2"/>
    <w:uiPriority w:val="99"/>
    <w:pPr>
      <w:spacing w:after="0" w:line="240" w:lineRule="auto"/>
    </w:pPr>
    <w:tblPr>
      <w:tblStyleRowBandSize w:val="1"/>
      <w:tblStyleColBandSize w:val="1"/>
    </w:tblPr>
    <w:tblStylePr w:type="band1Horz">
      <w:tblPr/>
      <w:tcPr>
        <w:shd w:val="clear" w:color="FFFFFF" w:fill="EFD3D2" w:themeFill="accent2" w:themeFillTint="40"/>
      </w:tcPr>
    </w:tblStylePr>
    <w:tblStylePr w:type="band1Vert">
      <w:tblPr/>
      <w:tcPr>
        <w:shd w:val="clear" w:color="FFFFFF" w:fill="EFD3D2" w:themeFill="accent2" w:themeFillTint="40"/>
      </w:tcPr>
    </w:tblStylePr>
    <w:tblStylePr w:type="firstCol">
      <w:rPr>
        <w:b/>
      </w:rPr>
      <w:tblPr/>
    </w:tblStylePr>
    <w:tblStylePr w:type="firstRow">
      <w:rPr>
        <w:b/>
      </w:rPr>
      <w:tblPr/>
      <w:tcPr>
        <w:tcBorders>
          <w:top w:val="none" w:color="000000" w:sz="4" w:space="0"/>
          <w:left w:val="none" w:color="000000" w:sz="4" w:space="0"/>
          <w:bottom w:val="single" w:color="000000" w:themeColor="accent2" w:sz="4" w:space="0"/>
          <w:right w:val="none" w:color="000000" w:sz="4" w:space="0"/>
        </w:tcBorders>
      </w:tcPr>
    </w:tblStylePr>
    <w:tblStylePr w:type="lastCol">
      <w:rPr>
        <w:b/>
      </w:rPr>
      <w:tblPr/>
    </w:tblStylePr>
    <w:tblStylePr w:type="lastRow">
      <w:rPr>
        <w:b/>
      </w:rPr>
      <w:tblPr/>
      <w:tcPr>
        <w:tcBorders>
          <w:top w:val="single" w:color="000000" w:themeColor="accent2" w:sz="4" w:space="0"/>
          <w:left w:val="none" w:color="000000" w:sz="4" w:space="0"/>
          <w:bottom w:val="none" w:color="000000" w:sz="4" w:space="0"/>
          <w:right w:val="none" w:color="000000" w:sz="4" w:space="0"/>
        </w:tcBorders>
      </w:tcPr>
    </w:tblStylePr>
  </w:style>
  <w:style w:type="table" w:styleId="890">
    <w:name w:val="List Table 1 Light - Accent 3"/>
    <w:uiPriority w:val="99"/>
    <w:pPr>
      <w:spacing w:after="0" w:line="240" w:lineRule="auto"/>
    </w:pPr>
    <w:tblPr>
      <w:tblStyleRowBandSize w:val="1"/>
      <w:tblStyleColBandSize w:val="1"/>
    </w:tblPr>
    <w:tblStylePr w:type="band1Horz">
      <w:tblPr/>
      <w:tcPr>
        <w:shd w:val="clear" w:color="FFFFFF" w:fill="E6EED5" w:themeFill="accent3" w:themeFillTint="40"/>
      </w:tcPr>
    </w:tblStylePr>
    <w:tblStylePr w:type="band1Vert">
      <w:tblPr/>
      <w:tcPr>
        <w:shd w:val="clear" w:color="FFFFFF" w:fill="E6EED5" w:themeFill="accent3" w:themeFillTint="40"/>
      </w:tcPr>
    </w:tblStylePr>
    <w:tblStylePr w:type="firstCol">
      <w:rPr>
        <w:b/>
      </w:rPr>
      <w:tblPr/>
    </w:tblStylePr>
    <w:tblStylePr w:type="firstRow">
      <w:rPr>
        <w:b/>
      </w:rPr>
      <w:tblPr/>
      <w:tcPr>
        <w:tcBorders>
          <w:top w:val="none" w:color="000000" w:sz="4" w:space="0"/>
          <w:left w:val="none" w:color="000000" w:sz="4" w:space="0"/>
          <w:bottom w:val="single" w:color="000000" w:themeColor="accent3" w:sz="4" w:space="0"/>
          <w:right w:val="none" w:color="000000" w:sz="4" w:space="0"/>
        </w:tcBorders>
      </w:tcPr>
    </w:tblStylePr>
    <w:tblStylePr w:type="lastCol">
      <w:rPr>
        <w:b/>
      </w:rPr>
      <w:tblPr/>
    </w:tblStylePr>
    <w:tblStylePr w:type="lastRow">
      <w:rPr>
        <w:b/>
      </w:rPr>
      <w:tblPr/>
      <w:tcPr>
        <w:tcBorders>
          <w:top w:val="single" w:color="000000" w:themeColor="accent3" w:sz="4" w:space="0"/>
          <w:left w:val="none" w:color="000000" w:sz="4" w:space="0"/>
          <w:bottom w:val="none" w:color="000000" w:sz="4" w:space="0"/>
          <w:right w:val="none" w:color="000000" w:sz="4" w:space="0"/>
        </w:tcBorders>
      </w:tcPr>
    </w:tblStylePr>
  </w:style>
  <w:style w:type="table" w:styleId="891">
    <w:name w:val="List Table 1 Light - Accent 4"/>
    <w:uiPriority w:val="99"/>
    <w:pPr>
      <w:spacing w:after="0" w:line="240" w:lineRule="auto"/>
    </w:pPr>
    <w:tblPr>
      <w:tblStyleRowBandSize w:val="1"/>
      <w:tblStyleColBandSize w:val="1"/>
    </w:tblPr>
    <w:tblStylePr w:type="band1Horz">
      <w:tblPr/>
      <w:tcPr>
        <w:shd w:val="clear" w:color="FFFFFF" w:fill="DFD8E7" w:themeFill="accent4" w:themeFillTint="40"/>
      </w:tcPr>
    </w:tblStylePr>
    <w:tblStylePr w:type="band1Vert">
      <w:tblPr/>
      <w:tcPr>
        <w:shd w:val="clear" w:color="FFFFFF" w:fill="DFD8E7" w:themeFill="accent4" w:themeFillTint="40"/>
      </w:tcPr>
    </w:tblStylePr>
    <w:tblStylePr w:type="firstCol">
      <w:rPr>
        <w:b/>
      </w:rPr>
      <w:tblPr/>
    </w:tblStylePr>
    <w:tblStylePr w:type="firstRow">
      <w:rPr>
        <w:b/>
      </w:rPr>
      <w:tblPr/>
      <w:tcPr>
        <w:tcBorders>
          <w:top w:val="none" w:color="000000" w:sz="4" w:space="0"/>
          <w:left w:val="none" w:color="000000" w:sz="4" w:space="0"/>
          <w:bottom w:val="single" w:color="000000" w:themeColor="accent4" w:sz="4" w:space="0"/>
          <w:right w:val="none" w:color="000000" w:sz="4" w:space="0"/>
        </w:tcBorders>
      </w:tcPr>
    </w:tblStylePr>
    <w:tblStylePr w:type="lastCol">
      <w:rPr>
        <w:b/>
      </w:rPr>
      <w:tblPr/>
    </w:tblStylePr>
    <w:tblStylePr w:type="lastRow">
      <w:rPr>
        <w:b/>
      </w:rPr>
      <w:tblPr/>
      <w:tcPr>
        <w:tcBorders>
          <w:top w:val="single" w:color="000000" w:themeColor="accent4" w:sz="4" w:space="0"/>
          <w:left w:val="none" w:color="000000" w:sz="4" w:space="0"/>
          <w:bottom w:val="none" w:color="000000" w:sz="4" w:space="0"/>
          <w:right w:val="none" w:color="000000" w:sz="4" w:space="0"/>
        </w:tcBorders>
      </w:tcPr>
    </w:tblStylePr>
  </w:style>
  <w:style w:type="table" w:styleId="892">
    <w:name w:val="List Table 1 Light - Accent 5"/>
    <w:uiPriority w:val="99"/>
    <w:pPr>
      <w:spacing w:after="0" w:line="240" w:lineRule="auto"/>
    </w:pPr>
    <w:tblPr>
      <w:tblStyleRowBandSize w:val="1"/>
      <w:tblStyleColBandSize w:val="1"/>
    </w:tblPr>
    <w:tblStylePr w:type="band1Horz">
      <w:tblPr/>
      <w:tcPr>
        <w:shd w:val="clear" w:color="FFFFFF" w:fill="D1EAF0" w:themeFill="accent5" w:themeFillTint="40"/>
      </w:tcPr>
    </w:tblStylePr>
    <w:tblStylePr w:type="band1Vert">
      <w:tblPr/>
      <w:tcPr>
        <w:shd w:val="clear" w:color="FFFFFF" w:fill="D1EAF0" w:themeFill="accent5" w:themeFillTint="40"/>
      </w:tcPr>
    </w:tblStylePr>
    <w:tblStylePr w:type="firstCol">
      <w:rPr>
        <w:b/>
      </w:rPr>
      <w:tblPr/>
    </w:tblStylePr>
    <w:tblStylePr w:type="firstRow">
      <w:rPr>
        <w:b/>
      </w:rPr>
      <w:tblPr/>
      <w:tcPr>
        <w:tcBorders>
          <w:top w:val="none" w:color="000000" w:sz="4" w:space="0"/>
          <w:left w:val="none" w:color="000000" w:sz="4" w:space="0"/>
          <w:bottom w:val="single" w:color="000000" w:themeColor="accent5" w:sz="4" w:space="0"/>
          <w:right w:val="none" w:color="000000" w:sz="4" w:space="0"/>
        </w:tcBorders>
      </w:tcPr>
    </w:tblStylePr>
    <w:tblStylePr w:type="lastCol">
      <w:rPr>
        <w:b/>
      </w:rPr>
      <w:tblPr/>
    </w:tblStylePr>
    <w:tblStylePr w:type="lastRow">
      <w:rPr>
        <w:b/>
      </w:rPr>
      <w:tblPr/>
      <w:tcPr>
        <w:tcBorders>
          <w:top w:val="single" w:color="000000" w:themeColor="accent5" w:sz="4" w:space="0"/>
          <w:left w:val="none" w:color="000000" w:sz="4" w:space="0"/>
          <w:bottom w:val="none" w:color="000000" w:sz="4" w:space="0"/>
          <w:right w:val="none" w:color="000000" w:sz="4" w:space="0"/>
        </w:tcBorders>
      </w:tcPr>
    </w:tblStylePr>
  </w:style>
  <w:style w:type="table" w:styleId="893">
    <w:name w:val="List Table 1 Light - Accent 6"/>
    <w:uiPriority w:val="99"/>
    <w:pPr>
      <w:spacing w:after="0" w:line="240" w:lineRule="auto"/>
    </w:pPr>
    <w:tblPr>
      <w:tblStyleRowBandSize w:val="1"/>
      <w:tblStyleColBandSize w:val="1"/>
    </w:tblPr>
    <w:tblStylePr w:type="band1Horz">
      <w:tblPr/>
      <w:tcPr>
        <w:shd w:val="clear" w:color="FFFFFF" w:fill="FCE4D1" w:themeFill="accent6" w:themeFillTint="40"/>
      </w:tcPr>
    </w:tblStylePr>
    <w:tblStylePr w:type="band1Vert">
      <w:tblPr/>
      <w:tcPr>
        <w:shd w:val="clear" w:color="FFFFFF" w:fill="FCE4D1" w:themeFill="accent6" w:themeFillTint="40"/>
      </w:tcPr>
    </w:tblStylePr>
    <w:tblStylePr w:type="firstCol">
      <w:rPr>
        <w:b/>
      </w:rPr>
      <w:tblPr/>
    </w:tblStylePr>
    <w:tblStylePr w:type="firstRow">
      <w:rPr>
        <w:b/>
      </w:rPr>
      <w:tblPr/>
      <w:tcPr>
        <w:tcBorders>
          <w:top w:val="none" w:color="000000" w:sz="4" w:space="0"/>
          <w:left w:val="none" w:color="000000" w:sz="4" w:space="0"/>
          <w:bottom w:val="single" w:color="000000" w:themeColor="accent6" w:sz="4" w:space="0"/>
          <w:right w:val="none" w:color="000000" w:sz="4" w:space="0"/>
        </w:tcBorders>
      </w:tcPr>
    </w:tblStylePr>
    <w:tblStylePr w:type="lastCol">
      <w:rPr>
        <w:b/>
      </w:rPr>
      <w:tblPr/>
    </w:tblStylePr>
    <w:tblStylePr w:type="lastRow">
      <w:rPr>
        <w:b/>
      </w:rPr>
      <w:tblPr/>
      <w:tcPr>
        <w:tcBorders>
          <w:top w:val="single" w:color="000000" w:themeColor="accent6" w:sz="4" w:space="0"/>
          <w:left w:val="none" w:color="000000" w:sz="4" w:space="0"/>
          <w:bottom w:val="none" w:color="000000" w:sz="4" w:space="0"/>
          <w:right w:val="none" w:color="000000" w:sz="4" w:space="0"/>
        </w:tcBorders>
      </w:tcPr>
    </w:tblStylePr>
  </w:style>
  <w:style w:type="table" w:styleId="894">
    <w:name w:val="List Table 2"/>
    <w:uiPriority w:val="99"/>
    <w:pPr>
      <w:spacing w:after="0" w:line="240" w:lineRule="auto"/>
    </w:pPr>
    <w:tblPr>
      <w:tblStyleRowBandSize w:val="1"/>
      <w:tblStyleColBandSize w:val="1"/>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sz w:val="22"/>
      </w:rPr>
      <w:tblPr/>
      <w:tcPr>
        <w:shd w:val="clear" w:color="FFFFFF" w:fill="BFBFBF" w:themeFill="text1" w:themeFillTint="40"/>
      </w:tcPr>
    </w:tblStylePr>
    <w:tblStylePr w:type="band1Vert">
      <w:rPr>
        <w:sz w:val="22"/>
      </w:rPr>
      <w:tblPr/>
      <w:tcPr>
        <w:shd w:val="clear" w:color="FFFFFF" w:fill="BFBFBF" w:themeFill="text1" w:themeFillTint="40"/>
      </w:tcPr>
    </w:tblStylePr>
    <w:tblStylePr w:type="firstCol">
      <w:rPr>
        <w:b/>
        <w:sz w:val="22"/>
      </w:rPr>
      <w:tblPr/>
    </w:tblStylePr>
    <w:tblStylePr w:type="firstRow">
      <w:rPr>
        <w:b/>
        <w:sz w:val="22"/>
      </w:rPr>
      <w:tblPr/>
      <w:tcPr>
        <w:tcBorders>
          <w:top w:val="single" w:color="000000" w:themeColor="text1" w:sz="4" w:space="0"/>
          <w:left w:val="none" w:color="000000" w:sz="4" w:space="0"/>
          <w:bottom w:val="single" w:color="000000" w:themeColor="text1" w:sz="4" w:space="0"/>
          <w:right w:val="none" w:color="000000" w:sz="4" w:space="0"/>
        </w:tcBorders>
      </w:tcPr>
    </w:tblStylePr>
    <w:tblStylePr w:type="lastCol">
      <w:rPr>
        <w:b/>
        <w:sz w:val="22"/>
      </w:rPr>
      <w:tblPr/>
    </w:tblStylePr>
    <w:tblStylePr w:type="lastRow">
      <w:rPr>
        <w:b/>
        <w:sz w:val="22"/>
      </w:rPr>
      <w:tblPr/>
      <w:tcPr>
        <w:tcBorders>
          <w:top w:val="single" w:color="000000" w:themeColor="text1" w:sz="4" w:space="0"/>
          <w:left w:val="none" w:color="000000" w:sz="4" w:space="0"/>
          <w:bottom w:val="single" w:color="000000" w:themeColor="text1" w:sz="4" w:space="0"/>
          <w:right w:val="none" w:color="000000" w:sz="4" w:space="0"/>
        </w:tcBorders>
      </w:tcPr>
    </w:tblStylePr>
  </w:style>
  <w:style w:type="table" w:styleId="895">
    <w:name w:val="List Table 2 - Accent 1"/>
    <w:uiPriority w:val="99"/>
    <w:pPr>
      <w:spacing w:after="0" w:line="240" w:lineRule="auto"/>
    </w:pPr>
    <w:tblPr>
      <w:tblStyleRowBandSize w:val="1"/>
      <w:tblStyleColBandSize w:val="1"/>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sz w:val="22"/>
      </w:rPr>
      <w:tblPr/>
      <w:tcPr>
        <w:shd w:val="clear" w:color="FFFFFF" w:fill="D3E0EE" w:themeFill="accent1" w:themeFillTint="40"/>
      </w:tcPr>
    </w:tblStylePr>
    <w:tblStylePr w:type="band1Vert">
      <w:rPr>
        <w:sz w:val="22"/>
      </w:rPr>
      <w:tblPr/>
      <w:tcPr>
        <w:shd w:val="clear" w:color="FFFFFF" w:fill="D3E0EE" w:themeFill="accent1" w:themeFillTint="40"/>
      </w:tcPr>
    </w:tblStylePr>
    <w:tblStylePr w:type="firstCol">
      <w:rPr>
        <w:b/>
        <w:sz w:val="22"/>
      </w:rPr>
      <w:tblPr/>
    </w:tblStylePr>
    <w:tblStylePr w:type="firstRow">
      <w:rPr>
        <w:b/>
        <w:sz w:val="22"/>
      </w:rPr>
      <w:tblPr/>
      <w:tcPr>
        <w:tcBorders>
          <w:top w:val="single" w:color="000000" w:themeColor="accent1" w:sz="4" w:space="0"/>
          <w:left w:val="none" w:color="000000" w:sz="4" w:space="0"/>
          <w:bottom w:val="single" w:color="000000" w:themeColor="accent1" w:sz="4" w:space="0"/>
          <w:right w:val="none" w:color="000000" w:sz="4" w:space="0"/>
        </w:tcBorders>
      </w:tcPr>
    </w:tblStylePr>
    <w:tblStylePr w:type="lastCol">
      <w:rPr>
        <w:b/>
        <w:sz w:val="22"/>
      </w:rPr>
      <w:tblPr/>
    </w:tblStylePr>
    <w:tblStylePr w:type="lastRow">
      <w:rPr>
        <w:b/>
        <w:sz w:val="22"/>
      </w:rPr>
      <w:tblPr/>
      <w:tcPr>
        <w:tcBorders>
          <w:top w:val="single" w:color="000000" w:themeColor="accent1" w:sz="4" w:space="0"/>
          <w:left w:val="none" w:color="000000" w:sz="4" w:space="0"/>
          <w:bottom w:val="single" w:color="000000" w:themeColor="accent1" w:sz="4" w:space="0"/>
          <w:right w:val="none" w:color="000000" w:sz="4" w:space="0"/>
        </w:tcBorders>
      </w:tcPr>
    </w:tblStylePr>
  </w:style>
  <w:style w:type="table" w:styleId="896">
    <w:name w:val="List Table 2 - Accent 2"/>
    <w:uiPriority w:val="99"/>
    <w:pPr>
      <w:spacing w:after="0" w:line="240" w:lineRule="auto"/>
    </w:pPr>
    <w:tblPr>
      <w:tblStyleRowBandSize w:val="1"/>
      <w:tblStyleColBandSize w:val="1"/>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sz w:val="22"/>
      </w:rPr>
      <w:tblPr/>
      <w:tcPr>
        <w:shd w:val="clear" w:color="FFFFFF" w:fill="EFD3D2" w:themeFill="accent2" w:themeFillTint="40"/>
      </w:tcPr>
    </w:tblStylePr>
    <w:tblStylePr w:type="band1Vert">
      <w:rPr>
        <w:sz w:val="22"/>
      </w:rPr>
      <w:tblPr/>
      <w:tcPr>
        <w:shd w:val="clear" w:color="FFFFFF" w:fill="EFD3D2" w:themeFill="accent2" w:themeFillTint="40"/>
      </w:tcPr>
    </w:tblStylePr>
    <w:tblStylePr w:type="firstCol">
      <w:rPr>
        <w:b/>
        <w:sz w:val="22"/>
      </w:rPr>
      <w:tblPr/>
    </w:tblStylePr>
    <w:tblStylePr w:type="firstRow">
      <w:rPr>
        <w:b/>
        <w:sz w:val="22"/>
      </w:rPr>
      <w:tblPr/>
      <w:tcPr>
        <w:tcBorders>
          <w:top w:val="single" w:color="000000" w:themeColor="accent2" w:sz="4" w:space="0"/>
          <w:left w:val="none" w:color="000000" w:sz="4" w:space="0"/>
          <w:bottom w:val="single" w:color="000000" w:themeColor="accent2" w:sz="4" w:space="0"/>
          <w:right w:val="none" w:color="000000" w:sz="4" w:space="0"/>
        </w:tcBorders>
      </w:tcPr>
    </w:tblStylePr>
    <w:tblStylePr w:type="lastCol">
      <w:rPr>
        <w:b/>
        <w:sz w:val="22"/>
      </w:rPr>
      <w:tblPr/>
    </w:tblStylePr>
    <w:tblStylePr w:type="lastRow">
      <w:rPr>
        <w:b/>
        <w:sz w:val="22"/>
      </w:rPr>
      <w:tblPr/>
      <w:tcPr>
        <w:tcBorders>
          <w:top w:val="single" w:color="000000" w:themeColor="accent2" w:sz="4" w:space="0"/>
          <w:left w:val="none" w:color="000000" w:sz="4" w:space="0"/>
          <w:bottom w:val="single" w:color="000000" w:themeColor="accent2" w:sz="4" w:space="0"/>
          <w:right w:val="none" w:color="000000" w:sz="4" w:space="0"/>
        </w:tcBorders>
      </w:tcPr>
    </w:tblStylePr>
  </w:style>
  <w:style w:type="table" w:styleId="897">
    <w:name w:val="List Table 2 - Accent 3"/>
    <w:uiPriority w:val="99"/>
    <w:pPr>
      <w:spacing w:after="0" w:line="240" w:lineRule="auto"/>
    </w:pPr>
    <w:tblPr>
      <w:tblStyleRowBandSize w:val="1"/>
      <w:tblStyleColBandSize w:val="1"/>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sz w:val="22"/>
      </w:rPr>
      <w:tblPr/>
      <w:tcPr>
        <w:shd w:val="clear" w:color="FFFFFF" w:fill="E6EED5" w:themeFill="accent3" w:themeFillTint="40"/>
      </w:tcPr>
    </w:tblStylePr>
    <w:tblStylePr w:type="band1Vert">
      <w:rPr>
        <w:sz w:val="22"/>
      </w:rPr>
      <w:tblPr/>
      <w:tcPr>
        <w:shd w:val="clear" w:color="FFFFFF" w:fill="E6EED5" w:themeFill="accent3" w:themeFillTint="40"/>
      </w:tcPr>
    </w:tblStylePr>
    <w:tblStylePr w:type="firstCol">
      <w:rPr>
        <w:b/>
        <w:sz w:val="22"/>
      </w:rPr>
      <w:tblPr/>
    </w:tblStylePr>
    <w:tblStylePr w:type="firstRow">
      <w:rPr>
        <w:b/>
        <w:sz w:val="22"/>
      </w:rPr>
      <w:tblPr/>
      <w:tcPr>
        <w:tcBorders>
          <w:top w:val="single" w:color="000000" w:themeColor="accent3" w:sz="4" w:space="0"/>
          <w:left w:val="none" w:color="000000" w:sz="4" w:space="0"/>
          <w:bottom w:val="single" w:color="000000" w:themeColor="accent3" w:sz="4" w:space="0"/>
          <w:right w:val="none" w:color="000000" w:sz="4" w:space="0"/>
        </w:tcBorders>
      </w:tcPr>
    </w:tblStylePr>
    <w:tblStylePr w:type="lastCol">
      <w:rPr>
        <w:b/>
        <w:sz w:val="22"/>
      </w:rPr>
      <w:tblPr/>
    </w:tblStylePr>
    <w:tblStylePr w:type="lastRow">
      <w:rPr>
        <w:b/>
        <w:sz w:val="22"/>
      </w:rPr>
      <w:tblPr/>
      <w:tcPr>
        <w:tcBorders>
          <w:top w:val="single" w:color="000000" w:themeColor="accent3" w:sz="4" w:space="0"/>
          <w:left w:val="none" w:color="000000" w:sz="4" w:space="0"/>
          <w:bottom w:val="single" w:color="000000" w:themeColor="accent3" w:sz="4" w:space="0"/>
          <w:right w:val="none" w:color="000000" w:sz="4" w:space="0"/>
        </w:tcBorders>
      </w:tcPr>
    </w:tblStylePr>
  </w:style>
  <w:style w:type="table" w:styleId="898">
    <w:name w:val="List Table 2 - Accent 4"/>
    <w:uiPriority w:val="99"/>
    <w:pPr>
      <w:spacing w:after="0" w:line="240" w:lineRule="auto"/>
    </w:pPr>
    <w:tblPr>
      <w:tblStyleRowBandSize w:val="1"/>
      <w:tblStyleColBandSize w:val="1"/>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sz w:val="22"/>
      </w:rPr>
      <w:tblPr/>
      <w:tcPr>
        <w:shd w:val="clear" w:color="FFFFFF" w:fill="DFD8E7" w:themeFill="accent4" w:themeFillTint="40"/>
      </w:tcPr>
    </w:tblStylePr>
    <w:tblStylePr w:type="band1Vert">
      <w:rPr>
        <w:sz w:val="22"/>
      </w:rPr>
      <w:tblPr/>
      <w:tcPr>
        <w:shd w:val="clear" w:color="FFFFFF" w:fill="DFD8E7" w:themeFill="accent4" w:themeFillTint="40"/>
      </w:tcPr>
    </w:tblStylePr>
    <w:tblStylePr w:type="firstCol">
      <w:rPr>
        <w:b/>
        <w:sz w:val="22"/>
      </w:rPr>
      <w:tblPr/>
    </w:tblStylePr>
    <w:tblStylePr w:type="firstRow">
      <w:rPr>
        <w:b/>
        <w:sz w:val="22"/>
      </w:rPr>
      <w:tblPr/>
      <w:tcPr>
        <w:tcBorders>
          <w:top w:val="single" w:color="000000" w:themeColor="accent4" w:sz="4" w:space="0"/>
          <w:left w:val="none" w:color="000000" w:sz="4" w:space="0"/>
          <w:bottom w:val="single" w:color="000000" w:themeColor="accent4" w:sz="4" w:space="0"/>
          <w:right w:val="none" w:color="000000" w:sz="4" w:space="0"/>
        </w:tcBorders>
      </w:tcPr>
    </w:tblStylePr>
    <w:tblStylePr w:type="lastCol">
      <w:rPr>
        <w:b/>
        <w:sz w:val="22"/>
      </w:rPr>
      <w:tblPr/>
    </w:tblStylePr>
    <w:tblStylePr w:type="lastRow">
      <w:rPr>
        <w:b/>
        <w:sz w:val="22"/>
      </w:rPr>
      <w:tblPr/>
      <w:tcPr>
        <w:tcBorders>
          <w:top w:val="single" w:color="000000" w:themeColor="accent4" w:sz="4" w:space="0"/>
          <w:left w:val="none" w:color="000000" w:sz="4" w:space="0"/>
          <w:bottom w:val="single" w:color="000000" w:themeColor="accent4" w:sz="4" w:space="0"/>
          <w:right w:val="none" w:color="000000" w:sz="4" w:space="0"/>
        </w:tcBorders>
      </w:tcPr>
    </w:tblStylePr>
  </w:style>
  <w:style w:type="table" w:styleId="899">
    <w:name w:val="List Table 2 - Accent 5"/>
    <w:uiPriority w:val="99"/>
    <w:pPr>
      <w:spacing w:after="0" w:line="240" w:lineRule="auto"/>
    </w:pPr>
    <w:tblPr>
      <w:tblStyleRowBandSize w:val="1"/>
      <w:tblStyleColBandSize w:val="1"/>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sz w:val="22"/>
      </w:rPr>
      <w:tblPr/>
      <w:tcPr>
        <w:shd w:val="clear" w:color="FFFFFF" w:fill="D1EAF0" w:themeFill="accent5" w:themeFillTint="40"/>
      </w:tcPr>
    </w:tblStylePr>
    <w:tblStylePr w:type="band1Vert">
      <w:rPr>
        <w:sz w:val="22"/>
      </w:rPr>
      <w:tblPr/>
      <w:tcPr>
        <w:shd w:val="clear" w:color="FFFFFF" w:fill="D1EAF0" w:themeFill="accent5" w:themeFillTint="40"/>
      </w:tcPr>
    </w:tblStylePr>
    <w:tblStylePr w:type="firstCol">
      <w:rPr>
        <w:b/>
        <w:sz w:val="22"/>
      </w:rPr>
      <w:tblPr/>
    </w:tblStylePr>
    <w:tblStylePr w:type="firstRow">
      <w:rPr>
        <w:b/>
        <w:sz w:val="22"/>
      </w:rPr>
      <w:tblPr/>
      <w:tcPr>
        <w:tcBorders>
          <w:top w:val="single" w:color="000000" w:themeColor="accent5" w:sz="4" w:space="0"/>
          <w:left w:val="none" w:color="000000" w:sz="4" w:space="0"/>
          <w:bottom w:val="single" w:color="000000" w:themeColor="accent5" w:sz="4" w:space="0"/>
          <w:right w:val="none" w:color="000000" w:sz="4" w:space="0"/>
        </w:tcBorders>
      </w:tcPr>
    </w:tblStylePr>
    <w:tblStylePr w:type="lastCol">
      <w:rPr>
        <w:b/>
        <w:sz w:val="22"/>
      </w:rPr>
      <w:tblPr/>
    </w:tblStylePr>
    <w:tblStylePr w:type="lastRow">
      <w:rPr>
        <w:b/>
        <w:sz w:val="22"/>
      </w:rPr>
      <w:tblPr/>
      <w:tcPr>
        <w:tcBorders>
          <w:top w:val="single" w:color="000000" w:themeColor="accent5" w:sz="4" w:space="0"/>
          <w:left w:val="none" w:color="000000" w:sz="4" w:space="0"/>
          <w:bottom w:val="single" w:color="000000" w:themeColor="accent5" w:sz="4" w:space="0"/>
          <w:right w:val="none" w:color="000000" w:sz="4" w:space="0"/>
        </w:tcBorders>
      </w:tcPr>
    </w:tblStylePr>
  </w:style>
  <w:style w:type="table" w:styleId="900">
    <w:name w:val="List Table 2 - Accent 6"/>
    <w:uiPriority w:val="99"/>
    <w:pPr>
      <w:spacing w:after="0" w:line="240" w:lineRule="auto"/>
    </w:pPr>
    <w:tblPr>
      <w:tblStyleRowBandSize w:val="1"/>
      <w:tblStyleColBandSize w:val="1"/>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sz w:val="22"/>
      </w:rPr>
      <w:tblPr/>
      <w:tcPr>
        <w:shd w:val="clear" w:color="FFFFFF" w:fill="FCE4D1" w:themeFill="accent6" w:themeFillTint="40"/>
      </w:tcPr>
    </w:tblStylePr>
    <w:tblStylePr w:type="band1Vert">
      <w:rPr>
        <w:sz w:val="22"/>
      </w:rPr>
      <w:tblPr/>
      <w:tcPr>
        <w:shd w:val="clear" w:color="FFFFFF" w:fill="FCE4D1" w:themeFill="accent6" w:themeFillTint="40"/>
      </w:tcPr>
    </w:tblStylePr>
    <w:tblStylePr w:type="firstCol">
      <w:rPr>
        <w:b/>
        <w:sz w:val="22"/>
      </w:rPr>
      <w:tblPr/>
    </w:tblStylePr>
    <w:tblStylePr w:type="firstRow">
      <w:rPr>
        <w:b/>
        <w:sz w:val="22"/>
      </w:rPr>
      <w:tblPr/>
      <w:tcPr>
        <w:tcBorders>
          <w:top w:val="single" w:color="000000" w:themeColor="accent6" w:sz="4" w:space="0"/>
          <w:left w:val="none" w:color="000000" w:sz="4" w:space="0"/>
          <w:bottom w:val="single" w:color="000000" w:themeColor="accent6" w:sz="4" w:space="0"/>
          <w:right w:val="none" w:color="000000" w:sz="4" w:space="0"/>
        </w:tcBorders>
      </w:tcPr>
    </w:tblStylePr>
    <w:tblStylePr w:type="lastCol">
      <w:rPr>
        <w:b/>
        <w:sz w:val="22"/>
      </w:rPr>
      <w:tblPr/>
    </w:tblStylePr>
    <w:tblStylePr w:type="lastRow">
      <w:rPr>
        <w:b/>
        <w:sz w:val="22"/>
      </w:rPr>
      <w:tblPr/>
      <w:tcPr>
        <w:tcBorders>
          <w:top w:val="single" w:color="000000" w:themeColor="accent6" w:sz="4" w:space="0"/>
          <w:left w:val="none" w:color="000000" w:sz="4" w:space="0"/>
          <w:bottom w:val="single" w:color="000000" w:themeColor="accent6" w:sz="4" w:space="0"/>
          <w:right w:val="none" w:color="000000" w:sz="4" w:space="0"/>
        </w:tcBorders>
      </w:tcPr>
    </w:tblStylePr>
  </w:style>
  <w:style w:type="table" w:styleId="901">
    <w:name w:val="List Table 3"/>
    <w:uiPriority w:val="99"/>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sz w:val="22"/>
      </w:rPr>
      <w:tblPr/>
      <w:tcPr>
        <w:tcBorders>
          <w:top w:val="single" w:color="000000" w:themeColor="text1" w:sz="4" w:space="0"/>
          <w:bottom w:val="single" w:color="000000" w:themeColor="text1" w:sz="4" w:space="0"/>
        </w:tcBorders>
      </w:tcPr>
    </w:tblStylePr>
    <w:tblStylePr w:type="band1Vert">
      <w:rPr>
        <w:sz w:val="22"/>
      </w:rPr>
      <w:tblPr/>
      <w:tcPr>
        <w:tcBorders>
          <w:left w:val="single" w:color="000000" w:themeColor="text1" w:sz="4" w:space="0"/>
          <w:right w:val="single" w:color="000000" w:themeColor="text1" w:sz="4" w:space="0"/>
        </w:tcBorders>
      </w:tcPr>
    </w:tblStylePr>
    <w:tblStylePr w:type="firstCol">
      <w:rPr>
        <w:b/>
      </w:rPr>
      <w:tblPr/>
    </w:tblStylePr>
    <w:tblStylePr w:type="firstRow">
      <w:rPr>
        <w:b/>
        <w:sz w:val="22"/>
      </w:rPr>
      <w:tblPr/>
      <w:tcPr>
        <w:shd w:val="clear" w:color="FFFFFF" w:fill="000000" w:themeFill="text1"/>
      </w:tcPr>
    </w:tblStylePr>
    <w:tblStylePr w:type="lastCol">
      <w:rPr>
        <w:b/>
      </w:rPr>
      <w:tblPr/>
    </w:tblStylePr>
    <w:tblStylePr w:type="lastRow">
      <w:rPr>
        <w:b/>
      </w:rPr>
      <w:tblPr/>
    </w:tblStylePr>
  </w:style>
  <w:style w:type="table" w:styleId="902">
    <w:name w:val="List Table 3 - Accent 1"/>
    <w:uiPriority w:val="99"/>
    <w:pPr>
      <w:spacing w:after="0" w:line="240" w:lineRule="auto"/>
    </w:pPr>
    <w:tblPr>
      <w:tblStyleRowBandSize w:val="1"/>
      <w:tblStyleColBandSize w:val="1"/>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sz w:val="22"/>
      </w:rPr>
      <w:tblPr/>
      <w:tcPr>
        <w:tcBorders>
          <w:top w:val="single" w:color="000000" w:themeColor="accent1" w:sz="4" w:space="0"/>
          <w:bottom w:val="single" w:color="000000" w:themeColor="accent1" w:sz="4" w:space="0"/>
        </w:tcBorders>
      </w:tcPr>
    </w:tblStylePr>
    <w:tblStylePr w:type="band1Vert">
      <w:rPr>
        <w:sz w:val="22"/>
      </w:rPr>
      <w:tblPr/>
      <w:tcPr>
        <w:tcBorders>
          <w:left w:val="single" w:color="000000" w:themeColor="accent1" w:sz="4" w:space="0"/>
          <w:right w:val="single" w:color="000000" w:themeColor="accent1" w:sz="4" w:space="0"/>
        </w:tcBorders>
      </w:tcPr>
    </w:tblStylePr>
    <w:tblStylePr w:type="firstCol">
      <w:rPr>
        <w:b/>
      </w:rPr>
      <w:tblPr/>
    </w:tblStylePr>
    <w:tblStylePr w:type="firstRow">
      <w:rPr>
        <w:b/>
        <w:sz w:val="22"/>
      </w:rPr>
      <w:tblPr/>
      <w:tcPr>
        <w:shd w:val="clear" w:color="FFFFFF" w:fill="4F81BD" w:themeFill="accent1"/>
      </w:tcPr>
    </w:tblStylePr>
    <w:tblStylePr w:type="lastCol">
      <w:rPr>
        <w:b/>
      </w:rPr>
      <w:tblPr/>
    </w:tblStylePr>
    <w:tblStylePr w:type="lastRow">
      <w:rPr>
        <w:b/>
      </w:rPr>
      <w:tblPr/>
    </w:tblStylePr>
  </w:style>
  <w:style w:type="table" w:styleId="903">
    <w:name w:val="List Table 3 - Accent 2"/>
    <w:uiPriority w:val="99"/>
    <w:pPr>
      <w:spacing w:after="0" w:line="240" w:lineRule="auto"/>
    </w:pPr>
    <w:tblPr>
      <w:tblStyleRowBandSize w:val="1"/>
      <w:tblStyleColBandSize w:val="1"/>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sz w:val="22"/>
      </w:rPr>
      <w:tblPr/>
      <w:tcPr>
        <w:tcBorders>
          <w:top w:val="single" w:color="000000" w:themeColor="accent2" w:sz="4" w:space="0"/>
          <w:bottom w:val="single" w:color="000000" w:themeColor="accent2" w:sz="4" w:space="0"/>
        </w:tcBorders>
      </w:tcPr>
    </w:tblStylePr>
    <w:tblStylePr w:type="band1Vert">
      <w:rPr>
        <w:sz w:val="22"/>
      </w:rPr>
      <w:tblPr/>
      <w:tcPr>
        <w:tcBorders>
          <w:left w:val="single" w:color="000000" w:themeColor="accent2" w:sz="4" w:space="0"/>
          <w:right w:val="single" w:color="000000" w:themeColor="accent2" w:sz="4" w:space="0"/>
        </w:tcBorders>
      </w:tcPr>
    </w:tblStylePr>
    <w:tblStylePr w:type="firstCol">
      <w:rPr>
        <w:b/>
      </w:rPr>
      <w:tblPr/>
    </w:tblStylePr>
    <w:tblStylePr w:type="firstRow">
      <w:rPr>
        <w:b/>
        <w:sz w:val="22"/>
      </w:rPr>
      <w:tblPr/>
      <w:tcPr>
        <w:shd w:val="clear" w:color="FFFFFF" w:fill="D99694" w:themeFill="accent2" w:themeFillTint="97"/>
      </w:tcPr>
    </w:tblStylePr>
    <w:tblStylePr w:type="lastCol">
      <w:rPr>
        <w:b/>
      </w:rPr>
      <w:tblPr/>
    </w:tblStylePr>
    <w:tblStylePr w:type="lastRow">
      <w:rPr>
        <w:b/>
      </w:rPr>
      <w:tblPr/>
    </w:tblStylePr>
  </w:style>
  <w:style w:type="table" w:styleId="904">
    <w:name w:val="List Table 3 - Accent 3"/>
    <w:uiPriority w:val="99"/>
    <w:pPr>
      <w:spacing w:after="0" w:line="240" w:lineRule="auto"/>
    </w:pPr>
    <w:tblPr>
      <w:tblStyleRowBandSize w:val="1"/>
      <w:tblStyleColBandSize w:val="1"/>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sz w:val="22"/>
      </w:rPr>
      <w:tblPr/>
      <w:tcPr>
        <w:tcBorders>
          <w:top w:val="single" w:color="000000" w:themeColor="accent3" w:sz="4" w:space="0"/>
          <w:bottom w:val="single" w:color="000000" w:themeColor="accent3" w:sz="4" w:space="0"/>
        </w:tcBorders>
      </w:tcPr>
    </w:tblStylePr>
    <w:tblStylePr w:type="band1Vert">
      <w:rPr>
        <w:sz w:val="22"/>
      </w:rPr>
      <w:tblPr/>
      <w:tcPr>
        <w:tcBorders>
          <w:left w:val="single" w:color="000000" w:themeColor="accent3" w:sz="4" w:space="0"/>
          <w:right w:val="single" w:color="000000" w:themeColor="accent3" w:sz="4" w:space="0"/>
        </w:tcBorders>
      </w:tcPr>
    </w:tblStylePr>
    <w:tblStylePr w:type="firstCol">
      <w:rPr>
        <w:b/>
      </w:rPr>
      <w:tblPr/>
    </w:tblStylePr>
    <w:tblStylePr w:type="firstRow">
      <w:rPr>
        <w:b/>
        <w:sz w:val="22"/>
      </w:rPr>
      <w:tblPr/>
      <w:tcPr>
        <w:shd w:val="clear" w:color="FFFFFF" w:fill="C3D69B" w:themeFill="accent3" w:themeFillTint="98"/>
      </w:tcPr>
    </w:tblStylePr>
    <w:tblStylePr w:type="lastCol">
      <w:rPr>
        <w:b/>
      </w:rPr>
      <w:tblPr/>
    </w:tblStylePr>
    <w:tblStylePr w:type="lastRow">
      <w:rPr>
        <w:b/>
      </w:rPr>
      <w:tblPr/>
    </w:tblStylePr>
  </w:style>
  <w:style w:type="table" w:styleId="905">
    <w:name w:val="List Table 3 - Accent 4"/>
    <w:uiPriority w:val="99"/>
    <w:pPr>
      <w:spacing w:after="0" w:line="240" w:lineRule="auto"/>
    </w:pPr>
    <w:tblPr>
      <w:tblStyleRowBandSize w:val="1"/>
      <w:tblStyleColBandSize w:val="1"/>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sz w:val="22"/>
      </w:rPr>
      <w:tblPr/>
      <w:tcPr>
        <w:tcBorders>
          <w:top w:val="single" w:color="000000" w:themeColor="accent4" w:sz="4" w:space="0"/>
          <w:bottom w:val="single" w:color="000000" w:themeColor="accent4" w:sz="4" w:space="0"/>
        </w:tcBorders>
      </w:tcPr>
    </w:tblStylePr>
    <w:tblStylePr w:type="band1Vert">
      <w:rPr>
        <w:sz w:val="22"/>
      </w:rPr>
      <w:tblPr/>
      <w:tcPr>
        <w:tcBorders>
          <w:left w:val="single" w:color="000000" w:themeColor="accent4" w:sz="4" w:space="0"/>
          <w:right w:val="single" w:color="000000" w:themeColor="accent4" w:sz="4" w:space="0"/>
        </w:tcBorders>
      </w:tcPr>
    </w:tblStylePr>
    <w:tblStylePr w:type="firstCol">
      <w:rPr>
        <w:b/>
      </w:rPr>
      <w:tblPr/>
    </w:tblStylePr>
    <w:tblStylePr w:type="firstRow">
      <w:rPr>
        <w:b/>
        <w:sz w:val="22"/>
      </w:rPr>
      <w:tblPr/>
      <w:tcPr>
        <w:shd w:val="clear" w:color="FFFFFF" w:fill="B2A1C6" w:themeFill="accent4" w:themeFillTint="9a"/>
      </w:tcPr>
    </w:tblStylePr>
    <w:tblStylePr w:type="lastCol">
      <w:rPr>
        <w:b/>
      </w:rPr>
      <w:tblPr/>
    </w:tblStylePr>
    <w:tblStylePr w:type="lastRow">
      <w:rPr>
        <w:b/>
      </w:rPr>
      <w:tblPr/>
    </w:tblStylePr>
  </w:style>
  <w:style w:type="table" w:styleId="906">
    <w:name w:val="List Table 3 - Accent 5"/>
    <w:uiPriority w:val="99"/>
    <w:pPr>
      <w:spacing w:after="0" w:line="240" w:lineRule="auto"/>
    </w:pPr>
    <w:tblPr>
      <w:tblStyleRowBandSize w:val="1"/>
      <w:tblStyleColBandSize w:val="1"/>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sz w:val="22"/>
      </w:rPr>
      <w:tblPr/>
      <w:tcPr>
        <w:tcBorders>
          <w:top w:val="single" w:color="000000" w:themeColor="accent5" w:sz="4" w:space="0"/>
          <w:bottom w:val="single" w:color="000000" w:themeColor="accent5" w:sz="4" w:space="0"/>
        </w:tcBorders>
      </w:tcPr>
    </w:tblStylePr>
    <w:tblStylePr w:type="band1Vert">
      <w:rPr>
        <w:sz w:val="22"/>
      </w:rPr>
      <w:tblPr/>
      <w:tcPr>
        <w:tcBorders>
          <w:left w:val="single" w:color="000000" w:themeColor="accent5" w:sz="4" w:space="0"/>
          <w:right w:val="single" w:color="000000" w:themeColor="accent5" w:sz="4" w:space="0"/>
        </w:tcBorders>
      </w:tcPr>
    </w:tblStylePr>
    <w:tblStylePr w:type="firstCol">
      <w:rPr>
        <w:b/>
      </w:rPr>
      <w:tblPr/>
    </w:tblStylePr>
    <w:tblStylePr w:type="firstRow">
      <w:rPr>
        <w:b/>
        <w:sz w:val="22"/>
      </w:rPr>
      <w:tblPr/>
      <w:tcPr>
        <w:shd w:val="clear" w:color="FFFFFF" w:fill="91CDDC" w:themeFill="accent5" w:themeFillTint="9a"/>
      </w:tcPr>
    </w:tblStylePr>
    <w:tblStylePr w:type="lastCol">
      <w:rPr>
        <w:b/>
      </w:rPr>
      <w:tblPr/>
    </w:tblStylePr>
    <w:tblStylePr w:type="lastRow">
      <w:rPr>
        <w:b/>
      </w:rPr>
      <w:tblPr/>
    </w:tblStylePr>
  </w:style>
  <w:style w:type="table" w:styleId="907">
    <w:name w:val="List Table 3 - Accent 6"/>
    <w:uiPriority w:val="99"/>
    <w:pPr>
      <w:spacing w:after="0" w:line="240" w:lineRule="auto"/>
    </w:pPr>
    <w:tblPr>
      <w:tblStyleRowBandSize w:val="1"/>
      <w:tblStyleColBandSize w:val="1"/>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sz w:val="22"/>
      </w:rPr>
      <w:tblPr/>
      <w:tcPr>
        <w:tcBorders>
          <w:top w:val="single" w:color="000000" w:themeColor="accent6" w:sz="4" w:space="0"/>
          <w:bottom w:val="single" w:color="000000" w:themeColor="accent6" w:sz="4" w:space="0"/>
        </w:tcBorders>
      </w:tcPr>
    </w:tblStylePr>
    <w:tblStylePr w:type="band1Vert">
      <w:rPr>
        <w:sz w:val="22"/>
      </w:rPr>
      <w:tblPr/>
      <w:tcPr>
        <w:tcBorders>
          <w:left w:val="single" w:color="000000" w:themeColor="accent6" w:sz="4" w:space="0"/>
          <w:right w:val="single" w:color="000000" w:themeColor="accent6" w:sz="4" w:space="0"/>
        </w:tcBorders>
      </w:tcPr>
    </w:tblStylePr>
    <w:tblStylePr w:type="firstCol">
      <w:rPr>
        <w:b/>
      </w:rPr>
      <w:tblPr/>
    </w:tblStylePr>
    <w:tblStylePr w:type="firstRow">
      <w:rPr>
        <w:b/>
        <w:sz w:val="22"/>
      </w:rPr>
      <w:tblPr/>
      <w:tcPr>
        <w:shd w:val="clear" w:color="FFFFFF" w:fill="F9BF90" w:themeFill="accent6" w:themeFillTint="98"/>
      </w:tcPr>
    </w:tblStylePr>
    <w:tblStylePr w:type="lastCol">
      <w:rPr>
        <w:b/>
      </w:rPr>
      <w:tblPr/>
    </w:tblStylePr>
    <w:tblStylePr w:type="lastRow">
      <w:rPr>
        <w:b/>
      </w:rPr>
      <w:tblPr/>
    </w:tblStylePr>
  </w:style>
  <w:style w:type="table" w:styleId="908">
    <w:name w:val="List Table 4"/>
    <w:uiPriority w:val="99"/>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sz w:val="22"/>
      </w:rPr>
      <w:tblPr/>
      <w:tcPr>
        <w:shd w:val="clear" w:color="FFFFFF" w:fill="BFBFBF" w:themeFill="text1" w:themeFillTint="40"/>
      </w:tcPr>
    </w:tblStylePr>
    <w:tblStylePr w:type="band1Vert">
      <w:rPr>
        <w:sz w:val="22"/>
      </w:rPr>
      <w:tblPr/>
      <w:tcPr>
        <w:shd w:val="clear" w:color="FFFFFF" w:fill="BFBFBF" w:themeFill="text1" w:themeFillTint="40"/>
      </w:tcPr>
    </w:tblStylePr>
    <w:tblStylePr w:type="firstCol">
      <w:rPr>
        <w:b/>
      </w:rPr>
      <w:tblPr/>
    </w:tblStylePr>
    <w:tblStylePr w:type="firstRow">
      <w:rPr>
        <w:b/>
        <w:sz w:val="22"/>
      </w:rPr>
      <w:tblPr/>
      <w:tcPr>
        <w:shd w:val="clear" w:color="FFFFFF" w:fill="000000" w:themeFill="text1"/>
      </w:tcPr>
    </w:tblStylePr>
    <w:tblStylePr w:type="lastCol">
      <w:rPr>
        <w:b/>
      </w:rPr>
      <w:tblPr/>
    </w:tblStylePr>
    <w:tblStylePr w:type="lastRow">
      <w:rPr>
        <w:b/>
      </w:rPr>
      <w:tblPr/>
    </w:tblStylePr>
  </w:style>
  <w:style w:type="table" w:styleId="909">
    <w:name w:val="List Table 4 - Accent 1"/>
    <w:uiPriority w:val="99"/>
    <w:pPr>
      <w:spacing w:after="0" w:line="240" w:lineRule="auto"/>
    </w:pPr>
    <w:tblPr>
      <w:tblStyleRowBandSize w:val="1"/>
      <w:tblStyleColBandSize w:val="1"/>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sz w:val="22"/>
      </w:rPr>
      <w:tblPr/>
      <w:tcPr>
        <w:shd w:val="clear" w:color="FFFFFF" w:fill="D3E0EE" w:themeFill="accent1" w:themeFillTint="40"/>
      </w:tcPr>
    </w:tblStylePr>
    <w:tblStylePr w:type="band1Vert">
      <w:rPr>
        <w:sz w:val="22"/>
      </w:rPr>
      <w:tblPr/>
      <w:tcPr>
        <w:shd w:val="clear" w:color="FFFFFF" w:fill="D3E0EE" w:themeFill="accent1" w:themeFillTint="40"/>
      </w:tcPr>
    </w:tblStylePr>
    <w:tblStylePr w:type="firstCol">
      <w:rPr>
        <w:b/>
      </w:rPr>
      <w:tblPr/>
    </w:tblStylePr>
    <w:tblStylePr w:type="firstRow">
      <w:rPr>
        <w:b/>
        <w:sz w:val="22"/>
      </w:rPr>
      <w:tblPr/>
      <w:tcPr>
        <w:shd w:val="clear" w:color="FFFFFF" w:fill="4F81BD" w:themeFill="accent1"/>
      </w:tcPr>
    </w:tblStylePr>
    <w:tblStylePr w:type="lastCol">
      <w:rPr>
        <w:b/>
      </w:rPr>
      <w:tblPr/>
    </w:tblStylePr>
    <w:tblStylePr w:type="lastRow">
      <w:rPr>
        <w:b/>
      </w:rPr>
      <w:tblPr/>
    </w:tblStylePr>
  </w:style>
  <w:style w:type="table" w:styleId="910">
    <w:name w:val="List Table 4 - Accent 2"/>
    <w:uiPriority w:val="99"/>
    <w:pPr>
      <w:spacing w:after="0" w:line="240" w:lineRule="auto"/>
    </w:pPr>
    <w:tblPr>
      <w:tblStyleRowBandSize w:val="1"/>
      <w:tblStyleColBandSize w:val="1"/>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sz w:val="22"/>
      </w:rPr>
      <w:tblPr/>
      <w:tcPr>
        <w:shd w:val="clear" w:color="FFFFFF" w:fill="EFD3D2" w:themeFill="accent2" w:themeFillTint="40"/>
      </w:tcPr>
    </w:tblStylePr>
    <w:tblStylePr w:type="band1Vert">
      <w:rPr>
        <w:sz w:val="22"/>
      </w:rPr>
      <w:tblPr/>
      <w:tcPr>
        <w:shd w:val="clear" w:color="FFFFFF" w:fill="EFD3D2" w:themeFill="accent2" w:themeFillTint="40"/>
      </w:tcPr>
    </w:tblStylePr>
    <w:tblStylePr w:type="firstCol">
      <w:rPr>
        <w:b/>
      </w:rPr>
      <w:tblPr/>
    </w:tblStylePr>
    <w:tblStylePr w:type="firstRow">
      <w:rPr>
        <w:b/>
        <w:sz w:val="22"/>
      </w:rPr>
      <w:tblPr/>
      <w:tcPr>
        <w:shd w:val="clear" w:color="FFFFFF" w:fill="C0504D" w:themeFill="accent2"/>
      </w:tcPr>
    </w:tblStylePr>
    <w:tblStylePr w:type="lastCol">
      <w:rPr>
        <w:b/>
      </w:rPr>
      <w:tblPr/>
    </w:tblStylePr>
    <w:tblStylePr w:type="lastRow">
      <w:rPr>
        <w:b/>
      </w:rPr>
      <w:tblPr/>
    </w:tblStylePr>
  </w:style>
  <w:style w:type="table" w:styleId="911">
    <w:name w:val="List Table 4 - Accent 3"/>
    <w:uiPriority w:val="99"/>
    <w:pPr>
      <w:spacing w:after="0" w:line="240" w:lineRule="auto"/>
    </w:pPr>
    <w:tblPr>
      <w:tblStyleRowBandSize w:val="1"/>
      <w:tblStyleColBandSize w:val="1"/>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sz w:val="22"/>
      </w:rPr>
      <w:tblPr/>
      <w:tcPr>
        <w:shd w:val="clear" w:color="FFFFFF" w:fill="E6EED5" w:themeFill="accent3" w:themeFillTint="40"/>
      </w:tcPr>
    </w:tblStylePr>
    <w:tblStylePr w:type="band1Vert">
      <w:rPr>
        <w:sz w:val="22"/>
      </w:rPr>
      <w:tblPr/>
      <w:tcPr>
        <w:shd w:val="clear" w:color="FFFFFF" w:fill="E6EED5" w:themeFill="accent3" w:themeFillTint="40"/>
      </w:tcPr>
    </w:tblStylePr>
    <w:tblStylePr w:type="firstCol">
      <w:rPr>
        <w:b/>
      </w:rPr>
      <w:tblPr/>
    </w:tblStylePr>
    <w:tblStylePr w:type="firstRow">
      <w:rPr>
        <w:b/>
        <w:sz w:val="22"/>
      </w:rPr>
      <w:tblPr/>
      <w:tcPr>
        <w:shd w:val="clear" w:color="FFFFFF" w:fill="9BBB59" w:themeFill="accent3"/>
      </w:tcPr>
    </w:tblStylePr>
    <w:tblStylePr w:type="lastCol">
      <w:rPr>
        <w:b/>
      </w:rPr>
      <w:tblPr/>
    </w:tblStylePr>
    <w:tblStylePr w:type="lastRow">
      <w:rPr>
        <w:b/>
      </w:rPr>
      <w:tblPr/>
    </w:tblStylePr>
  </w:style>
  <w:style w:type="table" w:styleId="912">
    <w:name w:val="List Table 4 - Accent 4"/>
    <w:uiPriority w:val="99"/>
    <w:pPr>
      <w:spacing w:after="0" w:line="240" w:lineRule="auto"/>
    </w:pPr>
    <w:tblPr>
      <w:tblStyleRowBandSize w:val="1"/>
      <w:tblStyleColBandSize w:val="1"/>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sz w:val="22"/>
      </w:rPr>
      <w:tblPr/>
      <w:tcPr>
        <w:shd w:val="clear" w:color="FFFFFF" w:fill="DFD8E7" w:themeFill="accent4" w:themeFillTint="40"/>
      </w:tcPr>
    </w:tblStylePr>
    <w:tblStylePr w:type="band1Vert">
      <w:rPr>
        <w:sz w:val="22"/>
      </w:rPr>
      <w:tblPr/>
      <w:tcPr>
        <w:shd w:val="clear" w:color="FFFFFF" w:fill="DFD8E7" w:themeFill="accent4" w:themeFillTint="40"/>
      </w:tcPr>
    </w:tblStylePr>
    <w:tblStylePr w:type="firstCol">
      <w:rPr>
        <w:b/>
      </w:rPr>
      <w:tblPr/>
    </w:tblStylePr>
    <w:tblStylePr w:type="firstRow">
      <w:rPr>
        <w:b/>
        <w:sz w:val="22"/>
      </w:rPr>
      <w:tblPr/>
      <w:tcPr>
        <w:shd w:val="clear" w:color="FFFFFF" w:fill="8064A2" w:themeFill="accent4"/>
      </w:tcPr>
    </w:tblStylePr>
    <w:tblStylePr w:type="lastCol">
      <w:rPr>
        <w:b/>
      </w:rPr>
      <w:tblPr/>
    </w:tblStylePr>
    <w:tblStylePr w:type="lastRow">
      <w:rPr>
        <w:b/>
      </w:rPr>
      <w:tblPr/>
    </w:tblStylePr>
  </w:style>
  <w:style w:type="table" w:styleId="913">
    <w:name w:val="List Table 4 - Accent 5"/>
    <w:uiPriority w:val="99"/>
    <w:pPr>
      <w:spacing w:after="0" w:line="240" w:lineRule="auto"/>
    </w:pPr>
    <w:tblPr>
      <w:tblStyleRowBandSize w:val="1"/>
      <w:tblStyleColBandSize w:val="1"/>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sz w:val="22"/>
      </w:rPr>
      <w:tblPr/>
      <w:tcPr>
        <w:shd w:val="clear" w:color="FFFFFF" w:fill="D1EAF0" w:themeFill="accent5" w:themeFillTint="40"/>
      </w:tcPr>
    </w:tblStylePr>
    <w:tblStylePr w:type="band1Vert">
      <w:rPr>
        <w:sz w:val="22"/>
      </w:rPr>
      <w:tblPr/>
      <w:tcPr>
        <w:shd w:val="clear" w:color="FFFFFF" w:fill="D1EAF0" w:themeFill="accent5" w:themeFillTint="40"/>
      </w:tcPr>
    </w:tblStylePr>
    <w:tblStylePr w:type="firstCol">
      <w:rPr>
        <w:b/>
      </w:rPr>
      <w:tblPr/>
    </w:tblStylePr>
    <w:tblStylePr w:type="firstRow">
      <w:rPr>
        <w:b/>
        <w:sz w:val="22"/>
      </w:rPr>
      <w:tblPr/>
      <w:tcPr>
        <w:shd w:val="clear" w:color="FFFFFF" w:fill="4BACC6" w:themeFill="accent5"/>
      </w:tcPr>
    </w:tblStylePr>
    <w:tblStylePr w:type="lastCol">
      <w:rPr>
        <w:b/>
      </w:rPr>
      <w:tblPr/>
    </w:tblStylePr>
    <w:tblStylePr w:type="lastRow">
      <w:rPr>
        <w:b/>
      </w:rPr>
      <w:tblPr/>
    </w:tblStylePr>
  </w:style>
  <w:style w:type="table" w:styleId="914">
    <w:name w:val="List Table 4 - Accent 6"/>
    <w:uiPriority w:val="99"/>
    <w:pPr>
      <w:spacing w:after="0" w:line="240" w:lineRule="auto"/>
    </w:pPr>
    <w:tblPr>
      <w:tblStyleRowBandSize w:val="1"/>
      <w:tblStyleColBandSize w:val="1"/>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sz w:val="22"/>
      </w:rPr>
      <w:tblPr/>
      <w:tcPr>
        <w:shd w:val="clear" w:color="FFFFFF" w:fill="FCE4D1" w:themeFill="accent6" w:themeFillTint="40"/>
      </w:tcPr>
    </w:tblStylePr>
    <w:tblStylePr w:type="band1Vert">
      <w:rPr>
        <w:sz w:val="22"/>
      </w:rPr>
      <w:tblPr/>
      <w:tcPr>
        <w:shd w:val="clear" w:color="FFFFFF" w:fill="FCE4D1" w:themeFill="accent6" w:themeFillTint="40"/>
      </w:tcPr>
    </w:tblStylePr>
    <w:tblStylePr w:type="firstCol">
      <w:rPr>
        <w:b/>
      </w:rPr>
      <w:tblPr/>
    </w:tblStylePr>
    <w:tblStylePr w:type="firstRow">
      <w:rPr>
        <w:b/>
        <w:sz w:val="22"/>
      </w:rPr>
      <w:tblPr/>
      <w:tcPr>
        <w:shd w:val="clear" w:color="FFFFFF" w:fill="F79646" w:themeFill="accent6"/>
      </w:tcPr>
    </w:tblStylePr>
    <w:tblStylePr w:type="lastCol">
      <w:rPr>
        <w:b/>
      </w:rPr>
      <w:tblPr/>
    </w:tblStylePr>
    <w:tblStylePr w:type="lastRow">
      <w:rPr>
        <w:b/>
      </w:rPr>
      <w:tblPr/>
    </w:tblStylePr>
  </w:style>
  <w:style w:type="table" w:styleId="915">
    <w:name w:val="List Table 5 Dark"/>
    <w:uiPriority w:val="99"/>
    <w:pPr>
      <w:spacing w:after="0" w:line="240" w:lineRule="auto"/>
    </w:pPr>
    <w:tblPr>
      <w:tblStyleRowBandSize w:val="1"/>
      <w:tblStyleColBandSize w:val="1"/>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tblPr>
    <w:tblStylePr w:type="band1Horz">
      <w:tblPr/>
      <w:tcPr>
        <w:tcBorders>
          <w:top w:val="single" w:color="000000" w:themeColor="light1" w:sz="4" w:space="0"/>
          <w:bottom w:val="single" w:color="000000" w:themeColor="light1" w:sz="4" w:space="0"/>
        </w:tcBorders>
        <w:shd w:val="clear" w:color="FFFFFF" w:fill="7F7F7F" w:themeFill="text1" w:themeFillTint="80"/>
      </w:tcPr>
    </w:tblStylePr>
    <w:tblStylePr w:type="band1Vert">
      <w:tblPr/>
      <w:tcPr>
        <w:tcBorders>
          <w:left w:val="single" w:color="000000" w:themeColor="light1" w:sz="4" w:space="0"/>
          <w:right w:val="single" w:color="000000" w:themeColor="light1" w:sz="4" w:space="0"/>
        </w:tcBorders>
        <w:shd w:val="clear" w:color="FFFFFF" w:fill="7F7F7F" w:themeFill="text1" w:themeFillTint="80"/>
      </w:tcPr>
    </w:tblStylePr>
    <w:tblStylePr w:type="band2Horz">
      <w:tblPr/>
      <w:tcPr>
        <w:tcBorders>
          <w:top w:val="single" w:color="000000" w:themeColor="light1" w:sz="4" w:space="0"/>
          <w:bottom w:val="single" w:color="000000" w:themeColor="light1" w:sz="4" w:space="0"/>
        </w:tcBorders>
        <w:shd w:val="clear" w:color="FFFFFF" w:fill="7F7F7F" w:themeFill="text1" w:themeFillTint="80"/>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text1" w:sz="32" w:space="0"/>
          <w:right w:val="single" w:color="000000" w:themeColor="light1" w:sz="4" w:space="0"/>
        </w:tcBorders>
      </w:tcPr>
    </w:tblStylePr>
    <w:tblStylePr w:type="firstRow">
      <w:rPr>
        <w:b/>
        <w:color w:themeColor="light1"/>
        <w:sz w:val="22"/>
      </w:rPr>
      <w:tblPr/>
      <w:tcPr>
        <w:tcBorders>
          <w:top w:val="single" w:color="000000" w:themeColor="text1" w:sz="32" w:space="0"/>
          <w:bottom w:val="single" w:color="000000" w:themeColor="light1" w:sz="12" w:space="0"/>
        </w:tcBorders>
        <w:shd w:val="clear" w:color="FFFFFF" w:fill="7F7F7F" w:themeFill="text1" w:themeFillTint="80"/>
      </w:tcPr>
    </w:tblStylePr>
    <w:tblStylePr w:type="lastCol">
      <w:tblPr/>
      <w:tcPr>
        <w:tcBorders>
          <w:left w:val="single" w:color="000000" w:themeColor="light1" w:sz="4" w:space="0"/>
          <w:right w:val="single" w:color="000000" w:themeColor="text1" w:sz="32" w:space="0"/>
        </w:tcBorders>
      </w:tcPr>
    </w:tblStylePr>
    <w:tblStylePr w:type="lastRow">
      <w:rPr>
        <w:b/>
        <w:color w:themeColor="light1"/>
        <w:sz w:val="22"/>
      </w:rPr>
      <w:tblPr/>
    </w:tblStylePr>
    <w:tblStylePr w:type="wholeTable">
      <w:rPr>
        <w:color w:themeColor="light1"/>
        <w:sz w:val="22"/>
      </w:rPr>
      <w:tblPr/>
    </w:tblStylePr>
  </w:style>
  <w:style w:type="table" w:styleId="916">
    <w:name w:val="List Table 5 Dark - Accent 1"/>
    <w:uiPriority w:val="99"/>
    <w:pPr>
      <w:spacing w:after="0" w:line="240" w:lineRule="auto"/>
    </w:pPr>
    <w:tblPr>
      <w:tblStyleRowBandSize w:val="1"/>
      <w:tblStyleColBandSize w:val="1"/>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tblPr>
    <w:tblStylePr w:type="band1Horz">
      <w:tblPr/>
      <w:tcPr>
        <w:tcBorders>
          <w:top w:val="single" w:color="000000" w:themeColor="light1" w:sz="4" w:space="0"/>
          <w:bottom w:val="single" w:color="000000" w:themeColor="light1" w:sz="4" w:space="0"/>
        </w:tcBorders>
        <w:shd w:val="clear" w:color="FFFFFF" w:fill="4F81BD" w:themeFill="accent1"/>
      </w:tcPr>
    </w:tblStylePr>
    <w:tblStylePr w:type="band1Vert">
      <w:tblPr/>
      <w:tcPr>
        <w:tcBorders>
          <w:left w:val="single" w:color="000000" w:themeColor="light1" w:sz="4" w:space="0"/>
          <w:right w:val="single" w:color="000000" w:themeColor="light1" w:sz="4" w:space="0"/>
        </w:tcBorders>
        <w:shd w:val="clear" w:color="FFFFFF" w:fill="4F81BD" w:themeFill="accent1"/>
      </w:tcPr>
    </w:tblStylePr>
    <w:tblStylePr w:type="band2Horz">
      <w:tblPr/>
      <w:tcPr>
        <w:tcBorders>
          <w:top w:val="single" w:color="000000" w:themeColor="light1" w:sz="4" w:space="0"/>
          <w:bottom w:val="single" w:color="000000" w:themeColor="light1" w:sz="4" w:space="0"/>
        </w:tcBorders>
        <w:shd w:val="clear" w:color="FFFFFF" w:fill="4F81BD" w:themeFill="accent1"/>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accent1" w:sz="32" w:space="0"/>
          <w:right w:val="single" w:color="000000" w:themeColor="light1" w:sz="4" w:space="0"/>
        </w:tcBorders>
      </w:tcPr>
    </w:tblStylePr>
    <w:tblStylePr w:type="firstRow">
      <w:rPr>
        <w:b/>
        <w:color w:themeColor="light1"/>
        <w:sz w:val="22"/>
      </w:rPr>
      <w:tblPr/>
      <w:tcPr>
        <w:tcBorders>
          <w:top w:val="single" w:color="000000" w:themeColor="accent1" w:sz="32" w:space="0"/>
          <w:bottom w:val="single" w:color="000000" w:themeColor="light1" w:sz="12" w:space="0"/>
        </w:tcBorders>
        <w:shd w:val="clear" w:color="FFFFFF" w:fill="4F81BD" w:themeFill="accent1"/>
      </w:tcPr>
    </w:tblStylePr>
    <w:tblStylePr w:type="lastCol">
      <w:tblPr/>
      <w:tcPr>
        <w:tcBorders>
          <w:left w:val="single" w:color="000000" w:themeColor="light1" w:sz="4" w:space="0"/>
          <w:right w:val="single" w:color="000000" w:themeColor="accent1" w:sz="32" w:space="0"/>
        </w:tcBorders>
      </w:tcPr>
    </w:tblStylePr>
    <w:tblStylePr w:type="lastRow">
      <w:rPr>
        <w:b/>
        <w:color w:themeColor="light1"/>
        <w:sz w:val="22"/>
      </w:rPr>
      <w:tblPr/>
    </w:tblStylePr>
    <w:tblStylePr w:type="wholeTable">
      <w:rPr>
        <w:color w:themeColor="light1"/>
        <w:sz w:val="22"/>
      </w:rPr>
      <w:tblPr/>
    </w:tblStylePr>
  </w:style>
  <w:style w:type="table" w:styleId="917">
    <w:name w:val="List Table 5 Dark - Accent 2"/>
    <w:uiPriority w:val="99"/>
    <w:pPr>
      <w:spacing w:after="0" w:line="240" w:lineRule="auto"/>
    </w:pPr>
    <w:tblPr>
      <w:tblStyleRowBandSize w:val="1"/>
      <w:tblStyleColBandSize w:val="1"/>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tblPr>
    <w:tblStylePr w:type="band1Horz">
      <w:tblPr/>
      <w:tcPr>
        <w:tcBorders>
          <w:top w:val="single" w:color="000000" w:themeColor="light1" w:sz="4" w:space="0"/>
          <w:bottom w:val="single" w:color="000000" w:themeColor="light1" w:sz="4" w:space="0"/>
        </w:tcBorders>
        <w:shd w:val="clear" w:color="FFFFFF" w:fill="D99694" w:themeFill="accent2" w:themeFillTint="97"/>
      </w:tcPr>
    </w:tblStylePr>
    <w:tblStylePr w:type="band1Vert">
      <w:tblPr/>
      <w:tcPr>
        <w:tcBorders>
          <w:left w:val="single" w:color="000000" w:themeColor="light1" w:sz="4" w:space="0"/>
          <w:right w:val="single" w:color="000000" w:themeColor="light1" w:sz="4" w:space="0"/>
        </w:tcBorders>
        <w:shd w:val="clear" w:color="FFFFFF" w:fill="D99694" w:themeFill="accent2" w:themeFillTint="97"/>
      </w:tcPr>
    </w:tblStylePr>
    <w:tblStylePr w:type="band2Horz">
      <w:tblPr/>
      <w:tcPr>
        <w:tcBorders>
          <w:top w:val="single" w:color="000000" w:themeColor="light1" w:sz="4" w:space="0"/>
          <w:bottom w:val="single" w:color="000000" w:themeColor="light1" w:sz="4" w:space="0"/>
        </w:tcBorders>
        <w:shd w:val="clear" w:color="FFFFFF" w:fill="D99694" w:themeFill="accent2" w:themeFillTint="97"/>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accent2" w:sz="32" w:space="0"/>
          <w:right w:val="single" w:color="000000" w:themeColor="light1" w:sz="4" w:space="0"/>
        </w:tcBorders>
      </w:tcPr>
    </w:tblStylePr>
    <w:tblStylePr w:type="firstRow">
      <w:rPr>
        <w:b/>
        <w:color w:themeColor="light1"/>
        <w:sz w:val="22"/>
      </w:rPr>
      <w:tblPr/>
      <w:tcPr>
        <w:tcBorders>
          <w:top w:val="single" w:color="000000" w:themeColor="accent2" w:sz="32" w:space="0"/>
          <w:bottom w:val="single" w:color="000000" w:themeColor="light1" w:sz="12" w:space="0"/>
        </w:tcBorders>
        <w:shd w:val="clear" w:color="FFFFFF" w:fill="D99694" w:themeFill="accent2" w:themeFillTint="97"/>
      </w:tcPr>
    </w:tblStylePr>
    <w:tblStylePr w:type="lastCol">
      <w:tblPr/>
      <w:tcPr>
        <w:tcBorders>
          <w:left w:val="single" w:color="000000" w:themeColor="light1" w:sz="4" w:space="0"/>
          <w:right w:val="single" w:color="000000" w:themeColor="accent2" w:sz="32" w:space="0"/>
        </w:tcBorders>
      </w:tcPr>
    </w:tblStylePr>
    <w:tblStylePr w:type="lastRow">
      <w:rPr>
        <w:b/>
        <w:color w:themeColor="light1"/>
        <w:sz w:val="22"/>
      </w:rPr>
      <w:tblPr/>
    </w:tblStylePr>
    <w:tblStylePr w:type="wholeTable">
      <w:rPr>
        <w:color w:themeColor="light1"/>
        <w:sz w:val="22"/>
      </w:rPr>
      <w:tblPr/>
    </w:tblStylePr>
  </w:style>
  <w:style w:type="table" w:styleId="918">
    <w:name w:val="List Table 5 Dark - Accent 3"/>
    <w:uiPriority w:val="99"/>
    <w:pPr>
      <w:spacing w:after="0" w:line="240" w:lineRule="auto"/>
    </w:pPr>
    <w:tblPr>
      <w:tblStyleRowBandSize w:val="1"/>
      <w:tblStyleColBandSize w:val="1"/>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tblPr>
    <w:tblStylePr w:type="band1Horz">
      <w:tblPr/>
      <w:tcPr>
        <w:tcBorders>
          <w:top w:val="single" w:color="000000" w:themeColor="light1" w:sz="4" w:space="0"/>
          <w:bottom w:val="single" w:color="000000" w:themeColor="light1" w:sz="4" w:space="0"/>
        </w:tcBorders>
        <w:shd w:val="clear" w:color="FFFFFF" w:fill="C3D69B" w:themeFill="accent3" w:themeFillTint="98"/>
      </w:tcPr>
    </w:tblStylePr>
    <w:tblStylePr w:type="band1Vert">
      <w:tblPr/>
      <w:tcPr>
        <w:tcBorders>
          <w:left w:val="single" w:color="000000" w:themeColor="light1" w:sz="4" w:space="0"/>
          <w:right w:val="single" w:color="000000" w:themeColor="light1" w:sz="4" w:space="0"/>
        </w:tcBorders>
        <w:shd w:val="clear" w:color="FFFFFF" w:fill="C3D69B" w:themeFill="accent3" w:themeFillTint="98"/>
      </w:tcPr>
    </w:tblStylePr>
    <w:tblStylePr w:type="band2Horz">
      <w:tblPr/>
      <w:tcPr>
        <w:tcBorders>
          <w:top w:val="single" w:color="000000" w:themeColor="light1" w:sz="4" w:space="0"/>
          <w:bottom w:val="single" w:color="000000" w:themeColor="light1" w:sz="4" w:space="0"/>
        </w:tcBorders>
        <w:shd w:val="clear" w:color="FFFFFF" w:fill="C3D69B" w:themeFill="accent3" w:themeFillTint="98"/>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accent3" w:sz="32" w:space="0"/>
          <w:right w:val="single" w:color="000000" w:themeColor="light1" w:sz="4" w:space="0"/>
        </w:tcBorders>
      </w:tcPr>
    </w:tblStylePr>
    <w:tblStylePr w:type="firstRow">
      <w:rPr>
        <w:b/>
        <w:color w:themeColor="light1"/>
        <w:sz w:val="22"/>
      </w:rPr>
      <w:tblPr/>
      <w:tcPr>
        <w:tcBorders>
          <w:top w:val="single" w:color="000000" w:themeColor="accent3" w:sz="32" w:space="0"/>
          <w:bottom w:val="single" w:color="000000" w:themeColor="light1" w:sz="12" w:space="0"/>
        </w:tcBorders>
        <w:shd w:val="clear" w:color="FFFFFF" w:fill="C3D69B" w:themeFill="accent3" w:themeFillTint="98"/>
      </w:tcPr>
    </w:tblStylePr>
    <w:tblStylePr w:type="lastCol">
      <w:tblPr/>
      <w:tcPr>
        <w:tcBorders>
          <w:left w:val="single" w:color="000000" w:themeColor="light1" w:sz="4" w:space="0"/>
          <w:right w:val="single" w:color="000000" w:themeColor="accent3" w:sz="32" w:space="0"/>
        </w:tcBorders>
      </w:tcPr>
    </w:tblStylePr>
    <w:tblStylePr w:type="lastRow">
      <w:rPr>
        <w:b/>
        <w:color w:themeColor="light1"/>
        <w:sz w:val="22"/>
      </w:rPr>
      <w:tblPr/>
    </w:tblStylePr>
    <w:tblStylePr w:type="wholeTable">
      <w:rPr>
        <w:color w:themeColor="light1"/>
        <w:sz w:val="22"/>
      </w:rPr>
      <w:tblPr/>
    </w:tblStylePr>
  </w:style>
  <w:style w:type="table" w:styleId="919">
    <w:name w:val="List Table 5 Dark - Accent 4"/>
    <w:uiPriority w:val="99"/>
    <w:pPr>
      <w:spacing w:after="0" w:line="240" w:lineRule="auto"/>
    </w:pPr>
    <w:tblPr>
      <w:tblStyleRowBandSize w:val="1"/>
      <w:tblStyleColBandSize w:val="1"/>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tblPr>
    <w:tblStylePr w:type="band1Horz">
      <w:tblPr/>
      <w:tcPr>
        <w:tcBorders>
          <w:top w:val="single" w:color="000000" w:themeColor="light1" w:sz="4" w:space="0"/>
          <w:bottom w:val="single" w:color="000000" w:themeColor="light1" w:sz="4" w:space="0"/>
        </w:tcBorders>
        <w:shd w:val="clear" w:color="FFFFFF" w:fill="B2A1C6" w:themeFill="accent4" w:themeFillTint="9a"/>
      </w:tcPr>
    </w:tblStylePr>
    <w:tblStylePr w:type="band1Vert">
      <w:tblPr/>
      <w:tcPr>
        <w:tcBorders>
          <w:left w:val="single" w:color="000000" w:themeColor="light1" w:sz="4" w:space="0"/>
          <w:right w:val="single" w:color="000000" w:themeColor="light1" w:sz="4" w:space="0"/>
        </w:tcBorders>
        <w:shd w:val="clear" w:color="FFFFFF" w:fill="B2A1C6" w:themeFill="accent4" w:themeFillTint="9a"/>
      </w:tcPr>
    </w:tblStylePr>
    <w:tblStylePr w:type="band2Horz">
      <w:tblPr/>
      <w:tcPr>
        <w:tcBorders>
          <w:top w:val="single" w:color="000000" w:themeColor="light1" w:sz="4" w:space="0"/>
          <w:bottom w:val="single" w:color="000000" w:themeColor="light1" w:sz="4" w:space="0"/>
        </w:tcBorders>
        <w:shd w:val="clear" w:color="FFFFFF" w:fill="B2A1C6" w:themeFill="accent4" w:themeFillTint="9a"/>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accent4" w:sz="32" w:space="0"/>
          <w:right w:val="single" w:color="000000" w:themeColor="light1" w:sz="4" w:space="0"/>
        </w:tcBorders>
      </w:tcPr>
    </w:tblStylePr>
    <w:tblStylePr w:type="firstRow">
      <w:rPr>
        <w:b/>
        <w:color w:themeColor="light1"/>
        <w:sz w:val="22"/>
      </w:rPr>
      <w:tblPr/>
      <w:tcPr>
        <w:tcBorders>
          <w:top w:val="single" w:color="000000" w:themeColor="accent4" w:sz="32" w:space="0"/>
          <w:bottom w:val="single" w:color="000000" w:themeColor="light1" w:sz="12" w:space="0"/>
        </w:tcBorders>
        <w:shd w:val="clear" w:color="FFFFFF" w:fill="B2A1C6" w:themeFill="accent4" w:themeFillTint="9a"/>
      </w:tcPr>
    </w:tblStylePr>
    <w:tblStylePr w:type="lastCol">
      <w:tblPr/>
      <w:tcPr>
        <w:tcBorders>
          <w:left w:val="single" w:color="000000" w:themeColor="light1" w:sz="4" w:space="0"/>
          <w:right w:val="single" w:color="000000" w:themeColor="accent4" w:sz="32" w:space="0"/>
        </w:tcBorders>
      </w:tcPr>
    </w:tblStylePr>
    <w:tblStylePr w:type="lastRow">
      <w:rPr>
        <w:b/>
        <w:color w:themeColor="light1"/>
        <w:sz w:val="22"/>
      </w:rPr>
      <w:tblPr/>
    </w:tblStylePr>
    <w:tblStylePr w:type="wholeTable">
      <w:rPr>
        <w:color w:themeColor="light1"/>
        <w:sz w:val="22"/>
      </w:rPr>
      <w:tblPr/>
    </w:tblStylePr>
  </w:style>
  <w:style w:type="table" w:styleId="920">
    <w:name w:val="List Table 5 Dark - Accent 5"/>
    <w:uiPriority w:val="99"/>
    <w:pPr>
      <w:spacing w:after="0" w:line="240" w:lineRule="auto"/>
    </w:pPr>
    <w:tblPr>
      <w:tblStyleRowBandSize w:val="1"/>
      <w:tblStyleColBandSize w:val="1"/>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tblPr>
    <w:tblStylePr w:type="band1Horz">
      <w:tblPr/>
      <w:tcPr>
        <w:tcBorders>
          <w:top w:val="single" w:color="000000" w:themeColor="light1" w:sz="4" w:space="0"/>
          <w:bottom w:val="single" w:color="000000" w:themeColor="light1" w:sz="4" w:space="0"/>
        </w:tcBorders>
        <w:shd w:val="clear" w:color="FFFFFF" w:fill="91CDDC" w:themeFill="accent5" w:themeFillTint="9a"/>
      </w:tcPr>
    </w:tblStylePr>
    <w:tblStylePr w:type="band1Vert">
      <w:tblPr/>
      <w:tcPr>
        <w:tcBorders>
          <w:left w:val="single" w:color="000000" w:themeColor="light1" w:sz="4" w:space="0"/>
          <w:right w:val="single" w:color="000000" w:themeColor="light1" w:sz="4" w:space="0"/>
        </w:tcBorders>
        <w:shd w:val="clear" w:color="FFFFFF" w:fill="91CDDC" w:themeFill="accent5" w:themeFillTint="9a"/>
      </w:tcPr>
    </w:tblStylePr>
    <w:tblStylePr w:type="band2Horz">
      <w:tblPr/>
      <w:tcPr>
        <w:tcBorders>
          <w:top w:val="single" w:color="000000" w:themeColor="light1" w:sz="4" w:space="0"/>
          <w:bottom w:val="single" w:color="000000" w:themeColor="light1" w:sz="4" w:space="0"/>
        </w:tcBorders>
        <w:shd w:val="clear" w:color="FFFFFF" w:fill="91CDDC" w:themeFill="accent5" w:themeFillTint="9a"/>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accent5" w:sz="32" w:space="0"/>
          <w:right w:val="single" w:color="000000" w:themeColor="light1" w:sz="4" w:space="0"/>
        </w:tcBorders>
      </w:tcPr>
    </w:tblStylePr>
    <w:tblStylePr w:type="firstRow">
      <w:rPr>
        <w:b/>
        <w:color w:themeColor="light1"/>
        <w:sz w:val="22"/>
      </w:rPr>
      <w:tblPr/>
      <w:tcPr>
        <w:tcBorders>
          <w:top w:val="single" w:color="000000" w:themeColor="accent5" w:sz="32" w:space="0"/>
          <w:bottom w:val="single" w:color="000000" w:themeColor="light1" w:sz="12" w:space="0"/>
        </w:tcBorders>
        <w:shd w:val="clear" w:color="FFFFFF" w:fill="91CDDC" w:themeFill="accent5" w:themeFillTint="9a"/>
      </w:tcPr>
    </w:tblStylePr>
    <w:tblStylePr w:type="lastCol">
      <w:tblPr/>
      <w:tcPr>
        <w:tcBorders>
          <w:left w:val="single" w:color="000000" w:themeColor="light1" w:sz="4" w:space="0"/>
          <w:right w:val="single" w:color="000000" w:themeColor="accent5" w:sz="32" w:space="0"/>
        </w:tcBorders>
      </w:tcPr>
    </w:tblStylePr>
    <w:tblStylePr w:type="lastRow">
      <w:rPr>
        <w:b/>
        <w:color w:themeColor="light1"/>
        <w:sz w:val="22"/>
      </w:rPr>
      <w:tblPr/>
    </w:tblStylePr>
    <w:tblStylePr w:type="wholeTable">
      <w:rPr>
        <w:color w:themeColor="light1"/>
        <w:sz w:val="22"/>
      </w:rPr>
      <w:tblPr/>
    </w:tblStylePr>
  </w:style>
  <w:style w:type="table" w:styleId="921">
    <w:name w:val="List Table 5 Dark - Accent 6"/>
    <w:uiPriority w:val="99"/>
    <w:pPr>
      <w:spacing w:after="0" w:line="240" w:lineRule="auto"/>
    </w:pPr>
    <w:tblPr>
      <w:tblStyleRowBandSize w:val="1"/>
      <w:tblStyleColBandSize w:val="1"/>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tblPr>
    <w:tblStylePr w:type="band1Horz">
      <w:tblPr/>
      <w:tcPr>
        <w:tcBorders>
          <w:top w:val="single" w:color="000000" w:themeColor="light1" w:sz="4" w:space="0"/>
          <w:bottom w:val="single" w:color="000000" w:themeColor="light1" w:sz="4" w:space="0"/>
        </w:tcBorders>
        <w:shd w:val="clear" w:color="FFFFFF" w:fill="F9BF90" w:themeFill="accent6" w:themeFillTint="98"/>
      </w:tcPr>
    </w:tblStylePr>
    <w:tblStylePr w:type="band1Vert">
      <w:tblPr/>
      <w:tcPr>
        <w:tcBorders>
          <w:left w:val="single" w:color="000000" w:themeColor="light1" w:sz="4" w:space="0"/>
          <w:right w:val="single" w:color="000000" w:themeColor="light1" w:sz="4" w:space="0"/>
        </w:tcBorders>
        <w:shd w:val="clear" w:color="FFFFFF" w:fill="F9BF90" w:themeFill="accent6" w:themeFillTint="98"/>
      </w:tcPr>
    </w:tblStylePr>
    <w:tblStylePr w:type="band2Horz">
      <w:tblPr/>
      <w:tcPr>
        <w:tcBorders>
          <w:top w:val="single" w:color="000000" w:themeColor="light1" w:sz="4" w:space="0"/>
          <w:bottom w:val="single" w:color="000000" w:themeColor="light1" w:sz="4" w:space="0"/>
        </w:tcBorders>
        <w:shd w:val="clear" w:color="FFFFFF" w:fill="F9BF90" w:themeFill="accent6" w:themeFillTint="98"/>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accent6" w:sz="32" w:space="0"/>
          <w:right w:val="single" w:color="000000" w:themeColor="light1" w:sz="4" w:space="0"/>
        </w:tcBorders>
      </w:tcPr>
    </w:tblStylePr>
    <w:tblStylePr w:type="firstRow">
      <w:rPr>
        <w:b/>
        <w:color w:themeColor="light1"/>
        <w:sz w:val="22"/>
      </w:rPr>
      <w:tblPr/>
      <w:tcPr>
        <w:tcBorders>
          <w:top w:val="single" w:color="000000" w:themeColor="accent6" w:sz="32" w:space="0"/>
          <w:bottom w:val="single" w:color="000000" w:themeColor="light1" w:sz="12" w:space="0"/>
        </w:tcBorders>
        <w:shd w:val="clear" w:color="FFFFFF" w:fill="F9BF90" w:themeFill="accent6" w:themeFillTint="98"/>
      </w:tcPr>
    </w:tblStylePr>
    <w:tblStylePr w:type="lastCol">
      <w:tblPr/>
      <w:tcPr>
        <w:tcBorders>
          <w:left w:val="single" w:color="000000" w:themeColor="light1" w:sz="4" w:space="0"/>
          <w:right w:val="single" w:color="000000" w:themeColor="accent6" w:sz="32" w:space="0"/>
        </w:tcBorders>
      </w:tcPr>
    </w:tblStylePr>
    <w:tblStylePr w:type="lastRow">
      <w:rPr>
        <w:b/>
        <w:color w:themeColor="light1"/>
        <w:sz w:val="22"/>
      </w:rPr>
      <w:tblPr/>
    </w:tblStylePr>
    <w:tblStylePr w:type="wholeTable">
      <w:rPr>
        <w:color w:themeColor="light1"/>
        <w:sz w:val="22"/>
      </w:rPr>
      <w:tblPr/>
    </w:tblStylePr>
  </w:style>
  <w:style w:type="table" w:styleId="922">
    <w:name w:val="List Table 6 Colorful"/>
    <w:uiPriority w:val="99"/>
    <w:pPr>
      <w:spacing w:after="0" w:line="240" w:lineRule="auto"/>
    </w:pPr>
    <w:tblPr>
      <w:tblStyleRowBandSize w:val="1"/>
      <w:tblStyleColBandSize w:val="1"/>
      <w:tblBorders>
        <w:top w:val="single" w:color="000000" w:themeColor="text1" w:themeTint="80" w:sz="4" w:space="0"/>
        <w:bottom w:val="single" w:color="000000" w:themeColor="text1" w:themeTint="80" w:sz="4" w:space="0"/>
      </w:tblBorders>
    </w:tblPr>
    <w:tblStylePr w:type="band1Horz">
      <w:rPr>
        <w:color w:themeColor="text1"/>
        <w:sz w:val="22"/>
      </w:rPr>
      <w:tblPr/>
      <w:tcPr>
        <w:shd w:val="clear" w:color="FFFFFF" w:fill="BFBFBF" w:themeFill="text1" w:themeFillTint="40"/>
      </w:tcPr>
    </w:tblStylePr>
    <w:tblStylePr w:type="band1Vert">
      <w:tblPr/>
      <w:tcPr>
        <w:shd w:val="clear" w:color="FFFFFF" w:fill="BFBFBF" w:themeFill="text1" w:themeFillTint="40"/>
      </w:tcPr>
    </w:tblStylePr>
    <w:tblStylePr w:type="band2Horz">
      <w:rPr>
        <w:color w:themeColor="text1"/>
        <w:sz w:val="22"/>
      </w:rPr>
      <w:tblPr/>
    </w:tblStylePr>
    <w:tblStylePr w:type="firstCol">
      <w:rPr>
        <w:b/>
        <w:color w:themeColor="text1"/>
      </w:rPr>
      <w:tblPr/>
    </w:tblStylePr>
    <w:tblStylePr w:type="firstRow">
      <w:rPr>
        <w:b/>
        <w:color w:themeColor="text1"/>
      </w:rPr>
      <w:tblPr/>
      <w:tcPr>
        <w:tcBorders>
          <w:bottom w:val="single" w:color="000000" w:themeColor="text1" w:sz="4" w:space="0"/>
        </w:tcBorders>
      </w:tcPr>
    </w:tblStylePr>
    <w:tblStylePr w:type="lastCol">
      <w:rPr>
        <w:b/>
        <w:color w:themeColor="text1"/>
      </w:rPr>
      <w:tblPr/>
    </w:tblStylePr>
    <w:tblStylePr w:type="lastRow">
      <w:rPr>
        <w:b/>
        <w:color w:themeColor="text1"/>
      </w:rPr>
      <w:tblPr/>
      <w:tcPr>
        <w:tcBorders>
          <w:top w:val="single" w:color="000000" w:themeColor="text1" w:sz="4" w:space="0"/>
        </w:tcBorders>
      </w:tcPr>
    </w:tblStylePr>
  </w:style>
  <w:style w:type="table" w:styleId="923">
    <w:name w:val="List Table 6 Colorful - Accent 1"/>
    <w:uiPriority w:val="99"/>
    <w:pPr>
      <w:spacing w:after="0" w:line="240" w:lineRule="auto"/>
    </w:pPr>
    <w:tblPr>
      <w:tblStyleRowBandSize w:val="1"/>
      <w:tblStyleColBandSize w:val="1"/>
      <w:tblBorders>
        <w:top w:val="single" w:color="000000" w:themeColor="accent1" w:sz="4" w:space="0"/>
        <w:bottom w:val="single" w:color="000000" w:themeColor="accent1" w:sz="4" w:space="0"/>
      </w:tblBorders>
    </w:tblPr>
    <w:tblStylePr w:type="band1Horz">
      <w:rPr>
        <w:color w:themeColor="accent1" w:themeShade="95"/>
        <w:sz w:val="22"/>
      </w:rPr>
      <w:tblPr/>
      <w:tcPr>
        <w:shd w:val="clear" w:color="FFFFFF" w:fill="D3E0EE" w:themeFill="accent1" w:themeFillTint="40"/>
      </w:tcPr>
    </w:tblStylePr>
    <w:tblStylePr w:type="band1Vert">
      <w:tblPr/>
      <w:tcPr>
        <w:shd w:val="clear" w:color="FFFFFF" w:fill="D3E0EE" w:themeFill="accent1" w:themeFillTint="40"/>
      </w:tcPr>
    </w:tblStylePr>
    <w:tblStylePr w:type="band2Horz">
      <w:rPr>
        <w:color w:themeColor="accent1" w:themeShade="95"/>
        <w:sz w:val="22"/>
      </w:rPr>
      <w:tblPr/>
    </w:tblStylePr>
    <w:tblStylePr w:type="firstCol">
      <w:rPr>
        <w:b/>
        <w:color w:themeColor="accent1" w:themeShade="95"/>
      </w:rPr>
      <w:tblPr/>
    </w:tblStylePr>
    <w:tblStylePr w:type="firstRow">
      <w:rPr>
        <w:b/>
        <w:color w:themeColor="accent1" w:themeShade="95"/>
      </w:rPr>
      <w:tblPr/>
      <w:tcPr>
        <w:tcBorders>
          <w:bottom w:val="single" w:color="000000" w:themeColor="accent1" w:sz="4" w:space="0"/>
        </w:tcBorders>
      </w:tcPr>
    </w:tblStylePr>
    <w:tblStylePr w:type="lastCol">
      <w:rPr>
        <w:b/>
        <w:color w:themeColor="accent1" w:themeShade="95"/>
      </w:rPr>
      <w:tblPr/>
    </w:tblStylePr>
    <w:tblStylePr w:type="lastRow">
      <w:rPr>
        <w:b/>
        <w:color w:themeColor="accent1" w:themeShade="95"/>
      </w:rPr>
      <w:tblPr/>
      <w:tcPr>
        <w:tcBorders>
          <w:top w:val="single" w:color="000000" w:themeColor="accent1" w:sz="4" w:space="0"/>
        </w:tcBorders>
      </w:tcPr>
    </w:tblStylePr>
  </w:style>
  <w:style w:type="table" w:styleId="924">
    <w:name w:val="List Table 6 Colorful - Accent 2"/>
    <w:uiPriority w:val="99"/>
    <w:pPr>
      <w:spacing w:after="0" w:line="240" w:lineRule="auto"/>
    </w:pPr>
    <w:tblPr>
      <w:tblStyleRowBandSize w:val="1"/>
      <w:tblStyleColBandSize w:val="1"/>
      <w:tblBorders>
        <w:top w:val="single" w:color="000000" w:themeColor="accent2" w:themeTint="97" w:sz="4" w:space="0"/>
        <w:bottom w:val="single" w:color="000000" w:themeColor="accent2" w:themeTint="97" w:sz="4" w:space="0"/>
      </w:tblBorders>
    </w:tblPr>
    <w:tblStylePr w:type="band1Horz">
      <w:rPr>
        <w:color w:themeColor="accent2" w:themeTint="97" w:themeShade="95"/>
        <w:sz w:val="22"/>
      </w:rPr>
      <w:tblPr/>
      <w:tcPr>
        <w:shd w:val="clear" w:color="FFFFFF" w:fill="EFD3D2" w:themeFill="accent2" w:themeFillTint="40"/>
      </w:tcPr>
    </w:tblStylePr>
    <w:tblStylePr w:type="band1Vert">
      <w:tblPr/>
      <w:tcPr>
        <w:shd w:val="clear" w:color="FFFFFF" w:fill="EFD3D2" w:themeFill="accent2" w:themeFillTint="40"/>
      </w:tcPr>
    </w:tblStylePr>
    <w:tblStylePr w:type="band2Horz">
      <w:rPr>
        <w:color w:themeColor="accent2" w:themeTint="97" w:themeShade="95"/>
        <w:sz w:val="22"/>
      </w:rPr>
      <w:tblPr/>
    </w:tblStylePr>
    <w:tblStylePr w:type="firstCol">
      <w:rPr>
        <w:b/>
        <w:color w:themeColor="accent2" w:themeTint="97" w:themeShade="95"/>
      </w:rPr>
      <w:tblPr/>
    </w:tblStylePr>
    <w:tblStylePr w:type="firstRow">
      <w:rPr>
        <w:b/>
        <w:color w:themeColor="accent2" w:themeTint="97" w:themeShade="95"/>
      </w:rPr>
      <w:tblPr/>
      <w:tcPr>
        <w:tcBorders>
          <w:bottom w:val="single" w:color="000000" w:themeColor="accent2" w:sz="4" w:space="0"/>
        </w:tcBorders>
      </w:tcPr>
    </w:tblStylePr>
    <w:tblStylePr w:type="lastCol">
      <w:rPr>
        <w:b/>
        <w:color w:themeColor="accent2" w:themeTint="97" w:themeShade="95"/>
      </w:rPr>
      <w:tblPr/>
    </w:tblStylePr>
    <w:tblStylePr w:type="lastRow">
      <w:rPr>
        <w:b/>
        <w:color w:themeColor="accent2" w:themeTint="97" w:themeShade="95"/>
      </w:rPr>
      <w:tblPr/>
      <w:tcPr>
        <w:tcBorders>
          <w:top w:val="single" w:color="000000" w:themeColor="accent2" w:sz="4" w:space="0"/>
        </w:tcBorders>
      </w:tcPr>
    </w:tblStylePr>
  </w:style>
  <w:style w:type="table" w:styleId="925">
    <w:name w:val="List Table 6 Colorful - Accent 3"/>
    <w:uiPriority w:val="99"/>
    <w:pPr>
      <w:spacing w:after="0" w:line="240" w:lineRule="auto"/>
    </w:pPr>
    <w:tblPr>
      <w:tblStyleRowBandSize w:val="1"/>
      <w:tblStyleColBandSize w:val="1"/>
      <w:tblBorders>
        <w:top w:val="single" w:color="000000" w:themeColor="accent3" w:themeTint="98" w:sz="4" w:space="0"/>
        <w:bottom w:val="single" w:color="000000" w:themeColor="accent3" w:themeTint="98" w:sz="4" w:space="0"/>
      </w:tblBorders>
    </w:tblPr>
    <w:tblStylePr w:type="band1Horz">
      <w:rPr>
        <w:color w:themeColor="accent3" w:themeTint="98" w:themeShade="95"/>
        <w:sz w:val="22"/>
      </w:rPr>
      <w:tblPr/>
      <w:tcPr>
        <w:shd w:val="clear" w:color="FFFFFF" w:fill="E6EED5" w:themeFill="accent3" w:themeFillTint="40"/>
      </w:tcPr>
    </w:tblStylePr>
    <w:tblStylePr w:type="band1Vert">
      <w:tblPr/>
      <w:tcPr>
        <w:shd w:val="clear" w:color="FFFFFF" w:fill="E6EED5" w:themeFill="accent3" w:themeFillTint="40"/>
      </w:tcPr>
    </w:tblStylePr>
    <w:tblStylePr w:type="band2Horz">
      <w:rPr>
        <w:color w:themeColor="accent3" w:themeTint="98" w:themeShade="95"/>
        <w:sz w:val="22"/>
      </w:rPr>
      <w:tblPr/>
    </w:tblStylePr>
    <w:tblStylePr w:type="firstCol">
      <w:rPr>
        <w:b/>
        <w:color w:themeColor="accent3" w:themeTint="98" w:themeShade="95"/>
      </w:rPr>
      <w:tblPr/>
    </w:tblStylePr>
    <w:tblStylePr w:type="firstRow">
      <w:rPr>
        <w:b/>
        <w:color w:themeColor="accent3" w:themeTint="98" w:themeShade="95"/>
      </w:rPr>
      <w:tblPr/>
      <w:tcPr>
        <w:tcBorders>
          <w:bottom w:val="single" w:color="000000" w:themeColor="accent3" w:sz="4" w:space="0"/>
        </w:tcBorders>
      </w:tcPr>
    </w:tblStylePr>
    <w:tblStylePr w:type="lastCol">
      <w:rPr>
        <w:b/>
        <w:color w:themeColor="accent3" w:themeTint="98" w:themeShade="95"/>
      </w:rPr>
      <w:tblPr/>
    </w:tblStylePr>
    <w:tblStylePr w:type="lastRow">
      <w:rPr>
        <w:b/>
        <w:color w:themeColor="accent3" w:themeTint="98" w:themeShade="95"/>
      </w:rPr>
      <w:tblPr/>
      <w:tcPr>
        <w:tcBorders>
          <w:top w:val="single" w:color="000000" w:themeColor="accent3" w:sz="4" w:space="0"/>
        </w:tcBorders>
      </w:tcPr>
    </w:tblStylePr>
  </w:style>
  <w:style w:type="table" w:styleId="926">
    <w:name w:val="List Table 6 Colorful - Accent 4"/>
    <w:uiPriority w:val="99"/>
    <w:pPr>
      <w:spacing w:after="0" w:line="240" w:lineRule="auto"/>
    </w:pPr>
    <w:tblPr>
      <w:tblStyleRowBandSize w:val="1"/>
      <w:tblStyleColBandSize w:val="1"/>
      <w:tblBorders>
        <w:top w:val="single" w:color="000000" w:themeColor="accent4" w:themeTint="9a" w:sz="4" w:space="0"/>
        <w:bottom w:val="single" w:color="000000" w:themeColor="accent4" w:themeTint="9a" w:sz="4" w:space="0"/>
      </w:tblBorders>
    </w:tblPr>
    <w:tblStylePr w:type="band1Horz">
      <w:rPr>
        <w:color w:themeColor="accent4" w:themeTint="9a" w:themeShade="95"/>
        <w:sz w:val="22"/>
      </w:rPr>
      <w:tblPr/>
      <w:tcPr>
        <w:shd w:val="clear" w:color="FFFFFF" w:fill="DFD8E7" w:themeFill="accent4" w:themeFillTint="40"/>
      </w:tcPr>
    </w:tblStylePr>
    <w:tblStylePr w:type="band1Vert">
      <w:tblPr/>
      <w:tcPr>
        <w:shd w:val="clear" w:color="FFFFFF" w:fill="DFD8E7" w:themeFill="accent4" w:themeFillTint="40"/>
      </w:tcPr>
    </w:tblStylePr>
    <w:tblStylePr w:type="band2Horz">
      <w:rPr>
        <w:color w:themeColor="accent4" w:themeTint="9a" w:themeShade="95"/>
        <w:sz w:val="22"/>
      </w:rPr>
      <w:tblPr/>
    </w:tblStylePr>
    <w:tblStylePr w:type="firstCol">
      <w:rPr>
        <w:b/>
        <w:color w:themeColor="accent4" w:themeTint="9a" w:themeShade="95"/>
      </w:rPr>
      <w:tblPr/>
    </w:tblStylePr>
    <w:tblStylePr w:type="firstRow">
      <w:rPr>
        <w:b/>
        <w:color w:themeColor="accent4" w:themeTint="9a" w:themeShade="95"/>
      </w:rPr>
      <w:tblPr/>
      <w:tcPr>
        <w:tcBorders>
          <w:bottom w:val="single" w:color="000000" w:themeColor="accent4" w:sz="4" w:space="0"/>
        </w:tcBorders>
      </w:tcPr>
    </w:tblStylePr>
    <w:tblStylePr w:type="lastCol">
      <w:rPr>
        <w:b/>
        <w:color w:themeColor="accent4" w:themeTint="9a" w:themeShade="95"/>
      </w:rPr>
      <w:tblPr/>
    </w:tblStylePr>
    <w:tblStylePr w:type="lastRow">
      <w:rPr>
        <w:b/>
        <w:color w:themeColor="accent4" w:themeTint="9a" w:themeShade="95"/>
      </w:rPr>
      <w:tblPr/>
      <w:tcPr>
        <w:tcBorders>
          <w:top w:val="single" w:color="000000" w:themeColor="accent4" w:sz="4" w:space="0"/>
        </w:tcBorders>
      </w:tcPr>
    </w:tblStylePr>
  </w:style>
  <w:style w:type="table" w:styleId="927">
    <w:name w:val="List Table 6 Colorful - Accent 5"/>
    <w:uiPriority w:val="99"/>
    <w:pPr>
      <w:spacing w:after="0" w:line="240" w:lineRule="auto"/>
    </w:pPr>
    <w:tblPr>
      <w:tblStyleRowBandSize w:val="1"/>
      <w:tblStyleColBandSize w:val="1"/>
      <w:tblBorders>
        <w:top w:val="single" w:color="000000" w:themeColor="accent5" w:themeTint="9a" w:sz="4" w:space="0"/>
        <w:bottom w:val="single" w:color="000000" w:themeColor="accent5" w:themeTint="9a" w:sz="4" w:space="0"/>
      </w:tblBorders>
    </w:tblPr>
    <w:tblStylePr w:type="band1Horz">
      <w:rPr>
        <w:color w:themeColor="accent5" w:themeTint="9a" w:themeShade="95"/>
        <w:sz w:val="22"/>
      </w:rPr>
      <w:tblPr/>
      <w:tcPr>
        <w:shd w:val="clear" w:color="FFFFFF" w:fill="D1EAF0" w:themeFill="accent5" w:themeFillTint="40"/>
      </w:tcPr>
    </w:tblStylePr>
    <w:tblStylePr w:type="band1Vert">
      <w:tblPr/>
      <w:tcPr>
        <w:shd w:val="clear" w:color="FFFFFF" w:fill="D1EAF0" w:themeFill="accent5" w:themeFillTint="40"/>
      </w:tcPr>
    </w:tblStylePr>
    <w:tblStylePr w:type="band2Horz">
      <w:rPr>
        <w:color w:themeColor="accent5" w:themeTint="9a" w:themeShade="95"/>
        <w:sz w:val="22"/>
      </w:rPr>
      <w:tblPr/>
    </w:tblStylePr>
    <w:tblStylePr w:type="firstCol">
      <w:rPr>
        <w:b/>
        <w:color w:themeColor="accent5" w:themeTint="9a" w:themeShade="95"/>
      </w:rPr>
      <w:tblPr/>
    </w:tblStylePr>
    <w:tblStylePr w:type="firstRow">
      <w:rPr>
        <w:b/>
        <w:color w:themeColor="accent5" w:themeTint="9a" w:themeShade="95"/>
      </w:rPr>
      <w:tblPr/>
      <w:tcPr>
        <w:tcBorders>
          <w:bottom w:val="single" w:color="000000" w:themeColor="accent5" w:sz="4" w:space="0"/>
        </w:tcBorders>
      </w:tcPr>
    </w:tblStylePr>
    <w:tblStylePr w:type="lastCol">
      <w:rPr>
        <w:b/>
        <w:color w:themeColor="accent5" w:themeTint="9a" w:themeShade="95"/>
      </w:rPr>
      <w:tblPr/>
    </w:tblStylePr>
    <w:tblStylePr w:type="lastRow">
      <w:rPr>
        <w:b/>
        <w:color w:themeColor="accent5" w:themeTint="9a" w:themeShade="95"/>
      </w:rPr>
      <w:tblPr/>
      <w:tcPr>
        <w:tcBorders>
          <w:top w:val="single" w:color="000000" w:themeColor="accent5" w:sz="4" w:space="0"/>
        </w:tcBorders>
      </w:tcPr>
    </w:tblStylePr>
  </w:style>
  <w:style w:type="table" w:styleId="928">
    <w:name w:val="List Table 6 Colorful - Accent 6"/>
    <w:uiPriority w:val="99"/>
    <w:pPr>
      <w:spacing w:after="0" w:line="240" w:lineRule="auto"/>
    </w:pPr>
    <w:tblPr>
      <w:tblStyleRowBandSize w:val="1"/>
      <w:tblStyleColBandSize w:val="1"/>
      <w:tblBorders>
        <w:top w:val="single" w:color="000000" w:themeColor="accent6" w:themeTint="98" w:sz="4" w:space="0"/>
        <w:bottom w:val="single" w:color="000000" w:themeColor="accent6" w:themeTint="98" w:sz="4" w:space="0"/>
      </w:tblBorders>
    </w:tblPr>
    <w:tblStylePr w:type="band1Horz">
      <w:rPr>
        <w:color w:themeColor="accent6" w:themeTint="98" w:themeShade="95"/>
        <w:sz w:val="22"/>
      </w:rPr>
      <w:tblPr/>
      <w:tcPr>
        <w:shd w:val="clear" w:color="FFFFFF" w:fill="FCE4D1" w:themeFill="accent6" w:themeFillTint="40"/>
      </w:tcPr>
    </w:tblStylePr>
    <w:tblStylePr w:type="band1Vert">
      <w:tblPr/>
      <w:tcPr>
        <w:shd w:val="clear" w:color="FFFFFF" w:fill="FCE4D1" w:themeFill="accent6" w:themeFillTint="40"/>
      </w:tcPr>
    </w:tblStylePr>
    <w:tblStylePr w:type="band2Horz">
      <w:rPr>
        <w:color w:themeColor="accent6" w:themeTint="98" w:themeShade="95"/>
        <w:sz w:val="22"/>
      </w:rPr>
      <w:tblPr/>
    </w:tblStylePr>
    <w:tblStylePr w:type="firstCol">
      <w:rPr>
        <w:b/>
        <w:color w:themeColor="accent6" w:themeTint="98" w:themeShade="95"/>
      </w:rPr>
      <w:tblPr/>
    </w:tblStylePr>
    <w:tblStylePr w:type="firstRow">
      <w:rPr>
        <w:b/>
        <w:color w:themeColor="accent6" w:themeTint="98" w:themeShade="95"/>
      </w:rPr>
      <w:tblPr/>
      <w:tcPr>
        <w:tcBorders>
          <w:bottom w:val="single" w:color="000000" w:themeColor="accent6" w:sz="4" w:space="0"/>
        </w:tcBorders>
      </w:tcPr>
    </w:tblStylePr>
    <w:tblStylePr w:type="lastCol">
      <w:rPr>
        <w:b/>
        <w:color w:themeColor="accent6" w:themeTint="98" w:themeShade="95"/>
      </w:rPr>
      <w:tblPr/>
    </w:tblStylePr>
    <w:tblStylePr w:type="lastRow">
      <w:rPr>
        <w:b/>
        <w:color w:themeColor="accent6" w:themeTint="98" w:themeShade="95"/>
      </w:rPr>
      <w:tblPr/>
      <w:tcPr>
        <w:tcBorders>
          <w:top w:val="single" w:color="000000" w:themeColor="accent6" w:sz="4" w:space="0"/>
        </w:tcBorders>
      </w:tcPr>
    </w:tblStylePr>
  </w:style>
  <w:style w:type="table" w:styleId="929">
    <w:name w:val="List Table 7 Colorful"/>
    <w:uiPriority w:val="99"/>
    <w:pPr>
      <w:spacing w:after="0" w:line="240" w:lineRule="auto"/>
    </w:pPr>
    <w:tblPr>
      <w:tblStyleRowBandSize w:val="1"/>
      <w:tblStyleColBandSize w:val="1"/>
      <w:tblBorders>
        <w:right w:val="single" w:color="000000" w:themeColor="text1" w:themeTint="80" w:sz="4" w:space="0"/>
      </w:tblBorders>
    </w:tblPr>
    <w:tblStylePr w:type="band1Horz">
      <w:rPr>
        <w:color w:themeColor="text1" w:themeTint="80" w:themeShade="95"/>
        <w:sz w:val="22"/>
      </w:rPr>
      <w:tblPr/>
      <w:tcPr>
        <w:shd w:val="clear" w:color="FFFFFF" w:fill="BFBFBF" w:themeFill="text1" w:themeFillTint="40"/>
      </w:tcPr>
    </w:tblStylePr>
    <w:tblStylePr w:type="band1Vert">
      <w:tblPr/>
      <w:tcPr>
        <w:shd w:val="clear" w:color="FFFFFF" w:fill="BFBFBF" w:themeFill="text1" w:themeFillTint="40"/>
      </w:tcPr>
    </w:tblStylePr>
    <w:tblStylePr w:type="band2Horz">
      <w:rPr>
        <w:color w:themeColor="text1" w:themeTint="80" w:themeShade="95"/>
        <w:sz w:val="22"/>
      </w:rPr>
      <w:tblPr/>
    </w:tblStylePr>
    <w:tblStylePr w:type="firstCol">
      <w:pPr>
        <w:jc w:val="right"/>
      </w:pPr>
      <w:rPr>
        <w:i/>
        <w:color w:themeColor="text1" w:themeTint="80" w:themeShade="95"/>
        <w:sz w:val="22"/>
      </w:rPr>
      <w:tblPr/>
      <w:tcPr>
        <w:tcBorders>
          <w:top w:val="none" w:color="000000" w:sz="4" w:space="0"/>
          <w:left w:val="none" w:color="000000" w:sz="4" w:space="0"/>
          <w:bottom w:val="none" w:color="000000" w:sz="4" w:space="0"/>
          <w:right w:val="single" w:color="000000" w:themeColor="text1" w:sz="4" w:space="0"/>
        </w:tcBorders>
        <w:shd w:val="clear" w:color="FFFFFF"/>
      </w:tcPr>
    </w:tblStylePr>
    <w:tblStylePr w:type="firstRow">
      <w:rPr>
        <w:i/>
        <w:color w:themeColor="text1" w:themeTint="80" w:themeShade="95"/>
        <w:sz w:val="22"/>
      </w:rPr>
      <w:tblPr/>
      <w:tcPr>
        <w:tcBorders>
          <w:top w:val="none" w:color="000000" w:sz="4" w:space="0"/>
          <w:left w:val="none" w:color="000000" w:sz="4" w:space="0"/>
          <w:bottom w:val="single" w:color="000000" w:themeColor="text1" w:sz="4" w:space="0"/>
          <w:right w:val="none" w:color="000000" w:sz="4" w:space="0"/>
        </w:tcBorders>
        <w:shd w:val="clear" w:color="FFFFFF" w:fill="FFFFFF" w:themeFill="light1"/>
      </w:tcPr>
    </w:tblStylePr>
    <w:tblStylePr w:type="lastCol">
      <w:rPr>
        <w:i/>
        <w:color w:themeColor="text1" w:themeTint="80" w:themeShade="95"/>
        <w:sz w:val="22"/>
      </w:rPr>
      <w:tblPr/>
      <w:tcPr>
        <w:tcBorders>
          <w:top w:val="none" w:color="000000" w:sz="4" w:space="0"/>
          <w:left w:val="single" w:color="000000" w:themeColor="text1" w:sz="4" w:space="0"/>
          <w:bottom w:val="none" w:color="000000" w:sz="4" w:space="0"/>
          <w:right w:val="none" w:color="000000" w:sz="4" w:space="0"/>
        </w:tcBorders>
        <w:shd w:val="clear" w:color="FFFFFF"/>
      </w:tcPr>
    </w:tblStylePr>
    <w:tblStylePr w:type="lastRow">
      <w:rPr>
        <w:i/>
        <w:color w:themeColor="text1" w:themeTint="80" w:themeShade="95"/>
        <w:sz w:val="22"/>
      </w:rPr>
      <w:tblPr/>
      <w:tcPr>
        <w:tcBorders>
          <w:top w:val="single" w:color="000000" w:themeColor="text1" w:sz="4" w:space="0"/>
          <w:left w:val="none" w:color="000000" w:sz="4" w:space="0"/>
          <w:bottom w:val="none" w:color="000000" w:sz="4" w:space="0"/>
          <w:right w:val="none" w:color="000000" w:sz="4" w:space="0"/>
        </w:tcBorders>
        <w:shd w:val="clear" w:color="FFFFFF" w:fill="FFFFFF" w:themeFill="light1"/>
      </w:tcPr>
    </w:tblStylePr>
    <w:tblStylePr w:type="wholeTable">
      <w:rPr>
        <w:color w:themeColor="text1" w:themeTint="80" w:themeShade="95"/>
        <w:sz w:val="22"/>
      </w:rPr>
      <w:tblPr/>
    </w:tblStylePr>
  </w:style>
  <w:style w:type="table" w:styleId="930">
    <w:name w:val="List Table 7 Colorful - Accent 1"/>
    <w:uiPriority w:val="99"/>
    <w:pPr>
      <w:spacing w:after="0" w:line="240" w:lineRule="auto"/>
    </w:pPr>
    <w:tblPr>
      <w:tblStyleRowBandSize w:val="1"/>
      <w:tblStyleColBandSize w:val="1"/>
      <w:tblBorders>
        <w:right w:val="single" w:color="000000" w:themeColor="accent1" w:sz="4" w:space="0"/>
      </w:tblBorders>
    </w:tblPr>
    <w:tblStylePr w:type="band1Horz">
      <w:rPr>
        <w:color w:themeColor="accent1" w:themeShade="95"/>
        <w:sz w:val="22"/>
      </w:rPr>
      <w:tblPr/>
      <w:tcPr>
        <w:shd w:val="clear" w:color="FFFFFF" w:fill="D3E0EE" w:themeFill="accent1" w:themeFillTint="40"/>
      </w:tcPr>
    </w:tblStylePr>
    <w:tblStylePr w:type="band1Vert">
      <w:tblPr/>
      <w:tcPr>
        <w:shd w:val="clear" w:color="FFFFFF" w:fill="D3E0EE" w:themeFill="accent1" w:themeFillTint="40"/>
      </w:tcPr>
    </w:tblStylePr>
    <w:tblStylePr w:type="band2Horz">
      <w:rPr>
        <w:color w:themeColor="accent1" w:themeShade="95"/>
        <w:sz w:val="22"/>
      </w:rPr>
      <w:tblPr/>
    </w:tblStylePr>
    <w:tblStylePr w:type="firstCol">
      <w:pPr>
        <w:jc w:val="right"/>
      </w:pPr>
      <w:rPr>
        <w:i/>
        <w:color w:themeColor="accent1" w:themeShade="95"/>
        <w:sz w:val="22"/>
      </w:rPr>
      <w:tblPr/>
      <w:tcPr>
        <w:tcBorders>
          <w:top w:val="none" w:color="000000" w:sz="4" w:space="0"/>
          <w:left w:val="none" w:color="000000" w:sz="4" w:space="0"/>
          <w:bottom w:val="none" w:color="000000" w:sz="4" w:space="0"/>
          <w:right w:val="single" w:color="000000" w:themeColor="accent1" w:sz="4" w:space="0"/>
        </w:tcBorders>
        <w:shd w:val="clear" w:color="FFFFFF"/>
      </w:tcPr>
    </w:tblStylePr>
    <w:tblStylePr w:type="firstRow">
      <w:rPr>
        <w:i/>
        <w:color w:themeColor="accent1" w:themeShade="95"/>
        <w:sz w:val="22"/>
      </w:rPr>
      <w:tblPr/>
      <w:tcPr>
        <w:tcBorders>
          <w:top w:val="none" w:color="000000" w:sz="4" w:space="0"/>
          <w:left w:val="none" w:color="000000" w:sz="4" w:space="0"/>
          <w:bottom w:val="single" w:color="000000" w:themeColor="accent1" w:sz="4" w:space="0"/>
          <w:right w:val="none" w:color="000000" w:sz="4" w:space="0"/>
        </w:tcBorders>
        <w:shd w:val="clear" w:color="FFFFFF" w:fill="FFFFFF" w:themeFill="light1"/>
      </w:tcPr>
    </w:tblStylePr>
    <w:tblStylePr w:type="lastCol">
      <w:rPr>
        <w:i/>
        <w:color w:themeColor="accent1" w:themeShade="95"/>
        <w:sz w:val="22"/>
      </w:rPr>
      <w:tblPr/>
      <w:tcPr>
        <w:tcBorders>
          <w:top w:val="none" w:color="000000" w:sz="4" w:space="0"/>
          <w:left w:val="single" w:color="000000" w:themeColor="accent1" w:sz="4" w:space="0"/>
          <w:bottom w:val="none" w:color="000000" w:sz="4" w:space="0"/>
          <w:right w:val="none" w:color="000000" w:sz="4" w:space="0"/>
        </w:tcBorders>
        <w:shd w:val="clear" w:color="FFFFFF"/>
      </w:tcPr>
    </w:tblStylePr>
    <w:tblStylePr w:type="lastRow">
      <w:rPr>
        <w:i/>
        <w:color w:themeColor="accent1" w:themeShade="95"/>
        <w:sz w:val="22"/>
      </w:rPr>
      <w:tblPr/>
      <w:tcPr>
        <w:tcBorders>
          <w:top w:val="single" w:color="000000" w:themeColor="accent1" w:sz="4" w:space="0"/>
          <w:left w:val="none" w:color="000000" w:sz="4" w:space="0"/>
          <w:bottom w:val="none" w:color="000000" w:sz="4" w:space="0"/>
          <w:right w:val="none" w:color="000000" w:sz="4" w:space="0"/>
        </w:tcBorders>
        <w:shd w:val="clear" w:color="FFFFFF" w:fill="FFFFFF" w:themeFill="light1"/>
      </w:tcPr>
    </w:tblStylePr>
    <w:tblStylePr w:type="wholeTable">
      <w:rPr>
        <w:color w:themeColor="accent1" w:themeShade="95"/>
        <w:sz w:val="22"/>
      </w:rPr>
      <w:tblPr/>
    </w:tblStylePr>
  </w:style>
  <w:style w:type="table" w:styleId="931">
    <w:name w:val="List Table 7 Colorful - Accent 2"/>
    <w:uiPriority w:val="99"/>
    <w:pPr>
      <w:spacing w:after="0" w:line="240" w:lineRule="auto"/>
    </w:pPr>
    <w:tblPr>
      <w:tblStyleRowBandSize w:val="1"/>
      <w:tblStyleColBandSize w:val="1"/>
      <w:tblBorders>
        <w:right w:val="single" w:color="000000" w:themeColor="accent2" w:themeTint="97" w:sz="4" w:space="0"/>
      </w:tblBorders>
    </w:tblPr>
    <w:tblStylePr w:type="band1Horz">
      <w:rPr>
        <w:color w:themeColor="accent2" w:themeTint="97" w:themeShade="95"/>
        <w:sz w:val="22"/>
      </w:rPr>
      <w:tblPr/>
      <w:tcPr>
        <w:shd w:val="clear" w:color="FFFFFF" w:fill="EFD3D2" w:themeFill="accent2" w:themeFillTint="40"/>
      </w:tcPr>
    </w:tblStylePr>
    <w:tblStylePr w:type="band1Vert">
      <w:tblPr/>
      <w:tcPr>
        <w:shd w:val="clear" w:color="FFFFFF" w:fill="EFD3D2" w:themeFill="accent2" w:themeFillTint="40"/>
      </w:tcPr>
    </w:tblStylePr>
    <w:tblStylePr w:type="band2Horz">
      <w:rPr>
        <w:color w:themeColor="accent2" w:themeTint="97" w:themeShade="95"/>
        <w:sz w:val="22"/>
      </w:rPr>
      <w:tblPr/>
    </w:tblStylePr>
    <w:tblStylePr w:type="firstCol">
      <w:pPr>
        <w:jc w:val="right"/>
      </w:pPr>
      <w:rPr>
        <w:i/>
        <w:color w:themeColor="accent2" w:themeTint="97" w:themeShade="95"/>
        <w:sz w:val="22"/>
      </w:rPr>
      <w:tblPr/>
      <w:tcPr>
        <w:tcBorders>
          <w:top w:val="none" w:color="000000" w:sz="4" w:space="0"/>
          <w:left w:val="none" w:color="000000" w:sz="4" w:space="0"/>
          <w:bottom w:val="none" w:color="000000" w:sz="4" w:space="0"/>
          <w:right w:val="single" w:color="000000" w:themeColor="accent2" w:sz="4" w:space="0"/>
        </w:tcBorders>
        <w:shd w:val="clear" w:color="FFFFFF"/>
      </w:tcPr>
    </w:tblStylePr>
    <w:tblStylePr w:type="firstRow">
      <w:rPr>
        <w:i/>
        <w:color w:themeColor="accent2" w:themeTint="97" w:themeShade="95"/>
        <w:sz w:val="22"/>
      </w:rPr>
      <w:tblPr/>
      <w:tcPr>
        <w:tcBorders>
          <w:top w:val="none" w:color="000000" w:sz="4" w:space="0"/>
          <w:left w:val="none" w:color="000000" w:sz="4" w:space="0"/>
          <w:bottom w:val="single" w:color="000000" w:themeColor="accent2" w:sz="4" w:space="0"/>
          <w:right w:val="none" w:color="000000" w:sz="4" w:space="0"/>
        </w:tcBorders>
        <w:shd w:val="clear" w:color="FFFFFF" w:fill="FFFFFF" w:themeFill="light1"/>
      </w:tcPr>
    </w:tblStylePr>
    <w:tblStylePr w:type="lastCol">
      <w:rPr>
        <w:i/>
        <w:color w:themeColor="accent2" w:themeTint="97" w:themeShade="95"/>
        <w:sz w:val="22"/>
      </w:rPr>
      <w:tblPr/>
      <w:tcPr>
        <w:tcBorders>
          <w:top w:val="none" w:color="000000" w:sz="4" w:space="0"/>
          <w:left w:val="single" w:color="000000" w:themeColor="accent2" w:sz="4" w:space="0"/>
          <w:bottom w:val="none" w:color="000000" w:sz="4" w:space="0"/>
          <w:right w:val="none" w:color="000000" w:sz="4" w:space="0"/>
        </w:tcBorders>
        <w:shd w:val="clear" w:color="FFFFFF"/>
      </w:tcPr>
    </w:tblStylePr>
    <w:tblStylePr w:type="lastRow">
      <w:rPr>
        <w:i/>
        <w:color w:themeColor="accent2" w:themeTint="97" w:themeShade="95"/>
        <w:sz w:val="22"/>
      </w:rPr>
      <w:tblPr/>
      <w:tcPr>
        <w:tcBorders>
          <w:top w:val="single" w:color="000000" w:themeColor="accent2" w:sz="4" w:space="0"/>
          <w:left w:val="none" w:color="000000" w:sz="4" w:space="0"/>
          <w:bottom w:val="none" w:color="000000" w:sz="4" w:space="0"/>
          <w:right w:val="none" w:color="000000" w:sz="4" w:space="0"/>
        </w:tcBorders>
        <w:shd w:val="clear" w:color="FFFFFF" w:fill="FFFFFF" w:themeFill="light1"/>
      </w:tcPr>
    </w:tblStylePr>
    <w:tblStylePr w:type="wholeTable">
      <w:rPr>
        <w:color w:themeColor="accent2" w:themeTint="97" w:themeShade="95"/>
        <w:sz w:val="22"/>
      </w:rPr>
      <w:tblPr/>
    </w:tblStylePr>
  </w:style>
  <w:style w:type="table" w:styleId="932">
    <w:name w:val="List Table 7 Colorful - Accent 3"/>
    <w:uiPriority w:val="99"/>
    <w:pPr>
      <w:spacing w:after="0" w:line="240" w:lineRule="auto"/>
    </w:pPr>
    <w:tblPr>
      <w:tblStyleRowBandSize w:val="1"/>
      <w:tblStyleColBandSize w:val="1"/>
      <w:tblBorders>
        <w:right w:val="single" w:color="000000" w:themeColor="accent3" w:themeTint="98" w:sz="4" w:space="0"/>
      </w:tblBorders>
    </w:tblPr>
    <w:tblStylePr w:type="band1Horz">
      <w:rPr>
        <w:color w:themeColor="accent3" w:themeTint="98" w:themeShade="95"/>
        <w:sz w:val="22"/>
      </w:rPr>
      <w:tblPr/>
      <w:tcPr>
        <w:shd w:val="clear" w:color="FFFFFF" w:fill="E6EED5" w:themeFill="accent3" w:themeFillTint="40"/>
      </w:tcPr>
    </w:tblStylePr>
    <w:tblStylePr w:type="band1Vert">
      <w:tblPr/>
      <w:tcPr>
        <w:shd w:val="clear" w:color="FFFFFF" w:fill="E6EED5" w:themeFill="accent3" w:themeFillTint="40"/>
      </w:tcPr>
    </w:tblStylePr>
    <w:tblStylePr w:type="band2Horz">
      <w:rPr>
        <w:color w:themeColor="accent3" w:themeTint="98" w:themeShade="95"/>
        <w:sz w:val="22"/>
      </w:rPr>
      <w:tblPr/>
    </w:tblStylePr>
    <w:tblStylePr w:type="firstCol">
      <w:pPr>
        <w:jc w:val="right"/>
      </w:pPr>
      <w:rPr>
        <w:i/>
        <w:color w:themeColor="accent3" w:themeTint="98" w:themeShade="95"/>
        <w:sz w:val="22"/>
      </w:rPr>
      <w:tblPr/>
      <w:tcPr>
        <w:tcBorders>
          <w:top w:val="none" w:color="000000" w:sz="4" w:space="0"/>
          <w:left w:val="none" w:color="000000" w:sz="4" w:space="0"/>
          <w:bottom w:val="none" w:color="000000" w:sz="4" w:space="0"/>
          <w:right w:val="single" w:color="000000" w:themeColor="accent3" w:sz="4" w:space="0"/>
        </w:tcBorders>
        <w:shd w:val="clear" w:color="FFFFFF"/>
      </w:tcPr>
    </w:tblStylePr>
    <w:tblStylePr w:type="firstRow">
      <w:rPr>
        <w:i/>
        <w:color w:themeColor="accent3" w:themeTint="98" w:themeShade="95"/>
        <w:sz w:val="22"/>
      </w:rPr>
      <w:tblPr/>
      <w:tcPr>
        <w:tcBorders>
          <w:top w:val="none" w:color="000000" w:sz="4" w:space="0"/>
          <w:left w:val="none" w:color="000000" w:sz="4" w:space="0"/>
          <w:bottom w:val="single" w:color="000000" w:themeColor="accent3" w:sz="4" w:space="0"/>
          <w:right w:val="none" w:color="000000" w:sz="4" w:space="0"/>
        </w:tcBorders>
        <w:shd w:val="clear" w:color="FFFFFF" w:fill="FFFFFF" w:themeFill="light1"/>
      </w:tcPr>
    </w:tblStylePr>
    <w:tblStylePr w:type="lastCol">
      <w:rPr>
        <w:i/>
        <w:color w:themeColor="accent3" w:themeTint="98" w:themeShade="95"/>
        <w:sz w:val="22"/>
      </w:rPr>
      <w:tblPr/>
      <w:tcPr>
        <w:tcBorders>
          <w:top w:val="none" w:color="000000" w:sz="4" w:space="0"/>
          <w:left w:val="single" w:color="000000" w:themeColor="accent3" w:sz="4" w:space="0"/>
          <w:bottom w:val="none" w:color="000000" w:sz="4" w:space="0"/>
          <w:right w:val="none" w:color="000000" w:sz="4" w:space="0"/>
        </w:tcBorders>
        <w:shd w:val="clear" w:color="FFFFFF"/>
      </w:tcPr>
    </w:tblStylePr>
    <w:tblStylePr w:type="lastRow">
      <w:rPr>
        <w:i/>
        <w:color w:themeColor="accent3" w:themeTint="98" w:themeShade="95"/>
        <w:sz w:val="22"/>
      </w:rPr>
      <w:tblPr/>
      <w:tcPr>
        <w:tcBorders>
          <w:top w:val="single" w:color="000000" w:themeColor="accent3" w:sz="4" w:space="0"/>
          <w:left w:val="none" w:color="000000" w:sz="4" w:space="0"/>
          <w:bottom w:val="none" w:color="000000" w:sz="4" w:space="0"/>
          <w:right w:val="none" w:color="000000" w:sz="4" w:space="0"/>
        </w:tcBorders>
        <w:shd w:val="clear" w:color="FFFFFF" w:fill="FFFFFF" w:themeFill="light1"/>
      </w:tcPr>
    </w:tblStylePr>
    <w:tblStylePr w:type="wholeTable">
      <w:rPr>
        <w:color w:themeColor="accent3" w:themeTint="98" w:themeShade="95"/>
        <w:sz w:val="22"/>
      </w:rPr>
      <w:tblPr/>
    </w:tblStylePr>
  </w:style>
  <w:style w:type="table" w:styleId="933">
    <w:name w:val="List Table 7 Colorful - Accent 4"/>
    <w:uiPriority w:val="99"/>
    <w:pPr>
      <w:spacing w:after="0" w:line="240" w:lineRule="auto"/>
    </w:pPr>
    <w:tblPr>
      <w:tblStyleRowBandSize w:val="1"/>
      <w:tblStyleColBandSize w:val="1"/>
      <w:tblBorders>
        <w:right w:val="single" w:color="000000" w:themeColor="accent4" w:themeTint="9a" w:sz="4" w:space="0"/>
      </w:tblBorders>
    </w:tblPr>
    <w:tblStylePr w:type="band1Horz">
      <w:rPr>
        <w:color w:themeColor="accent4" w:themeTint="9a" w:themeShade="95"/>
        <w:sz w:val="22"/>
      </w:rPr>
      <w:tblPr/>
      <w:tcPr>
        <w:shd w:val="clear" w:color="FFFFFF" w:fill="DFD8E7" w:themeFill="accent4" w:themeFillTint="40"/>
      </w:tcPr>
    </w:tblStylePr>
    <w:tblStylePr w:type="band1Vert">
      <w:tblPr/>
      <w:tcPr>
        <w:shd w:val="clear" w:color="FFFFFF" w:fill="DFD8E7" w:themeFill="accent4" w:themeFillTint="40"/>
      </w:tcPr>
    </w:tblStylePr>
    <w:tblStylePr w:type="band2Horz">
      <w:rPr>
        <w:color w:themeColor="accent4" w:themeTint="9a" w:themeShade="95"/>
        <w:sz w:val="22"/>
      </w:rPr>
      <w:tblPr/>
    </w:tblStylePr>
    <w:tblStylePr w:type="firstCol">
      <w:pPr>
        <w:jc w:val="right"/>
      </w:pPr>
      <w:rPr>
        <w:i/>
        <w:color w:themeColor="accent4" w:themeTint="9a" w:themeShade="95"/>
        <w:sz w:val="22"/>
      </w:rPr>
      <w:tblPr/>
      <w:tcPr>
        <w:tcBorders>
          <w:top w:val="none" w:color="000000" w:sz="4" w:space="0"/>
          <w:left w:val="none" w:color="000000" w:sz="4" w:space="0"/>
          <w:bottom w:val="none" w:color="000000" w:sz="4" w:space="0"/>
          <w:right w:val="single" w:color="000000" w:themeColor="accent4" w:sz="4" w:space="0"/>
        </w:tcBorders>
        <w:shd w:val="clear" w:color="FFFFFF"/>
      </w:tcPr>
    </w:tblStylePr>
    <w:tblStylePr w:type="firstRow">
      <w:rPr>
        <w:i/>
        <w:color w:themeColor="accent4" w:themeTint="9a" w:themeShade="95"/>
        <w:sz w:val="22"/>
      </w:rPr>
      <w:tblPr/>
      <w:tcPr>
        <w:tcBorders>
          <w:top w:val="none" w:color="000000" w:sz="4" w:space="0"/>
          <w:left w:val="none" w:color="000000" w:sz="4" w:space="0"/>
          <w:bottom w:val="single" w:color="000000" w:themeColor="accent4" w:sz="4" w:space="0"/>
          <w:right w:val="none" w:color="000000" w:sz="4" w:space="0"/>
        </w:tcBorders>
        <w:shd w:val="clear" w:color="FFFFFF" w:fill="FFFFFF" w:themeFill="light1"/>
      </w:tcPr>
    </w:tblStylePr>
    <w:tblStylePr w:type="lastCol">
      <w:rPr>
        <w:i/>
        <w:color w:themeColor="accent4" w:themeTint="9a" w:themeShade="95"/>
        <w:sz w:val="22"/>
      </w:rPr>
      <w:tblPr/>
      <w:tcPr>
        <w:tcBorders>
          <w:top w:val="none" w:color="000000" w:sz="4" w:space="0"/>
          <w:left w:val="single" w:color="000000" w:themeColor="accent4" w:sz="4" w:space="0"/>
          <w:bottom w:val="none" w:color="000000" w:sz="4" w:space="0"/>
          <w:right w:val="none" w:color="000000" w:sz="4" w:space="0"/>
        </w:tcBorders>
        <w:shd w:val="clear" w:color="FFFFFF"/>
      </w:tcPr>
    </w:tblStylePr>
    <w:tblStylePr w:type="lastRow">
      <w:rPr>
        <w:i/>
        <w:color w:themeColor="accent4" w:themeTint="9a" w:themeShade="95"/>
        <w:sz w:val="22"/>
      </w:rPr>
      <w:tblPr/>
      <w:tcPr>
        <w:tcBorders>
          <w:top w:val="single" w:color="000000" w:themeColor="accent4" w:sz="4" w:space="0"/>
          <w:left w:val="none" w:color="000000" w:sz="4" w:space="0"/>
          <w:bottom w:val="none" w:color="000000" w:sz="4" w:space="0"/>
          <w:right w:val="none" w:color="000000" w:sz="4" w:space="0"/>
        </w:tcBorders>
        <w:shd w:val="clear" w:color="FFFFFF" w:fill="FFFFFF" w:themeFill="light1"/>
      </w:tcPr>
    </w:tblStylePr>
    <w:tblStylePr w:type="wholeTable">
      <w:rPr>
        <w:color w:themeColor="accent4" w:themeTint="9a" w:themeShade="95"/>
        <w:sz w:val="22"/>
      </w:rPr>
      <w:tblPr/>
    </w:tblStylePr>
  </w:style>
  <w:style w:type="table" w:styleId="934">
    <w:name w:val="List Table 7 Colorful - Accent 5"/>
    <w:uiPriority w:val="99"/>
    <w:pPr>
      <w:spacing w:after="0" w:line="240" w:lineRule="auto"/>
    </w:pPr>
    <w:tblPr>
      <w:tblStyleRowBandSize w:val="1"/>
      <w:tblStyleColBandSize w:val="1"/>
      <w:tblBorders>
        <w:right w:val="single" w:color="000000" w:themeColor="accent5" w:themeTint="9a" w:sz="4" w:space="0"/>
      </w:tblBorders>
    </w:tblPr>
    <w:tblStylePr w:type="band1Horz">
      <w:rPr>
        <w:color w:themeColor="accent5" w:themeTint="9a" w:themeShade="95"/>
        <w:sz w:val="22"/>
      </w:rPr>
      <w:tblPr/>
      <w:tcPr>
        <w:shd w:val="clear" w:color="FFFFFF" w:fill="D1EAF0" w:themeFill="accent5" w:themeFillTint="40"/>
      </w:tcPr>
    </w:tblStylePr>
    <w:tblStylePr w:type="band1Vert">
      <w:tblPr/>
      <w:tcPr>
        <w:shd w:val="clear" w:color="FFFFFF" w:fill="D1EAF0" w:themeFill="accent5" w:themeFillTint="40"/>
      </w:tcPr>
    </w:tblStylePr>
    <w:tblStylePr w:type="band2Horz">
      <w:rPr>
        <w:color w:themeColor="accent5" w:themeTint="9a" w:themeShade="95"/>
        <w:sz w:val="22"/>
      </w:rPr>
      <w:tblPr/>
    </w:tblStylePr>
    <w:tblStylePr w:type="firstCol">
      <w:pPr>
        <w:jc w:val="right"/>
      </w:pPr>
      <w:rPr>
        <w:i/>
        <w:color w:themeColor="accent5" w:themeTint="9a" w:themeShade="95"/>
        <w:sz w:val="22"/>
      </w:rPr>
      <w:tblPr/>
      <w:tcPr>
        <w:tcBorders>
          <w:top w:val="none" w:color="000000" w:sz="4" w:space="0"/>
          <w:left w:val="none" w:color="000000" w:sz="4" w:space="0"/>
          <w:bottom w:val="none" w:color="000000" w:sz="4" w:space="0"/>
          <w:right w:val="single" w:color="000000" w:themeColor="accent5" w:sz="4" w:space="0"/>
        </w:tcBorders>
        <w:shd w:val="clear" w:color="FFFFFF"/>
      </w:tcPr>
    </w:tblStylePr>
    <w:tblStylePr w:type="firstRow">
      <w:rPr>
        <w:i/>
        <w:color w:themeColor="accent5" w:themeTint="9a" w:themeShade="95"/>
        <w:sz w:val="22"/>
      </w:rPr>
      <w:tblPr/>
      <w:tcPr>
        <w:tcBorders>
          <w:top w:val="none" w:color="000000" w:sz="4" w:space="0"/>
          <w:left w:val="none" w:color="000000" w:sz="4" w:space="0"/>
          <w:bottom w:val="single" w:color="000000" w:themeColor="accent5" w:sz="4" w:space="0"/>
          <w:right w:val="none" w:color="000000" w:sz="4" w:space="0"/>
        </w:tcBorders>
        <w:shd w:val="clear" w:color="FFFFFF" w:fill="FFFFFF" w:themeFill="light1"/>
      </w:tcPr>
    </w:tblStylePr>
    <w:tblStylePr w:type="lastCol">
      <w:rPr>
        <w:i/>
        <w:color w:themeColor="accent5" w:themeTint="9a" w:themeShade="95"/>
        <w:sz w:val="22"/>
      </w:rPr>
      <w:tblPr/>
      <w:tcPr>
        <w:tcBorders>
          <w:top w:val="none" w:color="000000" w:sz="4" w:space="0"/>
          <w:left w:val="single" w:color="000000" w:themeColor="accent5" w:sz="4" w:space="0"/>
          <w:bottom w:val="none" w:color="000000" w:sz="4" w:space="0"/>
          <w:right w:val="none" w:color="000000" w:sz="4" w:space="0"/>
        </w:tcBorders>
        <w:shd w:val="clear" w:color="FFFFFF"/>
      </w:tcPr>
    </w:tblStylePr>
    <w:tblStylePr w:type="lastRow">
      <w:rPr>
        <w:i/>
        <w:color w:themeColor="accent5" w:themeTint="9a" w:themeShade="95"/>
        <w:sz w:val="22"/>
      </w:rPr>
      <w:tblPr/>
      <w:tcPr>
        <w:tcBorders>
          <w:top w:val="single" w:color="000000" w:themeColor="accent5" w:sz="4" w:space="0"/>
          <w:left w:val="none" w:color="000000" w:sz="4" w:space="0"/>
          <w:bottom w:val="none" w:color="000000" w:sz="4" w:space="0"/>
          <w:right w:val="none" w:color="000000" w:sz="4" w:space="0"/>
        </w:tcBorders>
        <w:shd w:val="clear" w:color="FFFFFF" w:fill="FFFFFF" w:themeFill="light1"/>
      </w:tcPr>
    </w:tblStylePr>
    <w:tblStylePr w:type="wholeTable">
      <w:rPr>
        <w:color w:themeColor="accent5" w:themeTint="9a" w:themeShade="95"/>
        <w:sz w:val="22"/>
      </w:rPr>
      <w:tblPr/>
    </w:tblStylePr>
  </w:style>
  <w:style w:type="table" w:styleId="935">
    <w:name w:val="List Table 7 Colorful - Accent 6"/>
    <w:uiPriority w:val="99"/>
    <w:pPr>
      <w:spacing w:after="0" w:line="240" w:lineRule="auto"/>
    </w:pPr>
    <w:tblPr>
      <w:tblStyleRowBandSize w:val="1"/>
      <w:tblStyleColBandSize w:val="1"/>
      <w:tblBorders>
        <w:right w:val="single" w:color="000000" w:themeColor="accent6" w:themeTint="98" w:sz="4" w:space="0"/>
      </w:tblBorders>
    </w:tblPr>
    <w:tblStylePr w:type="band1Horz">
      <w:rPr>
        <w:color w:themeColor="accent6" w:themeTint="98" w:themeShade="95"/>
        <w:sz w:val="22"/>
      </w:rPr>
      <w:tblPr/>
      <w:tcPr>
        <w:shd w:val="clear" w:color="FFFFFF" w:fill="FCE4D1" w:themeFill="accent6" w:themeFillTint="40"/>
      </w:tcPr>
    </w:tblStylePr>
    <w:tblStylePr w:type="band1Vert">
      <w:tblPr/>
      <w:tcPr>
        <w:shd w:val="clear" w:color="FFFFFF" w:fill="FCE4D1" w:themeFill="accent6" w:themeFillTint="40"/>
      </w:tcPr>
    </w:tblStylePr>
    <w:tblStylePr w:type="band2Horz">
      <w:rPr>
        <w:color w:themeColor="accent6" w:themeTint="98" w:themeShade="95"/>
        <w:sz w:val="22"/>
      </w:rPr>
      <w:tblPr/>
    </w:tblStylePr>
    <w:tblStylePr w:type="firstCol">
      <w:pPr>
        <w:jc w:val="right"/>
      </w:pPr>
      <w:rPr>
        <w:i/>
        <w:color w:themeColor="accent6" w:themeTint="98" w:themeShade="95"/>
        <w:sz w:val="22"/>
      </w:rPr>
      <w:tblPr/>
      <w:tcPr>
        <w:tcBorders>
          <w:top w:val="none" w:color="000000" w:sz="4" w:space="0"/>
          <w:left w:val="none" w:color="000000" w:sz="4" w:space="0"/>
          <w:bottom w:val="none" w:color="000000" w:sz="4" w:space="0"/>
          <w:right w:val="single" w:color="000000" w:themeColor="accent6" w:sz="4" w:space="0"/>
        </w:tcBorders>
        <w:shd w:val="clear" w:color="FFFFFF"/>
      </w:tcPr>
    </w:tblStylePr>
    <w:tblStylePr w:type="firstRow">
      <w:rPr>
        <w:i/>
        <w:color w:themeColor="accent6" w:themeTint="98" w:themeShade="95"/>
        <w:sz w:val="22"/>
      </w:rPr>
      <w:tblPr/>
      <w:tcPr>
        <w:tcBorders>
          <w:top w:val="none" w:color="000000" w:sz="4" w:space="0"/>
          <w:left w:val="none" w:color="000000" w:sz="4" w:space="0"/>
          <w:bottom w:val="single" w:color="000000" w:themeColor="accent6" w:sz="4" w:space="0"/>
          <w:right w:val="none" w:color="000000" w:sz="4" w:space="0"/>
        </w:tcBorders>
        <w:shd w:val="clear" w:color="FFFFFF" w:fill="FFFFFF" w:themeFill="light1"/>
      </w:tcPr>
    </w:tblStylePr>
    <w:tblStylePr w:type="lastCol">
      <w:rPr>
        <w:i/>
        <w:color w:themeColor="accent6" w:themeTint="98" w:themeShade="95"/>
        <w:sz w:val="22"/>
      </w:rPr>
      <w:tblPr/>
      <w:tcPr>
        <w:tcBorders>
          <w:top w:val="none" w:color="000000" w:sz="4" w:space="0"/>
          <w:left w:val="single" w:color="000000" w:themeColor="accent6" w:sz="4" w:space="0"/>
          <w:bottom w:val="none" w:color="000000" w:sz="4" w:space="0"/>
          <w:right w:val="none" w:color="000000" w:sz="4" w:space="0"/>
        </w:tcBorders>
        <w:shd w:val="clear" w:color="FFFFFF"/>
      </w:tcPr>
    </w:tblStylePr>
    <w:tblStylePr w:type="lastRow">
      <w:rPr>
        <w:i/>
        <w:color w:themeColor="accent6" w:themeTint="98" w:themeShade="95"/>
        <w:sz w:val="22"/>
      </w:rPr>
      <w:tblPr/>
      <w:tcPr>
        <w:tcBorders>
          <w:top w:val="single" w:color="000000" w:themeColor="accent6" w:sz="4" w:space="0"/>
          <w:left w:val="none" w:color="000000" w:sz="4" w:space="0"/>
          <w:bottom w:val="none" w:color="000000" w:sz="4" w:space="0"/>
          <w:right w:val="none" w:color="000000" w:sz="4" w:space="0"/>
        </w:tcBorders>
        <w:shd w:val="clear" w:color="FFFFFF" w:fill="FFFFFF" w:themeFill="light1"/>
      </w:tcPr>
    </w:tblStylePr>
    <w:tblStylePr w:type="wholeTable">
      <w:rPr>
        <w:color w:themeColor="accent6" w:themeTint="98" w:themeShade="95"/>
        <w:sz w:val="22"/>
      </w:rPr>
      <w:tblPr/>
    </w:tblStylePr>
  </w:style>
  <w:style w:type="table" w:styleId="936">
    <w:name w:val="Lined - Accent"/>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F2F2F2" w:themeFill="text1" w:themeFillTint="0"/>
      </w:tcPr>
    </w:tblStylePr>
    <w:tblStylePr w:type="band2Vert">
      <w:rPr>
        <w:sz w:val="22"/>
      </w:rPr>
      <w:tblPr/>
      <w:tcPr>
        <w:shd w:val="clear" w:color="FFFFFF" w:fill="F2F2F2" w:themeFill="text1" w:themeFillTint="0"/>
      </w:tcPr>
    </w:tblStylePr>
    <w:tblStylePr w:type="firstCol">
      <w:rPr>
        <w:sz w:val="22"/>
      </w:rPr>
      <w:tblPr/>
      <w:tcPr>
        <w:shd w:val="clear" w:color="FFFFFF" w:fill="7F7F7F" w:themeFill="text1" w:themeFillTint="80"/>
      </w:tcPr>
    </w:tblStylePr>
    <w:tblStylePr w:type="firstRow">
      <w:rPr>
        <w:sz w:val="22"/>
      </w:rPr>
      <w:tblPr/>
      <w:tcPr>
        <w:shd w:val="clear" w:color="FFFFFF" w:fill="7F7F7F" w:themeFill="text1" w:themeFillTint="80"/>
      </w:tcPr>
    </w:tblStylePr>
    <w:tblStylePr w:type="lastCol">
      <w:rPr>
        <w:sz w:val="22"/>
      </w:rPr>
      <w:tblPr/>
      <w:tcPr>
        <w:shd w:val="clear" w:color="FFFFFF" w:fill="7F7F7F" w:themeFill="text1" w:themeFillTint="80"/>
      </w:tcPr>
    </w:tblStylePr>
    <w:tblStylePr w:type="lastRow">
      <w:rPr>
        <w:sz w:val="22"/>
      </w:rPr>
      <w:tblPr/>
      <w:tcPr>
        <w:shd w:val="clear" w:color="FFFFFF" w:fill="7F7F7F" w:themeFill="text1" w:themeFillTint="80"/>
      </w:tcPr>
    </w:tblStylePr>
  </w:style>
  <w:style w:type="table" w:styleId="937">
    <w:name w:val="Lined - Accent 1"/>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C7D7EA" w:themeFill="accent1" w:themeFillTint="50"/>
      </w:tcPr>
    </w:tblStylePr>
    <w:tblStylePr w:type="band2Vert">
      <w:rPr>
        <w:sz w:val="22"/>
      </w:rPr>
      <w:tblPr/>
      <w:tcPr>
        <w:shd w:val="clear" w:color="FFFFFF" w:fill="C7D7EA" w:themeFill="accent1" w:themeFillTint="50"/>
      </w:tcPr>
    </w:tblStylePr>
    <w:tblStylePr w:type="firstCol">
      <w:rPr>
        <w:sz w:val="22"/>
      </w:rPr>
      <w:tblPr/>
      <w:tcPr>
        <w:shd w:val="clear" w:color="FFFFFF" w:fill="5D8DC2" w:themeFill="accent1" w:themeFillTint="ea"/>
      </w:tcPr>
    </w:tblStylePr>
    <w:tblStylePr w:type="firstRow">
      <w:rPr>
        <w:sz w:val="22"/>
      </w:rPr>
      <w:tblPr/>
      <w:tcPr>
        <w:shd w:val="clear" w:color="FFFFFF" w:fill="5D8DC2" w:themeFill="accent1" w:themeFillTint="ea"/>
      </w:tcPr>
    </w:tblStylePr>
    <w:tblStylePr w:type="lastCol">
      <w:rPr>
        <w:sz w:val="22"/>
      </w:rPr>
      <w:tblPr/>
      <w:tcPr>
        <w:shd w:val="clear" w:color="FFFFFF" w:fill="5D8DC2" w:themeFill="accent1" w:themeFillTint="ea"/>
      </w:tcPr>
    </w:tblStylePr>
    <w:tblStylePr w:type="lastRow">
      <w:rPr>
        <w:sz w:val="22"/>
      </w:rPr>
      <w:tblPr/>
      <w:tcPr>
        <w:shd w:val="clear" w:color="FFFFFF" w:fill="5D8DC2" w:themeFill="accent1" w:themeFillTint="ea"/>
      </w:tcPr>
    </w:tblStylePr>
  </w:style>
  <w:style w:type="table" w:styleId="938">
    <w:name w:val="Lined - Accent 2"/>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F2DCDB" w:themeFill="accent2" w:themeFillTint="32"/>
      </w:tcPr>
    </w:tblStylePr>
    <w:tblStylePr w:type="band2Vert">
      <w:rPr>
        <w:sz w:val="22"/>
      </w:rPr>
      <w:tblPr/>
      <w:tcPr>
        <w:shd w:val="clear" w:color="FFFFFF" w:fill="F2DCDB" w:themeFill="accent2" w:themeFillTint="32"/>
      </w:tcPr>
    </w:tblStylePr>
    <w:tblStylePr w:type="firstCol">
      <w:rPr>
        <w:sz w:val="22"/>
      </w:rPr>
      <w:tblPr/>
      <w:tcPr>
        <w:shd w:val="clear" w:color="FFFFFF" w:fill="D99694" w:themeFill="accent2" w:themeFillTint="97"/>
      </w:tcPr>
    </w:tblStylePr>
    <w:tblStylePr w:type="firstRow">
      <w:rPr>
        <w:sz w:val="22"/>
      </w:rPr>
      <w:tblPr/>
      <w:tcPr>
        <w:shd w:val="clear" w:color="FFFFFF" w:fill="D99694" w:themeFill="accent2" w:themeFillTint="97"/>
      </w:tcPr>
    </w:tblStylePr>
    <w:tblStylePr w:type="lastCol">
      <w:rPr>
        <w:sz w:val="22"/>
      </w:rPr>
      <w:tblPr/>
      <w:tcPr>
        <w:shd w:val="clear" w:color="FFFFFF" w:fill="D99694" w:themeFill="accent2" w:themeFillTint="97"/>
      </w:tcPr>
    </w:tblStylePr>
    <w:tblStylePr w:type="lastRow">
      <w:rPr>
        <w:sz w:val="22"/>
      </w:rPr>
      <w:tblPr/>
      <w:tcPr>
        <w:shd w:val="clear" w:color="FFFFFF" w:fill="D99694" w:themeFill="accent2" w:themeFillTint="97"/>
      </w:tcPr>
    </w:tblStylePr>
  </w:style>
  <w:style w:type="table" w:styleId="939">
    <w:name w:val="Lined - Accent 3"/>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EAF0DD" w:themeFill="accent3" w:themeFillTint="34"/>
      </w:tcPr>
    </w:tblStylePr>
    <w:tblStylePr w:type="band2Vert">
      <w:rPr>
        <w:sz w:val="22"/>
      </w:rPr>
      <w:tblPr/>
      <w:tcPr>
        <w:shd w:val="clear" w:color="FFFFFF" w:fill="EAF0DD" w:themeFill="accent3" w:themeFillTint="34"/>
      </w:tcPr>
    </w:tblStylePr>
    <w:tblStylePr w:type="firstCol">
      <w:rPr>
        <w:sz w:val="22"/>
      </w:rPr>
      <w:tblPr/>
      <w:tcPr>
        <w:shd w:val="clear" w:color="FFFFFF" w:fill="9BBA59" w:themeFill="accent3" w:themeFillTint="fe"/>
      </w:tcPr>
    </w:tblStylePr>
    <w:tblStylePr w:type="firstRow">
      <w:rPr>
        <w:sz w:val="22"/>
      </w:rPr>
      <w:tblPr/>
      <w:tcPr>
        <w:shd w:val="clear" w:color="FFFFFF" w:fill="9BBA59" w:themeFill="accent3" w:themeFillTint="fe"/>
      </w:tcPr>
    </w:tblStylePr>
    <w:tblStylePr w:type="lastCol">
      <w:rPr>
        <w:sz w:val="22"/>
      </w:rPr>
      <w:tblPr/>
      <w:tcPr>
        <w:shd w:val="clear" w:color="FFFFFF" w:fill="9BBA59" w:themeFill="accent3" w:themeFillTint="fe"/>
      </w:tcPr>
    </w:tblStylePr>
    <w:tblStylePr w:type="lastRow">
      <w:rPr>
        <w:sz w:val="22"/>
      </w:rPr>
      <w:tblPr/>
      <w:tcPr>
        <w:shd w:val="clear" w:color="FFFFFF" w:fill="9BBA59" w:themeFill="accent3" w:themeFillTint="fe"/>
      </w:tcPr>
    </w:tblStylePr>
  </w:style>
  <w:style w:type="table" w:styleId="940">
    <w:name w:val="Lined - Accent 4"/>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E5DFEC" w:themeFill="accent4" w:themeFillTint="34"/>
      </w:tcPr>
    </w:tblStylePr>
    <w:tblStylePr w:type="band2Vert">
      <w:rPr>
        <w:sz w:val="22"/>
      </w:rPr>
      <w:tblPr/>
      <w:tcPr>
        <w:shd w:val="clear" w:color="FFFFFF" w:fill="E5DFEC" w:themeFill="accent4" w:themeFillTint="34"/>
      </w:tcPr>
    </w:tblStylePr>
    <w:tblStylePr w:type="firstCol">
      <w:rPr>
        <w:sz w:val="22"/>
      </w:rPr>
      <w:tblPr/>
      <w:tcPr>
        <w:shd w:val="clear" w:color="FFFFFF" w:fill="B2A1C6" w:themeFill="accent4" w:themeFillTint="9a"/>
      </w:tcPr>
    </w:tblStylePr>
    <w:tblStylePr w:type="firstRow">
      <w:rPr>
        <w:sz w:val="22"/>
      </w:rPr>
      <w:tblPr/>
      <w:tcPr>
        <w:shd w:val="clear" w:color="FFFFFF" w:fill="B2A1C6" w:themeFill="accent4" w:themeFillTint="9a"/>
      </w:tcPr>
    </w:tblStylePr>
    <w:tblStylePr w:type="lastCol">
      <w:rPr>
        <w:sz w:val="22"/>
      </w:rPr>
      <w:tblPr/>
      <w:tcPr>
        <w:shd w:val="clear" w:color="FFFFFF" w:fill="B2A1C6" w:themeFill="accent4" w:themeFillTint="9a"/>
      </w:tcPr>
    </w:tblStylePr>
    <w:tblStylePr w:type="lastRow">
      <w:rPr>
        <w:sz w:val="22"/>
      </w:rPr>
      <w:tblPr/>
      <w:tcPr>
        <w:shd w:val="clear" w:color="FFFFFF" w:fill="B2A1C6" w:themeFill="accent4" w:themeFillTint="9a"/>
      </w:tcPr>
    </w:tblStylePr>
  </w:style>
  <w:style w:type="table" w:styleId="941">
    <w:name w:val="Lined - Accent 5"/>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DAEEF3" w:themeFill="accent5" w:themeFillTint="34"/>
      </w:tcPr>
    </w:tblStylePr>
    <w:tblStylePr w:type="band2Vert">
      <w:rPr>
        <w:sz w:val="22"/>
      </w:rPr>
      <w:tblPr/>
      <w:tcPr>
        <w:shd w:val="clear" w:color="FFFFFF" w:fill="DAEEF3" w:themeFill="accent5" w:themeFillTint="34"/>
      </w:tcPr>
    </w:tblStylePr>
    <w:tblStylePr w:type="firstCol">
      <w:rPr>
        <w:sz w:val="22"/>
      </w:rPr>
      <w:tblPr/>
      <w:tcPr>
        <w:shd w:val="clear" w:color="FFFFFF" w:fill="4BACC6" w:themeFill="accent5"/>
      </w:tcPr>
    </w:tblStylePr>
    <w:tblStylePr w:type="firstRow">
      <w:rPr>
        <w:sz w:val="22"/>
      </w:rPr>
      <w:tblPr/>
      <w:tcPr>
        <w:shd w:val="clear" w:color="FFFFFF" w:fill="4BACC6" w:themeFill="accent5"/>
      </w:tcPr>
    </w:tblStylePr>
    <w:tblStylePr w:type="lastCol">
      <w:rPr>
        <w:sz w:val="22"/>
      </w:rPr>
      <w:tblPr/>
      <w:tcPr>
        <w:shd w:val="clear" w:color="FFFFFF" w:fill="4BACC6" w:themeFill="accent5"/>
      </w:tcPr>
    </w:tblStylePr>
    <w:tblStylePr w:type="lastRow">
      <w:rPr>
        <w:sz w:val="22"/>
      </w:rPr>
      <w:tblPr/>
      <w:tcPr>
        <w:shd w:val="clear" w:color="FFFFFF" w:fill="4BACC6" w:themeFill="accent5"/>
      </w:tcPr>
    </w:tblStylePr>
  </w:style>
  <w:style w:type="table" w:styleId="942">
    <w:name w:val="Lined - Accent 6"/>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FDE9D8" w:themeFill="accent6" w:themeFillTint="34"/>
      </w:tcPr>
    </w:tblStylePr>
    <w:tblStylePr w:type="band2Vert">
      <w:rPr>
        <w:sz w:val="22"/>
      </w:rPr>
      <w:tblPr/>
      <w:tcPr>
        <w:shd w:val="clear" w:color="FFFFFF" w:fill="FDE9D8" w:themeFill="accent6" w:themeFillTint="34"/>
      </w:tcPr>
    </w:tblStylePr>
    <w:tblStylePr w:type="firstCol">
      <w:rPr>
        <w:sz w:val="22"/>
      </w:rPr>
      <w:tblPr/>
      <w:tcPr>
        <w:shd w:val="clear" w:color="FFFFFF" w:fill="F79646" w:themeFill="accent6"/>
      </w:tcPr>
    </w:tblStylePr>
    <w:tblStylePr w:type="firstRow">
      <w:rPr>
        <w:sz w:val="22"/>
      </w:rPr>
      <w:tblPr/>
      <w:tcPr>
        <w:shd w:val="clear" w:color="FFFFFF" w:fill="F79646" w:themeFill="accent6"/>
      </w:tcPr>
    </w:tblStylePr>
    <w:tblStylePr w:type="lastCol">
      <w:rPr>
        <w:sz w:val="22"/>
      </w:rPr>
      <w:tblPr/>
      <w:tcPr>
        <w:shd w:val="clear" w:color="FFFFFF" w:fill="F79646" w:themeFill="accent6"/>
      </w:tcPr>
    </w:tblStylePr>
    <w:tblStylePr w:type="lastRow">
      <w:rPr>
        <w:sz w:val="22"/>
      </w:rPr>
      <w:tblPr/>
      <w:tcPr>
        <w:shd w:val="clear" w:color="FFFFFF" w:fill="F79646" w:themeFill="accent6"/>
      </w:tcPr>
    </w:tblStylePr>
  </w:style>
  <w:style w:type="table" w:styleId="943">
    <w:name w:val="Bordered &amp; Lined - Accent"/>
    <w:uiPriority w:val="99"/>
    <w:pPr>
      <w:spacing w:after="0" w:line="240" w:lineRule="auto"/>
    </w:pPr>
    <w:tblPr>
      <w:tblStyleRowBandSize w:val="1"/>
      <w:tblStyleColBandSize w:val="1"/>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sz w:val="22"/>
      </w:rPr>
      <w:tblPr/>
    </w:tblStylePr>
    <w:tblStylePr w:type="band1Vert">
      <w:rPr>
        <w:sz w:val="22"/>
      </w:rPr>
      <w:tblPr/>
    </w:tblStylePr>
    <w:tblStylePr w:type="band2Horz">
      <w:rPr>
        <w:sz w:val="22"/>
      </w:rPr>
      <w:tblPr/>
      <w:tcPr>
        <w:shd w:val="clear" w:color="FFFFFF" w:fill="F2F2F2" w:themeFill="text1" w:themeFillTint="0"/>
      </w:tcPr>
    </w:tblStylePr>
    <w:tblStylePr w:type="band2Vert">
      <w:rPr>
        <w:sz w:val="22"/>
      </w:rPr>
      <w:tblPr/>
      <w:tcPr>
        <w:shd w:val="clear" w:color="FFFFFF" w:fill="F2F2F2" w:themeFill="text1" w:themeFillTint="0"/>
      </w:tcPr>
    </w:tblStylePr>
    <w:tblStylePr w:type="firstCol">
      <w:rPr>
        <w:sz w:val="22"/>
      </w:rPr>
      <w:tblPr/>
      <w:tcPr>
        <w:shd w:val="clear" w:color="FFFFFF" w:fill="7F7F7F" w:themeFill="text1" w:themeFillTint="80"/>
      </w:tcPr>
    </w:tblStylePr>
    <w:tblStylePr w:type="firstRow">
      <w:rPr>
        <w:sz w:val="22"/>
      </w:rPr>
      <w:tblPr/>
      <w:tcPr>
        <w:shd w:val="clear" w:color="FFFFFF" w:fill="7F7F7F" w:themeFill="text1" w:themeFillTint="80"/>
      </w:tcPr>
    </w:tblStylePr>
    <w:tblStylePr w:type="lastCol">
      <w:rPr>
        <w:sz w:val="22"/>
      </w:rPr>
      <w:tblPr/>
      <w:tcPr>
        <w:shd w:val="clear" w:color="FFFFFF" w:fill="7F7F7F" w:themeFill="text1" w:themeFillTint="80"/>
      </w:tcPr>
    </w:tblStylePr>
    <w:tblStylePr w:type="lastRow">
      <w:rPr>
        <w:sz w:val="22"/>
      </w:rPr>
      <w:tblPr/>
      <w:tcPr>
        <w:shd w:val="clear" w:color="FFFFFF" w:fill="7F7F7F" w:themeFill="text1" w:themeFillTint="80"/>
      </w:tcPr>
    </w:tblStylePr>
  </w:style>
  <w:style w:type="table" w:styleId="944">
    <w:name w:val="Bordered &amp; Lined - Accent 1"/>
    <w:uiPriority w:val="99"/>
    <w:pPr>
      <w:spacing w:after="0" w:line="240" w:lineRule="auto"/>
    </w:pPr>
    <w:tblPr>
      <w:tblStyleRowBandSize w:val="1"/>
      <w:tblStyleColBandSize w:val="1"/>
      <w:tblBorders>
        <w:top w:val="single" w:color="000000" w:themeColor="accent1" w:sz="4" w:space="0"/>
        <w:left w:val="single" w:color="000000" w:themeColor="accent1" w:sz="4" w:space="0"/>
        <w:bottom w:val="single" w:color="000000" w:themeColor="accent1" w:sz="4" w:space="0"/>
        <w:right w:val="single" w:color="000000" w:themeColor="accent1" w:sz="4" w:space="0"/>
        <w:insideH w:val="single" w:color="000000" w:themeColor="accent1" w:sz="4" w:space="0"/>
        <w:insideV w:val="single" w:color="000000" w:themeColor="accent1" w:sz="4" w:space="0"/>
      </w:tblBorders>
    </w:tblPr>
    <w:tblStylePr w:type="band1Horz">
      <w:rPr>
        <w:sz w:val="22"/>
      </w:rPr>
      <w:tblPr/>
    </w:tblStylePr>
    <w:tblStylePr w:type="band1Vert">
      <w:rPr>
        <w:sz w:val="22"/>
      </w:rPr>
      <w:tblPr/>
    </w:tblStylePr>
    <w:tblStylePr w:type="band2Horz">
      <w:rPr>
        <w:sz w:val="22"/>
      </w:rPr>
      <w:tblPr/>
      <w:tcPr>
        <w:shd w:val="clear" w:color="FFFFFF" w:fill="C7D7EA" w:themeFill="accent1" w:themeFillTint="50"/>
      </w:tcPr>
    </w:tblStylePr>
    <w:tblStylePr w:type="band2Vert">
      <w:rPr>
        <w:sz w:val="22"/>
      </w:rPr>
      <w:tblPr/>
      <w:tcPr>
        <w:shd w:val="clear" w:color="FFFFFF" w:fill="C7D7EA" w:themeFill="accent1" w:themeFillTint="50"/>
      </w:tcPr>
    </w:tblStylePr>
    <w:tblStylePr w:type="firstCol">
      <w:rPr>
        <w:sz w:val="22"/>
      </w:rPr>
      <w:tblPr/>
      <w:tcPr>
        <w:shd w:val="clear" w:color="FFFFFF" w:fill="5D8DC2" w:themeFill="accent1" w:themeFillTint="ea"/>
      </w:tcPr>
    </w:tblStylePr>
    <w:tblStylePr w:type="firstRow">
      <w:rPr>
        <w:sz w:val="22"/>
      </w:rPr>
      <w:tblPr/>
      <w:tcPr>
        <w:shd w:val="clear" w:color="FFFFFF" w:fill="5D8DC2" w:themeFill="accent1" w:themeFillTint="ea"/>
      </w:tcPr>
    </w:tblStylePr>
    <w:tblStylePr w:type="lastCol">
      <w:rPr>
        <w:sz w:val="22"/>
      </w:rPr>
      <w:tblPr/>
      <w:tcPr>
        <w:shd w:val="clear" w:color="FFFFFF" w:fill="5D8DC2" w:themeFill="accent1" w:themeFillTint="ea"/>
      </w:tcPr>
    </w:tblStylePr>
    <w:tblStylePr w:type="lastRow">
      <w:rPr>
        <w:sz w:val="22"/>
      </w:rPr>
      <w:tblPr/>
      <w:tcPr>
        <w:shd w:val="clear" w:color="FFFFFF" w:fill="5D8DC2" w:themeFill="accent1" w:themeFillTint="ea"/>
      </w:tcPr>
    </w:tblStylePr>
  </w:style>
  <w:style w:type="table" w:styleId="945">
    <w:name w:val="Bordered &amp; Lined - Accent 2"/>
    <w:uiPriority w:val="99"/>
    <w:pPr>
      <w:spacing w:after="0" w:line="240" w:lineRule="auto"/>
    </w:pPr>
    <w:tblPr>
      <w:tblStyleRowBandSize w:val="1"/>
      <w:tblStyleColBandSize w:val="1"/>
      <w:tblBorders>
        <w:top w:val="single" w:color="000000" w:themeColor="accent2" w:sz="4" w:space="0"/>
        <w:left w:val="single" w:color="000000" w:themeColor="accent2" w:sz="4" w:space="0"/>
        <w:bottom w:val="single" w:color="000000" w:themeColor="accent2" w:sz="4" w:space="0"/>
        <w:right w:val="single" w:color="000000" w:themeColor="accent2" w:sz="4" w:space="0"/>
        <w:insideH w:val="single" w:color="000000" w:themeColor="accent2" w:sz="4" w:space="0"/>
        <w:insideV w:val="single" w:color="000000" w:themeColor="accent2" w:sz="4" w:space="0"/>
      </w:tblBorders>
    </w:tblPr>
    <w:tblStylePr w:type="band1Horz">
      <w:rPr>
        <w:sz w:val="22"/>
      </w:rPr>
      <w:tblPr/>
    </w:tblStylePr>
    <w:tblStylePr w:type="band1Vert">
      <w:rPr>
        <w:sz w:val="22"/>
      </w:rPr>
      <w:tblPr/>
    </w:tblStylePr>
    <w:tblStylePr w:type="band2Horz">
      <w:rPr>
        <w:sz w:val="22"/>
      </w:rPr>
      <w:tblPr/>
      <w:tcPr>
        <w:shd w:val="clear" w:color="FFFFFF" w:fill="F2DCDB" w:themeFill="accent2" w:themeFillTint="32"/>
      </w:tcPr>
    </w:tblStylePr>
    <w:tblStylePr w:type="band2Vert">
      <w:rPr>
        <w:sz w:val="22"/>
      </w:rPr>
      <w:tblPr/>
      <w:tcPr>
        <w:shd w:val="clear" w:color="FFFFFF" w:fill="F2DCDB" w:themeFill="accent2" w:themeFillTint="32"/>
      </w:tcPr>
    </w:tblStylePr>
    <w:tblStylePr w:type="firstCol">
      <w:rPr>
        <w:sz w:val="22"/>
      </w:rPr>
      <w:tblPr/>
      <w:tcPr>
        <w:shd w:val="clear" w:color="FFFFFF" w:fill="D99694" w:themeFill="accent2" w:themeFillTint="97"/>
      </w:tcPr>
    </w:tblStylePr>
    <w:tblStylePr w:type="firstRow">
      <w:rPr>
        <w:sz w:val="22"/>
      </w:rPr>
      <w:tblPr/>
      <w:tcPr>
        <w:shd w:val="clear" w:color="FFFFFF" w:fill="D99694" w:themeFill="accent2" w:themeFillTint="97"/>
      </w:tcPr>
    </w:tblStylePr>
    <w:tblStylePr w:type="lastCol">
      <w:rPr>
        <w:sz w:val="22"/>
      </w:rPr>
      <w:tblPr/>
      <w:tcPr>
        <w:shd w:val="clear" w:color="FFFFFF" w:fill="D99694" w:themeFill="accent2" w:themeFillTint="97"/>
      </w:tcPr>
    </w:tblStylePr>
    <w:tblStylePr w:type="lastRow">
      <w:rPr>
        <w:sz w:val="22"/>
      </w:rPr>
      <w:tblPr/>
      <w:tcPr>
        <w:shd w:val="clear" w:color="FFFFFF" w:fill="D99694" w:themeFill="accent2" w:themeFillTint="97"/>
      </w:tcPr>
    </w:tblStylePr>
  </w:style>
  <w:style w:type="table" w:styleId="946">
    <w:name w:val="Bordered &amp; Lined - Accent 3"/>
    <w:uiPriority w:val="99"/>
    <w:pPr>
      <w:spacing w:after="0" w:line="240" w:lineRule="auto"/>
    </w:pPr>
    <w:tblPr>
      <w:tblStyleRowBandSize w:val="1"/>
      <w:tblStyleColBandSize w:val="1"/>
      <w:tblBorders>
        <w:top w:val="single" w:color="000000" w:themeColor="accent3" w:sz="4" w:space="0"/>
        <w:left w:val="single" w:color="000000" w:themeColor="accent3" w:sz="4" w:space="0"/>
        <w:bottom w:val="single" w:color="000000" w:themeColor="accent3" w:sz="4" w:space="0"/>
        <w:right w:val="single" w:color="000000" w:themeColor="accent3" w:sz="4" w:space="0"/>
        <w:insideH w:val="single" w:color="000000" w:themeColor="accent3" w:sz="4" w:space="0"/>
        <w:insideV w:val="single" w:color="000000" w:themeColor="accent3" w:sz="4" w:space="0"/>
      </w:tblBorders>
    </w:tblPr>
    <w:tblStylePr w:type="band1Horz">
      <w:rPr>
        <w:sz w:val="22"/>
      </w:rPr>
      <w:tblPr/>
    </w:tblStylePr>
    <w:tblStylePr w:type="band1Vert">
      <w:rPr>
        <w:sz w:val="22"/>
      </w:rPr>
      <w:tblPr/>
    </w:tblStylePr>
    <w:tblStylePr w:type="band2Horz">
      <w:rPr>
        <w:sz w:val="22"/>
      </w:rPr>
      <w:tblPr/>
      <w:tcPr>
        <w:shd w:val="clear" w:color="FFFFFF" w:fill="EAF0DD" w:themeFill="accent3" w:themeFillTint="34"/>
      </w:tcPr>
    </w:tblStylePr>
    <w:tblStylePr w:type="band2Vert">
      <w:rPr>
        <w:sz w:val="22"/>
      </w:rPr>
      <w:tblPr/>
      <w:tcPr>
        <w:shd w:val="clear" w:color="FFFFFF" w:fill="EAF0DD" w:themeFill="accent3" w:themeFillTint="34"/>
      </w:tcPr>
    </w:tblStylePr>
    <w:tblStylePr w:type="firstCol">
      <w:rPr>
        <w:sz w:val="22"/>
      </w:rPr>
      <w:tblPr/>
      <w:tcPr>
        <w:shd w:val="clear" w:color="FFFFFF" w:fill="9BBA59" w:themeFill="accent3" w:themeFillTint="fe"/>
      </w:tcPr>
    </w:tblStylePr>
    <w:tblStylePr w:type="firstRow">
      <w:rPr>
        <w:sz w:val="22"/>
      </w:rPr>
      <w:tblPr/>
      <w:tcPr>
        <w:shd w:val="clear" w:color="FFFFFF" w:fill="9BBA59" w:themeFill="accent3" w:themeFillTint="fe"/>
      </w:tcPr>
    </w:tblStylePr>
    <w:tblStylePr w:type="lastCol">
      <w:rPr>
        <w:sz w:val="22"/>
      </w:rPr>
      <w:tblPr/>
      <w:tcPr>
        <w:shd w:val="clear" w:color="FFFFFF" w:fill="9BBA59" w:themeFill="accent3" w:themeFillTint="fe"/>
      </w:tcPr>
    </w:tblStylePr>
    <w:tblStylePr w:type="lastRow">
      <w:rPr>
        <w:sz w:val="22"/>
      </w:rPr>
      <w:tblPr/>
      <w:tcPr>
        <w:shd w:val="clear" w:color="FFFFFF" w:fill="9BBA59" w:themeFill="accent3" w:themeFillTint="fe"/>
      </w:tcPr>
    </w:tblStylePr>
  </w:style>
  <w:style w:type="table" w:styleId="947">
    <w:name w:val="Bordered &amp; Lined - Accent 4"/>
    <w:uiPriority w:val="99"/>
    <w:pPr>
      <w:spacing w:after="0" w:line="240" w:lineRule="auto"/>
    </w:pPr>
    <w:tblPr>
      <w:tblStyleRowBandSize w:val="1"/>
      <w:tblStyleColBandSize w:val="1"/>
      <w:tblBorders>
        <w:top w:val="single" w:color="000000" w:themeColor="accent4" w:sz="4" w:space="0"/>
        <w:left w:val="single" w:color="000000" w:themeColor="accent4" w:sz="4" w:space="0"/>
        <w:bottom w:val="single" w:color="000000" w:themeColor="accent4" w:sz="4" w:space="0"/>
        <w:right w:val="single" w:color="000000" w:themeColor="accent4" w:sz="4" w:space="0"/>
        <w:insideH w:val="single" w:color="000000" w:themeColor="accent4" w:sz="4" w:space="0"/>
        <w:insideV w:val="single" w:color="000000" w:themeColor="accent4" w:sz="4" w:space="0"/>
      </w:tblBorders>
    </w:tblPr>
    <w:tblStylePr w:type="band1Horz">
      <w:rPr>
        <w:sz w:val="22"/>
      </w:rPr>
      <w:tblPr/>
    </w:tblStylePr>
    <w:tblStylePr w:type="band1Vert">
      <w:rPr>
        <w:sz w:val="22"/>
      </w:rPr>
      <w:tblPr/>
    </w:tblStylePr>
    <w:tblStylePr w:type="band2Horz">
      <w:rPr>
        <w:sz w:val="22"/>
      </w:rPr>
      <w:tblPr/>
      <w:tcPr>
        <w:shd w:val="clear" w:color="FFFFFF" w:fill="E5DFEC" w:themeFill="accent4" w:themeFillTint="34"/>
      </w:tcPr>
    </w:tblStylePr>
    <w:tblStylePr w:type="band2Vert">
      <w:rPr>
        <w:sz w:val="22"/>
      </w:rPr>
      <w:tblPr/>
      <w:tcPr>
        <w:shd w:val="clear" w:color="FFFFFF" w:fill="E5DFEC" w:themeFill="accent4" w:themeFillTint="34"/>
      </w:tcPr>
    </w:tblStylePr>
    <w:tblStylePr w:type="firstCol">
      <w:rPr>
        <w:sz w:val="22"/>
      </w:rPr>
      <w:tblPr/>
      <w:tcPr>
        <w:shd w:val="clear" w:color="FFFFFF" w:fill="B2A1C6" w:themeFill="accent4" w:themeFillTint="9a"/>
      </w:tcPr>
    </w:tblStylePr>
    <w:tblStylePr w:type="firstRow">
      <w:rPr>
        <w:sz w:val="22"/>
      </w:rPr>
      <w:tblPr/>
      <w:tcPr>
        <w:shd w:val="clear" w:color="FFFFFF" w:fill="B2A1C6" w:themeFill="accent4" w:themeFillTint="9a"/>
      </w:tcPr>
    </w:tblStylePr>
    <w:tblStylePr w:type="lastCol">
      <w:rPr>
        <w:sz w:val="22"/>
      </w:rPr>
      <w:tblPr/>
      <w:tcPr>
        <w:shd w:val="clear" w:color="FFFFFF" w:fill="B2A1C6" w:themeFill="accent4" w:themeFillTint="9a"/>
      </w:tcPr>
    </w:tblStylePr>
    <w:tblStylePr w:type="lastRow">
      <w:rPr>
        <w:sz w:val="22"/>
      </w:rPr>
      <w:tblPr/>
      <w:tcPr>
        <w:shd w:val="clear" w:color="FFFFFF" w:fill="B2A1C6" w:themeFill="accent4" w:themeFillTint="9a"/>
      </w:tcPr>
    </w:tblStylePr>
  </w:style>
  <w:style w:type="table" w:styleId="948">
    <w:name w:val="Bordered &amp; Lined - Accent 5"/>
    <w:uiPriority w:val="99"/>
    <w:pPr>
      <w:spacing w:after="0" w:line="240" w:lineRule="auto"/>
    </w:pPr>
    <w:tblPr>
      <w:tblStyleRowBandSize w:val="1"/>
      <w:tblStyleColBandSize w:val="1"/>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sz w:val="22"/>
      </w:rPr>
      <w:tblPr/>
    </w:tblStylePr>
    <w:tblStylePr w:type="band1Vert">
      <w:rPr>
        <w:sz w:val="22"/>
      </w:rPr>
      <w:tblPr/>
    </w:tblStylePr>
    <w:tblStylePr w:type="band2Horz">
      <w:rPr>
        <w:sz w:val="22"/>
      </w:rPr>
      <w:tblPr/>
      <w:tcPr>
        <w:shd w:val="clear" w:color="FFFFFF" w:fill="DAEEF3" w:themeFill="accent5" w:themeFillTint="34"/>
      </w:tcPr>
    </w:tblStylePr>
    <w:tblStylePr w:type="band2Vert">
      <w:rPr>
        <w:sz w:val="22"/>
      </w:rPr>
      <w:tblPr/>
      <w:tcPr>
        <w:shd w:val="clear" w:color="FFFFFF" w:fill="DAEEF3" w:themeFill="accent5" w:themeFillTint="34"/>
      </w:tcPr>
    </w:tblStylePr>
    <w:tblStylePr w:type="firstCol">
      <w:rPr>
        <w:sz w:val="22"/>
      </w:rPr>
      <w:tblPr/>
      <w:tcPr>
        <w:shd w:val="clear" w:color="FFFFFF" w:fill="4BACC6" w:themeFill="accent5"/>
      </w:tcPr>
    </w:tblStylePr>
    <w:tblStylePr w:type="firstRow">
      <w:rPr>
        <w:sz w:val="22"/>
      </w:rPr>
      <w:tblPr/>
      <w:tcPr>
        <w:shd w:val="clear" w:color="FFFFFF" w:fill="4BACC6" w:themeFill="accent5"/>
      </w:tcPr>
    </w:tblStylePr>
    <w:tblStylePr w:type="lastCol">
      <w:rPr>
        <w:sz w:val="22"/>
      </w:rPr>
      <w:tblPr/>
      <w:tcPr>
        <w:shd w:val="clear" w:color="FFFFFF" w:fill="4BACC6" w:themeFill="accent5"/>
      </w:tcPr>
    </w:tblStylePr>
    <w:tblStylePr w:type="lastRow">
      <w:rPr>
        <w:sz w:val="22"/>
      </w:rPr>
      <w:tblPr/>
      <w:tcPr>
        <w:shd w:val="clear" w:color="FFFFFF" w:fill="4BACC6" w:themeFill="accent5"/>
      </w:tcPr>
    </w:tblStylePr>
  </w:style>
  <w:style w:type="table" w:styleId="949">
    <w:name w:val="Bordered &amp; Lined - Accent 6"/>
    <w:uiPriority w:val="99"/>
    <w:pPr>
      <w:spacing w:after="0" w:line="240" w:lineRule="auto"/>
    </w:pPr>
    <w:tblPr>
      <w:tblStyleRowBandSize w:val="1"/>
      <w:tblStyleColBandSize w:val="1"/>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sz w:val="22"/>
      </w:rPr>
      <w:tblPr/>
    </w:tblStylePr>
    <w:tblStylePr w:type="band1Vert">
      <w:rPr>
        <w:sz w:val="22"/>
      </w:rPr>
      <w:tblPr/>
    </w:tblStylePr>
    <w:tblStylePr w:type="band2Horz">
      <w:rPr>
        <w:sz w:val="22"/>
      </w:rPr>
      <w:tblPr/>
      <w:tcPr>
        <w:shd w:val="clear" w:color="FFFFFF" w:fill="FDE9D8" w:themeFill="accent6" w:themeFillTint="34"/>
      </w:tcPr>
    </w:tblStylePr>
    <w:tblStylePr w:type="band2Vert">
      <w:rPr>
        <w:sz w:val="22"/>
      </w:rPr>
      <w:tblPr/>
      <w:tcPr>
        <w:shd w:val="clear" w:color="FFFFFF" w:fill="FDE9D8" w:themeFill="accent6" w:themeFillTint="34"/>
      </w:tcPr>
    </w:tblStylePr>
    <w:tblStylePr w:type="firstCol">
      <w:rPr>
        <w:sz w:val="22"/>
      </w:rPr>
      <w:tblPr/>
      <w:tcPr>
        <w:shd w:val="clear" w:color="FFFFFF" w:fill="F79646" w:themeFill="accent6"/>
      </w:tcPr>
    </w:tblStylePr>
    <w:tblStylePr w:type="firstRow">
      <w:rPr>
        <w:sz w:val="22"/>
      </w:rPr>
      <w:tblPr/>
      <w:tcPr>
        <w:shd w:val="clear" w:color="FFFFFF" w:fill="F79646" w:themeFill="accent6"/>
      </w:tcPr>
    </w:tblStylePr>
    <w:tblStylePr w:type="lastCol">
      <w:rPr>
        <w:sz w:val="22"/>
      </w:rPr>
      <w:tblPr/>
      <w:tcPr>
        <w:shd w:val="clear" w:color="FFFFFF" w:fill="F79646" w:themeFill="accent6"/>
      </w:tcPr>
    </w:tblStylePr>
    <w:tblStylePr w:type="lastRow">
      <w:rPr>
        <w:sz w:val="22"/>
      </w:rPr>
      <w:tblPr/>
      <w:tcPr>
        <w:shd w:val="clear" w:color="FFFFFF" w:fill="F79646" w:themeFill="accent6"/>
      </w:tcPr>
    </w:tblStylePr>
  </w:style>
  <w:style w:type="table" w:styleId="950">
    <w:name w:val="Bordered"/>
    <w:uiPriority w:val="99"/>
    <w:pPr>
      <w:spacing w:after="0" w:line="240" w:lineRule="auto"/>
    </w:pPr>
    <w:tblPr>
      <w:tblStyleRowBandSize w:val="1"/>
      <w:tblStyleColBandSize w:val="1"/>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firstCol">
      <w:rPr>
        <w:sz w:val="22"/>
      </w:rPr>
      <w:tblPr/>
    </w:tblStylePr>
    <w:tblStylePr w:type="firstRow">
      <w:rPr>
        <w:sz w:val="22"/>
      </w:rPr>
      <w:tblPr/>
      <w:tcPr>
        <w:tcBorders>
          <w:bottom w:val="single" w:color="000000" w:themeColor="text1" w:sz="12" w:space="0"/>
        </w:tcBorders>
      </w:tcPr>
    </w:tblStylePr>
    <w:tblStylePr w:type="lastCol">
      <w:rPr>
        <w:sz w:val="22"/>
      </w:rPr>
      <w:tblPr/>
      <w:tcPr>
        <w:tcBorders>
          <w:left w:val="single" w:color="000000" w:themeColor="text1" w:sz="12" w:space="0"/>
        </w:tcBorders>
      </w:tcPr>
    </w:tblStylePr>
    <w:tblStylePr w:type="lastRow">
      <w:rPr>
        <w:sz w:val="22"/>
      </w:rPr>
      <w:tblPr/>
      <w:tcPr>
        <w:tcBorders>
          <w:top w:val="single" w:color="000000" w:themeColor="text1" w:sz="12" w:space="0"/>
        </w:tcBorders>
      </w:tcPr>
    </w:tblStylePr>
  </w:style>
  <w:style w:type="table" w:styleId="951">
    <w:name w:val="Bordered - Accent 1"/>
    <w:uiPriority w:val="99"/>
    <w:pPr>
      <w:spacing w:after="0" w:line="240" w:lineRule="auto"/>
    </w:pPr>
    <w:tblPr>
      <w:tblStyleRowBandSize w:val="1"/>
      <w:tblStyleColBandSize w:val="1"/>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sz w:val="22"/>
      </w:rPr>
      <w:tblPr/>
      <w:tcPr>
        <w:tcBorders>
          <w:top w:val="single" w:color="000000" w:themeColor="accent1" w:sz="4" w:space="0"/>
          <w:left w:val="single" w:color="000000" w:themeColor="accent1" w:sz="4" w:space="0"/>
          <w:bottom w:val="single" w:color="000000" w:themeColor="accent1" w:sz="4" w:space="0"/>
          <w:right w:val="single" w:color="000000" w:themeColor="accent1" w:sz="4" w:space="0"/>
        </w:tcBorders>
      </w:tcPr>
    </w:tblStylePr>
    <w:tblStylePr w:type="firstCol">
      <w:rPr>
        <w:sz w:val="22"/>
      </w:rPr>
      <w:tblPr/>
    </w:tblStylePr>
    <w:tblStylePr w:type="firstRow">
      <w:rPr>
        <w:sz w:val="22"/>
      </w:rPr>
      <w:tblPr/>
      <w:tcPr>
        <w:tcBorders>
          <w:bottom w:val="single" w:color="000000" w:themeColor="accent1" w:sz="12" w:space="0"/>
        </w:tcBorders>
      </w:tcPr>
    </w:tblStylePr>
    <w:tblStylePr w:type="lastCol">
      <w:rPr>
        <w:sz w:val="22"/>
      </w:rPr>
      <w:tblPr/>
      <w:tcPr>
        <w:tcBorders>
          <w:left w:val="single" w:color="000000" w:themeColor="accent1" w:sz="12" w:space="0"/>
        </w:tcBorders>
      </w:tcPr>
    </w:tblStylePr>
    <w:tblStylePr w:type="lastRow">
      <w:rPr>
        <w:sz w:val="22"/>
      </w:rPr>
      <w:tblPr/>
      <w:tcPr>
        <w:tcBorders>
          <w:top w:val="single" w:color="000000" w:themeColor="accent1" w:sz="12" w:space="0"/>
        </w:tcBorders>
      </w:tcPr>
    </w:tblStylePr>
  </w:style>
  <w:style w:type="table" w:styleId="952">
    <w:name w:val="Bordered - Accent 2"/>
    <w:uiPriority w:val="99"/>
    <w:pPr>
      <w:spacing w:after="0" w:line="240" w:lineRule="auto"/>
    </w:pPr>
    <w:tblPr>
      <w:tblStyleRowBandSize w:val="1"/>
      <w:tblStyleColBandSize w:val="1"/>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sz w:val="22"/>
      </w:rPr>
      <w:tblPr/>
      <w:tcPr>
        <w:tcBorders>
          <w:top w:val="single" w:color="000000" w:themeColor="accent2" w:sz="4" w:space="0"/>
          <w:left w:val="single" w:color="000000" w:themeColor="accent2" w:sz="4" w:space="0"/>
          <w:bottom w:val="single" w:color="000000" w:themeColor="accent2" w:sz="4" w:space="0"/>
          <w:right w:val="single" w:color="000000" w:themeColor="accent2" w:sz="4" w:space="0"/>
        </w:tcBorders>
      </w:tcPr>
    </w:tblStylePr>
    <w:tblStylePr w:type="firstCol">
      <w:rPr>
        <w:sz w:val="22"/>
      </w:rPr>
      <w:tblPr/>
    </w:tblStylePr>
    <w:tblStylePr w:type="firstRow">
      <w:rPr>
        <w:sz w:val="22"/>
      </w:rPr>
      <w:tblPr/>
      <w:tcPr>
        <w:tcBorders>
          <w:bottom w:val="single" w:color="000000" w:themeColor="accent2" w:sz="12" w:space="0"/>
        </w:tcBorders>
      </w:tcPr>
    </w:tblStylePr>
    <w:tblStylePr w:type="lastCol">
      <w:rPr>
        <w:sz w:val="22"/>
      </w:rPr>
      <w:tblPr/>
      <w:tcPr>
        <w:tcBorders>
          <w:left w:val="single" w:color="000000" w:themeColor="accent2" w:sz="12" w:space="0"/>
        </w:tcBorders>
      </w:tcPr>
    </w:tblStylePr>
    <w:tblStylePr w:type="lastRow">
      <w:rPr>
        <w:sz w:val="22"/>
      </w:rPr>
      <w:tblPr/>
      <w:tcPr>
        <w:tcBorders>
          <w:top w:val="single" w:color="000000" w:themeColor="accent2" w:sz="12" w:space="0"/>
        </w:tcBorders>
      </w:tcPr>
    </w:tblStylePr>
  </w:style>
  <w:style w:type="table" w:styleId="953">
    <w:name w:val="Bordered - Accent 3"/>
    <w:uiPriority w:val="99"/>
    <w:pPr>
      <w:spacing w:after="0" w:line="240" w:lineRule="auto"/>
    </w:pPr>
    <w:tblPr>
      <w:tblStyleRowBandSize w:val="1"/>
      <w:tblStyleColBandSize w:val="1"/>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sz w:val="22"/>
      </w:rPr>
      <w:tblPr/>
      <w:tcPr>
        <w:tcBorders>
          <w:top w:val="single" w:color="000000" w:themeColor="accent3" w:sz="4" w:space="0"/>
          <w:left w:val="single" w:color="000000" w:themeColor="accent3" w:sz="4" w:space="0"/>
          <w:bottom w:val="single" w:color="000000" w:themeColor="accent3" w:sz="4" w:space="0"/>
          <w:right w:val="single" w:color="000000" w:themeColor="accent3" w:sz="4" w:space="0"/>
        </w:tcBorders>
      </w:tcPr>
    </w:tblStylePr>
    <w:tblStylePr w:type="firstCol">
      <w:rPr>
        <w:sz w:val="22"/>
      </w:rPr>
      <w:tblPr/>
    </w:tblStylePr>
    <w:tblStylePr w:type="firstRow">
      <w:rPr>
        <w:sz w:val="22"/>
      </w:rPr>
      <w:tblPr/>
      <w:tcPr>
        <w:tcBorders>
          <w:bottom w:val="single" w:color="000000" w:themeColor="accent3" w:sz="12" w:space="0"/>
        </w:tcBorders>
      </w:tcPr>
    </w:tblStylePr>
    <w:tblStylePr w:type="lastCol">
      <w:rPr>
        <w:sz w:val="22"/>
      </w:rPr>
      <w:tblPr/>
      <w:tcPr>
        <w:tcBorders>
          <w:left w:val="single" w:color="000000" w:themeColor="accent3" w:sz="12" w:space="0"/>
        </w:tcBorders>
      </w:tcPr>
    </w:tblStylePr>
    <w:tblStylePr w:type="lastRow">
      <w:rPr>
        <w:sz w:val="22"/>
      </w:rPr>
      <w:tblPr/>
      <w:tcPr>
        <w:tcBorders>
          <w:top w:val="single" w:color="000000" w:themeColor="accent3" w:sz="12" w:space="0"/>
        </w:tcBorders>
      </w:tcPr>
    </w:tblStylePr>
  </w:style>
  <w:style w:type="table" w:styleId="954">
    <w:name w:val="Bordered - Accent 4"/>
    <w:uiPriority w:val="99"/>
    <w:pPr>
      <w:spacing w:after="0" w:line="240" w:lineRule="auto"/>
    </w:pPr>
    <w:tblPr>
      <w:tblStyleRowBandSize w:val="1"/>
      <w:tblStyleColBandSize w:val="1"/>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sz w:val="22"/>
      </w:rPr>
      <w:tblPr/>
      <w:tcPr>
        <w:tcBorders>
          <w:top w:val="single" w:color="000000" w:themeColor="accent4" w:sz="4" w:space="0"/>
          <w:left w:val="single" w:color="000000" w:themeColor="accent4" w:sz="4" w:space="0"/>
          <w:bottom w:val="single" w:color="000000" w:themeColor="accent4" w:sz="4" w:space="0"/>
          <w:right w:val="single" w:color="000000" w:themeColor="accent4" w:sz="4" w:space="0"/>
        </w:tcBorders>
      </w:tcPr>
    </w:tblStylePr>
    <w:tblStylePr w:type="firstCol">
      <w:rPr>
        <w:sz w:val="22"/>
      </w:rPr>
      <w:tblPr/>
    </w:tblStylePr>
    <w:tblStylePr w:type="firstRow">
      <w:rPr>
        <w:sz w:val="22"/>
      </w:rPr>
      <w:tblPr/>
      <w:tcPr>
        <w:tcBorders>
          <w:bottom w:val="single" w:color="000000" w:themeColor="accent4" w:sz="12" w:space="0"/>
        </w:tcBorders>
      </w:tcPr>
    </w:tblStylePr>
    <w:tblStylePr w:type="lastCol">
      <w:rPr>
        <w:sz w:val="22"/>
      </w:rPr>
      <w:tblPr/>
      <w:tcPr>
        <w:tcBorders>
          <w:left w:val="single" w:color="000000" w:themeColor="accent4" w:sz="12" w:space="0"/>
        </w:tcBorders>
      </w:tcPr>
    </w:tblStylePr>
    <w:tblStylePr w:type="lastRow">
      <w:rPr>
        <w:sz w:val="22"/>
      </w:rPr>
      <w:tblPr/>
      <w:tcPr>
        <w:tcBorders>
          <w:top w:val="single" w:color="000000" w:themeColor="accent4" w:sz="12" w:space="0"/>
        </w:tcBorders>
      </w:tcPr>
    </w:tblStylePr>
  </w:style>
  <w:style w:type="table" w:styleId="955">
    <w:name w:val="Bordered - Accent 5"/>
    <w:uiPriority w:val="99"/>
    <w:pPr>
      <w:spacing w:after="0" w:line="240" w:lineRule="auto"/>
    </w:pPr>
    <w:tblPr>
      <w:tblStyleRowBandSize w:val="1"/>
      <w:tblStyleColBandSize w:val="1"/>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sz w:val="22"/>
      </w:rPr>
      <w:tblPr/>
      <w:tcPr>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firstCol">
      <w:rPr>
        <w:sz w:val="22"/>
      </w:rPr>
      <w:tblPr/>
    </w:tblStylePr>
    <w:tblStylePr w:type="firstRow">
      <w:rPr>
        <w:sz w:val="22"/>
      </w:rPr>
      <w:tblPr/>
      <w:tcPr>
        <w:tcBorders>
          <w:bottom w:val="single" w:color="000000" w:themeColor="accent5" w:sz="12" w:space="0"/>
        </w:tcBorders>
      </w:tcPr>
    </w:tblStylePr>
    <w:tblStylePr w:type="lastCol">
      <w:rPr>
        <w:sz w:val="22"/>
      </w:rPr>
      <w:tblPr/>
      <w:tcPr>
        <w:tcBorders>
          <w:left w:val="single" w:color="000000" w:themeColor="accent5" w:sz="12" w:space="0"/>
        </w:tcBorders>
      </w:tcPr>
    </w:tblStylePr>
    <w:tblStylePr w:type="lastRow">
      <w:rPr>
        <w:sz w:val="22"/>
      </w:rPr>
      <w:tblPr/>
      <w:tcPr>
        <w:tcBorders>
          <w:top w:val="single" w:color="000000" w:themeColor="accent5" w:sz="12" w:space="0"/>
        </w:tcBorders>
      </w:tcPr>
    </w:tblStylePr>
  </w:style>
  <w:style w:type="table" w:styleId="956">
    <w:name w:val="Bordered - Accent 6"/>
    <w:uiPriority w:val="99"/>
    <w:pPr>
      <w:spacing w:after="0" w:line="240" w:lineRule="auto"/>
    </w:pPr>
    <w:tblPr>
      <w:tblStyleRowBandSize w:val="1"/>
      <w:tblStyleColBandSize w:val="1"/>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sz w:val="22"/>
      </w:rPr>
      <w:tblPr/>
      <w:tcPr>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firstCol">
      <w:rPr>
        <w:sz w:val="22"/>
      </w:rPr>
      <w:tblPr/>
    </w:tblStylePr>
    <w:tblStylePr w:type="firstRow">
      <w:rPr>
        <w:sz w:val="22"/>
      </w:rPr>
      <w:tblPr/>
      <w:tcPr>
        <w:tcBorders>
          <w:bottom w:val="single" w:color="000000" w:themeColor="accent6" w:sz="12" w:space="0"/>
        </w:tcBorders>
      </w:tcPr>
    </w:tblStylePr>
    <w:tblStylePr w:type="lastCol">
      <w:rPr>
        <w:sz w:val="22"/>
      </w:rPr>
      <w:tblPr/>
      <w:tcPr>
        <w:tcBorders>
          <w:left w:val="single" w:color="000000" w:themeColor="accent6" w:sz="12" w:space="0"/>
        </w:tcBorders>
      </w:tcPr>
    </w:tblStylePr>
    <w:tblStylePr w:type="lastRow">
      <w:rPr>
        <w:sz w:val="22"/>
      </w:rPr>
      <w:tblPr/>
      <w:tcPr>
        <w:tcBorders>
          <w:top w:val="single" w:color="000000" w:themeColor="accent6" w:sz="12" w:space="0"/>
        </w:tcBorders>
      </w:tcPr>
    </w:tblStylePr>
  </w:style>
  <w:style w:type="table" w:default="1" w:styleId="957">
    <w:name w:val="Normal Table"/>
    <w:uiPriority w:val="99"/>
    <w:semiHidden/>
    <w:unhideWhenUsed/>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torgi.gov.ru/" TargetMode="External"/><Relationship Id="rId3" Type="http://schemas.openxmlformats.org/officeDocument/2006/relationships/hyperlink" Target="http://www.gorodperm.ru/" TargetMode="External"/><Relationship Id="rId4" Type="http://schemas.openxmlformats.org/officeDocument/2006/relationships/hyperlink" Target="http://utp.sberbank-ast.ru/" TargetMode="External"/><Relationship Id="rId5" Type="http://schemas.openxmlformats.org/officeDocument/2006/relationships/hyperlink" Target="http://utp.sberbank-ast.ru/" TargetMode="External"/><Relationship Id="rId6" Type="http://schemas.openxmlformats.org/officeDocument/2006/relationships/hyperlink" Target="https://utp.sberbank-ast.ru/Main/Notice/988/Reglament" TargetMode="External"/><Relationship Id="rId7" Type="http://schemas.openxmlformats.org/officeDocument/2006/relationships/hyperlink" Target="https://utp.sberbank-ast.ru/AP/Notice/1027/Instructions" TargetMode="External"/><Relationship Id="rId8" Type="http://schemas.openxmlformats.org/officeDocument/2006/relationships/hyperlink" Target="https://utp.sberbank-ast.ru/AP/Notice/652/Instructions" TargetMode="External"/><Relationship Id="rId9" Type="http://schemas.openxmlformats.org/officeDocument/2006/relationships/hyperlink" Target="http://www.gorodperm.ru/" TargetMode="External"/><Relationship Id="rId10" Type="http://schemas.openxmlformats.org/officeDocument/2006/relationships/hyperlink" Target="http://www.gorodperm.ru/" TargetMode="External"/><Relationship Id="rId11" Type="http://schemas.openxmlformats.org/officeDocument/2006/relationships/hyperlink" Target="https://" TargetMode="External"/><Relationship Id="rId12" Type="http://schemas.openxmlformats.org/officeDocument/2006/relationships/hyperlink" Target="mailto:perm-mail@ural.rt.ru" TargetMode="External"/><Relationship Id="rId13" Type="http://schemas.openxmlformats.org/officeDocument/2006/relationships/hyperlink" Target="http://www.gorodperm.ru/" TargetMode="External"/><Relationship Id="rId14" Type="http://schemas.openxmlformats.org/officeDocument/2006/relationships/hyperlink" Target="http://www.gorodperm.ru/" TargetMode="External"/><Relationship Id="rId15" Type="http://schemas.openxmlformats.org/officeDocument/2006/relationships/hyperlink" Target="https://" TargetMode="External"/><Relationship Id="rId16" Type="http://schemas.openxmlformats.org/officeDocument/2006/relationships/hyperlink" Target="http://perm-mail@ural.rt.ru" TargetMode="External"/><Relationship Id="rId17" Type="http://schemas.openxmlformats.org/officeDocument/2006/relationships/hyperlink" Target="http://www.gorodperm.ru/" TargetMode="External"/><Relationship Id="rId18" Type="http://schemas.openxmlformats.org/officeDocument/2006/relationships/hyperlink" Target="http://www.gorodperm.ru/" TargetMode="External"/><Relationship Id="rId19" Type="http://schemas.openxmlformats.org/officeDocument/2006/relationships/hyperlink" Target="https://" TargetMode="External"/><Relationship Id="rId20" Type="http://schemas.openxmlformats.org/officeDocument/2006/relationships/hyperlink" Target="mailto:perm-mail@ural.rt.ru" TargetMode="External"/><Relationship Id="rId21" Type="http://schemas.openxmlformats.org/officeDocument/2006/relationships/hyperlink" Target="http://www.gorodperm.ru/" TargetMode="External"/><Relationship Id="rId22" Type="http://schemas.openxmlformats.org/officeDocument/2006/relationships/hyperlink" Target="http://www.gorodperm.ru/" TargetMode="External"/><Relationship Id="rId23" Type="http://schemas.openxmlformats.org/officeDocument/2006/relationships/hyperlink" Target="https://" TargetMode="External"/><Relationship Id="rId24" Type="http://schemas.openxmlformats.org/officeDocument/2006/relationships/hyperlink" Target="http://perm-mail@ural.rt.ru" TargetMode="External"/><Relationship Id="rId25" Type="http://schemas.openxmlformats.org/officeDocument/2006/relationships/hyperlink" Target="http://www.gorodperm.ru/" TargetMode="External"/><Relationship Id="rId26" Type="http://schemas.openxmlformats.org/officeDocument/2006/relationships/hyperlink" Target="http://www.gorodperm.ru/" TargetMode="External"/><Relationship Id="rId27" Type="http://schemas.openxmlformats.org/officeDocument/2006/relationships/hyperlink" Target="https://" TargetMode="External"/><Relationship Id="rId28" Type="http://schemas.openxmlformats.org/officeDocument/2006/relationships/hyperlink" Target="http://post@pf.ugaz.ru" TargetMode="External"/><Relationship Id="rId29" Type="http://schemas.openxmlformats.org/officeDocument/2006/relationships/hyperlink" Target="mailto:perm-mail@ural.rt.ru" TargetMode="External"/><Relationship Id="rId30" Type="http://schemas.openxmlformats.org/officeDocument/2006/relationships/hyperlink" Target="http://utp.sberbank-ast.ru/AP/Notice/653/Requisites" TargetMode="External"/><Relationship Id="rId31" Type="http://schemas.openxmlformats.org/officeDocument/2006/relationships/header" Target="header1.xml"/><Relationship Id="rId32" Type="http://schemas.openxmlformats.org/officeDocument/2006/relationships/header" Target="header2.xml"/><Relationship Id="rId33" Type="http://schemas.openxmlformats.org/officeDocument/2006/relationships/numbering" Target="numbering.xml"/><Relationship Id="rId34" Type="http://schemas.openxmlformats.org/officeDocument/2006/relationships/fontTable" Target="fontTable.xml"/><Relationship Id="rId35" Type="http://schemas.openxmlformats.org/officeDocument/2006/relationships/settings" Target="settings.xml"/><Relationship Id="rId3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pitchFamily="0" charset="1"/>
        <a:ea typeface="Arial" pitchFamily="0" charset="1"/>
        <a:cs typeface="Arial" pitchFamily="0" charset="1"/>
      </a:majorFont>
      <a:minorFont>
        <a:latin typeface="Arial" pitchFamily="0" charset="1"/>
        <a:ea typeface="Arial" pitchFamily="0" charset="1"/>
        <a:cs typeface="Arial" pitchFamily="0" charset="1"/>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a:ln w="25400"/>
        <a:ln w="38100"/>
      </a:lnStyleLst>
      <a:effectStyleLst>
        <a:effectStyle>
          <a:effectLst/>
        </a:effectStyle>
        <a:effectStyle>
          <a:effectLst/>
        </a:effectStyle>
        <a:effectStyle>
          <a:effectLst/>
        </a:effectStyle>
      </a:effectStyleLst>
      <a:bgFillStyleLst>
        <a:solidFill>
          <a:schemeClr val="phClr"/>
        </a:solidFill>
        <a:solidFill>
          <a:srgbClr val="000000"/>
        </a:solidFill>
        <a:solidFill>
          <a:srgbClr val="000000"/>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779</TotalTime>
  <Application>LibreOffice/7.6.7.2$Linux_X86_64 LibreOffice_project/60$Build-2</Application>
  <AppVersion>15.0000</AppVersion>
  <Pages>53</Pages>
  <Words>16359</Words>
  <Characters>116801</Characters>
  <CharactersWithSpaces>132771</CharactersWithSpaces>
  <Paragraphs>758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2023-10-30T09:15:00Z</dcterms:created>
  <dc:creator>Tatyannikova</dc:creator>
  <dc:description/>
  <dc:language>ru-RU</dc:language>
  <cp:lastModifiedBy/>
  <dcterms:modified xsi:type="dcterms:W3CDTF">2026-06-29T14:52:22Z</dcterms:modified>
  <cp:revision>466</cp:revision>
  <dc:subject/>
  <dc:title>Департамент имущественных отношений администрации города Перми</dc:title>
</cp:coreProperties>
</file>

<file path=docProps/custom.xml><?xml version="1.0" encoding="utf-8"?>
<Properties xmlns="http://schemas.openxmlformats.org/officeDocument/2006/custom-properties" xmlns:vt="http://schemas.openxmlformats.org/officeDocument/2006/docPropsVTypes"/>
</file>