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jc w:val="center"/>
        <w:outlineLvl w:val="0"/>
        <w:rPr>
          <w:sz w:val="28"/>
          <w:szCs w:val="28"/>
        </w:rPr>
      </w:pPr>
      <w:r>
        <w:rPr>
          <w:sz w:val="28"/>
          <w:szCs w:val="28"/>
        </w:rPr>
        <w:t>Департамент имущественных отношений администрации города Перми</w:t>
      </w:r>
    </w:p>
    <w:p>
      <w:pPr>
        <w:pStyle w:val="Normal"/>
        <w:rPr>
          <w:sz w:val="28"/>
          <w:szCs w:val="28"/>
        </w:rPr>
      </w:pPr>
      <w:r>
        <w:rPr>
          <w:sz w:val="28"/>
          <w:szCs w:val="28"/>
        </w:rPr>
      </w:r>
    </w:p>
    <w:p>
      <w:pPr>
        <w:pStyle w:val="Normal"/>
        <w:numPr>
          <w:ilvl w:val="0"/>
          <w:numId w:val="0"/>
        </w:numPr>
        <w:ind w:hanging="0" w:left="0"/>
        <w:jc w:val="center"/>
        <w:outlineLvl w:val="0"/>
        <w:rPr>
          <w:b/>
          <w:sz w:val="28"/>
          <w:szCs w:val="28"/>
        </w:rPr>
      </w:pPr>
      <w:r>
        <w:rPr>
          <w:b/>
          <w:sz w:val="28"/>
          <w:szCs w:val="28"/>
        </w:rPr>
        <w:t xml:space="preserve">Протокол рассмотрения заявок на участие в электронных аукционах </w:t>
      </w:r>
    </w:p>
    <w:p>
      <w:pPr>
        <w:pStyle w:val="Normal"/>
        <w:numPr>
          <w:ilvl w:val="0"/>
          <w:numId w:val="0"/>
        </w:numPr>
        <w:ind w:hanging="0" w:left="0"/>
        <w:jc w:val="center"/>
        <w:outlineLvl w:val="0"/>
        <w:rPr>
          <w:b/>
          <w:sz w:val="28"/>
          <w:szCs w:val="28"/>
        </w:rPr>
      </w:pPr>
      <w:r>
        <w:rPr>
          <w:b/>
          <w:sz w:val="28"/>
          <w:szCs w:val="28"/>
        </w:rPr>
        <w:t>на право</w:t>
      </w:r>
      <w:r>
        <w:rPr>
          <w:rFonts w:eastAsia="Droid Sans Fallback" w:cs="Lohit Devanagari"/>
          <w:b/>
          <w:color w:val="auto"/>
          <w:sz w:val="28"/>
          <w:szCs w:val="28"/>
          <w:lang w:val="ru-RU" w:eastAsia="ru-RU" w:bidi="ar-SA"/>
        </w:rPr>
        <w:t xml:space="preserve"> заключения договоров аренды  зем</w:t>
      </w:r>
      <w:r>
        <w:rPr>
          <w:b/>
          <w:sz w:val="28"/>
          <w:szCs w:val="28"/>
        </w:rPr>
        <w:t>ельных участков</w:t>
      </w:r>
    </w:p>
    <w:p>
      <w:pPr>
        <w:pStyle w:val="Normal"/>
        <w:numPr>
          <w:ilvl w:val="0"/>
          <w:numId w:val="0"/>
        </w:numPr>
        <w:ind w:hanging="0" w:left="0"/>
        <w:outlineLvl w:val="0"/>
        <w:rPr>
          <w:sz w:val="28"/>
          <w:szCs w:val="28"/>
        </w:rPr>
      </w:pPr>
      <w:r>
        <w:rPr>
          <w:sz w:val="28"/>
          <w:szCs w:val="28"/>
        </w:rPr>
      </w:r>
    </w:p>
    <w:p>
      <w:pPr>
        <w:pStyle w:val="Normal"/>
        <w:jc w:val="center"/>
        <w:rPr>
          <w:sz w:val="28"/>
          <w:szCs w:val="28"/>
        </w:rPr>
      </w:pPr>
      <w:r>
        <w:rPr>
          <w:sz w:val="28"/>
          <w:szCs w:val="28"/>
        </w:rPr>
        <w:t xml:space="preserve">г. Пермь, ул. Сибирская, д.14, каб. 2                      </w:t>
        <w:tab/>
        <w:t xml:space="preserve">                               </w:t>
      </w:r>
      <w:r>
        <w:rPr>
          <w:sz w:val="28"/>
          <w:szCs w:val="28"/>
        </w:rPr>
        <w:t>15</w:t>
      </w:r>
      <w:r>
        <w:rPr>
          <w:sz w:val="28"/>
          <w:szCs w:val="28"/>
        </w:rPr>
        <w:t xml:space="preserve">.07.2026 </w:t>
      </w:r>
    </w:p>
    <w:p>
      <w:pPr>
        <w:pStyle w:val="Normal"/>
        <w:jc w:val="both"/>
        <w:rPr>
          <w:sz w:val="28"/>
          <w:szCs w:val="28"/>
        </w:rPr>
      </w:pPr>
      <w:r>
        <w:rPr>
          <w:sz w:val="28"/>
          <w:szCs w:val="28"/>
        </w:rPr>
      </w:r>
    </w:p>
    <w:p>
      <w:pPr>
        <w:pStyle w:val="Normal"/>
        <w:tabs>
          <w:tab w:val="clear" w:pos="708"/>
          <w:tab w:val="left" w:pos="2805" w:leader="none"/>
        </w:tabs>
        <w:spacing w:lineRule="auto" w:line="276"/>
        <w:ind w:firstLine="720"/>
        <w:jc w:val="both"/>
        <w:rPr>
          <w:highlight w:val="white"/>
        </w:rPr>
      </w:pPr>
      <w:r>
        <w:rPr>
          <w:sz w:val="28"/>
          <w:szCs w:val="28"/>
          <w:highlight w:val="white"/>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highlight w:val="white"/>
        </w:rPr>
      </w:pPr>
      <w:r>
        <w:rPr>
          <w:sz w:val="28"/>
          <w:szCs w:val="28"/>
          <w:highlight w:val="white"/>
        </w:rPr>
        <w:t xml:space="preserve">             </w:t>
      </w:r>
    </w:p>
    <w:p>
      <w:pPr>
        <w:pStyle w:val="Normal"/>
        <w:widowControl/>
        <w:spacing w:lineRule="auto" w:line="276" w:before="0" w:after="120"/>
        <w:ind w:hanging="3000" w:left="3000" w:right="0"/>
        <w:jc w:val="both"/>
        <w:rPr>
          <w:highlight w:val="white"/>
        </w:rPr>
      </w:pPr>
      <w:r>
        <w:rPr>
          <w:sz w:val="28"/>
          <w:szCs w:val="28"/>
          <w:highlight w:val="white"/>
          <w:lang w:eastAsia="en-US"/>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pacing w:lineRule="auto" w:line="276" w:before="0" w:after="120"/>
        <w:ind w:hanging="4680" w:left="4680" w:right="0"/>
        <w:jc w:val="both"/>
        <w:rPr>
          <w:highlight w:val="white"/>
        </w:rPr>
      </w:pPr>
      <w:r>
        <w:rPr>
          <w:sz w:val="28"/>
          <w:szCs w:val="28"/>
          <w:highlight w:val="white"/>
          <w:lang w:eastAsia="en-US"/>
        </w:rPr>
        <w:t xml:space="preserve">Заместитель председателя комиссии: </w:t>
      </w:r>
      <w:r>
        <w:rPr>
          <w:rFonts w:eastAsia="Droid Sans Fallback" w:cs="Lohit Devanagari"/>
          <w:color w:val="auto"/>
          <w:sz w:val="28"/>
          <w:szCs w:val="28"/>
          <w:highlight w:val="white"/>
          <w:lang w:val="ru-RU" w:eastAsia="en-US" w:bidi="ar-SA"/>
        </w:rPr>
        <w:t>Шафранова Е.П.,</w:t>
      </w:r>
      <w:r>
        <w:rPr>
          <w:sz w:val="28"/>
          <w:szCs w:val="28"/>
          <w:highlight w:val="white"/>
          <w:lang w:eastAsia="en-US"/>
        </w:rPr>
        <w:t xml:space="preserve">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highlight w:val="white"/>
          <w:lang w:val="ru-RU" w:eastAsia="en-US" w:bidi="ar-SA"/>
        </w:rPr>
        <w:t>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r>
        <w:rPr>
          <w:sz w:val="28"/>
          <w:szCs w:val="28"/>
          <w:highlight w:val="white"/>
          <w:lang w:eastAsia="en-US"/>
        </w:rPr>
        <w:t xml:space="preserve"> </w:t>
      </w:r>
    </w:p>
    <w:p>
      <w:pPr>
        <w:pStyle w:val="Normal"/>
        <w:widowControl/>
        <w:tabs>
          <w:tab w:val="clear" w:pos="708"/>
          <w:tab w:val="left" w:pos="2100" w:leader="none"/>
        </w:tabs>
        <w:spacing w:lineRule="auto" w:line="276" w:before="0" w:after="0"/>
        <w:ind w:hanging="2268" w:left="2268" w:right="0"/>
        <w:jc w:val="both"/>
        <w:rPr/>
      </w:pPr>
      <w:r>
        <w:rPr>
          <w:rFonts w:eastAsia="Droid Sans Fallback" w:cs="Lohit Devanagari"/>
          <w:color w:val="000000"/>
          <w:sz w:val="28"/>
          <w:szCs w:val="28"/>
          <w:shd w:fill="auto" w:val="clear"/>
          <w:lang w:val="ru-RU" w:eastAsia="ru-RU" w:bidi="ar-SA"/>
        </w:rPr>
        <w:t>Члены комиссии:  Союстова А.А., заместитель начальника отдела сопровождения договоров департамента земельных отношений администрации города Перми;</w:t>
      </w:r>
    </w:p>
    <w:p>
      <w:pPr>
        <w:pStyle w:val="Normal"/>
        <w:widowControl/>
        <w:spacing w:lineRule="auto" w:line="276" w:before="0" w:after="0"/>
        <w:ind w:hanging="0" w:left="2160" w:right="0"/>
        <w:jc w:val="both"/>
        <w:rPr>
          <w:rFonts w:ascii="Times New Roman" w:hAnsi="Times New Roman" w:eastAsia="Droid Sans Fallback" w:cs="Lohit Devanagari"/>
          <w:sz w:val="28"/>
          <w:szCs w:val="28"/>
          <w:lang w:val="ru-RU" w:eastAsia="en-US" w:bidi="ar-SA"/>
        </w:rPr>
      </w:pPr>
      <w:r>
        <w:rPr>
          <w:rFonts w:eastAsia="Droid Sans Fallback" w:cs="Lohit Devanagari"/>
          <w:sz w:val="28"/>
          <w:szCs w:val="28"/>
          <w:lang w:val="ru-RU" w:eastAsia="en-US" w:bidi="ar-SA"/>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rPr>
      </w:pPr>
      <w:r>
        <w:rPr>
          <w:sz w:val="28"/>
          <w:szCs w:val="28"/>
        </w:rPr>
        <w:t xml:space="preserve">рассмотрев заявки на </w:t>
      </w:r>
      <w:r>
        <w:rPr>
          <w:rFonts w:eastAsia="Droid Sans Fallback" w:cs="Lohit Devanagari"/>
          <w:color w:val="auto"/>
          <w:sz w:val="28"/>
          <w:szCs w:val="28"/>
          <w:lang w:val="ru-RU" w:eastAsia="ru-RU" w:bidi="ar-SA"/>
        </w:rPr>
        <w:t xml:space="preserve">участие в электронных аукционах, назначенных                           на </w:t>
      </w:r>
      <w:r>
        <w:rPr>
          <w:rFonts w:eastAsia="Droid Sans Fallback" w:cs="Lohit Devanagari"/>
          <w:color w:val="auto"/>
          <w:sz w:val="28"/>
          <w:szCs w:val="28"/>
          <w:lang w:val="ru-RU" w:eastAsia="ru-RU" w:bidi="ar-SA"/>
        </w:rPr>
        <w:t>16</w:t>
      </w:r>
      <w:r>
        <w:rPr>
          <w:rFonts w:eastAsia="Droid Sans Fallback" w:cs="Lohit Devanagari"/>
          <w:color w:val="auto"/>
          <w:sz w:val="28"/>
          <w:szCs w:val="28"/>
          <w:lang w:val="ru-RU" w:eastAsia="ru-RU" w:bidi="ar-SA"/>
        </w:rPr>
        <w:t xml:space="preserve">.07.2026 (процедура </w:t>
      </w:r>
      <w:r>
        <w:rPr>
          <w:rFonts w:eastAsia="Droid Sans Fallback" w:cs="Lohit Devanagari"/>
          <w:color w:val="auto"/>
          <w:sz w:val="28"/>
          <w:szCs w:val="28"/>
          <w:lang w:val="ru-RU" w:eastAsia="ru-RU" w:bidi="ar-SA"/>
        </w:rPr>
        <w:t>№ SBR012-2606260100), ре</w:t>
      </w:r>
      <w:r>
        <w:rPr>
          <w:rFonts w:eastAsia="Droid Sans Fallback" w:cs="Lohit Devanagari"/>
          <w:color w:val="auto"/>
          <w:sz w:val="28"/>
          <w:szCs w:val="28"/>
          <w:lang w:val="ru-RU" w:eastAsia="ru-RU" w:bidi="ar-SA"/>
        </w:rPr>
        <w:t>шила:</w:t>
      </w:r>
    </w:p>
    <w:p>
      <w:pPr>
        <w:pStyle w:val="Normal"/>
        <w:spacing w:lineRule="auto" w:line="276" w:before="0" w:after="0"/>
        <w:ind w:hanging="0" w:left="0"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rPr>
      </w:pPr>
      <w:r>
        <w:rPr>
          <w:b/>
          <w:sz w:val="28"/>
          <w:szCs w:val="28"/>
        </w:rPr>
        <w:t xml:space="preserve">Лот № 1 </w:t>
      </w:r>
      <w:r>
        <w:rPr>
          <w:rFonts w:eastAsia="Droid Sans Fallback" w:cs="Lohit Devanagari"/>
          <w:b w:val="false"/>
          <w:bCs w:val="false"/>
          <w:color w:val="auto"/>
          <w:sz w:val="28"/>
          <w:szCs w:val="28"/>
          <w:lang w:val="ru-RU" w:eastAsia="ru-RU" w:bidi="ar-SA"/>
        </w:rPr>
        <w:t>– п</w:t>
      </w:r>
      <w:r>
        <w:rPr>
          <w:rFonts w:eastAsia="Times New Roman" w:cs="Times New Roman"/>
          <w:b w:val="false"/>
          <w:bCs w:val="false"/>
          <w:i w:val="false"/>
          <w:iCs w:val="false"/>
          <w:caps w:val="false"/>
          <w:smallCaps w:val="false"/>
          <w:color w:val="000000"/>
          <w:sz w:val="28"/>
          <w:szCs w:val="28"/>
        </w:rPr>
        <w:t>раво</w:t>
      </w:r>
      <w:r>
        <w:rPr>
          <w:rFonts w:eastAsia="Times New Roman" w:cs="Times New Roman"/>
          <w:b w:val="false"/>
          <w:bCs w:val="false"/>
          <w:i w:val="false"/>
          <w:iCs w:val="false"/>
          <w:caps w:val="false"/>
          <w:smallCaps w:val="false"/>
          <w:color w:val="000000"/>
          <w:sz w:val="28"/>
          <w:szCs w:val="28"/>
          <w:lang w:val="ru-RU" w:eastAsia="ru-RU" w:bidi="ar-SA"/>
        </w:rPr>
        <w:t xml:space="preserve"> заключения договора аренды земельного участка, находящегося в муниципальной собственности, с кадастровым номером 59:01:3610013:148 площадью 495 кв. м, расположенного по адресу: Российская Федерация, Пермский край, городской округ Пермский, город Пермь, переулок Клубный,            з/у 16а,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themeColor="text1" w:val="000000"/>
        </w:rPr>
      </w:pPr>
      <w:r>
        <w:rPr/>
      </w:r>
    </w:p>
    <w:tbl>
      <w:tblPr>
        <w:tblW w:w="101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6"/>
        <w:gridCol w:w="2469"/>
        <w:gridCol w:w="2336"/>
        <w:gridCol w:w="2259"/>
        <w:gridCol w:w="2260"/>
      </w:tblGrid>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lang w:val="ru-RU" w:eastAsia="ru-RU" w:bidi="ar-SA"/>
              </w:rPr>
              <w:t>п/п</w:t>
            </w:r>
          </w:p>
        </w:tc>
        <w:tc>
          <w:tcPr>
            <w:tcW w:w="246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Единственный заявитель,</w:t>
            </w:r>
          </w:p>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номер заявки</w:t>
            </w:r>
          </w:p>
        </w:tc>
        <w:tc>
          <w:tcPr>
            <w:tcW w:w="233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Дата и время подачи заявки</w:t>
            </w:r>
          </w:p>
        </w:tc>
        <w:tc>
          <w:tcPr>
            <w:tcW w:w="225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Сведения               о внесенном задатке</w:t>
            </w:r>
          </w:p>
        </w:tc>
        <w:tc>
          <w:tcPr>
            <w:tcW w:w="226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Решение комиссии</w:t>
            </w:r>
          </w:p>
        </w:tc>
      </w:tr>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1</w:t>
            </w:r>
          </w:p>
        </w:tc>
        <w:tc>
          <w:tcPr>
            <w:tcW w:w="246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Муслядинова Юлия Мустафаевна,</w:t>
            </w:r>
          </w:p>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ru-RU" w:eastAsia="ru-RU" w:bidi="ar-SA"/>
              </w:rPr>
              <w:t>2017</w:t>
            </w:r>
          </w:p>
        </w:tc>
        <w:tc>
          <w:tcPr>
            <w:tcW w:w="2336"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ru-RU" w:eastAsia="ru-RU" w:bidi="ar-SA"/>
              </w:rPr>
              <w:t>30.06.2026 14:14</w:t>
            </w:r>
          </w:p>
        </w:tc>
        <w:tc>
          <w:tcPr>
            <w:tcW w:w="225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ru-RU" w:eastAsia="ru-RU" w:bidi="ar-SA"/>
              </w:rPr>
              <w:t>65 350,00</w:t>
            </w:r>
          </w:p>
        </w:tc>
        <w:tc>
          <w:tcPr>
            <w:tcW w:w="226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Допустить                к участию                 в аукционе              и признать участником аукциона</w:t>
            </w:r>
          </w:p>
        </w:tc>
      </w:tr>
    </w:tbl>
    <w:p>
      <w:pPr>
        <w:pStyle w:val="Normal"/>
        <w:spacing w:lineRule="auto" w:line="240"/>
        <w:ind w:hanging="0"/>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p>
      <w:pPr>
        <w:pStyle w:val="Normal"/>
        <w:spacing w:lineRule="auto" w:line="276"/>
        <w:ind w:firstLine="708"/>
        <w:jc w:val="both"/>
        <w:rPr/>
      </w:pPr>
      <w:r>
        <w:rPr>
          <w:rFonts w:eastAsia="Times New Roman" w:cs="Times New Roman"/>
          <w:b w:val="false"/>
          <w:bCs w:val="false"/>
          <w:i w:val="false"/>
          <w:iCs w:val="false"/>
          <w:caps w:val="false"/>
          <w:smallCaps w:val="false"/>
          <w:color w:val="000000"/>
          <w:sz w:val="28"/>
          <w:szCs w:val="28"/>
        </w:rPr>
        <w:t xml:space="preserve">Признать аукцион несостоявшимся по лоту </w:t>
      </w:r>
      <w:r>
        <w:rPr>
          <w:rFonts w:eastAsia="Times New Roman" w:cs="Times New Roman"/>
          <w:b/>
          <w:bCs/>
          <w:i w:val="false"/>
          <w:iCs w:val="false"/>
          <w:caps w:val="false"/>
          <w:smallCaps w:val="false"/>
          <w:color w:val="000000"/>
          <w:sz w:val="28"/>
          <w:szCs w:val="28"/>
        </w:rPr>
        <w:t>№</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b/>
          <w:bCs/>
          <w:i w:val="false"/>
          <w:iCs w:val="false"/>
          <w:caps w:val="false"/>
          <w:smallCaps w:val="false"/>
          <w:color w:val="000000"/>
          <w:sz w:val="28"/>
          <w:szCs w:val="28"/>
        </w:rPr>
        <w:t>1</w:t>
      </w:r>
      <w:r>
        <w:rPr>
          <w:rFonts w:eastAsia="Times New Roman" w:cs="Times New Roman"/>
          <w:b/>
          <w:bCs/>
          <w:i w:val="false"/>
          <w:iCs w:val="false"/>
          <w:caps w:val="false"/>
          <w:smallCaps w:val="false"/>
          <w:color w:val="000000"/>
          <w:sz w:val="28"/>
          <w:szCs w:val="28"/>
        </w:rPr>
        <w:t xml:space="preserve"> </w:t>
      </w:r>
      <w:r>
        <w:rPr>
          <w:rFonts w:eastAsia="Times New Roman" w:cs="Times New Roman"/>
          <w:b w:val="false"/>
          <w:bCs w:val="false"/>
          <w:i w:val="false"/>
          <w:iCs w:val="false"/>
          <w:caps w:val="false"/>
          <w:smallCaps w:val="false"/>
          <w:color w:val="000000"/>
          <w:sz w:val="28"/>
          <w:szCs w:val="28"/>
        </w:rPr>
        <w:t>в связи с тем, что                      по окончании срока подачи заявок на участие в аукционе по данному лоту подана только одна заявка на участие в аукционе.</w:t>
      </w:r>
    </w:p>
    <w:p>
      <w:pPr>
        <w:pStyle w:val="BodyText"/>
        <w:spacing w:lineRule="auto" w:line="276" w:before="0" w:after="0"/>
        <w:ind w:firstLine="708"/>
        <w:contextualSpacing/>
        <w:jc w:val="both"/>
        <w:rPr/>
      </w:pPr>
      <w:r>
        <w:rPr>
          <w:color w:val="000000"/>
          <w:sz w:val="28"/>
          <w:szCs w:val="28"/>
        </w:rPr>
        <w:t xml:space="preserve">Единственная заявка на участие в аукционе и заявитель, подавший указанную заявку, соответствуют всем требованиям и условиям, указанным                 в извещении о проведении аукциона. </w:t>
      </w:r>
    </w:p>
    <w:p>
      <w:pPr>
        <w:pStyle w:val="BodyText"/>
        <w:spacing w:lineRule="auto" w:line="276" w:before="0" w:after="0"/>
        <w:ind w:firstLine="708" w:left="0" w:right="0"/>
        <w:jc w:val="both"/>
        <w:rPr/>
      </w:pPr>
      <w:r>
        <w:rPr>
          <w:rFonts w:eastAsia="Droid Sans Fallback" w:cs="Lohit Devanagari"/>
          <w:b w:val="false"/>
          <w:bCs w:val="false"/>
          <w:color w:val="auto"/>
          <w:sz w:val="28"/>
          <w:szCs w:val="28"/>
          <w:highlight w:val="white"/>
          <w:lang w:val="ru-RU" w:eastAsia="ru-RU" w:bidi="ar-SA"/>
        </w:rPr>
        <w:t>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pPr>
        <w:pStyle w:val="BodyText"/>
        <w:spacing w:lineRule="auto" w:line="276" w:before="0" w:after="0"/>
        <w:ind w:firstLine="708" w:left="0" w:right="0"/>
        <w:jc w:val="both"/>
        <w:rPr/>
      </w:pPr>
      <w:r>
        <w:rPr>
          <w:b/>
          <w:color w:val="000000"/>
          <w:sz w:val="28"/>
          <w:szCs w:val="28"/>
        </w:rPr>
        <w:t xml:space="preserve">по лоту </w:t>
      </w:r>
      <w:r>
        <w:rPr>
          <w:rFonts w:eastAsia="Droid Sans Fallback" w:cs="Lohit Devanagari"/>
          <w:b/>
          <w:color w:val="000000"/>
          <w:kern w:val="0"/>
          <w:sz w:val="28"/>
          <w:szCs w:val="28"/>
          <w:lang w:val="ru-RU" w:eastAsia="ru-RU" w:bidi="ar-SA"/>
        </w:rPr>
        <w:t xml:space="preserve">№ </w:t>
      </w:r>
      <w:r>
        <w:rPr>
          <w:rFonts w:eastAsia="Droid Sans Fallback" w:cs="Lohit Devanagari"/>
          <w:b/>
          <w:color w:val="000000"/>
          <w:kern w:val="0"/>
          <w:sz w:val="28"/>
          <w:szCs w:val="28"/>
          <w:lang w:val="ru-RU" w:eastAsia="ru-RU" w:bidi="ar-SA"/>
        </w:rPr>
        <w:t>1</w:t>
      </w:r>
      <w:r>
        <w:rPr>
          <w:rFonts w:eastAsia="Droid Sans Fallback" w:cs="Lohit Devanagari"/>
          <w:b/>
          <w:color w:val="000000"/>
          <w:kern w:val="0"/>
          <w:sz w:val="28"/>
          <w:szCs w:val="28"/>
          <w:lang w:val="ru-RU" w:eastAsia="ru-RU" w:bidi="ar-SA"/>
        </w:rPr>
        <w:t xml:space="preserve"> (переулок Клубный, з/у 16</w:t>
      </w:r>
      <w:r>
        <w:rPr>
          <w:rFonts w:eastAsia="Droid Sans Fallback" w:cs="Lohit Devanagari"/>
          <w:b/>
          <w:color w:val="000000"/>
          <w:kern w:val="0"/>
          <w:sz w:val="28"/>
          <w:szCs w:val="28"/>
          <w:lang w:val="ru-RU" w:eastAsia="ru-RU" w:bidi="ar-SA"/>
        </w:rPr>
        <w:t>а) – 130 700,00 руб.</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kern w:val="0"/>
          <w:sz w:val="28"/>
          <w:szCs w:val="28"/>
          <w:highlight w:val="white"/>
          <w:lang w:val="ru-RU" w:eastAsia="ru-RU" w:bidi="ar-SA"/>
        </w:rPr>
      </w:pPr>
      <w:r>
        <w:rPr>
          <w:rFonts w:eastAsia="Droid Sans Fallback" w:cs="Lohit Devanagari"/>
          <w:iCs w:val="false"/>
          <w:color w:val="auto"/>
          <w:kern w:val="0"/>
          <w:sz w:val="28"/>
          <w:szCs w:val="28"/>
          <w:highlight w:val="white"/>
          <w:lang w:val="ru-RU" w:eastAsia="ru-RU" w:bidi="ar-SA"/>
        </w:rPr>
        <w:t>В соответствии с пунктом 13 статьи 39.13 Земельного кодекса Российской Федерации по результатам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kern w:val="0"/>
          <w:sz w:val="28"/>
          <w:szCs w:val="28"/>
          <w:highlight w:val="white"/>
          <w:lang w:val="ru-RU" w:eastAsia="ru-RU" w:bidi="ar-SA"/>
        </w:rPr>
      </w:pPr>
      <w:r>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rPr>
      </w:pPr>
      <w:r>
        <w:rPr>
          <w:b/>
          <w:sz w:val="28"/>
          <w:szCs w:val="28"/>
        </w:rPr>
        <w:t xml:space="preserve">Лот № </w:t>
      </w:r>
      <w:r>
        <w:rPr>
          <w:b/>
          <w:sz w:val="28"/>
          <w:szCs w:val="28"/>
        </w:rPr>
        <w:t>2</w:t>
      </w:r>
      <w:r>
        <w:rPr>
          <w:b/>
          <w:sz w:val="28"/>
          <w:szCs w:val="28"/>
        </w:rPr>
        <w:t xml:space="preserve"> </w:t>
      </w:r>
      <w:r>
        <w:rPr>
          <w:rFonts w:eastAsia="Droid Sans Fallback" w:cs="Lohit Devanagari"/>
          <w:b w:val="false"/>
          <w:bCs w:val="false"/>
          <w:color w:val="auto"/>
          <w:sz w:val="28"/>
          <w:szCs w:val="28"/>
          <w:lang w:val="ru-RU" w:eastAsia="ru-RU" w:bidi="ar-SA"/>
        </w:rPr>
        <w:t>– п</w:t>
      </w:r>
      <w:r>
        <w:rPr>
          <w:rFonts w:eastAsia="Times New Roman" w:cs="Times New Roman"/>
          <w:b w:val="false"/>
          <w:bCs w:val="false"/>
          <w:i w:val="false"/>
          <w:iCs w:val="false"/>
          <w:caps w:val="false"/>
          <w:smallCaps w:val="false"/>
          <w:color w:val="000000"/>
          <w:sz w:val="28"/>
          <w:szCs w:val="28"/>
        </w:rPr>
        <w:t>раво</w:t>
      </w:r>
      <w:r>
        <w:rPr>
          <w:rFonts w:eastAsia="Times New Roman" w:cs="Times New Roman"/>
          <w:b w:val="false"/>
          <w:bCs w:val="false"/>
          <w:i w:val="false"/>
          <w:iCs w:val="false"/>
          <w:caps w:val="false"/>
          <w:smallCaps w:val="false"/>
          <w:color w:val="000000"/>
          <w:sz w:val="28"/>
          <w:szCs w:val="28"/>
          <w:lang w:val="ru-RU" w:eastAsia="ru-RU" w:bidi="ar-SA"/>
        </w:rPr>
        <w:t xml:space="preserve"> заключения договора аренды земельного участка, находящегося в муниципальной собственности, с кадастровым номером 59:01:3610007:214 площадью 558 кв. м, расположенного по адресу: Российская Федерация, Пермский край, городской округ Пермский, город Пермь, улица Северная, з/у 15а,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themeColor="text1" w:val="000000"/>
        </w:rPr>
      </w:pPr>
      <w:r>
        <w:rPr/>
      </w:r>
    </w:p>
    <w:tbl>
      <w:tblPr>
        <w:tblW w:w="101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6"/>
        <w:gridCol w:w="2469"/>
        <w:gridCol w:w="2336"/>
        <w:gridCol w:w="2259"/>
        <w:gridCol w:w="2260"/>
      </w:tblGrid>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lang w:val="ru-RU" w:eastAsia="ru-RU" w:bidi="ar-SA"/>
              </w:rPr>
              <w:t>п/п</w:t>
            </w:r>
          </w:p>
        </w:tc>
        <w:tc>
          <w:tcPr>
            <w:tcW w:w="246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Единственный заявитель,</w:t>
            </w:r>
          </w:p>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номер заявки</w:t>
            </w:r>
          </w:p>
        </w:tc>
        <w:tc>
          <w:tcPr>
            <w:tcW w:w="233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Дата и время подачи заявки</w:t>
            </w:r>
          </w:p>
        </w:tc>
        <w:tc>
          <w:tcPr>
            <w:tcW w:w="225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Сведения               о внесенном задатке</w:t>
            </w:r>
          </w:p>
        </w:tc>
        <w:tc>
          <w:tcPr>
            <w:tcW w:w="226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Решение комиссии</w:t>
            </w:r>
          </w:p>
        </w:tc>
      </w:tr>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1</w:t>
            </w:r>
          </w:p>
        </w:tc>
        <w:tc>
          <w:tcPr>
            <w:tcW w:w="246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Некрасов Сергей Дмитриевич,</w:t>
            </w:r>
          </w:p>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153</w:t>
            </w:r>
          </w:p>
        </w:tc>
        <w:tc>
          <w:tcPr>
            <w:tcW w:w="2336"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14.07.2026 09:04</w:t>
            </w:r>
          </w:p>
        </w:tc>
        <w:tc>
          <w:tcPr>
            <w:tcW w:w="225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Times New Roman" w:cs="Times New Roman"/>
                <w:b w:val="false"/>
                <w:bCs w:val="false"/>
                <w:i w:val="false"/>
                <w:iCs w:val="false"/>
                <w:caps w:val="false"/>
                <w:smallCaps w:val="false"/>
                <w:color w:val="000000"/>
                <w:kern w:val="0"/>
                <w:sz w:val="28"/>
                <w:szCs w:val="28"/>
                <w:lang w:val="ru-RU" w:eastAsia="ru-RU" w:bidi="ar-SA"/>
              </w:rPr>
              <w:t>70 300,00</w:t>
            </w:r>
          </w:p>
        </w:tc>
        <w:tc>
          <w:tcPr>
            <w:tcW w:w="226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Допустить                к участию                 в аукционе              и признать участником аукциона</w:t>
            </w:r>
          </w:p>
        </w:tc>
      </w:tr>
    </w:tbl>
    <w:p>
      <w:pPr>
        <w:pStyle w:val="Normal"/>
        <w:spacing w:lineRule="auto" w:line="240"/>
        <w:ind w:hanging="0"/>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p>
      <w:pPr>
        <w:pStyle w:val="Normal"/>
        <w:spacing w:lineRule="auto" w:line="276"/>
        <w:ind w:firstLine="708"/>
        <w:jc w:val="both"/>
        <w:rPr/>
      </w:pPr>
      <w:r>
        <w:rPr>
          <w:rFonts w:eastAsia="Times New Roman" w:cs="Times New Roman"/>
          <w:b w:val="false"/>
          <w:bCs w:val="false"/>
          <w:i w:val="false"/>
          <w:iCs w:val="false"/>
          <w:caps w:val="false"/>
          <w:smallCaps w:val="false"/>
          <w:color w:val="000000"/>
          <w:sz w:val="28"/>
          <w:szCs w:val="28"/>
        </w:rPr>
        <w:t xml:space="preserve">Признать аукцион несостоявшимся по лоту </w:t>
      </w:r>
      <w:r>
        <w:rPr>
          <w:rFonts w:eastAsia="Times New Roman" w:cs="Times New Roman"/>
          <w:b/>
          <w:bCs/>
          <w:i w:val="false"/>
          <w:iCs w:val="false"/>
          <w:caps w:val="false"/>
          <w:smallCaps w:val="false"/>
          <w:color w:val="000000"/>
          <w:sz w:val="28"/>
          <w:szCs w:val="28"/>
        </w:rPr>
        <w:t>№</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b/>
          <w:bCs/>
          <w:i w:val="false"/>
          <w:iCs w:val="false"/>
          <w:caps w:val="false"/>
          <w:smallCaps w:val="false"/>
          <w:color w:val="000000"/>
          <w:sz w:val="28"/>
          <w:szCs w:val="28"/>
        </w:rPr>
        <w:t>2</w:t>
      </w:r>
      <w:r>
        <w:rPr>
          <w:rFonts w:eastAsia="Times New Roman" w:cs="Times New Roman"/>
          <w:b/>
          <w:bCs/>
          <w:i w:val="false"/>
          <w:iCs w:val="false"/>
          <w:caps w:val="false"/>
          <w:smallCaps w:val="false"/>
          <w:color w:val="000000"/>
          <w:sz w:val="28"/>
          <w:szCs w:val="28"/>
        </w:rPr>
        <w:t xml:space="preserve"> </w:t>
      </w:r>
      <w:r>
        <w:rPr>
          <w:rFonts w:eastAsia="Times New Roman" w:cs="Times New Roman"/>
          <w:b w:val="false"/>
          <w:bCs w:val="false"/>
          <w:i w:val="false"/>
          <w:iCs w:val="false"/>
          <w:caps w:val="false"/>
          <w:smallCaps w:val="false"/>
          <w:color w:val="000000"/>
          <w:sz w:val="28"/>
          <w:szCs w:val="28"/>
        </w:rPr>
        <w:t>в связи с тем, что                      по окончании срока подачи заявок на участие в аукционе по данному лоту подана только одна заявка на участие в аукционе.</w:t>
      </w:r>
    </w:p>
    <w:p>
      <w:pPr>
        <w:pStyle w:val="BodyText"/>
        <w:spacing w:lineRule="auto" w:line="276" w:before="0" w:after="0"/>
        <w:ind w:firstLine="708"/>
        <w:contextualSpacing/>
        <w:jc w:val="both"/>
        <w:rPr/>
      </w:pPr>
      <w:r>
        <w:rPr>
          <w:color w:val="000000"/>
          <w:sz w:val="28"/>
          <w:szCs w:val="28"/>
        </w:rPr>
        <w:t xml:space="preserve">Единственная заявка на участие в аукционе и заявитель, подавший указанную заявку, соответствуют всем требованиям и условиям, указанным                 в извещении о проведении аукциона. </w:t>
      </w:r>
    </w:p>
    <w:p>
      <w:pPr>
        <w:pStyle w:val="BodyText"/>
        <w:spacing w:lineRule="auto" w:line="276" w:before="0" w:after="0"/>
        <w:ind w:firstLine="708" w:left="0" w:right="0"/>
        <w:jc w:val="both"/>
        <w:rPr/>
      </w:pPr>
      <w:r>
        <w:rPr>
          <w:rFonts w:eastAsia="Droid Sans Fallback" w:cs="Lohit Devanagari"/>
          <w:b w:val="false"/>
          <w:bCs w:val="false"/>
          <w:color w:val="auto"/>
          <w:sz w:val="28"/>
          <w:szCs w:val="28"/>
          <w:highlight w:val="white"/>
          <w:lang w:val="ru-RU" w:eastAsia="ru-RU" w:bidi="ar-SA"/>
        </w:rPr>
        <w:t>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pPr>
        <w:pStyle w:val="BodyText"/>
        <w:spacing w:lineRule="auto" w:line="276" w:before="0" w:after="0"/>
        <w:ind w:firstLine="708" w:left="0" w:right="0"/>
        <w:jc w:val="both"/>
        <w:rPr/>
      </w:pPr>
      <w:r>
        <w:rPr>
          <w:b/>
          <w:color w:val="000000"/>
          <w:sz w:val="28"/>
          <w:szCs w:val="28"/>
        </w:rPr>
        <w:t xml:space="preserve">по лоту </w:t>
      </w:r>
      <w:r>
        <w:rPr>
          <w:rFonts w:eastAsia="Droid Sans Fallback" w:cs="Lohit Devanagari"/>
          <w:b/>
          <w:color w:val="000000"/>
          <w:kern w:val="0"/>
          <w:sz w:val="28"/>
          <w:szCs w:val="28"/>
          <w:lang w:val="ru-RU" w:eastAsia="ru-RU" w:bidi="ar-SA"/>
        </w:rPr>
        <w:t xml:space="preserve">№ </w:t>
      </w:r>
      <w:r>
        <w:rPr>
          <w:rFonts w:eastAsia="Droid Sans Fallback" w:cs="Lohit Devanagari"/>
          <w:b/>
          <w:color w:val="000000"/>
          <w:sz w:val="28"/>
          <w:szCs w:val="28"/>
          <w:lang w:val="ru-RU" w:eastAsia="ru-RU" w:bidi="ar-SA"/>
        </w:rPr>
        <w:t>2 (улица Северная, з/у 15а) – 140 600,00 руб.</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kern w:val="0"/>
          <w:sz w:val="28"/>
          <w:szCs w:val="28"/>
          <w:highlight w:val="white"/>
          <w:lang w:val="ru-RU" w:eastAsia="ru-RU" w:bidi="ar-SA"/>
        </w:rPr>
      </w:pPr>
      <w:r>
        <w:rPr>
          <w:rFonts w:eastAsia="Droid Sans Fallback" w:cs="Lohit Devanagari"/>
          <w:iCs w:val="false"/>
          <w:color w:val="auto"/>
          <w:kern w:val="0"/>
          <w:sz w:val="28"/>
          <w:szCs w:val="28"/>
          <w:highlight w:val="white"/>
          <w:lang w:val="ru-RU" w:eastAsia="ru-RU" w:bidi="ar-SA"/>
        </w:rPr>
        <w:t>В соответствии с пунктом 13 статьи 39.13 Земельного кодекса Российской Федерации по результатам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kern w:val="0"/>
          <w:sz w:val="28"/>
          <w:szCs w:val="28"/>
          <w:highlight w:val="white"/>
          <w:lang w:val="ru-RU" w:eastAsia="ru-RU" w:bidi="ar-SA"/>
        </w:rPr>
      </w:pPr>
      <w:r>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rPr>
      </w:pPr>
      <w:r>
        <w:rPr>
          <w:rFonts w:eastAsia="Droid Sans Fallback" w:cs="Lohit Devanagari"/>
          <w:b/>
          <w:iCs w:val="false"/>
          <w:color w:val="auto"/>
          <w:kern w:val="0"/>
          <w:sz w:val="28"/>
          <w:szCs w:val="28"/>
          <w:highlight w:val="white"/>
          <w:lang w:val="ru-RU" w:eastAsia="ru-RU" w:bidi="ar-SA"/>
        </w:rPr>
        <w:t xml:space="preserve">Лот № </w:t>
      </w:r>
      <w:r>
        <w:rPr>
          <w:rFonts w:eastAsia="Droid Sans Fallback" w:cs="Lohit Devanagari"/>
          <w:b/>
          <w:iCs w:val="false"/>
          <w:color w:val="auto"/>
          <w:kern w:val="0"/>
          <w:sz w:val="28"/>
          <w:szCs w:val="28"/>
          <w:highlight w:val="white"/>
          <w:lang w:val="ru-RU" w:eastAsia="ru-RU" w:bidi="ar-SA"/>
        </w:rPr>
        <w:t>3</w:t>
      </w:r>
      <w:r>
        <w:rPr>
          <w:rFonts w:eastAsia="Droid Sans Fallback" w:cs="Lohit Devanagari"/>
          <w:b/>
          <w:iCs w:val="false"/>
          <w:color w:val="auto"/>
          <w:kern w:val="0"/>
          <w:sz w:val="28"/>
          <w:szCs w:val="28"/>
          <w:highlight w:val="white"/>
          <w:lang w:val="ru-RU" w:eastAsia="ru-RU" w:bidi="ar-SA"/>
        </w:rPr>
        <w:t xml:space="preserve"> </w:t>
      </w:r>
      <w:r>
        <w:rPr>
          <w:rFonts w:eastAsia="Droid Sans Fallback" w:cs="Lohit Devanagari"/>
          <w:b w:val="false"/>
          <w:bCs w:val="false"/>
          <w:iCs w:val="false"/>
          <w:color w:val="auto"/>
          <w:kern w:val="0"/>
          <w:sz w:val="28"/>
          <w:szCs w:val="28"/>
          <w:highlight w:val="white"/>
          <w:lang w:val="ru-RU" w:eastAsia="ru-RU" w:bidi="ar-SA"/>
        </w:rPr>
        <w:t>– п</w:t>
      </w:r>
      <w:r>
        <w:rPr>
          <w:rFonts w:eastAsia="Times New Roman" w:cs="Times New Roman"/>
          <w:b w:val="false"/>
          <w:bCs w:val="false"/>
          <w:i w:val="false"/>
          <w:iCs w:val="false"/>
          <w:caps w:val="false"/>
          <w:smallCaps w:val="false"/>
          <w:color w:val="000000"/>
          <w:kern w:val="0"/>
          <w:sz w:val="28"/>
          <w:szCs w:val="28"/>
          <w:highlight w:val="white"/>
          <w:lang w:val="ru-RU" w:eastAsia="ru-RU" w:bidi="ar-SA"/>
        </w:rPr>
        <w:t>рав</w:t>
      </w:r>
      <w:r>
        <w:rPr>
          <w:rFonts w:eastAsia="Times New Roman" w:cs="Times New Roman"/>
          <w:b w:val="false"/>
          <w:bCs w:val="false"/>
          <w:i w:val="false"/>
          <w:iCs w:val="false"/>
          <w:caps w:val="false"/>
          <w:smallCaps w:val="false"/>
          <w:color w:val="000000"/>
          <w:kern w:val="0"/>
          <w:sz w:val="28"/>
          <w:szCs w:val="28"/>
          <w:highlight w:val="white"/>
          <w:lang w:val="ru-RU" w:eastAsia="ru-RU" w:bidi="ar-SA"/>
        </w:rPr>
        <w:t>о заключения договора аренды земельного участка, находящегося в муниципальной собственности, с кадастровым номером 59:01:3610007:213 площадью 561 кв. м, расположенного по адресу: Российская Федерация, Пермский край, городской округ Пермский, город Пермь, улица Северная, з/у 15б,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firstLine="708"/>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По указанному лоту заявки не поступали.</w:t>
      </w:r>
    </w:p>
    <w:p>
      <w:pPr>
        <w:pStyle w:val="Normal"/>
        <w:spacing w:lineRule="auto" w:line="276"/>
        <w:ind w:firstLine="708"/>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iCs w:val="false"/>
          <w:color w:val="auto"/>
          <w:kern w:val="0"/>
          <w:sz w:val="28"/>
          <w:szCs w:val="28"/>
          <w:highlight w:val="white"/>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spacing w:lineRule="auto" w:line="276"/>
        <w:ind w:firstLine="708"/>
        <w:jc w:val="both"/>
        <w:rPr>
          <w:rFonts w:ascii="Times New Roman" w:hAnsi="Times New Roman" w:eastAsia="Droid Sans Fallback" w:cs="Lohit Devanagari"/>
          <w:color w:val="auto"/>
          <w:kern w:val="0"/>
          <w:sz w:val="28"/>
          <w:szCs w:val="28"/>
          <w:lang w:val="ru-RU" w:eastAsia="ru-RU" w:bidi="ar-SA"/>
        </w:rPr>
      </w:pPr>
      <w:r>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rPr>
      </w:pPr>
      <w:r>
        <w:rPr>
          <w:rFonts w:eastAsia="Droid Sans Fallback" w:cs="Lohit Devanagari"/>
          <w:b/>
          <w:color w:val="auto"/>
          <w:sz w:val="28"/>
          <w:szCs w:val="28"/>
          <w:lang w:val="ru-RU" w:eastAsia="ru-RU" w:bidi="ar-SA"/>
        </w:rPr>
        <w:t xml:space="preserve">Лот № </w:t>
      </w:r>
      <w:r>
        <w:rPr>
          <w:rFonts w:eastAsia="Droid Sans Fallback" w:cs="Lohit Devanagari"/>
          <w:b/>
          <w:color w:val="auto"/>
          <w:sz w:val="28"/>
          <w:szCs w:val="28"/>
          <w:lang w:val="ru-RU" w:eastAsia="ru-RU" w:bidi="ar-SA"/>
        </w:rPr>
        <w:t>4</w:t>
      </w:r>
      <w:r>
        <w:rPr>
          <w:rFonts w:eastAsia="Droid Sans Fallback" w:cs="Lohit Devanagari"/>
          <w:b/>
          <w:color w:val="auto"/>
          <w:lang w:val="ru-RU" w:eastAsia="ru-RU" w:bidi="ar-SA"/>
        </w:rPr>
        <w:t xml:space="preserve"> </w:t>
      </w:r>
      <w:r>
        <w:rPr>
          <w:rFonts w:eastAsia="Droid Sans Fallback" w:cs="Lohit Devanagari"/>
          <w:b w:val="false"/>
          <w:bCs w:val="false"/>
          <w:color w:val="auto"/>
          <w:sz w:val="28"/>
          <w:szCs w:val="28"/>
          <w:lang w:val="ru-RU" w:eastAsia="ru-RU" w:bidi="ar-SA"/>
        </w:rPr>
        <w:t>– п</w:t>
      </w:r>
      <w:r>
        <w:rPr>
          <w:rFonts w:eastAsia="Times New Roman" w:cs="Times New Roman"/>
          <w:b w:val="false"/>
          <w:bCs w:val="false"/>
          <w:i w:val="false"/>
          <w:iCs w:val="false"/>
          <w:caps w:val="false"/>
          <w:smallCaps w:val="false"/>
          <w:color w:val="000000"/>
          <w:sz w:val="28"/>
          <w:szCs w:val="28"/>
        </w:rPr>
        <w:t>раво</w:t>
      </w:r>
      <w:r>
        <w:rPr>
          <w:rFonts w:eastAsia="Times New Roman" w:cs="Times New Roman"/>
          <w:b w:val="false"/>
          <w:bCs w:val="false"/>
          <w:i w:val="false"/>
          <w:iCs w:val="false"/>
          <w:caps w:val="false"/>
          <w:smallCaps w:val="false"/>
          <w:color w:val="000000"/>
          <w:sz w:val="28"/>
          <w:szCs w:val="28"/>
          <w:lang w:val="ru-RU" w:eastAsia="ru-RU" w:bidi="ar-SA"/>
        </w:rPr>
        <w:t xml:space="preserve"> </w:t>
      </w:r>
      <w:r>
        <w:rPr>
          <w:rFonts w:eastAsia="Times New Roman" w:cs="Times New Roman"/>
          <w:b w:val="false"/>
          <w:bCs w:val="false"/>
          <w:i w:val="false"/>
          <w:iCs w:val="false"/>
          <w:caps w:val="false"/>
          <w:smallCaps w:val="false"/>
          <w:color w:val="000000"/>
          <w:sz w:val="28"/>
          <w:szCs w:val="28"/>
          <w:lang w:val="ru-RU" w:eastAsia="ru-RU" w:bidi="ar-SA"/>
        </w:rPr>
        <w:t>заключения договора аренды земельного участка, государственная собственность на который не разграничена, с кадастровым номером 59:01:3512028:166 площадью 758 кв. м, расположенного по адресу: Российская Федерация, Пермский край, городской округ Пермский, город Пермь, улица Сиреневая, з/у 23а, для индивидуального жилищного строительства. Разрешенное использование земельного участка – для индивидуального жилищного строительства (2.1).</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rPr>
      </w:pPr>
      <w:r>
        <w:rPr/>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735"/>
        <w:gridCol w:w="2425"/>
        <w:gridCol w:w="2345"/>
        <w:gridCol w:w="2411"/>
        <w:gridCol w:w="2005"/>
      </w:tblGrid>
      <w:tr>
        <w:trPr/>
        <w:tc>
          <w:tcPr>
            <w:tcW w:w="735" w:type="dxa"/>
            <w:tcBorders>
              <w:top w:val="single" w:sz="4" w:space="0" w:color="000000"/>
              <w:left w:val="single" w:sz="4" w:space="0" w:color="000000"/>
              <w:bottom w:val="single" w:sz="4"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 xml:space="preserve">№ </w:t>
            </w:r>
            <w:r>
              <w:rPr>
                <w:rFonts w:eastAsia="Droid Sans Fallback" w:cs="Lohit Devanagari"/>
                <w:b w:val="false"/>
                <w:bCs w:val="false"/>
                <w:color w:val="auto"/>
                <w:sz w:val="28"/>
                <w:szCs w:val="28"/>
                <w:lang w:val="ru-RU" w:eastAsia="ru-RU" w:bidi="ar-SA"/>
              </w:rPr>
              <w:t>п/п</w:t>
            </w:r>
          </w:p>
        </w:tc>
        <w:tc>
          <w:tcPr>
            <w:tcW w:w="2425" w:type="dxa"/>
            <w:tcBorders>
              <w:top w:val="single" w:sz="4" w:space="0" w:color="000000"/>
              <w:left w:val="single" w:sz="4" w:space="0" w:color="000000"/>
              <w:bottom w:val="single" w:sz="4"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Номер заявки</w:t>
            </w:r>
          </w:p>
        </w:tc>
        <w:tc>
          <w:tcPr>
            <w:tcW w:w="2345" w:type="dxa"/>
            <w:tcBorders>
              <w:top w:val="single" w:sz="4" w:space="0" w:color="000000"/>
              <w:left w:val="single" w:sz="4" w:space="0" w:color="000000"/>
              <w:bottom w:val="single" w:sz="4"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Дата и время подачи заявки</w:t>
            </w:r>
          </w:p>
        </w:tc>
        <w:tc>
          <w:tcPr>
            <w:tcW w:w="2411" w:type="dxa"/>
            <w:tcBorders>
              <w:top w:val="single" w:sz="4" w:space="0" w:color="000000"/>
              <w:left w:val="single" w:sz="4" w:space="0" w:color="000000"/>
              <w:bottom w:val="single" w:sz="4"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Сведения о внесенном задатке</w:t>
            </w:r>
          </w:p>
        </w:tc>
        <w:tc>
          <w:tcPr>
            <w:tcW w:w="20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Решение комиссии</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1</w:t>
            </w:r>
          </w:p>
        </w:tc>
        <w:tc>
          <w:tcPr>
            <w:tcW w:w="2425"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2342</w:t>
            </w:r>
          </w:p>
        </w:tc>
        <w:tc>
          <w:tcPr>
            <w:tcW w:w="2345"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10.07.2026 21:12</w:t>
            </w:r>
          </w:p>
        </w:tc>
        <w:tc>
          <w:tcPr>
            <w:tcW w:w="241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96 650,00</w:t>
            </w:r>
          </w:p>
        </w:tc>
        <w:tc>
          <w:tcPr>
            <w:tcW w:w="2005"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2</w:t>
            </w:r>
          </w:p>
        </w:tc>
        <w:tc>
          <w:tcPr>
            <w:tcW w:w="2425"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1853</w:t>
            </w:r>
          </w:p>
        </w:tc>
        <w:tc>
          <w:tcPr>
            <w:tcW w:w="2345"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11.07.2026 09:08</w:t>
            </w:r>
          </w:p>
        </w:tc>
        <w:tc>
          <w:tcPr>
            <w:tcW w:w="241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96 650,00</w:t>
            </w:r>
          </w:p>
        </w:tc>
        <w:tc>
          <w:tcPr>
            <w:tcW w:w="2005"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3</w:t>
            </w:r>
          </w:p>
        </w:tc>
        <w:tc>
          <w:tcPr>
            <w:tcW w:w="2425"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7473</w:t>
            </w:r>
          </w:p>
        </w:tc>
        <w:tc>
          <w:tcPr>
            <w:tcW w:w="2345"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13.07.2026 10:21</w:t>
            </w:r>
          </w:p>
        </w:tc>
        <w:tc>
          <w:tcPr>
            <w:tcW w:w="241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96 650,00</w:t>
            </w:r>
          </w:p>
        </w:tc>
        <w:tc>
          <w:tcPr>
            <w:tcW w:w="2005"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4</w:t>
            </w:r>
          </w:p>
        </w:tc>
        <w:tc>
          <w:tcPr>
            <w:tcW w:w="2425"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3395</w:t>
            </w:r>
          </w:p>
        </w:tc>
        <w:tc>
          <w:tcPr>
            <w:tcW w:w="2345"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13.07.2026 12:13</w:t>
            </w:r>
          </w:p>
        </w:tc>
        <w:tc>
          <w:tcPr>
            <w:tcW w:w="241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96 650,00</w:t>
            </w:r>
          </w:p>
        </w:tc>
        <w:tc>
          <w:tcPr>
            <w:tcW w:w="2005"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Допустить                к участию                 в аукционе              и признать участником аукциона</w:t>
            </w:r>
          </w:p>
        </w:tc>
      </w:tr>
    </w:tbl>
    <w:p>
      <w:pPr>
        <w:pStyle w:val="Normal"/>
        <w:spacing w:lineRule="auto" w:line="276" w:before="0" w:after="0"/>
        <w:jc w:val="both"/>
        <w:rPr>
          <w:sz w:val="28"/>
          <w:szCs w:val="28"/>
        </w:rPr>
      </w:pPr>
      <w:r>
        <w:rPr>
          <w:sz w:val="28"/>
          <w:szCs w:val="28"/>
        </w:rPr>
      </w:r>
    </w:p>
    <w:p>
      <w:pPr>
        <w:pStyle w:val="Normal"/>
        <w:spacing w:lineRule="auto" w:line="276" w:before="0" w:after="0"/>
        <w:jc w:val="both"/>
        <w:rPr/>
      </w:pPr>
      <w:r>
        <w:rPr>
          <w:rFonts w:eastAsia="Droid Sans Fallback" w:cs="Lohit Devanagari"/>
          <w:b/>
          <w:color w:val="auto"/>
          <w:sz w:val="28"/>
          <w:szCs w:val="28"/>
          <w:lang w:val="ru-RU" w:eastAsia="ru-RU" w:bidi="ar-SA"/>
        </w:rPr>
        <w:t xml:space="preserve">Лот № </w:t>
      </w:r>
      <w:r>
        <w:rPr>
          <w:rFonts w:eastAsia="Droid Sans Fallback" w:cs="Lohit Devanagari"/>
          <w:b/>
          <w:color w:val="auto"/>
          <w:sz w:val="28"/>
          <w:szCs w:val="28"/>
          <w:lang w:val="ru-RU" w:eastAsia="ru-RU" w:bidi="ar-SA"/>
        </w:rPr>
        <w:t>5</w:t>
      </w:r>
      <w:r>
        <w:rPr>
          <w:rFonts w:eastAsia="Droid Sans Fallback" w:cs="Lohit Devanagari"/>
          <w:b/>
          <w:color w:val="auto"/>
          <w:sz w:val="28"/>
          <w:szCs w:val="28"/>
          <w:lang w:val="ru-RU" w:eastAsia="ru-RU" w:bidi="ar-SA"/>
        </w:rPr>
        <w:t xml:space="preserve"> </w:t>
      </w:r>
      <w:r>
        <w:rPr>
          <w:rFonts w:eastAsia="Droid Sans Fallback" w:cs="Lohit Devanagari"/>
          <w:b w:val="false"/>
          <w:bCs w:val="false"/>
          <w:color w:val="auto"/>
          <w:sz w:val="28"/>
          <w:szCs w:val="28"/>
          <w:lang w:val="ru-RU" w:eastAsia="ru-RU" w:bidi="ar-SA"/>
        </w:rPr>
        <w:t xml:space="preserve">– </w:t>
      </w:r>
      <w:r>
        <w:rPr>
          <w:rFonts w:eastAsia="Times New Roman" w:cs="Times New Roman"/>
          <w:b w:val="false"/>
          <w:bCs w:val="false"/>
          <w:i w:val="false"/>
          <w:iCs w:val="false"/>
          <w:caps w:val="false"/>
          <w:smallCaps w:val="false"/>
          <w:color w:val="000000"/>
          <w:sz w:val="28"/>
          <w:szCs w:val="28"/>
          <w:lang w:val="ru-RU" w:eastAsia="ru-RU" w:bidi="ar-SA"/>
        </w:rPr>
        <w:t>право заключения договора аренды земельного участка, государственная собственность на который не разграничена, с кадастровым номером 59:01:3512025:146 площадью 800 кв. м, расположенного по адресу: Российская Федерация, Пермский край, городской округ Пермский, город Пермь, улица Сиреневая, з/у 52,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rPr>
      </w:pPr>
      <w:r>
        <w:rPr/>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735"/>
        <w:gridCol w:w="2425"/>
        <w:gridCol w:w="2345"/>
        <w:gridCol w:w="2411"/>
        <w:gridCol w:w="2005"/>
      </w:tblGrid>
      <w:tr>
        <w:trPr/>
        <w:tc>
          <w:tcPr>
            <w:tcW w:w="735" w:type="dxa"/>
            <w:tcBorders>
              <w:top w:val="single" w:sz="4" w:space="0" w:color="000000"/>
              <w:left w:val="single" w:sz="4" w:space="0" w:color="000000"/>
              <w:bottom w:val="single" w:sz="4"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 xml:space="preserve">№ </w:t>
            </w:r>
            <w:r>
              <w:rPr>
                <w:rFonts w:eastAsia="Droid Sans Fallback" w:cs="Lohit Devanagari"/>
                <w:b w:val="false"/>
                <w:bCs w:val="false"/>
                <w:color w:val="auto"/>
                <w:sz w:val="28"/>
                <w:szCs w:val="28"/>
                <w:lang w:val="ru-RU" w:eastAsia="ru-RU" w:bidi="ar-SA"/>
              </w:rPr>
              <w:t>п/п</w:t>
            </w:r>
          </w:p>
        </w:tc>
        <w:tc>
          <w:tcPr>
            <w:tcW w:w="2425" w:type="dxa"/>
            <w:tcBorders>
              <w:top w:val="single" w:sz="4" w:space="0" w:color="000000"/>
              <w:left w:val="single" w:sz="4" w:space="0" w:color="000000"/>
              <w:bottom w:val="single" w:sz="4"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Номер заявки</w:t>
            </w:r>
          </w:p>
        </w:tc>
        <w:tc>
          <w:tcPr>
            <w:tcW w:w="2345" w:type="dxa"/>
            <w:tcBorders>
              <w:top w:val="single" w:sz="4" w:space="0" w:color="000000"/>
              <w:left w:val="single" w:sz="4" w:space="0" w:color="000000"/>
              <w:bottom w:val="single" w:sz="4"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Дата и время подачи заявки</w:t>
            </w:r>
          </w:p>
        </w:tc>
        <w:tc>
          <w:tcPr>
            <w:tcW w:w="2411" w:type="dxa"/>
            <w:tcBorders>
              <w:top w:val="single" w:sz="4" w:space="0" w:color="000000"/>
              <w:left w:val="single" w:sz="4" w:space="0" w:color="000000"/>
              <w:bottom w:val="single" w:sz="4"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Сведения о внесенном задатке</w:t>
            </w:r>
          </w:p>
        </w:tc>
        <w:tc>
          <w:tcPr>
            <w:tcW w:w="20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Решение комиссии</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1</w:t>
            </w:r>
          </w:p>
        </w:tc>
        <w:tc>
          <w:tcPr>
            <w:tcW w:w="2425"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7294</w:t>
            </w:r>
          </w:p>
        </w:tc>
        <w:tc>
          <w:tcPr>
            <w:tcW w:w="2345"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11.07.2026 09:12</w:t>
            </w:r>
          </w:p>
        </w:tc>
        <w:tc>
          <w:tcPr>
            <w:tcW w:w="241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101 150,00</w:t>
            </w:r>
          </w:p>
        </w:tc>
        <w:tc>
          <w:tcPr>
            <w:tcW w:w="2005"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2</w:t>
            </w:r>
          </w:p>
        </w:tc>
        <w:tc>
          <w:tcPr>
            <w:tcW w:w="2425"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1036</w:t>
            </w:r>
          </w:p>
        </w:tc>
        <w:tc>
          <w:tcPr>
            <w:tcW w:w="2345"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13.07.2026 11:05</w:t>
            </w:r>
          </w:p>
        </w:tc>
        <w:tc>
          <w:tcPr>
            <w:tcW w:w="241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101 150,00</w:t>
            </w:r>
          </w:p>
        </w:tc>
        <w:tc>
          <w:tcPr>
            <w:tcW w:w="2005"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3</w:t>
            </w:r>
          </w:p>
        </w:tc>
        <w:tc>
          <w:tcPr>
            <w:tcW w:w="2425"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5433</w:t>
            </w:r>
          </w:p>
        </w:tc>
        <w:tc>
          <w:tcPr>
            <w:tcW w:w="2345"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13.07.2026 14:37</w:t>
            </w:r>
          </w:p>
        </w:tc>
        <w:tc>
          <w:tcPr>
            <w:tcW w:w="241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101 150,00</w:t>
            </w:r>
          </w:p>
        </w:tc>
        <w:tc>
          <w:tcPr>
            <w:tcW w:w="2005"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Допустить                к участию                 в аукционе              и признать участником аукциона</w:t>
            </w:r>
          </w:p>
        </w:tc>
      </w:tr>
    </w:tbl>
    <w:p>
      <w:pPr>
        <w:pStyle w:val="Normal"/>
        <w:spacing w:lineRule="auto" w:line="276" w:before="0" w:after="0"/>
        <w:jc w:val="both"/>
        <w:rPr>
          <w:sz w:val="28"/>
          <w:szCs w:val="28"/>
        </w:rPr>
      </w:pPr>
      <w:r>
        <w:rPr>
          <w:sz w:val="28"/>
          <w:szCs w:val="28"/>
        </w:rPr>
      </w:r>
    </w:p>
    <w:p>
      <w:pPr>
        <w:pStyle w:val="Normal"/>
        <w:spacing w:lineRule="auto" w:line="276" w:before="0" w:after="0"/>
        <w:jc w:val="both"/>
        <w:rPr>
          <w:sz w:val="28"/>
          <w:szCs w:val="28"/>
        </w:rPr>
      </w:pPr>
      <w:r>
        <w:rPr>
          <w:sz w:val="28"/>
          <w:szCs w:val="28"/>
        </w:rPr>
      </w:r>
    </w:p>
    <w:p>
      <w:pPr>
        <w:pStyle w:val="Normal"/>
        <w:jc w:val="both"/>
        <w:rPr>
          <w:sz w:val="28"/>
          <w:szCs w:val="28"/>
          <w:highlight w:val="none"/>
        </w:rPr>
      </w:pPr>
      <w:r>
        <w:rPr>
          <w:sz w:val="28"/>
          <w:szCs w:val="28"/>
        </w:rPr>
        <w:t xml:space="preserve">Председатель комиссии                                                                     </w:t>
      </w:r>
      <w:r>
        <w:rPr>
          <w:sz w:val="28"/>
          <w:szCs w:val="28"/>
          <w:highlight w:val="white"/>
        </w:rPr>
        <w:t>А.А. Хаткевич</w:t>
      </w:r>
    </w:p>
    <w:p>
      <w:pPr>
        <w:pStyle w:val="Normal"/>
        <w:spacing w:before="120" w:after="120"/>
        <w:ind w:hanging="0" w:left="0"/>
        <w:rPr>
          <w:sz w:val="28"/>
          <w:szCs w:val="28"/>
        </w:rPr>
      </w:pPr>
      <w:r>
        <w:rPr/>
      </w:r>
    </w:p>
    <w:p>
      <w:pPr>
        <w:pStyle w:val="Normal"/>
        <w:spacing w:before="120" w:after="120"/>
        <w:ind w:hanging="0" w:left="0"/>
        <w:rPr>
          <w:sz w:val="28"/>
          <w:szCs w:val="28"/>
        </w:rPr>
      </w:pPr>
      <w:r>
        <w:rPr>
          <w:sz w:val="28"/>
          <w:szCs w:val="28"/>
          <w:lang w:eastAsia="en-US"/>
        </w:rPr>
        <w:t>Заместитель председателя комиссии</w:t>
      </w:r>
      <w:r>
        <w:rPr>
          <w:sz w:val="28"/>
          <w:szCs w:val="28"/>
        </w:rPr>
        <w:t xml:space="preserve"> </w:t>
        <w:tab/>
        <w:tab/>
        <w:tab/>
        <w:tab/>
        <w:t xml:space="preserve">         Е.П. </w:t>
      </w:r>
      <w:r>
        <w:rPr>
          <w:rFonts w:eastAsia="Droid Sans Fallback" w:cs="Lohit Devanagari"/>
          <w:color w:val="auto"/>
          <w:sz w:val="28"/>
          <w:szCs w:val="28"/>
          <w:lang w:val="ru-RU" w:eastAsia="en-US" w:bidi="ar-SA"/>
        </w:rPr>
        <w:t>Шафранова</w:t>
      </w:r>
    </w:p>
    <w:p>
      <w:pPr>
        <w:pStyle w:val="Normal"/>
        <w:spacing w:before="120" w:after="120"/>
        <w:ind w:hanging="0" w:left="0"/>
        <w:rPr>
          <w:rFonts w:ascii="Times New Roman" w:hAnsi="Times New Roman" w:eastAsia="Droid Sans Fallback" w:cs="Lohit Devanagari"/>
          <w:color w:val="auto"/>
          <w:sz w:val="28"/>
          <w:szCs w:val="28"/>
          <w:lang w:val="ru-RU" w:eastAsia="en-US" w:bidi="ar-SA"/>
        </w:rPr>
      </w:pPr>
      <w:r>
        <w:rPr/>
      </w:r>
    </w:p>
    <w:p>
      <w:pPr>
        <w:pStyle w:val="Normal"/>
        <w:spacing w:before="120" w:after="120"/>
        <w:ind w:hanging="0" w:left="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before="120" w:after="120"/>
        <w:rPr>
          <w:rFonts w:ascii="Times New Roman" w:hAnsi="Times New Roman" w:eastAsia="Droid Sans Fallback" w:cs="Lohit Devanagari"/>
          <w:color w:val="auto"/>
          <w:sz w:val="28"/>
          <w:szCs w:val="28"/>
          <w:lang w:val="ru-RU" w:eastAsia="en-US" w:bidi="ar-SA"/>
        </w:rPr>
      </w:pPr>
      <w:r>
        <w:rPr/>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shd w:fill="auto" w:val="clear"/>
          <w:lang w:val="ru-RU" w:eastAsia="en-US" w:bidi="ar-SA"/>
        </w:rPr>
        <w:t xml:space="preserve">Члены комиссии </w:t>
        <w:tab/>
        <w:tab/>
        <w:tab/>
        <w:tab/>
        <w:tab/>
        <w:tab/>
        <w:tab/>
        <w:tab/>
        <w:t xml:space="preserve">         А.А. Союстова</w:t>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highlight w:val="white"/>
          <w:shd w:fill="auto" w:val="clear"/>
          <w:lang w:val="ru-RU" w:eastAsia="en-US" w:bidi="ar-SA"/>
        </w:rPr>
        <w:t xml:space="preserve">                                                                                                             </w:t>
      </w:r>
    </w:p>
    <w:sectPr>
      <w:headerReference w:type="default" r:id="rId2"/>
      <w:footerReference w:type="even" r:id="rId3"/>
      <w:footerReference w:type="default" r:id="rId4"/>
      <w:footerReference w:type="first" r:id="rId5"/>
      <w:type w:val="nextPage"/>
      <w:pgSz w:w="11906" w:h="16838"/>
      <w:pgMar w:left="1418" w:right="567" w:gutter="0" w:header="0" w:top="786" w:footer="709" w:bottom="766"/>
      <w:pgNumType w:start="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36360" rIns="36360" tIns="-20880" bIns="-2088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36360" rIns="36360" tIns="-20880" bIns="-2088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5">
              <wp:simplePos x="0" y="0"/>
              <wp:positionH relativeFrom="margin">
                <wp:align>right</wp:align>
              </wp:positionH>
              <wp:positionV relativeFrom="paragraph">
                <wp:posOffset>635</wp:posOffset>
              </wp:positionV>
              <wp:extent cx="85725" cy="246380"/>
              <wp:effectExtent l="0" t="0" r="0" b="0"/>
              <wp:wrapSquare wrapText="bothSides"/>
              <wp:docPr id="3" name="Врезка 2"/>
              <a:graphic xmlns:a="http://schemas.openxmlformats.org/drawingml/2006/main">
                <a:graphicData uri="http://schemas.microsoft.com/office/word/2010/wordprocessingShape">
                  <wps:wsp>
                    <wps:cNvSpPr/>
                    <wps:spPr>
                      <a:xfrm>
                        <a:off x="0" y="0"/>
                        <a:ext cx="85680" cy="246240"/>
                      </a:xfrm>
                      <a:prstGeom prst="rect">
                        <a:avLst/>
                      </a:prstGeom>
                      <a:noFill/>
                      <a:ln w="0">
                        <a:noFill/>
                      </a:ln>
                    </wps:spPr>
                    <wps:style>
                      <a:lnRef idx="0"/>
                      <a:fillRef idx="0"/>
                      <a:effectRef idx="0"/>
                      <a:fontRef idx="minor"/>
                    </wps:style>
                    <wps:txbx>
                      <w:txbxContent>
                        <w:p>
                          <w:pPr>
                            <w:pStyle w:val="Footer"/>
                            <w:rPr>
                              <w:rStyle w:val="Style10"/>
                            </w:rPr>
                          </w:pPr>
                          <w:r>
                            <w:rPr/>
                          </w:r>
                        </w:p>
                      </w:txbxContent>
                    </wps:txbx>
                    <wps:bodyPr lIns="36360" rIns="36360" tIns="36360" bIns="36360" anchor="t">
                      <a:spAutoFit/>
                    </wps:bodyPr>
                  </wps:wsp>
                </a:graphicData>
              </a:graphic>
            </wp:anchor>
          </w:drawing>
        </mc:Choice>
        <mc:Fallback>
          <w:pict>
            <v:rect id="shape_0" ID="Врезка 2" path="m0,0l-2147483645,0l-2147483645,-2147483646l0,-2147483646xe" stroked="f" o:allowincell="f" style="position:absolute;margin-left:0pt;margin-top:0.05pt;width:6.7pt;height:19.35pt;mso-wrap-style:none;v-text-anchor:middle;mso-position-horizontal:right;mso-position-horizontal-relative:margin">
              <v:fill o:detectmouseclick="t" on="false"/>
              <v:stroke color="#3465a4" joinstyle="round" endcap="flat"/>
              <v:textbox>
                <w:txbxContent>
                  <w:p>
                    <w:pPr>
                      <w:pStyle w:val="Footer"/>
                      <w:rPr>
                        <w:rStyle w:val="Style10"/>
                      </w:rPr>
                    </w:pPr>
                    <w:r>
                      <w:rPr/>
                    </w:r>
                  </w:p>
                </w:txbxContent>
              </v:textbox>
              <w10:wrap type="square"/>
            </v:rect>
          </w:pict>
        </mc:Fallback>
      </mc:AlternateContent>
      <mc:AlternateContent>
        <mc:Choice Requires="wps">
          <w:drawing>
            <wp:anchor behindDoc="1" distT="0" distB="0" distL="0" distR="0" simplePos="0" locked="0" layoutInCell="0" allowOverlap="1" relativeHeight="16">
              <wp:simplePos x="0" y="0"/>
              <wp:positionH relativeFrom="margin">
                <wp:align>right</wp:align>
              </wp:positionH>
              <wp:positionV relativeFrom="paragraph">
                <wp:posOffset>635</wp:posOffset>
              </wp:positionV>
              <wp:extent cx="85725" cy="246380"/>
              <wp:effectExtent l="0" t="0" r="0" b="0"/>
              <wp:wrapSquare wrapText="bothSides"/>
              <wp:docPr id="4" name="Врезка 2"/>
              <a:graphic xmlns:a="http://schemas.openxmlformats.org/drawingml/2006/main">
                <a:graphicData uri="http://schemas.microsoft.com/office/word/2010/wordprocessingShape">
                  <wps:wsp>
                    <wps:cNvSpPr/>
                    <wps:spPr>
                      <a:xfrm>
                        <a:off x="0" y="0"/>
                        <a:ext cx="85680" cy="246240"/>
                      </a:xfrm>
                      <a:prstGeom prst="rect">
                        <a:avLst/>
                      </a:prstGeom>
                      <a:noFill/>
                      <a:ln w="0">
                        <a:noFill/>
                      </a:ln>
                    </wps:spPr>
                    <wps:style>
                      <a:lnRef idx="0"/>
                      <a:fillRef idx="0"/>
                      <a:effectRef idx="0"/>
                      <a:fontRef idx="minor"/>
                    </wps:style>
                    <wps:txbx>
                      <w:txbxContent>
                        <w:p>
                          <w:pPr>
                            <w:pStyle w:val="Footer"/>
                            <w:rPr>
                              <w:rStyle w:val="Style10"/>
                            </w:rPr>
                          </w:pPr>
                          <w:r>
                            <w:rPr/>
                          </w:r>
                        </w:p>
                      </w:txbxContent>
                    </wps:txbx>
                    <wps:bodyPr lIns="36360" rIns="36360" tIns="36360" bIns="36360" anchor="t">
                      <a:spAutoFit/>
                    </wps:bodyPr>
                  </wps:wsp>
                </a:graphicData>
              </a:graphic>
            </wp:anchor>
          </w:drawing>
        </mc:Choice>
        <mc:Fallback>
          <w:pict>
            <v:rect id="shape_0" ID="Врезка 2" path="m0,0l-2147483645,0l-2147483645,-2147483646l0,-2147483646xe" stroked="f" o:allowincell="f" style="position:absolute;margin-left:0pt;margin-top:0.05pt;width:6.7pt;height:19.35pt;mso-wrap-style:none;v-text-anchor:middle;mso-position-horizontal:right;mso-position-horizontal-relative:margin">
              <v:fill o:detectmouseclick="t" on="false"/>
              <v:stroke color="#3465a4" joinstyle="round" endcap="flat"/>
              <v:textbox>
                <w:txbxContent>
                  <w:p>
                    <w:pPr>
                      <w:pStyle w:val="Footer"/>
                      <w:rPr>
                        <w:rStyle w:val="Style10"/>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3">
              <wp:simplePos x="0" y="0"/>
              <wp:positionH relativeFrom="margin">
                <wp:align>right</wp:align>
              </wp:positionH>
              <wp:positionV relativeFrom="paragraph">
                <wp:posOffset>635</wp:posOffset>
              </wp:positionV>
              <wp:extent cx="85725" cy="246380"/>
              <wp:effectExtent l="0" t="0" r="0" b="0"/>
              <wp:wrapSquare wrapText="bothSides"/>
              <wp:docPr id="5" name="Врезка1"/>
              <a:graphic xmlns:a="http://schemas.openxmlformats.org/drawingml/2006/main">
                <a:graphicData uri="http://schemas.microsoft.com/office/word/2010/wordprocessingShape">
                  <wps:wsp>
                    <wps:cNvSpPr/>
                    <wps:spPr>
                      <a:xfrm>
                        <a:off x="0" y="0"/>
                        <a:ext cx="85680" cy="246240"/>
                      </a:xfrm>
                      <a:prstGeom prst="rect">
                        <a:avLst/>
                      </a:prstGeom>
                      <a:noFill/>
                      <a:ln w="0">
                        <a:noFill/>
                      </a:ln>
                    </wps:spPr>
                    <wps:style>
                      <a:lnRef idx="0"/>
                      <a:fillRef idx="0"/>
                      <a:effectRef idx="0"/>
                      <a:fontRef idx="minor"/>
                    </wps:style>
                    <wps:txbx>
                      <w:txbxContent>
                        <w:p>
                          <w:pPr>
                            <w:pStyle w:val="Footer"/>
                            <w:rPr>
                              <w:rStyle w:val="Style10"/>
                            </w:rPr>
                          </w:pPr>
                          <w:r>
                            <w:rPr/>
                          </w:r>
                        </w:p>
                      </w:txbxContent>
                    </wps:txbx>
                    <wps:bodyPr lIns="36360" rIns="36360" tIns="36360" bIns="36360" anchor="t">
                      <a:spAutoFit/>
                    </wps:bodyPr>
                  </wps:wsp>
                </a:graphicData>
              </a:graphic>
            </wp:anchor>
          </w:drawing>
        </mc:Choice>
        <mc:Fallback>
          <w:pict>
            <v:rect id="shape_0" ID="Врезка1" path="m0,0l-2147483645,0l-2147483645,-2147483646l0,-2147483646xe" stroked="f" o:allowincell="f" style="position:absolute;margin-left:489.2pt;margin-top:0.05pt;width:6.7pt;height:19.35pt;mso-wrap-style:none;v-text-anchor:middle;mso-position-horizontal:right;mso-position-horizontal-relative:margin">
              <v:fill o:detectmouseclick="t" on="false"/>
              <v:stroke color="#3465a4" joinstyle="round" endcap="flat"/>
              <v:textbox>
                <w:txbxContent>
                  <w:p>
                    <w:pPr>
                      <w:pStyle w:val="Footer"/>
                      <w:rPr>
                        <w:rStyle w:val="Style10"/>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3">
              <wp:simplePos x="0" y="0"/>
              <wp:positionH relativeFrom="margin">
                <wp:align>right</wp:align>
              </wp:positionH>
              <wp:positionV relativeFrom="paragraph">
                <wp:posOffset>635</wp:posOffset>
              </wp:positionV>
              <wp:extent cx="85725" cy="246380"/>
              <wp:effectExtent l="0" t="0" r="0" b="0"/>
              <wp:wrapSquare wrapText="bothSides"/>
              <wp:docPr id="6" name="Врезка1"/>
              <a:graphic xmlns:a="http://schemas.openxmlformats.org/drawingml/2006/main">
                <a:graphicData uri="http://schemas.microsoft.com/office/word/2010/wordprocessingShape">
                  <wps:wsp>
                    <wps:cNvSpPr/>
                    <wps:spPr>
                      <a:xfrm>
                        <a:off x="0" y="0"/>
                        <a:ext cx="85680" cy="246240"/>
                      </a:xfrm>
                      <a:prstGeom prst="rect">
                        <a:avLst/>
                      </a:prstGeom>
                      <a:noFill/>
                      <a:ln w="0">
                        <a:noFill/>
                      </a:ln>
                    </wps:spPr>
                    <wps:style>
                      <a:lnRef idx="0"/>
                      <a:fillRef idx="0"/>
                      <a:effectRef idx="0"/>
                      <a:fontRef idx="minor"/>
                    </wps:style>
                    <wps:txbx>
                      <w:txbxContent>
                        <w:p>
                          <w:pPr>
                            <w:pStyle w:val="Footer"/>
                            <w:rPr>
                              <w:rStyle w:val="Style10"/>
                            </w:rPr>
                          </w:pPr>
                          <w:r>
                            <w:rPr/>
                          </w:r>
                        </w:p>
                      </w:txbxContent>
                    </wps:txbx>
                    <wps:bodyPr lIns="36360" rIns="36360" tIns="36360" bIns="36360" anchor="t">
                      <a:spAutoFit/>
                    </wps:bodyPr>
                  </wps:wsp>
                </a:graphicData>
              </a:graphic>
            </wp:anchor>
          </w:drawing>
        </mc:Choice>
        <mc:Fallback>
          <w:pict>
            <v:rect id="shape_0" ID="Врезка1" path="m0,0l-2147483645,0l-2147483645,-2147483646l0,-2147483646xe" stroked="f" o:allowincell="f" style="position:absolute;margin-left:489.2pt;margin-top:0.05pt;width:6.7pt;height:19.35pt;mso-wrap-style:none;v-text-anchor:middle;mso-position-horizontal:right;mso-position-horizontal-relative:margin">
              <v:fill o:detectmouseclick="t" on="false"/>
              <v:stroke color="#3465a4" joinstyle="round" endcap="flat"/>
              <v:textbox>
                <w:txbxContent>
                  <w:p>
                    <w:pPr>
                      <w:pStyle w:val="Footer"/>
                      <w:rPr>
                        <w:rStyle w:val="Style10"/>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3">
    <w:name w:val="Основной текст с отступом 3 Знак"/>
    <w:qFormat/>
    <w:rPr>
      <w:sz w:val="16"/>
      <w:szCs w:val="16"/>
    </w:rPr>
  </w:style>
  <w:style w:type="character" w:styleId="Style8">
    <w:name w:val="Текст Знак"/>
    <w:qFormat/>
    <w:rPr>
      <w:rFonts w:ascii="Courier New" w:hAnsi="Courier New"/>
    </w:rPr>
  </w:style>
  <w:style w:type="character" w:styleId="Style9">
    <w:name w:val="Текст выноски Знак"/>
    <w:qFormat/>
    <w:rPr>
      <w:rFonts w:ascii="Tahoma" w:hAnsi="Tahoma" w:cs="Tahoma"/>
      <w:sz w:val="16"/>
      <w:szCs w:val="16"/>
    </w:rPr>
  </w:style>
  <w:style w:type="character" w:styleId="Style10">
    <w:name w:val="Основной текст с отступом Знак"/>
    <w:qFormat/>
    <w:rPr>
      <w:sz w:val="24"/>
      <w:szCs w:val="24"/>
    </w:rPr>
  </w:style>
  <w:style w:type="character" w:styleId="Style11">
    <w:name w:val="Верхний колонтитул Знак"/>
    <w:qFormat/>
    <w:rPr>
      <w:sz w:val="24"/>
      <w:szCs w:val="24"/>
    </w:rPr>
  </w:style>
  <w:style w:type="character" w:styleId="Style12">
    <w:name w:val="Нижний колонтитул Знак"/>
    <w:qFormat/>
    <w:rPr>
      <w:sz w:val="24"/>
      <w:szCs w:val="24"/>
    </w:rPr>
  </w:style>
  <w:style w:type="character" w:styleId="Style13">
    <w:name w:val="Текст сноски Знак"/>
    <w:basedOn w:val="Style7"/>
    <w:qFormat/>
    <w:rPr/>
  </w:style>
  <w:style w:type="character" w:styleId="Style14">
    <w:name w:val="Знак сноски"/>
    <w:qFormat/>
    <w:rPr>
      <w:vertAlign w:val="superscript"/>
    </w:rPr>
  </w:style>
  <w:style w:type="character" w:styleId="DefaultParagraphFont" w:default="1">
    <w:name w:val="Default Paragraph Font"/>
    <w:uiPriority w:val="1"/>
    <w:semiHidden/>
    <w:unhideWhenUsed/>
    <w:qFormat/>
    <w:rPr/>
  </w:style>
  <w:style w:type="paragraph" w:styleId="Style15">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link w:val="CaptionChar"/>
    <w:uiPriority w:val="35"/>
    <w:semiHidden/>
    <w:unhideWhenUsed/>
    <w:qFormat/>
    <w:pPr>
      <w:spacing w:lineRule="auto" w:line="276"/>
    </w:pPr>
    <w:rPr>
      <w:b/>
      <w:bCs/>
      <w:color w:themeColor="accent1" w:val="4F81BD"/>
      <w:sz w:val="18"/>
      <w:szCs w:val="18"/>
    </w:rPr>
  </w:style>
  <w:style w:type="paragraph" w:styleId="Style16">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7">
    <w:name w:val="Колонтитул"/>
    <w:basedOn w:val="Normal"/>
    <w:qFormat/>
    <w:pPr/>
    <w:rPr/>
  </w:style>
  <w:style w:type="paragraph" w:styleId="Header">
    <w:name w:val="Header"/>
    <w:basedOn w:val="Normal"/>
    <w:uiPriority w:val="99"/>
    <w:unhideWhenUsed/>
    <w:pPr>
      <w:tabs>
        <w:tab w:val="clear" w:pos="708"/>
        <w:tab w:val="center" w:pos="4677" w:leader="none"/>
        <w:tab w:val="right" w:pos="9355" w:leader="none"/>
      </w:tabs>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5"/>
    <w:pPr/>
    <w:rPr/>
  </w:style>
  <w:style w:type="paragraph" w:styleId="TOCHeading">
    <w:name w:val="TOC Heading"/>
    <w:uiPriority w:val="39"/>
    <w:unhideWhenUsed/>
    <w:qFormat/>
    <w:pPr>
      <w:widowControl/>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BodyTextIndent">
    <w:name w:val="Body Text Indent"/>
    <w:basedOn w:val="Normal"/>
    <w:pPr>
      <w:spacing w:before="0" w:after="120"/>
      <w:ind w:left="283"/>
    </w:pPr>
    <w:rPr>
      <w:lang w:val="en-US" w:eastAsia="en-US"/>
    </w:rPr>
  </w:style>
  <w:style w:type="paragraph" w:styleId="Style18">
    <w:name w:val="Текст"/>
    <w:basedOn w:val="Normal"/>
    <w:qFormat/>
    <w:pPr/>
    <w:rPr>
      <w:rFonts w:ascii="Courier New" w:hAnsi="Courier New"/>
      <w:sz w:val="20"/>
      <w:szCs w:val="20"/>
      <w:lang w:val="en-US" w:eastAsia="en-US"/>
    </w:rPr>
  </w:style>
  <w:style w:type="paragraph" w:styleId="Style19">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31">
    <w:name w:val="Основной текст с отступом 3"/>
    <w:basedOn w:val="Normal"/>
    <w:qFormat/>
    <w:pPr>
      <w:spacing w:before="0" w:after="120"/>
      <w:ind w:left="283"/>
    </w:pPr>
    <w:rPr>
      <w:sz w:val="16"/>
      <w:szCs w:val="16"/>
      <w:lang w:val="en-US" w:eastAsia="en-US"/>
    </w:rPr>
  </w:style>
  <w:style w:type="paragraph" w:styleId="Style20">
    <w:name w:val="Текст выноски"/>
    <w:basedOn w:val="Normal"/>
    <w:qFormat/>
    <w:pPr/>
    <w:rPr>
      <w:rFonts w:ascii="Tahoma" w:hAnsi="Tahoma"/>
      <w:sz w:val="16"/>
      <w:szCs w:val="16"/>
      <w:lang w:val="en-US" w:eastAsia="en-US"/>
    </w:rPr>
  </w:style>
  <w:style w:type="paragraph" w:styleId="Style21">
    <w:name w:val="Текст сноски"/>
    <w:basedOn w:val="Normal"/>
    <w:qFormat/>
    <w:pPr/>
    <w:rPr>
      <w:sz w:val="20"/>
      <w:szCs w:val="20"/>
    </w:rPr>
  </w:style>
  <w:style w:type="paragraph" w:styleId="Style22">
    <w:name w:val="Содержимое врезки"/>
    <w:basedOn w:val="Normal"/>
    <w:qFormat/>
    <w:pPr/>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Style25">
    <w:name w:val="Нет списка"/>
    <w:semiHidden/>
    <w:qFormat/>
  </w:style>
  <w:style w:type="numbering" w:styleId="NoList" w:default="1">
    <w:name w:val="No List"/>
    <w:uiPriority w:val="99"/>
    <w:semiHidden/>
    <w:unhideWhenUsed/>
    <w:qFormat/>
  </w:style>
  <w:style w:type="table" w:styleId="852">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53">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54">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55">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56">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57">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58">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59">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60">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61">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62">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63">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64">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65">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66">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67">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68">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69">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70">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71">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72">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73">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4">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5">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6">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7">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8">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9">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0">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81">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82">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83">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84">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85">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86">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87">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88">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89">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90">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91">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92">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93">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94">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95">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896">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897">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898">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899">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00">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01">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02">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03">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04">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05">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06">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07">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08">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09">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10">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11">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12">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13">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14">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15">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16">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17">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18">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19">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20">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21">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22">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23">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24">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25">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26">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27">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28">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29">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30">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31">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32">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33">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34">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35">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36">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37">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38">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39">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40">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41">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42">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43">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44">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45">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46">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47">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48">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49">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50">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51">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52">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53">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54">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55">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56">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57">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58">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59">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60">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61">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62">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63">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64">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65">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66">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67">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68">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69">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70">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71">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72">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73">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74">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75">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76">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77">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78">
    <w:name w:val="Normal Table"/>
    <w:uiPriority w:val="99"/>
    <w:semiHidden/>
    <w:unhideWhenUsed/>
  </w:style>
  <w:style w:type="table" w:customStyle="1" w:styleId="979">
    <w:name w:val="block-tbl "/>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LibreOffice/7.6.7.2$Linux_X86_64 LibreOffice_project/60$Build-2</Application>
  <AppVersion>15.0000</AppVersion>
  <Pages>5</Pages>
  <Words>988</Words>
  <Characters>6768</Characters>
  <CharactersWithSpaces>8607</CharactersWithSpaces>
  <Paragraphs>104</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2015-07-02T10:18:00Z</dcterms:created>
  <dc:creator>bna</dc:creator>
  <dc:description/>
  <dc:language>ru-RU</dc:language>
  <cp:lastModifiedBy/>
  <dcterms:modified xsi:type="dcterms:W3CDTF">2026-07-15T09:28:29Z</dcterms:modified>
  <cp:revision>1135</cp:revision>
  <dc:subject/>
  <dc:title>Департамент имущественных отношений</dc:title>
  <cp:version>1048576</cp:version>
</cp:coreProperties>
</file>

<file path=docProps/custom.xml><?xml version="1.0" encoding="utf-8"?>
<Properties xmlns="http://schemas.openxmlformats.org/officeDocument/2006/custom-properties" xmlns:vt="http://schemas.openxmlformats.org/officeDocument/2006/docPropsVTypes"/>
</file>