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lainText"/>
        <w:ind w:hanging="1134" w:left="1134" w:right="-26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732" w:leader="none"/>
          <w:tab w:val="left" w:pos="5812" w:leader="none"/>
        </w:tabs>
        <w:spacing w:lineRule="exact" w:line="240"/>
        <w:ind w:firstLine="5670" w:left="0"/>
        <w:jc w:val="both"/>
        <w:outlineLvl w:val="5"/>
        <w:rPr>
          <w:sz w:val="28"/>
          <w:szCs w:val="28"/>
        </w:rPr>
      </w:pPr>
      <w:r>
        <w:rPr>
          <w:bCs/>
          <w:sz w:val="28"/>
          <w:szCs w:val="28"/>
        </w:rPr>
        <w:t>Приложение 2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6" w:left="5664"/>
        <w:rPr>
          <w:sz w:val="28"/>
          <w:szCs w:val="28"/>
        </w:rPr>
      </w:pPr>
      <w:r>
        <w:rPr>
          <w:sz w:val="28"/>
          <w:szCs w:val="28"/>
        </w:rPr>
        <w:t>к приказу начальника департамента имущественных отношений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5670"/>
        <w:rPr>
          <w:sz w:val="28"/>
          <w:szCs w:val="28"/>
        </w:rPr>
      </w:pPr>
      <w:r>
        <w:rPr>
          <w:sz w:val="28"/>
          <w:szCs w:val="28"/>
        </w:rPr>
        <w:t>администрации города Перми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17.07.2026 № 059-19-01-11-114</w:t>
      </w:r>
    </w:p>
    <w:p>
      <w:pPr>
        <w:pStyle w:val="Normal"/>
        <w:tabs>
          <w:tab w:val="clear" w:pos="708"/>
          <w:tab w:val="left" w:pos="4732" w:leader="none"/>
        </w:tabs>
        <w:ind w:left="283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4732" w:leader="none"/>
        </w:tabs>
        <w:ind w:lef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Извещение о проведении</w:t>
      </w:r>
      <w:r>
        <w:rPr>
          <w:rFonts w:cs="Times New Roman" w:ascii="Times New Roman" w:hAnsi="Times New Roman"/>
          <w:b/>
          <w:sz w:val="28"/>
          <w:szCs w:val="28"/>
          <w:shd w:fill="auto" w:val="clear"/>
          <w:lang w:val="ru-RU"/>
        </w:rPr>
        <w:t xml:space="preserve"> 20.06.</w:t>
      </w:r>
      <w:r>
        <w:rPr>
          <w:rFonts w:cs="Times New Roman" w:ascii="Times New Roman" w:hAnsi="Times New Roman"/>
          <w:b/>
          <w:sz w:val="28"/>
          <w:szCs w:val="28"/>
          <w:lang w:val="ru-RU"/>
        </w:rPr>
        <w:t>2026 электронного аукциона на право заключения договора аренды земельного участка</w:t>
      </w:r>
    </w:p>
    <w:p>
      <w:pPr>
        <w:pStyle w:val="PlainTex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widowControl w:val="false"/>
        <w:ind w:firstLine="567" w:left="-567"/>
        <w:jc w:val="both"/>
        <w:rPr>
          <w:b/>
          <w:bCs/>
        </w:rPr>
      </w:pPr>
      <w:r>
        <w:rPr>
          <w:shd w:fill="FFFFFF" w:val="clear"/>
        </w:rPr>
        <w:t xml:space="preserve">Электронный аукцион на право заключения договора аренды земельного участка (далее – аукцион) проводится в соответствии со статьями 39.11, 39.12, 39.13, 39.18 Земельного кодекса Российской Федерации, статьей 17.3 Федерального закона от 26 июля 2006 г. № 135-ФЗ «О защите конкуренции», Положением о департаменте имущественных отношений администрации города Перми, утвержденным решением Пермской городской Думы от 12 сентября 2006 г. № 210, постановлением администрации города Перми от 20 ноября 2008 г. № 1089 «О комиссии по проведению аукционов по продаже земельных участков, находящихся в муниципальной собственности города Перми, и участков, собственность на которые не разграничена, объектов незавершенного строительства, расположенных на земельных участках, находящихся в муниципальной собственности города Перми, и участках, собственность на которые не разграничена, или на право заключения договоров аренды земельных участков, находящихся в муниципальной собственности города Перми, </w:t>
      </w:r>
      <w:r>
        <w:rPr>
          <w:rFonts w:eastAsia="Droid Sans Fallback" w:cs="Lohit Devanagari"/>
          <w:color w:val="000000"/>
          <w:sz w:val="24"/>
          <w:szCs w:val="24"/>
          <w:shd w:fill="FFFFFF" w:val="clear"/>
          <w:lang w:val="ru-RU" w:eastAsia="zh-CN" w:bidi="ar-SA"/>
        </w:rPr>
        <w:t>и участков, собственность на которые не разграничена» (далее – комиссия), регламентом работы электронной площадки АО «Сбербанк-АСТ», регламентом работы торговой секции АО «Сбербанк-АСТ».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b/>
          <w:bCs/>
        </w:rPr>
      </w:pPr>
      <w:r>
        <w:rPr>
          <w:b/>
          <w:bCs/>
        </w:rPr>
        <w:t xml:space="preserve">Орган, принявший решение о проведении аукциона: </w:t>
      </w:r>
      <w:r>
        <w:rPr>
          <w:bCs/>
        </w:rPr>
        <w:t xml:space="preserve">департамент земельных отношений администрации города Перми, местонахождение: 614000, г. Пермь, ул. Сибирская,15, почтовый адрес: 614000, г. Пермь, ул. Сибирская,15, телефон 212-33-48 (аналитический отдел), адрес электронной почты: </w:t>
      </w:r>
      <w:r>
        <w:rPr>
          <w:rStyle w:val="Hyperlink"/>
          <w:bCs/>
          <w:sz w:val="24"/>
          <w:szCs w:val="24"/>
          <w:lang w:val="en-US"/>
        </w:rPr>
        <w:t>dzo@perm.permkrai.ru.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</w:rPr>
        <w:t xml:space="preserve">Организатор аукциона </w:t>
      </w:r>
      <w:r>
        <w:rPr>
          <w:bCs/>
        </w:rPr>
        <w:t>(далее – Организатор аукциона)</w:t>
      </w:r>
      <w:r>
        <w:rPr>
          <w:b/>
          <w:bCs/>
        </w:rPr>
        <w:t xml:space="preserve">: </w:t>
      </w:r>
      <w:r>
        <w:rPr>
          <w:bCs/>
        </w:rPr>
        <w:t>департамент имущественных отношений администрации города Перми, местонахождение: 614000, г. Пермь, ул. Сибирская,14, почтовый адрес: 614000, г. Пермь, ул. Сибирская,14, телефон 212-77-24 (отдел по распоряжению муниципальным имуществом), адрес электронной почты:</w:t>
      </w:r>
      <w:r>
        <w:rPr>
          <w:b/>
          <w:bCs/>
        </w:rPr>
        <w:t xml:space="preserve"> </w:t>
      </w:r>
      <w:r>
        <w:rPr>
          <w:sz w:val="24"/>
          <w:szCs w:val="24"/>
          <w:lang w:val="en-US"/>
        </w:rPr>
        <w:t>dio</w:t>
      </w:r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perm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permkrai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b/>
          <w:bCs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sz w:val="24"/>
          <w:szCs w:val="24"/>
        </w:rPr>
      </w:pPr>
      <w:r>
        <w:rPr>
          <w:b/>
          <w:bCs/>
        </w:rPr>
        <w:t>Реквизиты приказа об организации проведения аукциона:</w:t>
      </w:r>
      <w:r>
        <w:rPr>
          <w:bCs/>
        </w:rPr>
        <w:t xml:space="preserve"> приказ начальника департамента имущественных отношений администрации города Перми от</w:t>
      </w:r>
      <w:r>
        <w:rPr>
          <w:bCs/>
          <w:sz w:val="12"/>
          <w:szCs w:val="24"/>
        </w:rPr>
        <w:t xml:space="preserve"> </w:t>
      </w:r>
      <w:r>
        <w:rPr>
          <w:bCs/>
          <w:sz w:val="24"/>
          <w:szCs w:val="28"/>
        </w:rPr>
        <w:t>17.07.2026 № 059-19-01-11-114.</w:t>
      </w:r>
    </w:p>
    <w:p>
      <w:pPr>
        <w:pStyle w:val="BodyTextIndent3"/>
        <w:numPr>
          <w:ilvl w:val="0"/>
          <w:numId w:val="0"/>
        </w:numPr>
        <w:spacing w:before="0" w:after="0"/>
        <w:ind w:firstLine="567" w:left="-567"/>
        <w:jc w:val="both"/>
        <w:outlineLvl w:val="0"/>
        <w:rPr>
          <w:rFonts w:eastAsia="Courier New"/>
          <w:b/>
          <w:color w:val="000000"/>
          <w:lang w:val="ru-RU" w:bidi="ru-RU"/>
        </w:rPr>
      </w:pPr>
      <w:r>
        <w:rPr>
          <w:sz w:val="24"/>
          <w:szCs w:val="24"/>
          <w:lang w:val="ru-RU"/>
        </w:rPr>
        <w:t xml:space="preserve">Извещение о проведение электронных аукционов размещается на официальном сайте Российской Федерации для размещения информации о проведении торгов </w:t>
      </w:r>
      <w:hyperlink r:id="rId2" w:tgtFrame="http://www.torgi.gov.ru/">
        <w:r>
          <w:rPr>
            <w:rStyle w:val="Hyperlink"/>
            <w:color w:val="000000"/>
            <w:sz w:val="24"/>
            <w:szCs w:val="24"/>
            <w:u w:val="none"/>
          </w:rPr>
          <w:t>www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torgi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gov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ru</w:t>
        </w:r>
      </w:hyperlink>
      <w:r>
        <w:rPr>
          <w:color w:val="000000"/>
          <w:sz w:val="24"/>
          <w:szCs w:val="24"/>
          <w:u w:val="none"/>
        </w:rPr>
        <w:t xml:space="preserve"> </w:t>
        <w:br/>
        <w:t>(далее – ГИС Торги)</w:t>
      </w:r>
      <w:r>
        <w:rPr>
          <w:b/>
          <w:sz w:val="24"/>
          <w:szCs w:val="24"/>
          <w:lang w:val="ru-RU"/>
        </w:rPr>
        <w:t>,</w:t>
      </w:r>
      <w:r>
        <w:rPr>
          <w:b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официальном сайте муниципального образования город Пермь </w:t>
        <w:br/>
        <w:t xml:space="preserve">в информационно-телекоммуникационной сети «Интернет» </w:t>
      </w:r>
      <w:hyperlink r:id="rId3" w:tgtFrame="http://www.gorodperm.ru/">
        <w:r>
          <w:rPr>
            <w:rStyle w:val="Hyperlink"/>
            <w:color w:val="000000"/>
            <w:sz w:val="24"/>
            <w:szCs w:val="24"/>
            <w:u w:val="none"/>
          </w:rPr>
          <w:t>www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gorodperm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ru</w:t>
        </w:r>
      </w:hyperlink>
      <w:r>
        <w:rPr>
          <w:sz w:val="24"/>
          <w:szCs w:val="24"/>
          <w:lang w:val="ru-RU"/>
        </w:rPr>
        <w:t xml:space="preserve"> и на электронной </w:t>
      </w:r>
      <w:r>
        <w:rPr>
          <w:bCs/>
          <w:sz w:val="24"/>
          <w:szCs w:val="24"/>
          <w:lang w:val="ru-RU" w:bidi="ru-RU"/>
        </w:rPr>
        <w:t xml:space="preserve">площадке </w:t>
      </w:r>
      <w:hyperlink r:id="rId4" w:tgtFrame="http://utp.sberbank-ast.ru/">
        <w:r>
          <w:rPr>
            <w:rStyle w:val="Hyperlink"/>
            <w:sz w:val="24"/>
            <w:szCs w:val="24"/>
          </w:rPr>
          <w:t>http</w:t>
        </w:r>
        <w:r>
          <w:rPr>
            <w:rStyle w:val="Hyperlink"/>
            <w:sz w:val="24"/>
            <w:szCs w:val="24"/>
            <w:lang w:val="ru-RU"/>
          </w:rPr>
          <w:t>://</w:t>
        </w:r>
        <w:r>
          <w:rPr>
            <w:rStyle w:val="Hyperlink"/>
            <w:sz w:val="24"/>
            <w:szCs w:val="24"/>
          </w:rPr>
          <w:t>utp</w:t>
        </w:r>
        <w:r>
          <w:rPr>
            <w:rStyle w:val="Hyperlink"/>
            <w:sz w:val="24"/>
            <w:szCs w:val="24"/>
            <w:lang w:val="ru-RU"/>
          </w:rPr>
          <w:t>.</w:t>
        </w:r>
        <w:r>
          <w:rPr>
            <w:rStyle w:val="Hyperlink"/>
            <w:sz w:val="24"/>
            <w:szCs w:val="24"/>
          </w:rPr>
          <w:t>sberbank</w:t>
        </w:r>
        <w:r>
          <w:rPr>
            <w:rStyle w:val="Hyperlink"/>
            <w:sz w:val="24"/>
            <w:szCs w:val="24"/>
            <w:lang w:val="ru-RU"/>
          </w:rPr>
          <w:t>-</w:t>
        </w:r>
        <w:r>
          <w:rPr>
            <w:rStyle w:val="Hyperlink"/>
            <w:sz w:val="24"/>
            <w:szCs w:val="24"/>
          </w:rPr>
          <w:t>ast</w:t>
        </w:r>
        <w:r>
          <w:rPr>
            <w:rStyle w:val="Hyperlink"/>
            <w:sz w:val="24"/>
            <w:szCs w:val="24"/>
            <w:lang w:val="ru-RU"/>
          </w:rPr>
          <w:t>.</w:t>
        </w:r>
        <w:r>
          <w:rPr>
            <w:rStyle w:val="Hyperlink"/>
            <w:sz w:val="24"/>
            <w:szCs w:val="24"/>
          </w:rPr>
          <w:t>ru</w:t>
        </w:r>
      </w:hyperlink>
      <w:r>
        <w:rPr>
          <w:bCs/>
          <w:sz w:val="24"/>
          <w:szCs w:val="24"/>
          <w:lang w:val="ru-RU" w:bidi="ru-RU"/>
        </w:rPr>
        <w:t>.</w:t>
      </w:r>
    </w:p>
    <w:p>
      <w:pPr>
        <w:pStyle w:val="Normal"/>
        <w:widowControl w:val="false"/>
        <w:ind w:firstLine="567" w:left="-567"/>
        <w:jc w:val="both"/>
        <w:rPr>
          <w:rFonts w:eastAsia="Courier New"/>
          <w:b/>
          <w:color w:val="000000"/>
          <w:lang w:eastAsia="en-US" w:bidi="ru-RU"/>
        </w:rPr>
      </w:pPr>
      <w:r>
        <w:rPr>
          <w:rFonts w:eastAsia="Courier New"/>
          <w:b/>
          <w:color w:val="000000"/>
          <w:lang w:bidi="ru-RU"/>
        </w:rPr>
        <w:t>Адрес электронной площадки в информационно-телекоммуникационной сети «Интернет», на которой будет проводиться аукцион</w:t>
      </w:r>
      <w:r>
        <w:rPr>
          <w:rFonts w:eastAsia="Courier New"/>
          <w:color w:val="000000"/>
          <w:lang w:bidi="ru-RU"/>
        </w:rPr>
        <w:t>:</w:t>
      </w:r>
      <w:r>
        <w:rPr>
          <w:rFonts w:eastAsia="Courier New" w:cs="Courier New" w:ascii="Courier New" w:hAnsi="Courier New"/>
          <w:color w:val="000000"/>
          <w:lang w:bidi="ru-RU"/>
        </w:rPr>
        <w:t xml:space="preserve"> </w:t>
      </w:r>
      <w:hyperlink r:id="rId5" w:tgtFrame="http://utp.sberbank-ast.ru/">
        <w:r>
          <w:rPr>
            <w:rStyle w:val="Hyperlink"/>
          </w:rPr>
          <w:t>http://utp.sberbank-ast.ru</w:t>
        </w:r>
      </w:hyperlink>
      <w:r>
        <w:rPr>
          <w:rFonts w:eastAsia="Courier New"/>
          <w:lang w:bidi="ru-RU"/>
        </w:rPr>
        <w:t xml:space="preserve"> </w:t>
        <w:br/>
      </w:r>
      <w:r>
        <w:rPr>
          <w:rFonts w:eastAsia="Courier New"/>
          <w:color w:val="000000"/>
          <w:lang w:bidi="ru-RU"/>
        </w:rPr>
        <w:t xml:space="preserve">(далее – электронная площадка), торговая секция «Приватизация, аренда и продажа прав» </w:t>
        <w:br/>
        <w:t xml:space="preserve">(далее – торговая секция). 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b/>
          <w:color w:val="000000"/>
          <w:lang w:eastAsia="en-US" w:bidi="ru-RU"/>
        </w:rPr>
        <w:t>Владелец электронной площадки</w:t>
      </w:r>
      <w:r>
        <w:rPr>
          <w:rFonts w:eastAsia="Courier New"/>
          <w:color w:val="000000"/>
          <w:lang w:eastAsia="en-US" w:bidi="ru-RU"/>
        </w:rPr>
        <w:t>:</w:t>
      </w:r>
      <w:r>
        <w:rPr>
          <w:rFonts w:eastAsia="Calibri"/>
          <w:lang w:eastAsia="en-US"/>
        </w:rPr>
        <w:t xml:space="preserve"> АО «Сбербанк-АСТ» (далее – Оператор)</w:t>
      </w:r>
      <w:r>
        <w:rPr>
          <w:rFonts w:eastAsia="Courier New"/>
          <w:color w:val="000000"/>
          <w:lang w:eastAsia="en-US" w:bidi="ru-RU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rFonts w:eastAsia="Courier New"/>
          <w:color w:val="000000"/>
          <w:lang w:bidi="ru-RU"/>
        </w:rPr>
        <w:t xml:space="preserve">Регламент работы электронной площадки размещён по </w:t>
      </w:r>
      <w:r>
        <w:rPr>
          <w:rFonts w:eastAsia="Courier New"/>
          <w:lang w:bidi="ru-RU"/>
        </w:rPr>
        <w:t xml:space="preserve">адресу: </w:t>
      </w:r>
      <w:hyperlink r:id="rId6" w:tgtFrame="https://utp.sberbank-ast.ru/Main/Notice/988/Reglament">
        <w:r>
          <w:rPr>
            <w:rStyle w:val="Hyperlink"/>
            <w:rFonts w:eastAsia="Courier New"/>
            <w:lang w:bidi="ru-RU"/>
          </w:rPr>
          <w:t>https://utp.sberbank-ast.ru/Main/Notice/988/Reglament</w:t>
        </w:r>
      </w:hyperlink>
      <w:r>
        <w:rPr>
          <w:rFonts w:eastAsia="Courier New"/>
          <w:lang w:bidi="ru-RU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rFonts w:eastAsia="Courier New"/>
          <w:lang w:bidi="ru-RU"/>
        </w:rPr>
      </w:pPr>
      <w:r>
        <w:rPr>
          <w:bCs/>
          <w:lang w:bidi="ru-RU"/>
        </w:rPr>
        <w:t xml:space="preserve">Регламент работы </w:t>
      </w:r>
      <w:r>
        <w:rPr>
          <w:rFonts w:eastAsia="Courier New"/>
          <w:lang w:bidi="ru-RU"/>
        </w:rPr>
        <w:t xml:space="preserve">торговой секции </w:t>
      </w:r>
      <w:r>
        <w:rPr>
          <w:bCs/>
          <w:lang w:eastAsia="en-US" w:bidi="ru-RU"/>
        </w:rPr>
        <w:t xml:space="preserve">размещен по адресу: 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 w:type="textWrapping" w:clear="all"/>
      </w:r>
      <w:hyperlink r:id="rId7" w:tgtFrame="https://utp.sberbank-ast.ru/AP/Notice/1027/Instructions">
        <w:r>
          <w:rPr>
            <w:rStyle w:val="Hyperlink"/>
            <w:rFonts w:eastAsia="Calibri"/>
            <w:lang w:eastAsia="en-US"/>
          </w:rPr>
          <w:t>https://utp.sberbank-ast.ru/AP/Notice/1027/Instructions</w:t>
        </w:r>
      </w:hyperlink>
      <w:r>
        <w:rPr>
          <w:rFonts w:eastAsia="Calibri"/>
          <w:lang w:eastAsia="en-US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/>
          <w:bCs/>
        </w:rPr>
      </w:pPr>
      <w:r>
        <w:rPr>
          <w:rFonts w:eastAsia="Courier New"/>
          <w:lang w:bidi="ru-RU"/>
        </w:rPr>
        <w:t xml:space="preserve">Инструкция по работе в торговой секции электронной площадки  </w:t>
      </w:r>
      <w:r>
        <w:rPr>
          <w:rFonts w:eastAsia="Courier New"/>
          <w:lang w:bidi="ru-RU"/>
        </w:rPr>
        <w:br w:type="textWrapping" w:clear="all"/>
      </w:r>
      <w:r>
        <w:rPr>
          <w:bCs/>
          <w:lang w:eastAsia="en-US" w:bidi="ru-RU"/>
        </w:rPr>
        <w:t>размещена по адресу:</w:t>
      </w:r>
      <w:r>
        <w:rPr>
          <w:rFonts w:eastAsia="Calibri" w:cs="Calibri" w:ascii="Calibri" w:hAnsi="Calibri"/>
          <w:sz w:val="22"/>
          <w:szCs w:val="22"/>
          <w:lang w:eastAsia="en-US"/>
        </w:rPr>
        <w:t xml:space="preserve"> </w:t>
      </w:r>
      <w:hyperlink r:id="rId8" w:tgtFrame="https://utp.sberbank-ast.ru/AP/Notice/652/Instructions">
        <w:r>
          <w:rPr>
            <w:rStyle w:val="Hyperlink"/>
            <w:bCs/>
            <w:lang w:eastAsia="en-US" w:bidi="ru-RU"/>
          </w:rPr>
          <w:t>https://utp.sberbank-ast.ru/AP/Notice/652/Instructions</w:t>
        </w:r>
      </w:hyperlink>
      <w:r>
        <w:rPr>
          <w:bCs/>
          <w:lang w:eastAsia="en-US" w:bidi="ru-RU"/>
        </w:rPr>
        <w:t>.</w:t>
      </w:r>
    </w:p>
    <w:p>
      <w:pPr>
        <w:pStyle w:val="Normal"/>
        <w:widowControl w:val="false"/>
        <w:ind w:firstLine="567" w:left="-567"/>
        <w:jc w:val="both"/>
        <w:rPr>
          <w:highlight w:val="none"/>
        </w:rPr>
      </w:pPr>
      <w:r>
        <w:rPr>
          <w:b/>
          <w:bCs/>
        </w:rPr>
        <w:t xml:space="preserve">Орган, уполномоченный на право заключение договора аренды земельного участка: </w:t>
      </w:r>
      <w:r>
        <w:rPr>
          <w:bCs/>
        </w:rPr>
        <w:t xml:space="preserve">департамент земельных отношений администрации города Перми, местонахождение: 614000, </w:t>
        <w:br/>
        <w:t>г. Пермь, ул. Сибирская,15, почтовый адрес: 614000, г. Пермь, ул. Сибирская,15, телефон 212-61-90 (отдел договоров), адрес электронной почты:</w:t>
      </w:r>
      <w:r>
        <w:rPr>
          <w:bCs/>
          <w:sz w:val="24"/>
          <w:szCs w:val="24"/>
        </w:rPr>
        <w:t xml:space="preserve"> </w:t>
      </w:r>
      <w:r>
        <w:rPr>
          <w:rStyle w:val="Hyperlink"/>
          <w:bCs/>
          <w:sz w:val="24"/>
          <w:szCs w:val="24"/>
          <w:lang w:val="en-US"/>
        </w:rPr>
        <w:t>dzo</w:t>
      </w:r>
      <w:r>
        <w:rPr>
          <w:rStyle w:val="Hyperlink"/>
          <w:bCs/>
          <w:sz w:val="24"/>
          <w:szCs w:val="24"/>
        </w:rPr>
        <w:t>@</w:t>
      </w:r>
      <w:r>
        <w:rPr>
          <w:rStyle w:val="Hyperlink"/>
          <w:bCs/>
          <w:sz w:val="24"/>
          <w:szCs w:val="24"/>
          <w:lang w:val="en-US"/>
        </w:rPr>
        <w:t>perm</w:t>
      </w:r>
      <w:r>
        <w:rPr>
          <w:rStyle w:val="Hyperlink"/>
          <w:bCs/>
          <w:sz w:val="24"/>
          <w:szCs w:val="24"/>
        </w:rPr>
        <w:t>.</w:t>
      </w:r>
      <w:r>
        <w:rPr>
          <w:rStyle w:val="Hyperlink"/>
          <w:bCs/>
          <w:sz w:val="24"/>
          <w:szCs w:val="24"/>
          <w:lang w:val="en-US"/>
        </w:rPr>
        <w:t>permkrai</w:t>
      </w:r>
      <w:r>
        <w:rPr>
          <w:rStyle w:val="Hyperlink"/>
          <w:bCs/>
          <w:sz w:val="24"/>
          <w:szCs w:val="24"/>
        </w:rPr>
        <w:t>.</w:t>
      </w:r>
      <w:r>
        <w:rPr>
          <w:rStyle w:val="Hyperlink"/>
          <w:bCs/>
          <w:sz w:val="24"/>
          <w:szCs w:val="24"/>
          <w:lang w:val="en-US"/>
        </w:rPr>
        <w:t>ru.</w:t>
      </w:r>
    </w:p>
    <w:p>
      <w:pPr>
        <w:pStyle w:val="Normal"/>
        <w:widowControl w:val="false"/>
        <w:ind w:firstLine="567" w:left="-567"/>
        <w:jc w:val="both"/>
        <w:rPr>
          <w:b/>
          <w:bCs/>
        </w:rPr>
      </w:pPr>
      <w:r>
        <w:rPr>
          <w:b/>
          <w:bCs/>
        </w:rPr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Сведения о лотах (предметах аукциона)</w:t>
      </w:r>
    </w:p>
    <w:p>
      <w:pPr>
        <w:pStyle w:val="PlainText"/>
        <w:spacing w:lineRule="exact" w:line="240"/>
        <w:ind w:hanging="1134" w:left="1134"/>
        <w:jc w:val="center"/>
        <w:rPr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PlainText"/>
        <w:spacing w:lineRule="exact" w:line="240"/>
        <w:ind w:hanging="1134" w:left="1134"/>
        <w:jc w:val="left"/>
        <w:rPr/>
      </w:pPr>
      <w:r>
        <w:rPr>
          <w:rFonts w:cs="Times New Roman" w:ascii="Times New Roman" w:hAnsi="Times New Roman"/>
          <w:b/>
          <w:sz w:val="24"/>
          <w:szCs w:val="28"/>
          <w:lang w:val="ru-RU"/>
        </w:rPr>
        <w:t>Лот № 1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7"/>
        <w:gridCol w:w="3054"/>
        <w:gridCol w:w="6864"/>
      </w:tblGrid>
      <w:tr>
        <w:trPr>
          <w:trHeight w:val="87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>о проведении аукциона,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>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sz w:val="24"/>
                <w:szCs w:val="20"/>
                <w:lang w:val="ru-RU" w:eastAsia="ru-RU" w:bidi="ar-SA"/>
              </w:rPr>
              <w:t xml:space="preserve">от 07 июля 2026 г. № 21-01-03-4759 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fill="auto" w:val="clear"/>
                <w:lang w:val="ru-RU" w:eastAsia="zh-CN" w:bidi="ar-SA"/>
              </w:rPr>
              <w:t xml:space="preserve">«О проведении аукциона на право заключения договора аренды земельного участка в </w:t>
            </w:r>
            <w:r>
              <w:rPr>
                <w:rFonts w:eastAsia="Times New Roman" w:cs="Times New Roman"/>
                <w:color w:val="000000"/>
                <w:sz w:val="24"/>
                <w:szCs w:val="20"/>
                <w:shd w:fill="auto" w:val="clear"/>
                <w:lang w:val="ru-RU" w:eastAsia="ru-RU" w:bidi="ar-SA"/>
              </w:rPr>
              <w:t>Орджоникидзевском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fill="auto" w:val="clear"/>
                <w:lang w:val="ru-RU" w:eastAsia="zh-CN" w:bidi="ar-SA"/>
              </w:rPr>
              <w:t xml:space="preserve"> районе города Перми»</w:t>
            </w:r>
            <w:r>
              <w:rPr>
                <w:rFonts w:eastAsia="Times New Roman" w:cs="Times New Roman"/>
                <w:color w:val="000000"/>
                <w:sz w:val="24"/>
                <w:szCs w:val="20"/>
                <w:shd w:fill="auto" w:val="clear"/>
                <w:lang w:val="ru-RU" w:eastAsia="ru-RU" w:bidi="ar-SA"/>
              </w:rPr>
              <w:t>,</w:t>
            </w:r>
            <w:r>
              <w:rPr>
                <w:rFonts w:eastAsia="Times New Roman" w:cs="Times New Roman"/>
                <w:color w:val="000000"/>
                <w:sz w:val="24"/>
                <w:szCs w:val="20"/>
                <w:lang w:val="ru-RU" w:eastAsia="ru-RU" w:bidi="ar-SA"/>
              </w:rPr>
              <w:t xml:space="preserve"> от 13 июля 2026 г. № 21-01-03-4906 «О внесении изменений в абзац первый пункта 1 распоряжения начальника департамента земельных отношений администрации города Перми от 07 июля 2026 г. № 21-01-03-4759 «О проведении аукциона на право заключения договора аренды земельного участка в Орджоникидзевском районе города Перми»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>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25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Ленина(Голованово), з/у 24а</w:t>
            </w:r>
          </w:p>
        </w:tc>
      </w:tr>
      <w:tr>
        <w:trPr>
          <w:trHeight w:val="148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1312 кв. м</w:t>
            </w:r>
          </w:p>
        </w:tc>
      </w:tr>
      <w:tr>
        <w:trPr>
          <w:trHeight w:val="15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59:01:3610010:206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Ж-5 «Зона индивидуальной усадебной жилой застройки»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  <w:p>
            <w:pPr>
              <w:pStyle w:val="Normal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от 09.07.2026г. № КУВИ-001/2026-92566122 (далее – ЕГРН);</w:t>
            </w:r>
          </w:p>
          <w:p>
            <w:pPr>
              <w:pStyle w:val="Normal"/>
              <w:ind w:firstLine="311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от 19.05</w:t>
            </w:r>
            <w:r>
              <w:rPr>
                <w:color w:val="000000"/>
                <w:sz w:val="24"/>
                <w:szCs w:val="24"/>
                <w:shd w:fill="auto" w:val="clear"/>
              </w:rPr>
              <w:t>.2026 № РФ-59-2-03-0-00-2026-1253-0 </w:t>
            </w:r>
            <w:r>
              <w:rPr>
                <w:sz w:val="24"/>
                <w:szCs w:val="24"/>
                <w:shd w:fill="auto" w:val="clear"/>
              </w:rPr>
              <w:t>(далее – ГПЗУ).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Приложение 2 к настоящему извещению)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</w:rPr>
              <w:t>Участок ничем не огорожен, доступ не ограничен, с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остояние рельефа - ровное. На Участке произрастает сорная трава, на части участка установлены автомобильные покрышки, остатки оборудования от детской площадки (футбольны ворота, турник). Объекты капитального строительства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Близлежащий источник против</w:t>
            </w:r>
            <w:r>
              <w:rPr>
                <w:color w:themeColor="text1" w:val="000000"/>
                <w:sz w:val="24"/>
                <w:szCs w:val="24"/>
              </w:rPr>
              <w:t>опожарного водоснабжения относительно Участка расположен по адресу: Пермский край, г. Пермь, Орджоникидзевский район, ул. Ленина (Голованово) между жилыми домами 10 и 12, ул. Зелёная, в непосредственной близости расположен водный объект р. Васильевка.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ифнормация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>администрации Орджоникидзевского района города Перми</w:t>
            </w:r>
            <w:r>
              <w:rPr>
                <w:color w:themeColor="text1" w:val="000000"/>
                <w:sz w:val="24"/>
                <w:szCs w:val="24"/>
              </w:rPr>
              <w:t xml:space="preserve"> от 13.05.2026 № 059-37-01-32/3-2675, в акте обследования от 04.05.2026 № 42).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В соответствии со сведениями ЕГРН объекты капитального/некапитального строительства в границах Участка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В соответствии с копией планшета 1:500 (требуется корректура) с западной стороны Участок зарос древесной растительностью. С северо – запада Участок пересекает некапитальное строение. На Участке размещена детская площадка.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В соответствии с геодезической съёмкой, выполненной в 2026 году, Участок зарос травянистой растительностью. Капитальные или некапитальные строения на Участке отсутствуют.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35" w:before="0" w:afterAutospacing="0" w:after="0"/>
              <w:ind w:firstLine="311"/>
              <w:jc w:val="both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Согласно сведениям, содержащимся ЕГРН, ГПЗУ </w:t>
              <w:br/>
              <w:t xml:space="preserve">и градостроительной справке от 09.07.2026 № 686302 </w:t>
            </w:r>
            <w:r>
              <w:rPr>
                <w:color w:val="auto"/>
                <w:sz w:val="24"/>
                <w:szCs w:val="24"/>
                <w:highlight w:val="white"/>
              </w:rPr>
              <w:t>Участок расположен в границах зон с особыми условиями использования территории: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частично площадью 26 кв.м охранная зона объекта: «Электросетевой комплекс Подстанция 35/6 кВ «Река» (ВЛ 0,4 кВ от КТП 4103), реестровый номер 59:01-6.540</w:t>
            </w:r>
            <w:r>
              <w:rPr>
                <w:color w:val="auto"/>
              </w:rPr>
              <w:t>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частично площадью 257 кв.м ОХРАННАЯ ЗОНА ВЛ 6 КВ Ф. СЫЛВА, реестровый номер 59:01-6.1186</w:t>
            </w:r>
            <w:r>
              <w:rPr>
                <w:color w:val="auto"/>
              </w:rPr>
              <w:t>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частично площадью 26 кв.м расположена в границах зоны действия 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  <w:t>публичного сервитута для размещения объекта электросетевого хозяйства «Электросетевой комплекс Подстанция 35/6 кВ «Река» (ВЛ 0,4 кВ от КТП 4103), устан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овленного распоряжением Департамента от 29.12.2022 № 21-01-03-5866 «Об установлении публичного сервитута в отдельных целях». Срок установления публичного сервитута - 48 лет 11 месяцев. Реестровый номер границы: 59:01-6.9937.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auto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Проектирование и строительство вести в соответствии: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auto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с п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остановлением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auto"/>
                <w:sz w:val="24"/>
                <w:szCs w:val="24"/>
                <w:highlight w:val="none"/>
              </w:rPr>
            </w:pPr>
            <w:r>
              <w:rPr>
                <w:color w:themeColor="text1"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>На Участке произрастает 13 деревьев: береза 7 шт., черемуха 3 шт., яблоня 1 шт., ирга 1 шт., ива 1 шт., а также 4 шт. кустарников лиственных пород.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Средняя стоимость в ценах 2026 года одного дерева лиственной породы от 25 тыс. руб., а хвойной – </w:t>
              <w:br/>
              <w:t>от 30 тыс. руб.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</w:rPr>
              <w:t xml:space="preserve">Победителю аукциона необходимо соблюдать условия строительства, перечисленные в 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</w:rPr>
              <w:t>перечне мероприятий по охране окружающей среды от 18.05.2026 № 113.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ифнормация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Управления по экологии и природопользованию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18.05.2026 № 059-33-01-10/3-278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pacing w:val="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themeColor="text1" w:val="000000"/>
                <w:spacing w:val="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 </w:t>
              <w:br/>
              <w:t>«Об утверждении муниципальной программы «Дорожная деятельность и благоустройство города Перми»,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бюджетом города Перми на период 2025-2029 годы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  <w14:ligatures w14:val="none"/>
              </w:rPr>
              <w:t xml:space="preserve">Программой комплексного развития транспортной инфраструктуры города Перми на 2025-2043 годы, утвержденной Решением Пермской городской Думы </w:t>
              <w:br/>
              <w:t>от 16.12.2025 № 238,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  <w14:ligatures w14:val="none"/>
              </w:rPr>
              <w:t>Для примыкания Земельного участка к улично-дорожной сети города Перми необходимо: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  <w14:ligatures w14:val="none"/>
              </w:rPr>
              <w:t xml:space="preserve">разработать проект организации дорожного движения </w:t>
              <w:br/>
              <w:t xml:space="preserve">и согласовать в установленном порядке с ГКУ «Центр безопасности дорожного движения Пермского края» </w:t>
              <w:br/>
              <w:t>(ул. Пермская, 164, тел. 236-21-84); получить согласие владельца автомобильной дороги (порядок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автомобильной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дороге, а также перечень документов, необходимых для выдачи согласия, утверждены Постановлением администрации города Перми от 31.01.2022 № 45).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  <w14:ligatures w14:val="none"/>
              </w:rPr>
              <w:t>Также направляем информацию о соблюдении Правил благоустройства территории города Перми, утвержденных решением Пермской городской Думы от 15.12.2020 № 277, при строительстве объектов недвижимости на земельных участках, предоставленных на торгах: поверхностный водоотвод решить проектом без подтопления смежных территорий, в соответствии с действующими нормативно-правовыми актами и природоохранным законодательством; предусмотреть электроосвещение территории объекта; стоянку для временного хранения транспорта разместить в границах отведенного под строительство земельного участка вне территории общего пользования; предусмотреть устройство подъезда к земельному участку или ликвидацию разрушений, повреждений дорожного покрытия существующего проезда от границ земельного участка до существующей улично-дорожной сети города Перми, а также наружное освещение подъезда.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  <w14:ligatures w14:val="none"/>
              </w:rPr>
              <w:t xml:space="preserve">В соответствии с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расходы на строительство, реконструкцию, капитальный ремонт, ремонт пересечений и примыканий, в том числе расходы </w:t>
              <w:br/>
              <w:t xml:space="preserve">на выполнение дополнительных работ, связанных </w:t>
              <w:br/>
              <w:t xml:space="preserve">с обеспечением безопасности дорожного движения, водоотведения и исполнением других установленных техническими регламентами требований, несут лица, </w:t>
              <w:br/>
              <w:t>в интересах которых осуществляются строительство, реконструкция, капитальный ремонт, ремонт пересечений или примыканий.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ифнормация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Департамента дорог и благоустройства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07.05.2026 № 059-24-01-36/3-1414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z w:val="24"/>
                <w:szCs w:val="24"/>
                <w14:ligatures w14:val="none"/>
              </w:rPr>
              <w:t>сточник противопожарного водоснабжения (пожарный гидрант на сети водоснабжения) расположен по адресу: ул. Ленина, напротив дома № 9 на расстоянии 280 метров.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  <w14:ligatures w14:val="none"/>
              </w:rPr>
              <w:t xml:space="preserve">Информация о подразделениях пожарной охраны </w:t>
              <w:br/>
              <w:t>и времени их прибытия содержится в «Расписании выезда подразделений Пермского местного пожарно -спасательного гарнизона для тушения пожаров и проведения аварийно- спасательных работ на территории Пермского городского округа, Пермского муниципального района», утвержденном Главой города Перми 26.04.2024. Подразделение пожарной охраны расположено по адресу: ул. Волховская, 37 (ПСЧ-57 10-ПСО).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  <w14:ligatures w14:val="none"/>
              </w:rPr>
              <w:t xml:space="preserve">Помещения для аварийно-спасательных служб </w:t>
              <w:br/>
              <w:t>и (или) аварийно - 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  <w14:ligatures w14:val="none"/>
              </w:rPr>
              <w:t xml:space="preserve">Объекты общественной безопасности, отнесенные </w:t>
              <w:br/>
              <w:t xml:space="preserve">к объектам полиции (участковые пункты полиции) </w:t>
              <w:br/>
              <w:t>в данном микрорайоне (Голованово)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  <w14:ligatures w14:val="none"/>
              </w:rPr>
              <w:t>Ближайший участковый пункт расположен по адресу: г. Пермь, ул. Бенгальская, д. 6, (Орджоникидзевский район). 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  <w14:ligatures w14:val="none"/>
              </w:rPr>
              <w:t>На указанной территории оконечные устройства системы оповещения населения города Перми отсутствуют. Для обеспечения покрытия запланированной территории системой оповещения населения необходимо предусматривать размещение сиренно-речевых узлов согласно пунктам 6.38, 6.39 СП 165.1325800.2014 «Свод правил. Инженерно -технические мероприятия по гражданской обороне. Актуализированная редакция СНиП 2.01.51-90».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ифнормация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>Департамента общественной безопасности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04.05.2026 № 059-10-01-27/3-651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На период до 2028 года на территории, где расположен Участок, схемами водоснабжения и водоотведения города Перми, утвержденными постановлением администрации города Перми от 28.12.2018 № 1085, не предусмотрено строительство сетей водоснабжения в мкр. Голованово.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sz w:val="24"/>
                <w:szCs w:val="24"/>
              </w:rPr>
              <w:t>Для определения технической возможности подключения объекта капитального строительства к сетям водоснабжения и водоотведения необходимо обратиться к гарантирующей организации для проведения гидравлического расчета.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ифнормация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департамента жилищно -коммунального хозяйства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05.05.2026 № 059-04-17/3-376-ри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108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283" w:left="51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>допустимые параметры разрешенного строительства 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color w:themeColor="text1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fill="FFFFFF" w:val="clear"/>
              </w:rPr>
              <w:t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torgi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gov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ru</w:t>
            </w:r>
            <w:r>
              <w:rPr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9" w:tgtFrame="http://www.gorodperm.ru/">
              <w:r>
                <w:rPr>
                  <w:rStyle w:val="Hyperlink"/>
                  <w:color w:themeColor="text1" w:val="000000"/>
                  <w:szCs w:val="24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szCs w:val="24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</w:t>
            </w:r>
            <w:r>
              <w:rPr>
                <w:color w:val="auto"/>
                <w:sz w:val="24"/>
                <w:szCs w:val="24"/>
              </w:rPr>
              <w:t xml:space="preserve"> </w:t>
              <w:br/>
            </w:r>
            <w:r>
              <w:rPr>
                <w:color w:val="auto"/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color w:val="auto"/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спальни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); кухни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; кухонной зоны </w:t>
              <w:br/>
              <w:t>в кухне-столовой - 6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комнат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</w:t>
              <w:br/>
              <w:t xml:space="preserve">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color w:val="auto"/>
                <w:sz w:val="24"/>
                <w:szCs w:val="24"/>
              </w:rPr>
              <w:br/>
            </w:r>
            <w:r>
              <w:rPr>
                <w:color w:val="auto"/>
                <w:sz w:val="24"/>
                <w:szCs w:val="24"/>
                <w:lang w:val="en-US"/>
              </w:rPr>
              <w:t xml:space="preserve">с наклонными ограждающими конструкциями или </w:t>
              <w:br/>
              <w:t>в мансардном этаже, допускается уменьшение высоты помещений (от пола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до потолка), относительно нормируемой на площади, не превышающей 50%.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Согласно ГПЗУ: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минимальный отступ от границ Участка до места допустимого размещения зданий, строений </w:t>
              <w:br/>
              <w:t>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границ смежных земельных участков при блокированной жилой застройке) – 3 м;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highlight w:val="white"/>
              </w:rPr>
            </w:pPr>
            <w:r>
              <w:rPr>
                <w:color w:val="auto"/>
                <w:sz w:val="24"/>
              </w:rPr>
              <w:t>м</w:t>
            </w:r>
            <w:r>
              <w:rPr>
                <w:color w:val="auto"/>
                <w:sz w:val="24"/>
                <w:highlight w:val="white"/>
              </w:rPr>
              <w:t>аксимальный выступ за красную линию нависающих частей здания наземных уровней, выступающих из плоскости наружной стены фасада здания на высоте</w:t>
              <w:br/>
              <w:t xml:space="preserve">не менее 4,5 м над территорией общего пользования, составляет не более 1,2 м от красной линии. </w:t>
              <w:br/>
              <w:t>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40%.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Согласно документации по планировке территории, утвержденной постановлением администрации города Перми от 22.12.2017 № 1178, предельная высота жилой застройки до 10,5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Победителю аукциона (единственному участнику) рекомендовано обратиться в уполномоченный орган </w:t>
              <w:br/>
              <w:t>с уведомлением о планируемом строительстве жилого дома.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0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/>
              <w:t xml:space="preserve">В </w:t>
            </w:r>
            <w:r>
              <w:rPr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>www</w:t>
            </w:r>
            <w:r>
              <w:rPr/>
              <w:t>.</w:t>
            </w:r>
            <w:r>
              <w:rPr>
                <w:lang w:val="en-US"/>
              </w:rPr>
              <w:t>torgi</w:t>
            </w:r>
            <w:r>
              <w:rPr/>
              <w:t>.</w:t>
            </w:r>
            <w:r>
              <w:rPr>
                <w:lang w:val="en-US"/>
              </w:rPr>
              <w:t>gov</w:t>
            </w:r>
            <w:r>
              <w:rPr/>
              <w:t>.</w:t>
            </w:r>
            <w:r>
              <w:rPr>
                <w:lang w:val="en-US"/>
              </w:rPr>
              <w:t>ru</w:t>
            </w:r>
            <w:r>
              <w:rPr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0" w:tgtFrame="http://www.gorodperm.ru/">
              <w:r>
                <w:rPr>
                  <w:rStyle w:val="Hyperlink"/>
                  <w:color w:themeColor="text1" w:val="000000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с предполагаемой максимальной мощностью 15 кВт сообщает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В границах Участка расположена охранная зона воздушной линии электропередачи 0,4 кВ от трансфорпматорнй подстанции 4103 принадлежащая на праве собственности ПАО «Россети Урал».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Порядок технологического присоединения 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утвержденными постановлением Правительства РФ от 27.12.2004 № 861 (далее – Правила ТП).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Для получения технических условий и заключения договора на технологическое присоединении необходимо направить в адрес филиала ПАО «Россети Урал» - «Пермэнерго» соответствующую заявку с указанием сведений и приложением необходимых документов в соответствии с Правилами ТП через единый федеральный портал электросетевых услуг группы компаний «Россети» на сайте: </w:t>
            </w:r>
            <w:hyperlink r:id="rId11" w:tgtFrame="https://">
              <w:r>
                <w:rPr>
                  <w:rStyle w:val="Hyperlink"/>
                  <w:color w:val="auto"/>
                  <w:sz w:val="24"/>
                  <w:szCs w:val="24"/>
                </w:rPr>
                <w:t>https://</w:t>
              </w:r>
            </w:hyperlink>
            <w:r>
              <w:rPr>
                <w:color w:val="auto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филиала «Россети Урал»-«Пермэнерго» по адресу: г. Пермь, ул. Камчатовская, д. 26, а также почтовым отправлением по адресу: 614016, г. Пермь, 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При подготовке ГПЗУ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ифнормация отражена в письме </w:t>
            </w:r>
            <w:r>
              <w:rPr>
                <w:color w:val="auto"/>
                <w:sz w:val="24"/>
                <w:szCs w:val="24"/>
              </w:rPr>
              <w:t xml:space="preserve">Филиала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ПАО «Россети Урал» - «Пермэнерго» Пермские </w:t>
            </w:r>
            <w:r>
              <w:rPr>
                <w:b/>
                <w:color w:val="auto"/>
                <w:sz w:val="24"/>
                <w:szCs w:val="24"/>
              </w:rPr>
              <w:t>городские электрические сети»</w:t>
            </w:r>
            <w:r>
              <w:rPr>
                <w:color w:val="auto"/>
                <w:sz w:val="24"/>
                <w:szCs w:val="24"/>
              </w:rPr>
              <w:t xml:space="preserve"> от 19.05.2026 № ПЭ/ПГЭС/01/22/7353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Участок находится вне зоны теплоснабжения ПАО «Т Плюс».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Для запроса информации о возможности подключения земельного участка рекомендуется обратиться </w:t>
              <w:br/>
              <w:t>к собственникам близлежащих тепловых сетей/источников теплоснабжения или рассмотреть возможность альтернативного источника теплоснабжения.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ифнормация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ПАО «Т Плюс»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08.05.2026 № 51000-32-01876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5F497A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Техническая возможность подключения к сетям теплоснабжения отсутствует. Рекомендовано рассмотреть альтернативный источник теплоснабжения – газ, электричество, дрова, пеллеты.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ифнормация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>Департамента жилищно-коммунального хозяйства администрации города Перми</w:t>
            </w:r>
            <w:r>
              <w:rPr>
                <w:color w:themeColor="text1" w:val="000000"/>
                <w:sz w:val="24"/>
                <w:szCs w:val="24"/>
              </w:rPr>
              <w:t>от 22.06.2026 № 059-04-25/3-104-ри 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5F497A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Техническая возможность подключения объекта капитального строительства с предполагаемой максимальной нагрузкой 8 куб.м/час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5F497A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Для рассмотрения вопроса о предоставлении технических условий на подключение (технологическое присоединение) необходимо направить запрос с приложением необходимых документов и сведений на электронную почту post@pf.ugaz.ru, либо почтовым отправлением по адресу: г. Пермь, ул. Уральская, 104, через Единый центр предоставления услуг по адресу: г. Пермь, ул. Уральская, д. 104, каб. 101.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ифнормация отражена в письме </w:t>
            </w:r>
            <w:r>
              <w:rPr>
                <w:b/>
                <w:bCs/>
                <w:color w:themeColor="text1" w:val="000000"/>
                <w:sz w:val="24"/>
                <w:szCs w:val="24"/>
              </w:rPr>
              <w:t xml:space="preserve">АО «Газпром газораспределение Пермь» </w:t>
            </w:r>
            <w:r>
              <w:rPr>
                <w:color w:themeColor="text1" w:val="000000"/>
                <w:sz w:val="24"/>
                <w:szCs w:val="24"/>
              </w:rPr>
              <w:t>от 22.06.2026 № ПФ-4582).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О наличии технической возможности для подключения сетей водоснабжения и водоотведения с предполагаемой величиной нагрузки 1,0 м3/сут. сообщается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Ближайшей сетью водоснабжения, эксплуатируемой </w:t>
              <w:br/>
              <w:t>ООО «Новогор - Прикамье» является водопровод, Д - 100 мм по ул. Школьная переулок, ориентировочно на расстоянии - 15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Ближайшей точкой присоединения водоотведения, эксплуатируемой ООО «Новогор - Прикамье», является сеть канализации Д - 150 мм в районе жилого дома </w:t>
              <w:br/>
              <w:t>по ул. Водозаборная, 3,  ориентировочно на расстоянии - 3,3 км.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В границах Участка отсутствуют централизованные сети канализации, эксплуатируемые ООО «Новогор -Прикамье».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При проектировании может быть применен альтернативный способ водоснабжения без подключения к централизованной системе водоснабжения (от скважины)  и альтернативный способ канализования, без подключения к централизованной системе канализации г. Перми (отвод стоков на локальные очистные сооружения, канализование объекта </w:t>
              <w:br/>
              <w:t>в выгребную яму с последующим вывозом стоков спец. машинами), который должен соответствовать всем нормативным требованиям Российской Федерации.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ООО «НОВОГОР - Прикамье» эксплуатирует только централизованные системы водоснабжения </w:t>
              <w:br/>
              <w:t>и водоотведения, по вопросу возможности обеспечения индивидуального жилого дома холодным водоснабжения от скважины и отвода канализационных стоков локально, предлагаем вам обратиться в соответствующие организации, регулирующие недропользование.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lang w:val="ru-RU" w:eastAsia="ru-RU" w:bidi="ru-RU"/>
                <w14:ligatures w14:val="none"/>
              </w:rPr>
            </w:pPr>
            <w:r>
              <w:rPr>
                <w:color w:val="auto"/>
                <w:sz w:val="24"/>
                <w:szCs w:val="24"/>
                <w:lang w:val="ru-RU" w:eastAsia="ru-RU" w:bidi="ru-RU"/>
              </w:rPr>
              <w:t xml:space="preserve">Кроме того, ООО «НОВОГОР - Прикамье» </w:t>
              <w:br/>
              <w:t xml:space="preserve">не располагает сведениями о наличии сетей 3-х лиц </w:t>
              <w:br/>
              <w:t>в границах Участка.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ифнормация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ООО «НОВОГОР-Прикамье»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>08.</w:t>
            </w:r>
            <w:r>
              <w:rPr>
                <w:color w:val="auto"/>
                <w:sz w:val="24"/>
                <w:szCs w:val="24"/>
              </w:rPr>
              <w:t>05.2026 № 110-6623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:lang w:val="ru-RU" w:eastAsia="ru-RU" w:bidi="ru-RU"/>
              </w:rPr>
            </w:pPr>
            <w:r>
              <w:rPr>
                <w:color w:themeColor="text1" w:val="000000"/>
                <w:sz w:val="24"/>
                <w:szCs w:val="24"/>
                <w:lang w:val="ru-RU" w:eastAsia="ru-RU" w:bidi="ru-RU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Техническое присоединение планируемых к строительству объектов в границах Участка может быть произведено к узлу ВОЛС (г. Пермь, ул. Бенгальская, д. 14А), максимальную нагрузку в точке подключения (технологического присоединения) определить на стадии проектирования. В границах земельного участка сетей связи ПАО «Ростелеком» и их охранных зон нет.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Для подключения (технологического присоединения) вышеуказанного объекта к сетям электросвязи </w:t>
              <w:br/>
              <w:t xml:space="preserve">ПАО «Ростелеком» необходим запрос правообладателя земельного участка на выдачу технических условий подключения или заявки о заключении договора </w:t>
              <w:br/>
              <w:t>о подключении в порядке, определенном действующим законодательством.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Для получения технических условий на подключение </w:t>
              <w:br/>
              <w:t>к сетям связи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>ПАО «Ростелеком» необходимо обратиться в Отдел продаж и обслуживания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по адресу: г. Пермь, </w:t>
              <w:br/>
              <w:t>ул. Крупской, 2, тел.: (342) 235-57-34 или направить запрос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на </w:t>
            </w:r>
            <w:hyperlink r:id="rId12">
              <w:r>
                <w:rPr>
                  <w:rStyle w:val="Hyperlink"/>
                  <w:color w:val="000000"/>
                  <w:sz w:val="24"/>
                  <w:szCs w:val="24"/>
                  <w:highlight w:val="white"/>
                </w:rPr>
                <w:t>perm-mail@ural.rt.ru</w:t>
              </w:r>
            </w:hyperlink>
            <w:r>
              <w:rPr>
                <w:color w:val="000000"/>
                <w:sz w:val="24"/>
                <w:szCs w:val="24"/>
                <w:highlight w:val="white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ифнормация отражена в письме </w:t>
            </w:r>
            <w:r>
              <w:rPr>
                <w:b/>
                <w:color w:val="000000"/>
                <w:sz w:val="24"/>
                <w:szCs w:val="24"/>
                <w:highlight w:val="white"/>
              </w:rPr>
              <w:t>ПАО «Ростелеком»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от 25.06.2026 № 01/05/106173/26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цена предмета аукциона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(размер ежегодной арендной платы)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right="0"/>
              <w:rPr/>
            </w:pP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>По условиям пункта 4.3 проекта договора аренды земельного участка, приобретаемого на торгах в форме аукциона, для строительства (Приложение 1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fill="auto" w:val="clear"/>
              </w:rPr>
              <w:t xml:space="preserve">за 1 год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>в проекте договора аренды земельного участка (Приложение 1</w:t>
              <w:br/>
              <w:t>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333 116 руб.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16 655,8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заявки на участие в аукционе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>Заявка на участие в электронном аукционе с указанием</w:t>
              <w:br/>
              <w:t>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2-3 пункта 1, пункте 1.1 статьи 39.12 Земельного кодекса Российской Федерации (копии документов, удостоверяющих личность заявителя (для граждан) всех страниц; надлежащим образом заверенный перевод на русский язык документов</w:t>
              <w:br/>
              <w:t>о государственной регистрации юридического лица</w:t>
              <w:br/>
              <w:t>в соответствии с законодательством иностранного государства в случае, если заявителем является иностранное юридическое лицо).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  <w:p>
            <w:pPr>
              <w:pStyle w:val="BodyText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166 558</w:t>
            </w:r>
            <w:r>
              <w:rPr>
                <w:sz w:val="24"/>
                <w:szCs w:val="24"/>
              </w:rPr>
              <w:t xml:space="preserve"> руб.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аренды земельного участка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hd w:fill="auto" w:val="clear"/>
                <w:lang w:val="en-US" w:eastAsia="en-US"/>
              </w:rPr>
              <w:t>сайтах www.torgi.gov.ru, www.gorodperm.ru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27.02.2026</w:t>
            </w:r>
          </w:p>
        </w:tc>
      </w:tr>
      <w:tr>
        <w:trPr>
          <w:trHeight w:val="188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1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gorodperm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</w:p>
        </w:tc>
      </w:tr>
      <w:tr>
        <w:trPr>
          <w:trHeight w:val="14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>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spacing w:lineRule="exact" w:line="240"/>
        <w:ind w:hanging="0" w:left="1134"/>
        <w:jc w:val="left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widowControl w:val="false"/>
        <w:spacing w:before="0" w:after="0"/>
        <w:ind w:left="0"/>
        <w:contextualSpacing/>
        <w:jc w:val="center"/>
        <w:rPr>
          <w:rFonts w:eastAsia="Courier New"/>
          <w:b/>
          <w:bCs/>
          <w:highlight w:val="none"/>
          <w:lang w:bidi="ru-RU"/>
        </w:rPr>
      </w:pPr>
      <w:r>
        <w:rPr>
          <w:rFonts w:eastAsia="Courier New"/>
          <w:b/>
          <w:lang w:bidi="ru-RU"/>
        </w:rPr>
        <w:t>Сроки, время подачи заявок, рассмотрения заявок, проведения аукциона</w:t>
      </w:r>
    </w:p>
    <w:p>
      <w:pPr>
        <w:pStyle w:val="Normal"/>
        <w:widowControl w:val="false"/>
        <w:spacing w:before="0" w:after="0"/>
        <w:ind w:left="567"/>
        <w:contextualSpacing/>
        <w:jc w:val="center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687" w:left="-567" w:right="0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Дата и время начала срока подачи заявок на участие в аукционе – 18.07.2026</w:t>
      </w:r>
      <w:r>
        <w:rPr>
          <w:rFonts w:eastAsia="Courier New"/>
          <w:lang w:bidi="ru-RU"/>
        </w:rPr>
        <w:t xml:space="preserve"> в 9:00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>по местному времени (7:00 МСК).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  <w:t>Дата и время окончания срока подачи заявок на участие в аукционе – 18.08.2026</w:t>
      </w:r>
      <w:r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 xml:space="preserve">в 18:00 по местному времени (16:00 МСК).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Дата окончания срока рассмотрения заявок на участие в аукционе (определение участников аукциона)</w:t>
      </w:r>
      <w:r>
        <w:rPr>
          <w:rFonts w:eastAsia="Courier New"/>
          <w:lang w:bidi="ru-RU"/>
        </w:rPr>
        <w:t xml:space="preserve"> –</w:t>
      </w:r>
      <w:r>
        <w:rPr>
          <w:rFonts w:eastAsia="Courier New"/>
          <w:b/>
          <w:bCs/>
          <w:lang w:bidi="ru-RU"/>
        </w:rPr>
        <w:t xml:space="preserve"> 19.08.2026.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bCs/>
          <w:lang w:bidi="ru-RU"/>
        </w:rPr>
      </w:pPr>
      <w:r>
        <w:rPr>
          <w:rFonts w:eastAsia="Courier New"/>
          <w:b/>
          <w:bCs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bCs/>
          <w:lang w:bidi="ru-RU"/>
        </w:rPr>
        <w:t xml:space="preserve">Дата проведения аукциона (дата и время начала приема предложений </w:t>
      </w:r>
      <w:r>
        <w:rPr>
          <w:rFonts w:eastAsia="Courier New"/>
          <w:b/>
          <w:bCs/>
          <w:lang w:bidi="ru-RU"/>
        </w:rPr>
        <w:br w:type="textWrapping" w:clear="all"/>
      </w:r>
      <w:r>
        <w:rPr>
          <w:rFonts w:eastAsia="Courier New"/>
          <w:b/>
          <w:bCs/>
          <w:lang w:bidi="ru-RU"/>
        </w:rPr>
        <w:t>от участников аукциона) – 20.08</w:t>
      </w:r>
      <w:r>
        <w:rPr>
          <w:rFonts w:eastAsia="Courier New"/>
          <w:b/>
          <w:lang w:bidi="ru-RU"/>
        </w:rPr>
        <w:t>.2026</w:t>
      </w:r>
      <w:r>
        <w:rPr>
          <w:rFonts w:eastAsia="Courier New"/>
          <w:lang w:bidi="ru-RU"/>
        </w:rPr>
        <w:t xml:space="preserve"> в 09:00 по местному времени (07:00 МСК).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highlight w:val="none"/>
        </w:rPr>
      </w:pPr>
      <w:r>
        <w:rPr>
          <w:b/>
        </w:rPr>
        <w:t>Место подачи (приема) заявок и место проведения аукциона:</w:t>
      </w:r>
      <w:r>
        <w:rPr/>
        <w:t xml:space="preserve"> электронная </w:t>
        <w:br/>
        <w:t>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ind w:firstLine="709" w:left="-567"/>
        <w:jc w:val="both"/>
        <w:rPr/>
      </w:pPr>
      <w:r>
        <w:rPr/>
      </w:r>
    </w:p>
    <w:p>
      <w:pPr>
        <w:pStyle w:val="Normal"/>
        <w:widowControl w:val="false"/>
        <w:spacing w:before="0" w:after="0"/>
        <w:ind w:left="502"/>
        <w:contextualSpacing/>
        <w:jc w:val="center"/>
        <w:rPr>
          <w:b/>
          <w:bCs/>
          <w:lang w:bidi="ru-RU"/>
        </w:rPr>
      </w:pPr>
      <w:r>
        <w:rPr>
          <w:b/>
          <w:bCs/>
          <w:lang w:bidi="ru-RU"/>
        </w:rPr>
        <w:t>Размер задатка для участия в аукционе, порядок его внесения и возврата, реквизиты счета для перечисления задатка</w:t>
      </w:r>
    </w:p>
    <w:p>
      <w:pPr>
        <w:pStyle w:val="Normal"/>
        <w:widowControl w:val="false"/>
        <w:spacing w:before="0" w:after="0"/>
        <w:ind w:left="502"/>
        <w:contextualSpacing/>
        <w:jc w:val="center"/>
        <w:rPr>
          <w:b/>
          <w:bCs/>
          <w:lang w:bidi="ru-RU"/>
        </w:rPr>
      </w:pPr>
      <w:r>
        <w:rPr>
          <w:b/>
          <w:bCs/>
          <w:lang w:bidi="ru-RU"/>
        </w:rPr>
      </w:r>
    </w:p>
    <w:p>
      <w:pPr>
        <w:pStyle w:val="BodyText"/>
        <w:widowControl w:val="false"/>
        <w:spacing w:before="0" w:after="0"/>
        <w:ind w:firstLine="567" w:left="-567"/>
        <w:contextualSpacing/>
        <w:jc w:val="both"/>
        <w:rPr>
          <w:rFonts w:ascii="Times New Roman" w:hAnsi="Times New Roman"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  <w:t xml:space="preserve">Задаток для участия в электронном аукционе вносится заявителем путем зачисления денежных средств на расчетный счет Оператора. </w:t>
      </w:r>
    </w:p>
    <w:p>
      <w:pPr>
        <w:pStyle w:val="BodyText"/>
        <w:widowControl w:val="false"/>
        <w:spacing w:before="0" w:after="0"/>
        <w:ind w:firstLine="567" w:left="-567"/>
        <w:contextualSpacing/>
        <w:jc w:val="both"/>
        <w:rPr>
          <w:rFonts w:ascii="Times New Roman" w:hAnsi="Times New Roman"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  <w:t xml:space="preserve">В этом случае документы, подтверждающие внесение задатка, заявителем не представляются. </w:t>
      </w:r>
    </w:p>
    <w:p>
      <w:pPr>
        <w:pStyle w:val="BodyText"/>
        <w:widowControl w:val="false"/>
        <w:spacing w:before="0" w:after="0"/>
        <w:ind w:firstLine="567" w:left="-567"/>
        <w:contextualSpacing/>
        <w:jc w:val="both"/>
        <w:rPr>
          <w:rFonts w:ascii="Times New Roman" w:hAnsi="Times New Roman"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  <w:t xml:space="preserve">Информация о внесении заявителем денежных средств в размере задатка направляется Оператором Организатору аукциона вместе с заявкой на участие в аукционе (далее - заявка). </w:t>
      </w:r>
    </w:p>
    <w:p>
      <w:pPr>
        <w:pStyle w:val="BodyText"/>
        <w:widowControl w:val="false"/>
        <w:spacing w:before="0" w:after="0"/>
        <w:ind w:firstLine="567" w:left="-567"/>
        <w:contextualSpacing/>
        <w:jc w:val="both"/>
        <w:rPr>
          <w:rFonts w:ascii="Times New Roman" w:hAnsi="Times New Roman"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  <w:t>Блокирование денежных средств в размере задатка Оператором на расчетном счете Оператора признается заключением соглашения о задатке.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>Сумма задатка для участия в аукционе определяется в размере 50 процентов от начальной цены предмета аукциона. Размер задатка в извещении о проведении аукциона указан по каждому лоту.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/>
          <w:bCs/>
          <w:lang w:bidi="ru-RU"/>
        </w:rPr>
      </w:pPr>
      <w:r>
        <w:rPr>
          <w:bCs/>
          <w:lang w:bidi="ru-RU"/>
        </w:rPr>
        <w:t xml:space="preserve">Перечисление задатка для участия в аукционе и возврат задатка осуществляются с учетом особенностей, установленных регламентом электронной площадки. </w:t>
      </w:r>
    </w:p>
    <w:p>
      <w:pPr>
        <w:pStyle w:val="Normal"/>
        <w:widowControl w:val="false"/>
        <w:ind w:firstLine="567" w:left="-567"/>
        <w:jc w:val="both"/>
        <w:rPr>
          <w:rFonts w:eastAsia="Calibri"/>
          <w:bCs/>
          <w:lang w:eastAsia="en-US"/>
        </w:rPr>
      </w:pPr>
      <w:r>
        <w:rPr>
          <w:b/>
          <w:bCs/>
          <w:lang w:bidi="ru-RU"/>
        </w:rPr>
        <w:t>Задаток перечисляется на реквизиты Оператора электронной площадки (</w:t>
      </w:r>
      <w:hyperlink r:id="rId13" w:tgtFrame="http://utp.sberbank-ast.ru/AP/Notice/653/Requisites">
        <w:r>
          <w:rPr>
            <w:rStyle w:val="Hyperlink"/>
            <w:b/>
            <w:bCs/>
            <w:lang w:bidi="ru-RU"/>
          </w:rPr>
          <w:t>http://utp.sberbank-ast.ru/AP/Notice/653/Requisites</w:t>
        </w:r>
      </w:hyperlink>
      <w:r>
        <w:rPr>
          <w:b/>
          <w:bCs/>
          <w:lang w:bidi="ru-RU"/>
        </w:rPr>
        <w:t>).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Получатель: АО «Сбербанк-АСТ»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ИНН: 7707308480, КПП: 770401001, </w:t>
      </w:r>
    </w:p>
    <w:p>
      <w:pPr>
        <w:pStyle w:val="Normal"/>
        <w:spacing w:lineRule="exact" w:line="240"/>
        <w:rPr/>
      </w:pPr>
      <w:r>
        <w:rPr>
          <w:rFonts w:eastAsia="Calibri"/>
          <w:bCs/>
          <w:lang w:eastAsia="en-US"/>
        </w:rPr>
        <w:t>Банк получателя: ПАО «СБЕРБАНК РОССИИ» Г. МОСКВА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/>
        <w:t xml:space="preserve">Расчетный счет: </w:t>
      </w:r>
      <w:r>
        <w:rPr>
          <w:rFonts w:eastAsia="Calibri"/>
          <w:bCs/>
          <w:lang w:eastAsia="en-US"/>
        </w:rPr>
        <w:t>40702810300020038047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БИК: 044525225</w:t>
      </w:r>
    </w:p>
    <w:p>
      <w:pPr>
        <w:pStyle w:val="Normal"/>
        <w:spacing w:lineRule="exact" w:line="240"/>
        <w:rPr>
          <w:bCs/>
          <w:lang w:bidi="ru-RU"/>
        </w:rPr>
      </w:pPr>
      <w:r>
        <w:rPr>
          <w:rFonts w:eastAsia="Calibri"/>
          <w:bCs/>
          <w:lang w:eastAsia="en-US"/>
        </w:rPr>
        <w:t>Корреспондентский счет: 30101810400000000225</w:t>
      </w:r>
    </w:p>
    <w:p>
      <w:pPr>
        <w:pStyle w:val="Normal"/>
        <w:widowControl w:val="false"/>
        <w:ind w:firstLine="567" w:left="-567"/>
        <w:jc w:val="both"/>
        <w:rPr>
          <w:b/>
        </w:rPr>
      </w:pPr>
      <w:r>
        <w:rPr>
          <w:bCs/>
          <w:lang w:bidi="ru-RU"/>
        </w:rPr>
        <w:t>В платёжном поручении в части «Назначение платежа» необходимо указать: Задаток по лоту  № ___, ИНН плательщика. НДС не облагается.</w:t>
      </w:r>
    </w:p>
    <w:p>
      <w:pPr>
        <w:pStyle w:val="Normal"/>
        <w:widowControl w:val="false"/>
        <w:ind w:firstLine="567" w:left="-567"/>
        <w:jc w:val="both"/>
        <w:rPr>
          <w:bCs/>
          <w:lang w:bidi="ru-RU"/>
        </w:rPr>
      </w:pPr>
      <w:r>
        <w:rPr>
          <w:b/>
        </w:rPr>
        <w:t xml:space="preserve">Срок внесения задатка, т.е. поступления суммы задатка на счет </w:t>
      </w:r>
      <w:r>
        <w:rPr>
          <w:rFonts w:eastAsia="Calibri"/>
          <w:b/>
        </w:rPr>
        <w:t>Оператора</w:t>
      </w:r>
      <w:r>
        <w:rPr>
          <w:b/>
        </w:rPr>
        <w:t xml:space="preserve">: </w:t>
      </w:r>
      <w:r>
        <w:rPr>
          <w:b/>
        </w:rPr>
        <w:br w:type="textWrapping" w:clear="all"/>
      </w:r>
      <w:r>
        <w:rPr>
          <w:bCs/>
          <w:lang w:bidi="ru-RU"/>
        </w:rPr>
        <w:t>c 18.07.2026 по 18.08.2026.</w:t>
      </w:r>
    </w:p>
    <w:p>
      <w:pPr>
        <w:pStyle w:val="Normal"/>
        <w:widowControl w:val="false"/>
        <w:ind w:firstLine="709" w:left="-567"/>
        <w:jc w:val="both"/>
        <w:rPr>
          <w:bCs/>
          <w:lang w:bidi="ru-RU"/>
        </w:rPr>
      </w:pPr>
      <w:r>
        <w:rPr>
          <w:bCs/>
          <w:lang w:bidi="ru-RU"/>
        </w:rPr>
      </w:r>
    </w:p>
    <w:p>
      <w:pPr>
        <w:pStyle w:val="Normal"/>
        <w:widowControl w:val="false"/>
        <w:ind w:firstLine="709" w:left="-567"/>
        <w:jc w:val="center"/>
        <w:rPr>
          <w:b/>
          <w:lang w:bidi="ru-RU"/>
        </w:rPr>
      </w:pPr>
      <w:r>
        <w:rPr>
          <w:b/>
          <w:lang w:bidi="ru-RU"/>
        </w:rPr>
        <w:t>Порядок возврата задатка:</w:t>
      </w:r>
    </w:p>
    <w:p>
      <w:pPr>
        <w:pStyle w:val="BodyText"/>
        <w:widowControl w:val="false"/>
        <w:ind w:firstLine="709" w:left="-567"/>
        <w:jc w:val="both"/>
        <w:rPr>
          <w:b w:val="false"/>
          <w:sz w:val="24"/>
          <w:szCs w:val="24"/>
          <w:highlight w:val="none"/>
          <w:shd w:fill="auto" w:val="clear"/>
          <w:lang w:bidi="ru-RU"/>
        </w:rPr>
      </w:pPr>
      <w:r>
        <w:rPr>
          <w:b w:val="false"/>
          <w:sz w:val="24"/>
          <w:szCs w:val="24"/>
          <w:shd w:fill="auto" w:val="clear"/>
          <w:lang w:bidi="ru-RU"/>
        </w:rPr>
        <w:t>Оператор обеспечивает возврат заблокированных в размере задатка на расчетном счете Оператора денежных средств лицам, участвовавшим в электронном аукционе, но не победившим в нем, за исключением участника аукциона, который сделал предпоследнее предложение о цене предмета электронного аукциона, в течение трех рабочих дней со дня подписания протокола о результатах электронного аукциона. Денежные средства в размере задатка, внесенные участником аукциона, который сделал предпоследнее предложение о цене предмета электронного аукциона, возвращаются ему в течение трех рабочих дней со дня подписания договора аренды земельного участка победителем аукциона.</w:t>
      </w:r>
    </w:p>
    <w:p>
      <w:pPr>
        <w:pStyle w:val="BodyText"/>
        <w:widowControl w:val="false"/>
        <w:ind w:firstLine="709" w:left="-567"/>
        <w:jc w:val="both"/>
        <w:rPr>
          <w:sz w:val="24"/>
          <w:szCs w:val="24"/>
          <w:highlight w:val="none"/>
          <w:shd w:fill="auto" w:val="clear"/>
        </w:rPr>
      </w:pPr>
      <w:r>
        <w:rPr>
          <w:b w:val="false"/>
          <w:sz w:val="24"/>
          <w:szCs w:val="24"/>
          <w:shd w:fill="auto" w:val="clear"/>
          <w:lang w:bidi="ru-RU"/>
        </w:rPr>
        <w:t>Оператор обеспечивает возврат заблокированных в размере задатка на расчетном счете Оператора денежных средств заявителю, не допущенному к участию в электронном аукционе, в течение трех рабочих дней со дня оформления протокола рассмотрения заявок на участие в электронном аукционе.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 xml:space="preserve">Организатор аукциона посредством штатного интерфейса торговой секции </w:t>
      </w:r>
      <w:r>
        <w:rPr>
          <w:shd w:fill="auto" w:val="clear"/>
          <w:lang w:bidi="ru-RU"/>
        </w:rPr>
        <w:br w:type="textWrapping" w:clear="all"/>
      </w:r>
      <w:r>
        <w:rPr>
          <w:shd w:fill="auto" w:val="clear"/>
          <w:lang w:bidi="ru-RU"/>
        </w:rPr>
        <w:t>в установленные сроки формирует поручение Оператору: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>- о перечислении задатка единственного заявителя, признанного участником аукциона, победителя аукциона или единственного принявшего участие в аукционе участника после формирования протокола о результатах аукциона на указанные в поручении банковские реквизиты;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пунктами 13, 14, 20 или 25 ст. 39.12 Земельного кодекса Российской Федерации, засчитываются  в счет арендной платы за него.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указанного договора, не возвращаются. </w:t>
      </w:r>
    </w:p>
    <w:p>
      <w:pPr>
        <w:pStyle w:val="Normal"/>
        <w:widowControl w:val="false"/>
        <w:spacing w:lineRule="auto" w:line="276"/>
        <w:jc w:val="both"/>
        <w:rPr>
          <w:bCs/>
          <w:highlight w:val="none"/>
          <w:shd w:fill="auto" w:val="clear"/>
          <w:lang w:bidi="ru-RU"/>
        </w:rPr>
      </w:pPr>
      <w:r>
        <w:rPr>
          <w:bCs/>
          <w:shd w:fill="auto" w:val="clear"/>
          <w:lang w:bidi="ru-RU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Организатор аукциона вправе:</w:t>
      </w:r>
    </w:p>
    <w:p>
      <w:pPr>
        <w:pStyle w:val="Normal"/>
        <w:widowControl w:val="false"/>
        <w:jc w:val="center"/>
        <w:rPr>
          <w:rFonts w:eastAsia="Courier New"/>
          <w:highlight w:val="none"/>
          <w:shd w:fill="auto" w:val="clear"/>
          <w:lang w:bidi="ru-RU"/>
        </w:rPr>
      </w:pPr>
      <w:r>
        <w:rPr>
          <w:rFonts w:eastAsia="Courier New"/>
          <w:shd w:fill="auto" w:val="clear"/>
          <w:lang w:bidi="ru-RU"/>
        </w:rPr>
      </w:r>
    </w:p>
    <w:p>
      <w:pPr>
        <w:pStyle w:val="BodyText"/>
        <w:widowControl w:val="false"/>
        <w:ind w:firstLine="709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Не позднее чем за один рабочий день до даты окончания приема заявок на участие в аукционе 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быть продлен таким образом, чтобы со дня размещения в порядке, установленном п. 19 ст. 39.11 Земельного кодекса Российской Федерации, изменений в извещение о проведении аукциона до дня проведения аукциона такой срок составлял не менее десяти рабочих дней. </w:t>
      </w:r>
      <w:r>
        <w:rPr>
          <w:rFonts w:eastAsia="Droid Sans Fallback" w:cs="Lohit Devanagari"/>
          <w:b w:val="false"/>
          <w:color w:val="000000"/>
          <w:sz w:val="24"/>
          <w:szCs w:val="24"/>
          <w:shd w:fill="auto" w:val="clear"/>
          <w:lang w:val="ru-RU" w:eastAsia="zh-CN" w:bidi="ar-SA"/>
        </w:rPr>
        <w:t xml:space="preserve">Информация о внесении изменений в извещение </w:t>
        <w:br/>
        <w:t xml:space="preserve">о проведении аукциона размещается на официальных сайтах </w:t>
      </w:r>
      <w:r>
        <w:rPr>
          <w:rFonts w:eastAsia="Droid Sans Fallback" w:cs="Lohit Devanagari"/>
          <w:b w:val="false"/>
          <w:bCs/>
          <w:color w:val="000000"/>
          <w:sz w:val="24"/>
          <w:szCs w:val="24"/>
          <w:shd w:fill="auto" w:val="clear"/>
          <w:lang w:val="ru-RU" w:eastAsia="zh-CN" w:bidi="ar-SA"/>
        </w:rPr>
        <w:t>www.torgi.gov.ru,  www.gorodperm.ru.</w:t>
      </w:r>
    </w:p>
    <w:p>
      <w:pPr>
        <w:pStyle w:val="BodyText"/>
        <w:widowControl w:val="false"/>
        <w:ind w:firstLine="709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b w:val="false"/>
          <w:color w:val="000000"/>
          <w:sz w:val="24"/>
          <w:szCs w:val="24"/>
          <w:shd w:fill="auto" w:val="clear"/>
          <w:lang w:val="ru-RU" w:eastAsia="zh-CN" w:bidi="ar-SA"/>
        </w:rPr>
        <w:t xml:space="preserve">В случае, если за один рабочий день до даты окончания приема заявок на участие в аукционе не поступило ни одной заявки, организатор аукциона до момента окончания срока подачи заявок </w:t>
        <w:br/>
        <w:t xml:space="preserve">на участие в аукционе может принять решение о продлении срока подачи заявок в соответствии </w:t>
        <w:br/>
        <w:t>с правилами, предусмотренными п. 22.1  ст. 39.11 Земельного кодекса Российской Федерации.</w:t>
      </w:r>
    </w:p>
    <w:p>
      <w:pPr>
        <w:pStyle w:val="Normal"/>
        <w:widowControl w:val="false"/>
        <w:ind w:firstLine="567" w:left="-567"/>
        <w:jc w:val="both"/>
        <w:rPr/>
      </w:pPr>
      <w:r>
        <w:rPr>
          <w:shd w:fill="auto" w:val="clear"/>
        </w:rPr>
        <w:t xml:space="preserve">В соответствии с п. 4 ст. 448 Гражданского кодекса Российской Федерации отказаться </w:t>
      </w:r>
      <w:r>
        <w:rPr/>
        <w:br w:type="textWrapping" w:clear="all"/>
      </w:r>
      <w:r>
        <w:rPr/>
        <w:t xml:space="preserve">от проведения аукциона в любое время, но не позднее чем за три дня до наступления даты </w:t>
      </w:r>
      <w:r>
        <w:rPr/>
        <w:br w:type="textWrapping" w:clear="all"/>
      </w:r>
      <w:r>
        <w:rPr/>
        <w:t xml:space="preserve">его проведения, указанной в извещении </w:t>
      </w:r>
      <w:r>
        <w:rPr>
          <w:shd w:fill="auto" w:val="clear"/>
        </w:rPr>
        <w:t xml:space="preserve">о проведении аукциона.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 xml:space="preserve">Организатор аукциона обязан: 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Принять решение об отказе в проведении аукциона в случае выявления обстоятельств, предусмотренных п. 8 ст. 39.11 Земельного кодекса Российской Федерации.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Извещение об отказе в проведении аукциона размещается организатором аукциона </w:t>
        <w:br/>
        <w:t xml:space="preserve">на официальных сайтах  </w:t>
      </w:r>
      <w:r>
        <w:rPr>
          <w:rFonts w:eastAsia="Droid Sans Fallback" w:cs="Lohit Devanagari"/>
          <w:b w:val="false"/>
          <w:bCs/>
          <w:color w:val="000000"/>
          <w:sz w:val="24"/>
          <w:szCs w:val="24"/>
          <w:shd w:fill="auto" w:val="clear"/>
          <w:lang w:val="ru-RU" w:eastAsia="zh-CN" w:bidi="ar-SA"/>
        </w:rPr>
        <w:t xml:space="preserve">www.torgi.gov.ru,  www.gorodperm.ru </w:t>
      </w:r>
      <w:r>
        <w:rPr>
          <w:shd w:fill="auto" w:val="clear"/>
        </w:rPr>
        <w:t xml:space="preserve"> и на электронной площадке в течение трех дней со дня принятия данного решения.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 течение трех дней со дня принятия решения об отказе в проведении аукциона участники аукциона извещаются об отказе в проведении аукциона, внесенные задатки возвращаются его участникам.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В случае отказа от проведения аукциона организатором (в т. ч. одного или нескольких лотов) Оператор в течение одного часа прекращает блокирование денежных средств участников аукциона </w:t>
        <w:br/>
        <w:t>в размере задатка на их лицевых счетах на электронной площадке.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left="502"/>
        <w:jc w:val="center"/>
        <w:rPr>
          <w:highlight w:val="none"/>
          <w:shd w:fill="auto" w:val="clear"/>
        </w:rPr>
      </w:pPr>
      <w:r>
        <w:rPr>
          <w:rFonts w:eastAsia="Courier New"/>
          <w:b/>
          <w:shd w:fill="auto" w:val="clear"/>
          <w:lang w:bidi="ru-RU"/>
        </w:rPr>
        <w:t>Порядок регистрации на электронной площадке</w:t>
      </w:r>
    </w:p>
    <w:p>
      <w:pPr>
        <w:pStyle w:val="Normal"/>
        <w:widowControl w:val="false"/>
        <w:ind w:hanging="0" w:left="-567"/>
        <w:jc w:val="both"/>
        <w:rPr>
          <w:rFonts w:eastAsia="Courier New"/>
          <w:b/>
          <w:bCs/>
          <w:highlight w:val="none"/>
          <w:shd w:fill="auto" w:val="clear"/>
          <w:lang w:bidi="ru-RU"/>
        </w:rPr>
      </w:pPr>
      <w:r>
        <w:rPr>
          <w:rFonts w:eastAsia="Courier New"/>
          <w:b/>
          <w:bCs/>
          <w:shd w:fill="auto" w:val="clear"/>
          <w:lang w:bidi="ru-RU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Для участия в электронном аукционе лица должны быть зарегистрированы на электронной площадке, на которой проводится электронный аукцион.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Для обеспечения доступа к участию в аукционе заявителю необходимо пройти процедуру регистрации на электронной площадке. Регистрации на электронной площадке подлежат лица, ранее не зарегистрированные на электронной площадке.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Регистрация на электронной площадке проводится в соответствии с регламентом электронной площадки.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Дата и время регистрации участников аукциона на участие в аукционе на электронной площадке на сайте в сети Интернет: c 18.07.2026 по 18.08.2026 с 9.00 до 18.00 по местному времени (7:00 – 16:00 МСК). </w:t>
      </w:r>
    </w:p>
    <w:p>
      <w:pPr>
        <w:pStyle w:val="NormalWeb"/>
        <w:jc w:val="center"/>
        <w:rPr>
          <w:highlight w:val="none"/>
        </w:rPr>
      </w:pPr>
      <w:r>
        <w:rPr/>
      </w:r>
    </w:p>
    <w:p>
      <w:pPr>
        <w:pStyle w:val="NormalWeb"/>
        <w:jc w:val="center"/>
        <w:rPr>
          <w:b/>
          <w:bCs/>
          <w:color w:val="000000"/>
          <w:highlight w:val="none"/>
          <w:shd w:fill="auto" w:val="clear"/>
        </w:rPr>
      </w:pPr>
      <w:r>
        <w:rPr>
          <w:b/>
          <w:color w:val="000000"/>
          <w:shd w:fill="auto" w:val="clear"/>
        </w:rPr>
        <w:t>Разъяснение положений извещения о проведении аукциона</w:t>
      </w:r>
    </w:p>
    <w:p>
      <w:pPr>
        <w:pStyle w:val="ListParagraph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На этапе приема заявок любое заинтересованное лицо вправе не позднее 10 календарных дней до окончания срока подачи заявок направить Организатору аукциона запрос о разъяснениях положений извещения о проведении аукциона посредством функционала электронной площадки. Запросы о разъяснении положений извещения, полученные после вышеуказанного срока, </w:t>
        <w:br/>
        <w:t>не рассматриваются.</w:t>
      </w:r>
    </w:p>
    <w:p>
      <w:pPr>
        <w:pStyle w:val="ListParagraph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Ответ на запрос о разъяснении положений извещения должен быть подготовлен в течение трех рабочих дней со дня поступления указанного запроса.  </w:t>
      </w:r>
    </w:p>
    <w:p>
      <w:pPr>
        <w:pStyle w:val="Normal"/>
        <w:widowControl w:val="false"/>
        <w:spacing w:lineRule="auto" w:line="276"/>
        <w:ind w:firstLine="709" w:left="-567"/>
        <w:jc w:val="both"/>
        <w:rPr>
          <w:bCs/>
          <w:highlight w:val="none"/>
          <w:shd w:fill="auto" w:val="clear"/>
          <w:lang w:bidi="ru-RU"/>
        </w:rPr>
      </w:pPr>
      <w:r>
        <w:rPr>
          <w:bCs/>
          <w:shd w:fill="auto" w:val="clear"/>
          <w:lang w:bidi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shd w:fill="auto" w:val="clear"/>
        </w:rPr>
        <w:t>Требования к содержанию и составу заявки на участие в аукционе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 xml:space="preserve">Для участия в аукционе заявители представляют в установленный в извещении </w:t>
      </w:r>
      <w:r>
        <w:rPr>
          <w:rFonts w:eastAsia="Courier New"/>
          <w:shd w:fill="auto" w:val="clear"/>
          <w:lang w:bidi="ru-RU"/>
        </w:rPr>
        <w:br w:type="textWrapping" w:clear="all"/>
      </w:r>
      <w:r>
        <w:rPr>
          <w:rFonts w:eastAsia="Courier New"/>
          <w:shd w:fill="auto" w:val="clear"/>
          <w:lang w:bidi="ru-RU"/>
        </w:rPr>
        <w:t>о проведении аукциона срок следующие документы: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1) копии документов, удостоверяющих личность заявителя (для граждан), всех страниц;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2) надлежащим образом заверенный перевод на русский язык документов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>
      <w:pPr>
        <w:pStyle w:val="Normal"/>
        <w:jc w:val="both"/>
        <w:rPr>
          <w:rFonts w:eastAsia="Calibri"/>
          <w:highlight w:val="none"/>
          <w:shd w:fill="auto" w:val="clear"/>
        </w:rPr>
      </w:pPr>
      <w:r>
        <w:rPr>
          <w:rFonts w:eastAsia="Calibri"/>
          <w:shd w:fill="auto" w:val="clear"/>
        </w:rPr>
      </w:r>
    </w:p>
    <w:p>
      <w:pPr>
        <w:pStyle w:val="Normal"/>
        <w:ind w:firstLine="708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Инструкция по заполнению и подаче заявки, порядок приема заявки</w:t>
      </w:r>
    </w:p>
    <w:p>
      <w:pPr>
        <w:pStyle w:val="Normal"/>
        <w:ind w:firstLine="708"/>
        <w:jc w:val="center"/>
        <w:rPr>
          <w:b/>
          <w:highlight w:val="none"/>
          <w:shd w:fill="auto" w:val="clear"/>
        </w:rPr>
      </w:pPr>
      <w:r>
        <w:rPr>
          <w:b/>
          <w:shd w:fill="auto" w:val="clear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2 - 3 пункта 1, пункте 1.1 статьи 39.12 Земельного кодекса Российской Федерации (копии </w:t>
      </w:r>
      <w:r>
        <w:rPr>
          <w:b w:val="false"/>
          <w:shd w:fill="auto" w:val="clear"/>
        </w:rPr>
        <w:t xml:space="preserve">документов, удостоверяющих личность заявителя (для граждан) всех страниц; </w:t>
      </w:r>
      <w:r>
        <w:rPr>
          <w:b w:val="false"/>
        </w:rPr>
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>
      <w:pPr>
        <w:pStyle w:val="Normal"/>
        <w:ind w:firstLine="567" w:left="-567"/>
        <w:jc w:val="both"/>
        <w:rPr>
          <w:highlight w:val="none"/>
        </w:rPr>
      </w:pPr>
      <w:r>
        <w:rPr>
          <w:sz w:val="24"/>
          <w:szCs w:val="24"/>
        </w:rPr>
        <w:t>На каждый лот представляется отдельный пакет документов.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Заполнение заявки осуществляется в соответствии с порядком, определенным регламентом электронной площадки АО «Сбербанк-АСТ».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Все документы и сведения, связанные с получением регистрации на универсальной торговой платформе и проведением закупок/продаж, направляются заявителями, пользователями, оператором электронной площадки либо размещаются ими на универсальной торговой платформе в форме электронных документов (п. 10.1.1. Регламента Универсальной торговой платформы).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Пользователи принимают, что в случае наличия требований к формату и содержанию электронного документа, в системе используются электронные документы установленного формата (п. 10.2.3.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 Регламента Универсальной торговой платформы).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Заявка подается в виде электронного документа, подписанного электронной подписью заявителя (п. 3.2.2. Регламента торговой секции).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Заявитель заполняет электронную форму заявки, при</w:t>
      </w:r>
      <w:r>
        <w:rPr>
          <w:shd w:fill="auto" w:val="clear"/>
        </w:rPr>
        <w:t xml:space="preserve">кладывает предусмотренные извещением </w:t>
        <w:br/>
        <w:t xml:space="preserve">о проведении аукциона файлы документов (при необходимости). Документы и сведения </w:t>
        <w:br/>
        <w:t xml:space="preserve">из регистрационных данных заявителя на универсальной торговой платформе, актуальные на дату </w:t>
        <w:br/>
        <w:t>и время окончания приема заявок, направляются оператором электронной площадки вместе с заявкой организатору аукциона после окончания приема заявок (п. 3.2.3. Регламента торговой секции).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Подача заявки осуществляется заявителем, зарегистрированным в торговой секции,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из личного кабинета посредством штатного интерфейса отдельно по каждому лоту в сроки, установленные в извещении о проведении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Заявитель вправе подать заявку в любое время с момента размещения извещения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о проведении аукциона до предусмотренных указанным извещением даты и времени окончания срока подачи заявок.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Один заявитель вправе подать только одну заявку на участие в аукционе в отношении каждого лота.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Участие в аукционе возможно при наличии на лицевом счете заявителя денежных средств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 xml:space="preserve">в размере не менее чем размер задатка на участие в аукционе, предусмотренный извещением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о проведении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Все документы, входящие в состав заявки, должны иметь четко читаемый текст.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предоставляется организатору аукциона через Оператора.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Заявка не может быть принята Оператором в случае: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а) отсутствия на лицевом счете заявителя достаточной суммы денежных средств </w:t>
      </w:r>
      <w:r>
        <w:rPr>
          <w:bCs/>
          <w:shd w:fill="auto" w:val="clear"/>
        </w:rPr>
        <w:br w:type="textWrapping" w:clear="all"/>
      </w:r>
      <w:r>
        <w:rPr>
          <w:bCs/>
          <w:shd w:fill="auto" w:val="clear"/>
        </w:rPr>
        <w:t>в размере задатка;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б) подачи заявителем второй заявки на участие в отношении одного и того же лота при условии, что поданная ранее заявка таким заявителем не отозвана;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в) подачи заявки по истечении установленного срока подачи заявок;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г) некорректного заполнения формы заявки, в том числе незаполнения полей, являющихся обязательными для заполнения.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284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Заявителям, признанным участниками аукциона, и заявителям, не допущенным к участию </w:t>
        <w:br/>
        <w:t xml:space="preserve">в аукционе, оператор электронной площадки направляет в электронной форме уведомления </w:t>
        <w:br/>
        <w:t xml:space="preserve">о принятых в отношении их решениях не позднее дня, следующего после дня подписания протокола рассмотрения заявок на участие в аукционе. 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284" w:leader="none"/>
        </w:tabs>
        <w:spacing w:lineRule="auto" w:line="276"/>
        <w:ind w:firstLine="567" w:left="-567"/>
        <w:jc w:val="both"/>
        <w:outlineLvl w:val="0"/>
        <w:rPr>
          <w:bCs/>
          <w:highlight w:val="none"/>
          <w:shd w:fill="auto" w:val="clear"/>
        </w:rPr>
      </w:pPr>
      <w:r>
        <w:rPr>
          <w:bCs/>
          <w:shd w:fill="auto" w:val="clear"/>
        </w:rPr>
      </w:r>
    </w:p>
    <w:p>
      <w:pPr>
        <w:pStyle w:val="Normal"/>
        <w:widowControl w:val="false"/>
        <w:ind w:left="502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  <w:lang w:bidi="ru-RU"/>
        </w:rPr>
        <w:t>Порядок и срок изменения, отзыва заявки на участие в аукционе</w:t>
      </w:r>
    </w:p>
    <w:p>
      <w:pPr>
        <w:pStyle w:val="Normal"/>
        <w:widowControl w:val="false"/>
        <w:ind w:left="502"/>
        <w:rPr>
          <w:b/>
          <w:bCs/>
          <w:highlight w:val="none"/>
          <w:shd w:fill="auto" w:val="clear"/>
          <w:lang w:bidi="ru-RU"/>
        </w:rPr>
      </w:pPr>
      <w:r>
        <w:rPr>
          <w:b/>
          <w:bCs/>
          <w:shd w:fill="auto" w:val="clear"/>
          <w:lang w:bidi="ru-RU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Заявитель имеет право отозвать принятую организатором аукциона заявку на участие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в аукционе до дня окончания срока приема заявок, путем направления уведомления об отзыве заявки на электронную площадку. В случае отзыва заявки в установленном порядке, уведомление об отзыве заявки поступает в «личный кабинет» организатора аукциона, о чем заявителю направляется соот</w:t>
      </w:r>
      <w:r>
        <w:rPr>
          <w:rFonts w:eastAsia="Droid Sans Fallback" w:cs="Lohit Devanagari"/>
          <w:color w:val="000000"/>
          <w:kern w:val="0"/>
          <w:sz w:val="24"/>
          <w:szCs w:val="24"/>
          <w:shd w:fill="auto" w:val="clear"/>
          <w:lang w:val="ru-RU" w:eastAsia="zh-CN" w:bidi="ar-SA"/>
        </w:rPr>
        <w:t xml:space="preserve">ветствующее уведомление. </w:t>
      </w:r>
    </w:p>
    <w:p>
      <w:pPr>
        <w:pStyle w:val="BodyText"/>
        <w:widowControl w:val="false"/>
        <w:ind w:firstLine="567" w:left="-567"/>
        <w:jc w:val="both"/>
        <w:rPr>
          <w:rFonts w:ascii="Times New Roman" w:hAnsi="Times New Roman" w:eastAsia="Droid Sans Fallback" w:cs="Lohit Devanagari"/>
          <w:color w:val="auto"/>
          <w:kern w:val="0"/>
          <w:sz w:val="24"/>
          <w:szCs w:val="24"/>
          <w:shd w:fill="auto" w:val="clear"/>
          <w:lang w:val="ru-RU" w:eastAsia="zh-CN" w:bidi="ar-SA"/>
        </w:rPr>
      </w:pPr>
      <w:r>
        <w:rPr>
          <w:rFonts w:eastAsia="Droid Sans Fallback" w:cs="Lohit Devanagari"/>
          <w:color w:val="000000"/>
          <w:kern w:val="0"/>
          <w:sz w:val="24"/>
          <w:szCs w:val="24"/>
          <w:shd w:fill="auto" w:val="clear"/>
          <w:lang w:val="ru-RU" w:eastAsia="zh-CN" w:bidi="ar-SA"/>
        </w:rPr>
        <w:t xml:space="preserve">В случае отзыва заявки заявителем до дня окончания срока приема заявок Оператор  обеспечивает возврат заявителю денежных средств, заблокированных в размере задатка на расчетном счете Оператора, в течение трех рабочих дней со дня отзыва заявки. </w:t>
      </w:r>
    </w:p>
    <w:p>
      <w:pPr>
        <w:pStyle w:val="BodyText"/>
        <w:widowControl w:val="false"/>
        <w:ind w:firstLine="567" w:left="-567"/>
        <w:jc w:val="both"/>
        <w:rPr>
          <w:rFonts w:ascii="Times New Roman" w:hAnsi="Times New Roman" w:eastAsia="Droid Sans Fallback" w:cs="Lohit Devanagari"/>
          <w:color w:val="auto"/>
          <w:kern w:val="0"/>
          <w:sz w:val="24"/>
          <w:szCs w:val="24"/>
          <w:shd w:fill="auto" w:val="clear"/>
          <w:lang w:val="ru-RU" w:eastAsia="zh-CN" w:bidi="ar-SA"/>
        </w:rPr>
      </w:pPr>
      <w:r>
        <w:rPr>
          <w:rFonts w:eastAsia="Droid Sans Fallback" w:cs="Lohit Devanagari"/>
          <w:color w:val="000000"/>
          <w:kern w:val="0"/>
          <w:sz w:val="24"/>
          <w:szCs w:val="24"/>
          <w:shd w:fill="auto" w:val="clear"/>
          <w:lang w:val="ru-RU" w:eastAsia="zh-CN" w:bidi="ar-SA"/>
        </w:rPr>
        <w:t>В случае отзыва заявки заявителем позднее дня окончания срока приема заявок денежные средства, заблокированные в размере задатка на расчетном счете Оператора, возвращаются в порядке, установленном пунктом 10.1 статьи 39.13  Земельного кодекса Российской Федерации.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</w:rPr>
        <w:t>Определение участников аукциона</w:t>
      </w:r>
    </w:p>
    <w:p>
      <w:pPr>
        <w:pStyle w:val="Normal"/>
        <w:jc w:val="center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По результатам рассмотрения заявок комиссия принимает решение о допуске заявителей </w:t>
      </w:r>
      <w:r>
        <w:rPr>
          <w:bCs/>
          <w:shd w:fill="auto" w:val="clear"/>
        </w:rPr>
        <w:br w:type="textWrapping" w:clear="all"/>
      </w:r>
      <w:r>
        <w:rPr>
          <w:bCs/>
          <w:shd w:fill="auto" w:val="clear"/>
        </w:rPr>
        <w:t>к участию в аукционе или об отказе в допуске к участию в аукционе.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не допускается к участию в аукционе в следующих случаях: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z w:val="20"/>
          <w:shd w:fill="auto" w:val="clear"/>
        </w:rPr>
        <w:t xml:space="preserve">1) </w:t>
      </w:r>
      <w:r>
        <w:rPr>
          <w:shd w:fill="auto" w:val="clear"/>
        </w:rPr>
        <w:t>непредставление необходимых для участия в аукционе документов или представление недостоверных сведений;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shd w:fill="auto" w:val="clear"/>
        </w:rPr>
        <w:t>2) непоступление задатка на дату рассмотрения заявок на участие в аукционе;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</w:t>
        <w:br/>
        <w:t>в аренду;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В день признания заявителей участниками аукциона, указанный в извещении </w:t>
        <w:br/>
        <w:t>о проведении аукциона, оператор через «личный кабинет» организатора торгов обеспечивает доступ организатора торгов к поданным  заявителями заявкам и документам, а также к журналу приема заявок.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приобретает статус участника аукциона с момента подписания протокола рассмотрения заявок.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Не позднее следующего рабочего дня после дня подписания протокола рассмотрения заявок, всем заявителям оператором электронной площадки направляется в личные кабинеты уведомления </w:t>
        <w:br/>
        <w:t xml:space="preserve">о признании их участниками аукциона или об отказе в признании участниками аукциона с указанием оснований отказа. </w:t>
      </w:r>
    </w:p>
    <w:p>
      <w:pPr>
        <w:pStyle w:val="BodyText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</w:t>
        <w:br/>
        <w:t xml:space="preserve">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При признании аукциона несостоявшимся в протокол рассмотрения заявок на участие в аукционе, включается информация </w:t>
        <w:br/>
        <w:t>об основании признания аукциона несостоявшимся и сведения, указанные в подпункте 4 пункта 15  ст. 39.12 З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емельного кодекса Российской Федерации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, в отношении лиц, указанных в пунктах 13 и 14 ст. 39.12 З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емельного кодекса Российской Федерации.</w:t>
      </w:r>
    </w:p>
    <w:p>
      <w:pPr>
        <w:pStyle w:val="Normal"/>
        <w:widowControl w:val="false"/>
        <w:ind w:firstLine="567" w:left="-567"/>
        <w:jc w:val="both"/>
        <w:rPr>
          <w:rFonts w:ascii="Times New Roman" w:hAnsi="Times New Roman" w:eastAsia="Droid Sans Fallback" w:cs="Lohit Devanagari"/>
          <w:color w:val="auto"/>
          <w:sz w:val="24"/>
          <w:szCs w:val="24"/>
          <w:highlight w:val="none"/>
          <w:shd w:fill="auto" w:val="clear"/>
          <w:lang w:val="ru-RU" w:eastAsia="zh-CN" w:bidi="ar-SA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</w:r>
    </w:p>
    <w:p>
      <w:pPr>
        <w:pStyle w:val="Normal"/>
        <w:jc w:val="center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  <w:t>Порядок проведения аукциона</w:t>
      </w:r>
    </w:p>
    <w:p>
      <w:pPr>
        <w:pStyle w:val="Normal"/>
        <w:widowControl w:val="false"/>
        <w:ind w:left="502"/>
        <w:jc w:val="center"/>
        <w:rPr>
          <w:rFonts w:eastAsia="Courier New"/>
          <w:b/>
          <w:bCs/>
          <w:highlight w:val="none"/>
          <w:shd w:fill="auto" w:val="clear"/>
          <w:lang w:bidi="ru-RU"/>
        </w:rPr>
      </w:pPr>
      <w:r>
        <w:rPr>
          <w:rFonts w:eastAsia="Courier New"/>
          <w:b/>
          <w:bCs/>
          <w:shd w:fill="auto" w:val="clear"/>
          <w:lang w:bidi="ru-RU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Торговая сессия проводится путем последовательного повышения участниками аукциона начальной цены аукциона на величину, равную величине «шага аукциона».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«Шаг аукциона» устанавливается Организатором аукциона в фиксированной сумме, составляющей 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5% от начальной цены предмета аукциона</w:t>
      </w:r>
      <w:r>
        <w:rPr>
          <w:rFonts w:eastAsia="Calibri"/>
          <w:shd w:fill="auto" w:val="clear"/>
        </w:rPr>
        <w:t>, и не изменяется в течение всего времени подачи предложений о цене.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1) предложение о цене предмета аукциона увеличивает текущее максимальное предложение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о цене предмета аукциона на величину «шага аукциона»;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Время для подачи предложений о цене аукциона определяется в следующем порядке: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Время ожидания предложения участника аукциона о цене предмета аукциона составляет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 xml:space="preserve">10 (десять) минут. При поступлении предложения участника аукциона </w:t>
        <w:br/>
        <w:t>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аукцион завершается.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Срок для подачи предложений о цене обновляется автоматически после улучшения текущего предложения о цене. Время срока подачи предложений 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расчетное время окончания торгов, а так же как время, оставшееся до окончания торгов в минутах.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В ходе проведения подачи предложений о цене аукциона Оператор программными средствами электронной площадки обеспечивает отклонение предложения о цене аукциона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в момент его поступления и соответствующее уведомление участника аукциона, в случаях, если: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предложение о цене аукциона предоставлено до начала или по истечении установленного времени для подачи предложений о цене аукциона;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ниже начальной цены;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равно нулю;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не соответствует увеличению текущей цены на величину «шага аукциона»;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предыдущее представленное данным участником аукциона предложение о цене аукциона является лучшим текущим предложением о цене;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участником аукциона предложение о цене аукциона меньше ранее представленных предложений.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Победителем аукциона признается участник аукциона, предложивший наибольшую цену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за земельный участок или наибольший размер ежегодной арендной платы за земельный участок.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Протокол проведения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Электронный аукцион признается несостоявшимся в случае, если в электронном аукционе участвовал один участник электронного аукциона, в ходе проведения электронного аукциона ни один из участников не подал предложение о цене предмета аукциона.</w:t>
      </w:r>
    </w:p>
    <w:p>
      <w:pPr>
        <w:pStyle w:val="Normal"/>
        <w:ind w:firstLine="567" w:left="-567"/>
        <w:jc w:val="both"/>
        <w:rPr>
          <w:rFonts w:eastAsia="Calibri"/>
          <w:highlight w:val="none"/>
          <w:shd w:fill="auto" w:val="clear"/>
        </w:rPr>
      </w:pPr>
      <w:r>
        <w:rPr>
          <w:rFonts w:eastAsia="Calibri"/>
          <w:shd w:fill="auto" w:val="clear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shd w:fill="auto" w:val="clear"/>
        </w:rPr>
        <w:t>Порядок и срок заключения договора</w:t>
      </w:r>
      <w:r>
        <w:rPr>
          <w:b/>
          <w:bCs/>
          <w:shd w:fill="auto" w:val="clear"/>
        </w:rPr>
        <w:br w:type="textWrapping" w:clear="all"/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По результатам проведения аукциона не допускается заключение договора аренды земельного участка ранее чем через десять дней со дня размещения протокола рассмотрения заявок на участие </w:t>
        <w:br/>
        <w:t>в аукционе в случае, ес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ли аукцион признан несостоявшимся, либо протокола о результатах аукциона на официальных сайтах www.torgi.gov.ru,  www.gorodperm.ru.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Департамент земельных отношений администрации города Перми обязан в течение пяти дней со дня истечения срока, предусмотренного пунктом 11 статьи 39.13 Земельного кодекса Российской Федерации, направить победителю аукциона или иным лицам, с которыми в соответствии</w:t>
        <w:br/>
        <w:t>с пунктами 13, 14, 20 и 25 статьи 39.12 Земельного кодекса Российской Федерации заключается  договор аренды земельного участка, подписанный проект договора  аренды земельного участка.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По результатам проведения аукциона договор аренды земельного участка заключается</w:t>
        <w:br/>
        <w:t>в электронной форме и подписывается усиленной квалифицированной электронной подписью сторон такого договора.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>Проект договора является частью извещения и представлен в Приложении 1</w:t>
        <w:br/>
        <w:t>к настоящему извещению.</w:t>
        <w:tab/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Если договор аренды земельного участка </w:t>
      </w:r>
      <w:r>
        <w:rPr>
          <w:b w:val="false"/>
          <w:bCs/>
          <w:shd w:fill="auto" w:val="clear"/>
        </w:rPr>
        <w:t>в течение десяти рабочих дней со дня направления победителю аукциона проекта указанного договора не был им подписан и представлен в департамент земельных отношений администрации города Перми, департамент земельных отношений администрации города Перми направляет указанный договор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67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>Сведения о победителях аукционов, уклонившихся от заключения договора  аренды земельного участка, являющегося предметом аукциона, и об иных лицах, с которыми указанный договор заключается в соответствии с пунктом 13, 14, 20 или 25 ст. 39.12 Земельного кодекса Российской Федерации и которые уклонились от заключения, включаются в реестр недобросовестных участников аукциона.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67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>Информация и документы о заключении договора аренды земельного участка и (или) об оформлении иных документов по результатам проведения аукциона размещаются на ГИС Торги.</w:t>
      </w:r>
    </w:p>
    <w:sectPr>
      <w:headerReference w:type="default" r:id="rId14"/>
      <w:headerReference w:type="first" r:id="rId15"/>
      <w:type w:val="nextPage"/>
      <w:pgSz w:w="11906" w:h="16838"/>
      <w:pgMar w:left="1418" w:right="567" w:gutter="0" w:header="363" w:top="420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Open Sans">
    <w:charset w:val="01"/>
    <w:family w:val="roman"/>
    <w:pitch w:val="variable"/>
  </w:font>
  <w:font w:name="Consultant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0"/>
        <w:szCs w:val="28"/>
      </w:rPr>
    </w:pPr>
    <w:r>
      <w:rPr>
        <w:sz w:val="20"/>
        <w:szCs w:val="28"/>
      </w:rPr>
      <w:fldChar w:fldCharType="begin"/>
    </w:r>
    <w:r>
      <w:rPr>
        <w:sz w:val="20"/>
        <w:szCs w:val="28"/>
      </w:rPr>
      <w:instrText xml:space="preserve"> PAGE </w:instrText>
    </w:r>
    <w:r>
      <w:rPr>
        <w:sz w:val="20"/>
        <w:szCs w:val="28"/>
      </w:rPr>
      <w:fldChar w:fldCharType="separate"/>
    </w:r>
    <w:r>
      <w:rPr>
        <w:sz w:val="20"/>
        <w:szCs w:val="28"/>
      </w:rPr>
      <w:t>17</w:t>
    </w:r>
    <w:r>
      <w:rPr>
        <w:sz w:val="20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Heading6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u w:val="none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4"/>
        <w:u w:val="none"/>
        <w:szCs w:val="24"/>
        <w:color w:val="000000"/>
        <w:lang w:val="ru-RU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4"/>
        <w:szCs w:val="24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4"/>
        <w:szCs w:val="24"/>
        <w:lang w:val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lang w:bidi="ru-RU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lang w:eastAsia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bCs/>
        <w:lang w:eastAsia="en-US" w:bidi="ru-RU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b/>
        <w:bCs/>
        <w:lang w:bidi="ru-RU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1" w:customStyle="1">
    <w:name w:val="Заголовок Знак1"/>
    <w:uiPriority w:val="10"/>
    <w:qFormat/>
    <w:rPr>
      <w:sz w:val="48"/>
      <w:szCs w:val="48"/>
    </w:rPr>
  </w:style>
  <w:style w:type="character" w:styleId="Style5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uiPriority w:val="29"/>
    <w:qFormat/>
    <w:rPr>
      <w:i/>
    </w:rPr>
  </w:style>
  <w:style w:type="character" w:styleId="Style6" w:customStyle="1">
    <w:name w:val="Выделенная цитата Знак"/>
    <w:uiPriority w:val="30"/>
    <w:qFormat/>
    <w:rPr>
      <w:i/>
    </w:rPr>
  </w:style>
  <w:style w:type="character" w:styleId="12" w:customStyle="1">
    <w:name w:val="Верхний колонтитул Знак1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13" w:customStyle="1">
    <w:name w:val="Нижний колонтитул Знак1"/>
    <w:uiPriority w:val="99"/>
    <w:qFormat/>
    <w:rPr/>
  </w:style>
  <w:style w:type="character" w:styleId="Style7" w:customStyle="1">
    <w:name w:val="Текст сноски Знак"/>
    <w:uiPriority w:val="99"/>
    <w:qFormat/>
    <w:rPr>
      <w:sz w:val="18"/>
    </w:rPr>
  </w:style>
  <w:style w:type="character" w:styleId="Style8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концевой сноски Знак"/>
    <w:uiPriority w:val="99"/>
    <w:qFormat/>
    <w:rPr>
      <w:sz w:val="20"/>
    </w:rPr>
  </w:style>
  <w:style w:type="character" w:styleId="Style10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3z0" w:customStyle="1">
    <w:name w:val="WW8Num3z0"/>
    <w:qFormat/>
    <w:rPr/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sz w:val="16"/>
      <w:szCs w:val="16"/>
    </w:rPr>
  </w:style>
  <w:style w:type="character" w:styleId="WW8Num6z0" w:customStyle="1">
    <w:name w:val="WW8Num6z0"/>
    <w:qFormat/>
    <w:rPr/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/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/>
  </w:style>
  <w:style w:type="character" w:styleId="WW8Num12z0" w:customStyle="1">
    <w:name w:val="WW8Num12z0"/>
    <w:qFormat/>
    <w:rPr/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/>
  </w:style>
  <w:style w:type="character" w:styleId="WW8Num15z0" w:customStyle="1">
    <w:name w:val="WW8Num15z0"/>
    <w:qFormat/>
    <w:rPr/>
  </w:style>
  <w:style w:type="character" w:styleId="WW8Num18z0" w:customStyle="1">
    <w:name w:val="WW8Num18z0"/>
    <w:qFormat/>
    <w:rPr/>
  </w:style>
  <w:style w:type="character" w:styleId="WW8Num19z0" w:customStyle="1">
    <w:name w:val="WW8Num19z0"/>
    <w:qFormat/>
    <w:rPr/>
  </w:style>
  <w:style w:type="character" w:styleId="WW8Num20z0" w:customStyle="1">
    <w:name w:val="WW8Num20z0"/>
    <w:qFormat/>
    <w:rPr/>
  </w:style>
  <w:style w:type="character" w:styleId="WW8Num21z0" w:customStyle="1">
    <w:name w:val="WW8Num21z0"/>
    <w:qFormat/>
    <w:rPr/>
  </w:style>
  <w:style w:type="character" w:styleId="WW8Num22z0" w:customStyle="1">
    <w:name w:val="WW8Num22z0"/>
    <w:qFormat/>
    <w:rPr/>
  </w:style>
  <w:style w:type="character" w:styleId="WW8Num23z0" w:customStyle="1">
    <w:name w:val="WW8Num23z0"/>
    <w:qFormat/>
    <w:rPr/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/>
  </w:style>
  <w:style w:type="character" w:styleId="WW8Num27z0" w:customStyle="1">
    <w:name w:val="WW8Num27z0"/>
    <w:qFormat/>
    <w:rPr/>
  </w:style>
  <w:style w:type="character" w:styleId="WW8Num29z0" w:customStyle="1">
    <w:name w:val="WW8Num29z0"/>
    <w:qFormat/>
    <w:rPr>
      <w:rFonts w:ascii="Symbol" w:hAnsi="Symbol" w:cs="Symbol"/>
    </w:rPr>
  </w:style>
  <w:style w:type="character" w:styleId="WW8Num30z0" w:customStyle="1">
    <w:name w:val="WW8Num30z0"/>
    <w:qFormat/>
    <w:rPr/>
  </w:style>
  <w:style w:type="character" w:styleId="WW8Num31z0" w:customStyle="1">
    <w:name w:val="WW8Num31z0"/>
    <w:qFormat/>
    <w:rPr/>
  </w:style>
  <w:style w:type="character" w:styleId="WW8Num32z0" w:customStyle="1">
    <w:name w:val="WW8Num32z0"/>
    <w:qFormat/>
    <w:rPr/>
  </w:style>
  <w:style w:type="character" w:styleId="WW8Num33z0" w:customStyle="1">
    <w:name w:val="WW8Num33z0"/>
    <w:qFormat/>
    <w:rPr/>
  </w:style>
  <w:style w:type="character" w:styleId="WW8Num34z0" w:customStyle="1">
    <w:name w:val="WW8Num34z0"/>
    <w:qFormat/>
    <w:rPr/>
  </w:style>
  <w:style w:type="character" w:styleId="Pagenumber">
    <w:name w:val="page number"/>
    <w:basedOn w:val="DefaultParagraphFont"/>
    <w:qFormat/>
    <w:rPr/>
  </w:style>
  <w:style w:type="character" w:styleId="Style11" w:customStyle="1">
    <w:name w:val="Текст Знак"/>
    <w:qFormat/>
    <w:rPr>
      <w:rFonts w:ascii="Courier New" w:hAnsi="Courier New" w:cs="Courier New"/>
    </w:rPr>
  </w:style>
  <w:style w:type="character" w:styleId="Style12" w:customStyle="1">
    <w:name w:val="Верхний колонтитул Знак"/>
    <w:qFormat/>
    <w:rPr>
      <w:sz w:val="16"/>
      <w:lang w:val="ru-RU" w:bidi="ar-SA"/>
    </w:rPr>
  </w:style>
  <w:style w:type="character" w:styleId="31" w:customStyle="1">
    <w:name w:val="Основной текст с отступом 3 Знак"/>
    <w:qFormat/>
    <w:rPr>
      <w:sz w:val="16"/>
      <w:szCs w:val="16"/>
    </w:rPr>
  </w:style>
  <w:style w:type="character" w:styleId="Hyperlink">
    <w:name w:val="Hyperlink"/>
    <w:rPr>
      <w:color w:val="0563C1"/>
      <w:u w:val="single"/>
    </w:rPr>
  </w:style>
  <w:style w:type="character" w:styleId="Style13" w:customStyle="1">
    <w:name w:val="Абзац списка Знак"/>
    <w:qFormat/>
    <w:rPr>
      <w:sz w:val="24"/>
      <w:szCs w:val="24"/>
    </w:rPr>
  </w:style>
  <w:style w:type="character" w:styleId="6" w:customStyle="1">
    <w:name w:val="Заголовок 6 Знак"/>
    <w:qFormat/>
    <w:rPr>
      <w:b/>
      <w:bCs/>
      <w:sz w:val="22"/>
      <w:szCs w:val="22"/>
    </w:rPr>
  </w:style>
  <w:style w:type="character" w:styleId="Style14" w:customStyle="1">
    <w:name w:val="Название Знак"/>
    <w:qFormat/>
    <w:rPr>
      <w:sz w:val="28"/>
      <w:lang w:val="ru-RU" w:bidi="ar-SA"/>
    </w:rPr>
  </w:style>
  <w:style w:type="character" w:styleId="Style15" w:customStyle="1">
    <w:name w:val="Заголовок Знак"/>
    <w:qFormat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Style16" w:customStyle="1">
    <w:name w:val="Нижний колонтитул Знак"/>
    <w:qFormat/>
    <w:rPr/>
  </w:style>
  <w:style w:type="character" w:styleId="FollowedHyperlink">
    <w:name w:val="FollowedHyperlink"/>
    <w:rPr>
      <w:color w:val="954F72"/>
      <w:u w:val="single"/>
    </w:rPr>
  </w:style>
  <w:style w:type="character" w:styleId="Style17" w:customStyle="1">
    <w:name w:val="Гиперссылка"/>
    <w:qFormat/>
    <w:rPr>
      <w:color w:val="0000FF"/>
      <w:u w:val="single"/>
    </w:rPr>
  </w:style>
  <w:style w:type="character" w:styleId="Style18">
    <w:name w:val="Символ нумерации"/>
    <w:qFormat/>
    <w:rPr/>
  </w:style>
  <w:style w:type="character" w:styleId="Style19">
    <w:name w:val="Маркеры"/>
    <w:qFormat/>
    <w:rPr>
      <w:rFonts w:ascii="OpenSymbol" w:hAnsi="OpenSymbol" w:eastAsia="OpenSymbol" w:cs="OpenSymbol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jc w:val="right"/>
    </w:pPr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qFormat/>
    <w:pPr>
      <w:ind w:left="708"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Subtitle">
    <w:name w:val="Subtitle"/>
    <w:basedOn w:val="Normal"/>
    <w:uiPriority w:val="11"/>
    <w:qFormat/>
    <w:pPr>
      <w:spacing w:before="200" w:after="200"/>
    </w:pPr>
    <w:rPr/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20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Indexheading1">
    <w:name w:val="index heading1"/>
    <w:basedOn w:val="Normal"/>
    <w:qFormat/>
    <w:pPr>
      <w:suppressLineNumbers/>
    </w:pPr>
    <w:rPr>
      <w:rFonts w:cs="Lohit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  <w:lang w:val="en-US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Consultant" w:hAnsi="Consultant" w:eastAsia="Droid Sans Fallback" w:cs="Consultant"/>
      <w:color w:val="auto"/>
      <w:kern w:val="0"/>
      <w:sz w:val="20"/>
      <w:szCs w:val="20"/>
      <w:lang w:val="ru-RU" w:eastAsia="zh-CN" w:bidi="ar-SA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yle22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3" w:customStyle="1">
    <w:name w:val="Знак Знак Знак Знак Знак Знак Знак Знак Знак Знак Знак Знак"/>
    <w:basedOn w:val="Normal"/>
    <w:qFormat/>
    <w:pPr/>
    <w:rPr>
      <w:rFonts w:ascii="Verdana" w:hAnsi="Verdana" w:cs="Verdana"/>
      <w:sz w:val="20"/>
      <w:szCs w:val="20"/>
      <w:lang w:val="en-US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Lohit Devanagari"/>
      <w:color w:val="auto"/>
      <w:kern w:val="0"/>
      <w:sz w:val="20"/>
      <w:szCs w:val="20"/>
      <w:lang w:val="ru-RU" w:eastAsia="zh-CN" w:bidi="ar-SA"/>
    </w:rPr>
  </w:style>
  <w:style w:type="paragraph" w:styleId="Header">
    <w:name w:val="Header"/>
    <w:pPr>
      <w:widowControl/>
      <w:tabs>
        <w:tab w:val="clear" w:pos="708"/>
        <w:tab w:val="center" w:pos="4153" w:leader="none"/>
        <w:tab w:val="right" w:pos="8306" w:leader="none"/>
      </w:tabs>
      <w:suppressAutoHyphens w:val="true"/>
      <w:bidi w:val="0"/>
      <w:spacing w:before="0" w:after="0"/>
      <w:jc w:val="center"/>
    </w:pPr>
    <w:rPr>
      <w:rFonts w:ascii="Times New Roman" w:hAnsi="Times New Roman" w:eastAsia="Droid Sans Fallback" w:cs="Lohit Devanagari"/>
      <w:color w:val="auto"/>
      <w:kern w:val="0"/>
      <w:sz w:val="16"/>
      <w:szCs w:val="20"/>
      <w:lang w:val="ru-RU" w:eastAsia="zh-CN" w:bidi="ar-SA"/>
    </w:rPr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  <w:lang w:val="en-US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000000"/>
      <w:kern w:val="0"/>
      <w:sz w:val="24"/>
      <w:szCs w:val="24"/>
      <w:lang w:val="ru-RU" w:eastAsia="zh-CN" w:bidi="ar-SA"/>
    </w:rPr>
  </w:style>
  <w:style w:type="paragraph" w:styleId="Style2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TimesNewRoman">
    <w:name w:val="Times New Roman"/>
    <w:qFormat/>
    <w:pPr>
      <w:keepNext w:val="false"/>
      <w:keepLines w:val="false"/>
      <w:pageBreakBefore w:val="false"/>
      <w:widowControl/>
      <w:shd w:val="nil"/>
      <w:suppressAutoHyphens w:val="true"/>
      <w:bidi w:val="0"/>
      <w:spacing w:lineRule="auto" w:line="240" w:beforeAutospacing="0" w:before="0" w:afterAutospacing="0" w:after="0"/>
      <w:ind w:firstLine="311" w:left="0" w:right="0"/>
      <w:jc w:val="both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ru-RU" w:eastAsia="ru-RU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styleId="831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2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3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34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35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836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37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38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3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5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6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7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8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9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0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1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2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3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4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5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6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7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8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9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860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861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862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63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64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65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66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6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6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6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7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7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87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873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7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87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7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87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7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7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80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7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95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96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97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98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99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00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01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2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3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4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5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6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7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8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9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0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1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2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3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4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5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2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92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92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92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92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92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92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929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3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93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3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93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3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93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936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37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38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39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40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41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42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43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44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45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46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47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48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49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50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951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952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953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954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955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956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957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rgi.gov.ru/" TargetMode="External"/><Relationship Id="rId3" Type="http://schemas.openxmlformats.org/officeDocument/2006/relationships/hyperlink" Target="http://www.gorodperm.ru/" TargetMode="External"/><Relationship Id="rId4" Type="http://schemas.openxmlformats.org/officeDocument/2006/relationships/hyperlink" Target="http://utp.sberbank-ast.ru/" TargetMode="External"/><Relationship Id="rId5" Type="http://schemas.openxmlformats.org/officeDocument/2006/relationships/hyperlink" Target="http://utp.sberbank-ast.ru/" TargetMode="External"/><Relationship Id="rId6" Type="http://schemas.openxmlformats.org/officeDocument/2006/relationships/hyperlink" Target="https://utp.sberbank-ast.ru/Main/Notice/988/Reglament" TargetMode="External"/><Relationship Id="rId7" Type="http://schemas.openxmlformats.org/officeDocument/2006/relationships/hyperlink" Target="https://utp.sberbank-ast.ru/AP/Notice/1027/Instructions" TargetMode="External"/><Relationship Id="rId8" Type="http://schemas.openxmlformats.org/officeDocument/2006/relationships/hyperlink" Target="https://utp.sberbank-ast.ru/AP/Notice/652/Instructions" TargetMode="External"/><Relationship Id="rId9" Type="http://schemas.openxmlformats.org/officeDocument/2006/relationships/hyperlink" Target="http://www.gorodperm.ru/" TargetMode="External"/><Relationship Id="rId10" Type="http://schemas.openxmlformats.org/officeDocument/2006/relationships/hyperlink" Target="http://www.gorodperm.ru/" TargetMode="External"/><Relationship Id="rId11" Type="http://schemas.openxmlformats.org/officeDocument/2006/relationships/hyperlink" Target="https://" TargetMode="External"/><Relationship Id="rId12" Type="http://schemas.openxmlformats.org/officeDocument/2006/relationships/hyperlink" Target="mailto:perm-mail@ural.rt.ru" TargetMode="External"/><Relationship Id="rId13" Type="http://schemas.openxmlformats.org/officeDocument/2006/relationships/hyperlink" Target="http://utp.sberbank-ast.ru/AP/Notice/653/Requisites" TargetMode="Externa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Application>LibreOffice/7.6.7.2$Linux_X86_64 LibreOffice_project/60$Build-2</Application>
  <AppVersion>15.0000</AppVersion>
  <Pages>17</Pages>
  <Words>5984</Words>
  <Characters>42198</Characters>
  <CharactersWithSpaces>48053</CharactersWithSpaces>
  <Paragraphs>262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2023-10-30T09:15:00Z</dcterms:created>
  <dc:creator>Tatyannikova</dc:creator>
  <dc:description/>
  <dc:language>ru-RU</dc:language>
  <cp:lastModifiedBy/>
  <dcterms:modified xsi:type="dcterms:W3CDTF">2026-07-17T15:03:01Z</dcterms:modified>
  <cp:revision>455</cp:revision>
  <dc:subject/>
  <dc:title>Департамент имущественных отношений администрации города Перми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