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PlainText"/>
        <w:ind w:hanging="1134" w:left="1134" w:right="-26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</w:r>
    </w:p>
    <w:p>
      <w:pPr>
        <w:pStyle w:val="PlainText"/>
        <w:ind w:hanging="1134" w:left="1134" w:right="-26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4732" w:leader="none"/>
          <w:tab w:val="left" w:pos="5812" w:leader="none"/>
        </w:tabs>
        <w:spacing w:lineRule="exact" w:line="240"/>
        <w:ind w:firstLine="5670" w:left="0"/>
        <w:jc w:val="both"/>
        <w:outlineLvl w:val="5"/>
        <w:rPr>
          <w:sz w:val="28"/>
          <w:szCs w:val="28"/>
        </w:rPr>
      </w:pPr>
      <w:r>
        <w:rPr>
          <w:bCs/>
          <w:sz w:val="28"/>
          <w:szCs w:val="28"/>
        </w:rPr>
        <w:t>Приложение 2</w:t>
      </w:r>
    </w:p>
    <w:p>
      <w:pPr>
        <w:pStyle w:val="Normal"/>
        <w:tabs>
          <w:tab w:val="clear" w:pos="708"/>
          <w:tab w:val="left" w:pos="4732" w:leader="none"/>
        </w:tabs>
        <w:spacing w:lineRule="exact" w:line="240"/>
        <w:ind w:firstLine="6" w:left="5664"/>
        <w:rPr>
          <w:sz w:val="28"/>
          <w:szCs w:val="28"/>
        </w:rPr>
      </w:pPr>
      <w:r>
        <w:rPr>
          <w:sz w:val="28"/>
          <w:szCs w:val="28"/>
        </w:rPr>
        <w:t>к приказу начальника департамента имущественных отношений</w:t>
      </w:r>
    </w:p>
    <w:p>
      <w:pPr>
        <w:pStyle w:val="Normal"/>
        <w:tabs>
          <w:tab w:val="clear" w:pos="708"/>
          <w:tab w:val="left" w:pos="4732" w:leader="none"/>
        </w:tabs>
        <w:spacing w:lineRule="exact" w:line="240"/>
        <w:ind w:firstLine="5670"/>
        <w:rPr>
          <w:sz w:val="28"/>
          <w:szCs w:val="28"/>
        </w:rPr>
      </w:pPr>
      <w:r>
        <w:rPr>
          <w:sz w:val="28"/>
          <w:szCs w:val="28"/>
        </w:rPr>
        <w:t>администрации города Перми</w:t>
      </w:r>
    </w:p>
    <w:p>
      <w:pPr>
        <w:pStyle w:val="Normal"/>
        <w:tabs>
          <w:tab w:val="clear" w:pos="708"/>
          <w:tab w:val="left" w:pos="4732" w:leader="none"/>
        </w:tabs>
        <w:spacing w:lineRule="exact" w:line="240"/>
        <w:ind w:firstLine="567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>17.07.2026 № 059-19-01-11-115</w:t>
      </w:r>
    </w:p>
    <w:p>
      <w:pPr>
        <w:pStyle w:val="Normal"/>
        <w:tabs>
          <w:tab w:val="clear" w:pos="708"/>
          <w:tab w:val="left" w:pos="4732" w:leader="none"/>
        </w:tabs>
        <w:ind w:left="28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PlainText"/>
        <w:spacing w:lineRule="exact" w:line="240"/>
        <w:ind w:hanging="1134" w:left="113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sz w:val="28"/>
          <w:szCs w:val="28"/>
          <w:lang w:val="ru-RU"/>
        </w:rPr>
        <w:t xml:space="preserve">Извещение о проведении 20.08.2026 электронного аукциона по продаже </w:t>
      </w:r>
    </w:p>
    <w:p>
      <w:pPr>
        <w:pStyle w:val="PlainText"/>
        <w:spacing w:lineRule="exact" w:line="240"/>
        <w:ind w:hanging="1134" w:left="113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sz w:val="28"/>
          <w:szCs w:val="28"/>
          <w:lang w:val="ru-RU"/>
        </w:rPr>
        <w:t>земельного участка</w:t>
      </w:r>
    </w:p>
    <w:p>
      <w:pPr>
        <w:pStyle w:val="PlainText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sz w:val="28"/>
          <w:szCs w:val="28"/>
          <w:lang w:val="ru-RU"/>
        </w:rPr>
      </w:r>
    </w:p>
    <w:p>
      <w:pPr>
        <w:pStyle w:val="Normal"/>
        <w:widowControl w:val="false"/>
        <w:ind w:firstLine="567" w:left="-567"/>
        <w:jc w:val="both"/>
        <w:rPr>
          <w:b/>
          <w:bCs/>
        </w:rPr>
      </w:pPr>
      <w:r>
        <w:rPr>
          <w:shd w:fill="FFFFFF" w:val="clear"/>
        </w:rPr>
        <w:t xml:space="preserve">Электронный аукцион по продаже земельного участка (далее – аукцион) проводится                             в соответствии со статьями 39.11, 39.12, 39.13, 39.18 Земельного кодекса Российской Федерации,  статьей 17.3 Федерального закона от 26 июля 2006 г. № 135-ФЗ «О защите конкуренции», Положением о департаменте имущественных отношений администрации города Перми, утвержденным решением Пермской городской Думы от 12 сентября 2006 г. № 210, постановлением администрации города Перми от 20 ноября 2008 г. № 1089 «О комиссии по проведению аукционов по продаже земельных участков, находящихся в муниципальной собственности города Перми,                          и участков, собственность на которые не разграничена, объектов незавершенного строительства, расположенных на земельных участках, находящихся  в муниципальной собственности города Перми, и участках, собственность на которые  не разграничена, или на право заключения договоров аренды земельных участков, находящихся в муниципальной собственности города Перми, </w:t>
      </w:r>
      <w:r>
        <w:rPr>
          <w:rFonts w:eastAsia="Droid Sans Fallback" w:cs="Lohit Devanagari"/>
          <w:color w:val="000000"/>
          <w:sz w:val="24"/>
          <w:szCs w:val="24"/>
          <w:shd w:fill="FFFFFF" w:val="clear"/>
          <w:lang w:val="ru-RU" w:eastAsia="zh-CN" w:bidi="ar-SA"/>
        </w:rPr>
        <w:t xml:space="preserve">                              и участков, собственность на которые не разграничена» (далее – комиссия), регламентом работы электронной площадки АО «Сбербанк-АСТ», регламентом работы торговой секции АО «Сбербанк-АСТ».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9355" w:leader="none"/>
        </w:tabs>
        <w:ind w:firstLine="567" w:left="-567"/>
        <w:jc w:val="both"/>
        <w:outlineLvl w:val="0"/>
        <w:rPr>
          <w:b/>
          <w:bCs/>
        </w:rPr>
      </w:pPr>
      <w:r>
        <w:rPr>
          <w:b/>
          <w:bCs/>
        </w:rPr>
        <w:t xml:space="preserve">Орган, принявший решение о проведении аукциона: </w:t>
      </w:r>
      <w:r>
        <w:rPr>
          <w:bCs/>
        </w:rPr>
        <w:t xml:space="preserve">департамент земельных отношений администрации города Перми, местонахождение: 614000, г. Пермь, ул. Сибирская,15, почтовый адрес: 614015, г. Пермь, ул. Сибирская,15, телефон 212-33-48 (аналитический отдел), адрес электронной почты: </w:t>
      </w:r>
      <w:r>
        <w:rPr>
          <w:rStyle w:val="Hyperlink"/>
          <w:bCs/>
          <w:sz w:val="24"/>
          <w:szCs w:val="24"/>
          <w:lang w:val="en-US"/>
        </w:rPr>
        <w:t>dzo@perm.permkrai.ru.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9355" w:leader="none"/>
        </w:tabs>
        <w:ind w:firstLine="567" w:left="-567"/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</w:rPr>
        <w:t xml:space="preserve">Организатор аукциона </w:t>
      </w:r>
      <w:r>
        <w:rPr>
          <w:bCs/>
        </w:rPr>
        <w:t>(далее – Организатор аукциона)</w:t>
      </w:r>
      <w:r>
        <w:rPr>
          <w:b/>
          <w:bCs/>
        </w:rPr>
        <w:t xml:space="preserve">: </w:t>
      </w:r>
      <w:r>
        <w:rPr>
          <w:bCs/>
        </w:rPr>
        <w:t>департамент имущественных отношений администрации города Перми, местонахождение: 614000, г. Пермь, ул. Сибирская,14, почтовый адрес: 614000, г. Пермь, ул. Сибирская,14, телефон 212-77-24 (отдел по распоряжению муниципальным имуществом), адрес электронной почты:</w:t>
      </w:r>
      <w:r>
        <w:rPr>
          <w:b/>
          <w:bCs/>
        </w:rPr>
        <w:t xml:space="preserve"> </w:t>
      </w:r>
      <w:r>
        <w:rPr>
          <w:sz w:val="24"/>
          <w:szCs w:val="24"/>
          <w:lang w:val="en-US"/>
        </w:rPr>
        <w:t>dio</w:t>
      </w:r>
      <w:r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perm</w:t>
      </w:r>
      <w:r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permkrai</w:t>
      </w:r>
      <w:r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b/>
          <w:bCs/>
          <w:sz w:val="24"/>
          <w:szCs w:val="24"/>
        </w:rPr>
        <w:t>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9355" w:leader="none"/>
        </w:tabs>
        <w:ind w:firstLine="567" w:left="-567"/>
        <w:jc w:val="both"/>
        <w:outlineLvl w:val="0"/>
        <w:rPr>
          <w:sz w:val="24"/>
          <w:szCs w:val="24"/>
        </w:rPr>
      </w:pPr>
      <w:r>
        <w:rPr>
          <w:b/>
          <w:bCs/>
        </w:rPr>
        <w:t>Реквизиты приказа об организации проведения аукциона:</w:t>
      </w:r>
      <w:r>
        <w:rPr>
          <w:bCs/>
        </w:rPr>
        <w:t xml:space="preserve"> приказ начальника департамента имущественных отношений администрации города Перми от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8"/>
        </w:rPr>
        <w:t>17.07.2026 № 059-19-01-11-115.</w:t>
      </w:r>
    </w:p>
    <w:p>
      <w:pPr>
        <w:pStyle w:val="BodyTextIndent3"/>
        <w:numPr>
          <w:ilvl w:val="0"/>
          <w:numId w:val="0"/>
        </w:numPr>
        <w:spacing w:before="0" w:after="0"/>
        <w:ind w:firstLine="567" w:left="-567"/>
        <w:jc w:val="both"/>
        <w:outlineLvl w:val="0"/>
        <w:rPr>
          <w:rFonts w:eastAsia="Courier New"/>
          <w:b/>
          <w:color w:val="000000"/>
          <w:lang w:val="ru-RU" w:bidi="ru-RU"/>
        </w:rPr>
      </w:pPr>
      <w:r>
        <w:rPr>
          <w:sz w:val="24"/>
          <w:szCs w:val="24"/>
          <w:lang w:val="ru-RU"/>
        </w:rPr>
        <w:t xml:space="preserve">Извещение о проведение электронных аукционов размещается на официальном сайте Российской Федерации для размещения информации о проведении торгов </w:t>
      </w:r>
      <w:hyperlink r:id="rId2" w:tgtFrame="http://www.torgi.gov.ru/">
        <w:r>
          <w:rPr>
            <w:rStyle w:val="Hyperlink"/>
            <w:color w:val="000000"/>
            <w:sz w:val="24"/>
            <w:szCs w:val="24"/>
            <w:u w:val="none"/>
          </w:rPr>
          <w:t>www</w:t>
        </w:r>
        <w:r>
          <w:rPr>
            <w:rStyle w:val="Hyperlink"/>
            <w:color w:val="000000"/>
            <w:sz w:val="24"/>
            <w:szCs w:val="24"/>
            <w:u w:val="none"/>
            <w:lang w:val="ru-RU"/>
          </w:rPr>
          <w:t>.</w:t>
        </w:r>
        <w:r>
          <w:rPr>
            <w:rStyle w:val="Hyperlink"/>
            <w:color w:val="000000"/>
            <w:sz w:val="24"/>
            <w:szCs w:val="24"/>
            <w:u w:val="none"/>
          </w:rPr>
          <w:t>torgi</w:t>
        </w:r>
        <w:r>
          <w:rPr>
            <w:rStyle w:val="Hyperlink"/>
            <w:color w:val="000000"/>
            <w:sz w:val="24"/>
            <w:szCs w:val="24"/>
            <w:u w:val="none"/>
            <w:lang w:val="ru-RU"/>
          </w:rPr>
          <w:t>.</w:t>
        </w:r>
        <w:r>
          <w:rPr>
            <w:rStyle w:val="Hyperlink"/>
            <w:color w:val="000000"/>
            <w:sz w:val="24"/>
            <w:szCs w:val="24"/>
            <w:u w:val="none"/>
          </w:rPr>
          <w:t>gov</w:t>
        </w:r>
        <w:r>
          <w:rPr>
            <w:rStyle w:val="Hyperlink"/>
            <w:color w:val="000000"/>
            <w:sz w:val="24"/>
            <w:szCs w:val="24"/>
            <w:u w:val="none"/>
            <w:lang w:val="ru-RU"/>
          </w:rPr>
          <w:t>.</w:t>
        </w:r>
        <w:r>
          <w:rPr>
            <w:rStyle w:val="Hyperlink"/>
            <w:color w:val="000000"/>
            <w:sz w:val="24"/>
            <w:szCs w:val="24"/>
            <w:u w:val="none"/>
          </w:rPr>
          <w:t>ru</w:t>
        </w:r>
      </w:hyperlink>
      <w:r>
        <w:rPr>
          <w:color w:val="000000"/>
          <w:sz w:val="24"/>
          <w:szCs w:val="24"/>
          <w:u w:val="none"/>
        </w:rPr>
        <w:t xml:space="preserve"> (далее – ГИС Торги)</w:t>
      </w:r>
      <w:r>
        <w:rPr>
          <w:b/>
          <w:sz w:val="24"/>
          <w:szCs w:val="24"/>
          <w:lang w:val="ru-RU"/>
        </w:rPr>
        <w:t>,</w:t>
      </w:r>
      <w:r>
        <w:rPr>
          <w:b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официальном сайте муниципального образования город Пермь в информационно-телекоммуникационной сети «Интернет» </w:t>
      </w:r>
      <w:hyperlink r:id="rId3" w:tgtFrame="http://www.gorodperm.ru/">
        <w:r>
          <w:rPr>
            <w:rStyle w:val="Hyperlink"/>
            <w:color w:val="000000"/>
            <w:sz w:val="24"/>
            <w:szCs w:val="24"/>
            <w:u w:val="none"/>
          </w:rPr>
          <w:t>www</w:t>
        </w:r>
        <w:r>
          <w:rPr>
            <w:rStyle w:val="Hyperlink"/>
            <w:color w:val="000000"/>
            <w:sz w:val="24"/>
            <w:szCs w:val="24"/>
            <w:u w:val="none"/>
            <w:lang w:val="ru-RU"/>
          </w:rPr>
          <w:t>.</w:t>
        </w:r>
        <w:r>
          <w:rPr>
            <w:rStyle w:val="Hyperlink"/>
            <w:color w:val="000000"/>
            <w:sz w:val="24"/>
            <w:szCs w:val="24"/>
            <w:u w:val="none"/>
          </w:rPr>
          <w:t>gorodperm</w:t>
        </w:r>
        <w:r>
          <w:rPr>
            <w:rStyle w:val="Hyperlink"/>
            <w:color w:val="000000"/>
            <w:sz w:val="24"/>
            <w:szCs w:val="24"/>
            <w:u w:val="none"/>
            <w:lang w:val="ru-RU"/>
          </w:rPr>
          <w:t>.</w:t>
        </w:r>
        <w:r>
          <w:rPr>
            <w:rStyle w:val="Hyperlink"/>
            <w:color w:val="000000"/>
            <w:sz w:val="24"/>
            <w:szCs w:val="24"/>
            <w:u w:val="none"/>
          </w:rPr>
          <w:t>ru</w:t>
        </w:r>
      </w:hyperlink>
      <w:r>
        <w:rPr>
          <w:sz w:val="24"/>
          <w:szCs w:val="24"/>
          <w:lang w:val="ru-RU"/>
        </w:rPr>
        <w:t xml:space="preserve"> и на электронной </w:t>
      </w:r>
      <w:r>
        <w:rPr>
          <w:bCs/>
          <w:sz w:val="24"/>
          <w:szCs w:val="24"/>
          <w:lang w:val="ru-RU" w:bidi="ru-RU"/>
        </w:rPr>
        <w:t xml:space="preserve">площадке </w:t>
      </w:r>
      <w:hyperlink r:id="rId4" w:tgtFrame="http://utp.sberbank-ast.ru/">
        <w:r>
          <w:rPr>
            <w:rStyle w:val="Hyperlink"/>
            <w:sz w:val="24"/>
            <w:szCs w:val="24"/>
          </w:rPr>
          <w:t>http</w:t>
        </w:r>
        <w:r>
          <w:rPr>
            <w:rStyle w:val="Hyperlink"/>
            <w:sz w:val="24"/>
            <w:szCs w:val="24"/>
            <w:lang w:val="ru-RU"/>
          </w:rPr>
          <w:t>://</w:t>
        </w:r>
        <w:r>
          <w:rPr>
            <w:rStyle w:val="Hyperlink"/>
            <w:sz w:val="24"/>
            <w:szCs w:val="24"/>
          </w:rPr>
          <w:t>utp</w:t>
        </w:r>
        <w:r>
          <w:rPr>
            <w:rStyle w:val="Hyperlink"/>
            <w:sz w:val="24"/>
            <w:szCs w:val="24"/>
            <w:lang w:val="ru-RU"/>
          </w:rPr>
          <w:t>.</w:t>
        </w:r>
        <w:r>
          <w:rPr>
            <w:rStyle w:val="Hyperlink"/>
            <w:sz w:val="24"/>
            <w:szCs w:val="24"/>
          </w:rPr>
          <w:t>sberbank</w:t>
        </w:r>
        <w:r>
          <w:rPr>
            <w:rStyle w:val="Hyperlink"/>
            <w:sz w:val="24"/>
            <w:szCs w:val="24"/>
            <w:lang w:val="ru-RU"/>
          </w:rPr>
          <w:t>-</w:t>
        </w:r>
        <w:r>
          <w:rPr>
            <w:rStyle w:val="Hyperlink"/>
            <w:sz w:val="24"/>
            <w:szCs w:val="24"/>
          </w:rPr>
          <w:t>ast</w:t>
        </w:r>
        <w:r>
          <w:rPr>
            <w:rStyle w:val="Hyperlink"/>
            <w:sz w:val="24"/>
            <w:szCs w:val="24"/>
            <w:lang w:val="ru-RU"/>
          </w:rPr>
          <w:t>.</w:t>
        </w:r>
        <w:r>
          <w:rPr>
            <w:rStyle w:val="Hyperlink"/>
            <w:sz w:val="24"/>
            <w:szCs w:val="24"/>
          </w:rPr>
          <w:t>ru</w:t>
        </w:r>
      </w:hyperlink>
      <w:r>
        <w:rPr>
          <w:bCs/>
          <w:sz w:val="24"/>
          <w:szCs w:val="24"/>
          <w:lang w:val="ru-RU" w:bidi="ru-RU"/>
        </w:rPr>
        <w:t>.</w:t>
      </w:r>
    </w:p>
    <w:p>
      <w:pPr>
        <w:pStyle w:val="Normal"/>
        <w:widowControl w:val="false"/>
        <w:ind w:firstLine="567" w:left="-567"/>
        <w:jc w:val="both"/>
        <w:rPr>
          <w:rFonts w:eastAsia="Courier New"/>
          <w:b/>
          <w:color w:val="000000"/>
          <w:lang w:eastAsia="en-US" w:bidi="ru-RU"/>
        </w:rPr>
      </w:pPr>
      <w:r>
        <w:rPr>
          <w:rFonts w:eastAsia="Courier New"/>
          <w:b/>
          <w:color w:val="000000"/>
          <w:lang w:bidi="ru-RU"/>
        </w:rPr>
        <w:t>Адрес электронной площадки в информационно-телекоммуникационной сети «Интернет», на которой будет проводиться аукцион</w:t>
      </w:r>
      <w:r>
        <w:rPr>
          <w:rFonts w:eastAsia="Courier New"/>
          <w:color w:val="000000"/>
          <w:lang w:bidi="ru-RU"/>
        </w:rPr>
        <w:t>:</w:t>
      </w:r>
      <w:r>
        <w:rPr>
          <w:rFonts w:eastAsia="Courier New" w:cs="Courier New" w:ascii="Courier New" w:hAnsi="Courier New"/>
          <w:color w:val="000000"/>
          <w:lang w:bidi="ru-RU"/>
        </w:rPr>
        <w:t xml:space="preserve"> </w:t>
      </w:r>
      <w:hyperlink r:id="rId5" w:tgtFrame="http://utp.sberbank-ast.ru/">
        <w:r>
          <w:rPr>
            <w:rStyle w:val="Hyperlink"/>
          </w:rPr>
          <w:t>http://utp.sberbank-ast.ru</w:t>
        </w:r>
      </w:hyperlink>
      <w:r>
        <w:rPr>
          <w:rFonts w:eastAsia="Courier New"/>
          <w:lang w:bidi="ru-RU"/>
        </w:rPr>
        <w:t xml:space="preserve"> </w:t>
        <w:br/>
      </w:r>
      <w:r>
        <w:rPr>
          <w:rFonts w:eastAsia="Courier New"/>
          <w:color w:val="000000"/>
          <w:lang w:bidi="ru-RU"/>
        </w:rPr>
        <w:t xml:space="preserve">(далее – электронная площадка), торговая секция «Приватизация, аренда и продажа прав» (далее – торговая секция). </w:t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rFonts w:eastAsia="Courier New"/>
          <w:color w:val="000000"/>
          <w:lang w:bidi="ru-RU"/>
        </w:rPr>
      </w:pPr>
      <w:r>
        <w:rPr>
          <w:rFonts w:eastAsia="Courier New"/>
          <w:b/>
          <w:color w:val="000000"/>
          <w:lang w:eastAsia="en-US" w:bidi="ru-RU"/>
        </w:rPr>
        <w:t>Владелец электронной площадки</w:t>
      </w:r>
      <w:r>
        <w:rPr>
          <w:rFonts w:eastAsia="Courier New"/>
          <w:color w:val="000000"/>
          <w:lang w:eastAsia="en-US" w:bidi="ru-RU"/>
        </w:rPr>
        <w:t>:</w:t>
      </w:r>
      <w:r>
        <w:rPr>
          <w:rFonts w:eastAsia="Calibri"/>
          <w:lang w:eastAsia="en-US"/>
        </w:rPr>
        <w:t xml:space="preserve"> АО «Сбербанк-АСТ» (далее – Оператор)</w:t>
      </w:r>
      <w:r>
        <w:rPr>
          <w:rFonts w:eastAsia="Courier New"/>
          <w:color w:val="000000"/>
          <w:lang w:eastAsia="en-US" w:bidi="ru-RU"/>
        </w:rPr>
        <w:t>.</w:t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bCs/>
          <w:lang w:bidi="ru-RU"/>
        </w:rPr>
      </w:pPr>
      <w:r>
        <w:rPr>
          <w:rFonts w:eastAsia="Courier New"/>
          <w:color w:val="000000"/>
          <w:lang w:bidi="ru-RU"/>
        </w:rPr>
        <w:t xml:space="preserve">Регламент работы электронной площадки размещён по </w:t>
      </w:r>
      <w:r>
        <w:rPr>
          <w:rFonts w:eastAsia="Courier New"/>
          <w:lang w:bidi="ru-RU"/>
        </w:rPr>
        <w:t xml:space="preserve">адресу: </w:t>
      </w:r>
      <w:hyperlink r:id="rId6" w:tgtFrame="https://utp.sberbank-ast.ru/Main/Notice/988/Reglament">
        <w:r>
          <w:rPr>
            <w:rStyle w:val="Hyperlink"/>
            <w:rFonts w:eastAsia="Courier New"/>
            <w:lang w:bidi="ru-RU"/>
          </w:rPr>
          <w:t>https://utp.sberbank-ast.ru/Main/Notice/988/Reglament</w:t>
        </w:r>
      </w:hyperlink>
      <w:r>
        <w:rPr>
          <w:rFonts w:eastAsia="Courier New"/>
          <w:lang w:bidi="ru-RU"/>
        </w:rPr>
        <w:t>.</w:t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rFonts w:eastAsia="Courier New"/>
          <w:lang w:bidi="ru-RU"/>
        </w:rPr>
      </w:pPr>
      <w:r>
        <w:rPr>
          <w:bCs/>
          <w:lang w:bidi="ru-RU"/>
        </w:rPr>
        <w:t xml:space="preserve">Регламент работы </w:t>
      </w:r>
      <w:r>
        <w:rPr>
          <w:rFonts w:eastAsia="Courier New"/>
          <w:lang w:bidi="ru-RU"/>
        </w:rPr>
        <w:t xml:space="preserve">торговой секции </w:t>
      </w:r>
      <w:r>
        <w:rPr>
          <w:bCs/>
          <w:lang w:eastAsia="en-US" w:bidi="ru-RU"/>
        </w:rPr>
        <w:t xml:space="preserve">размещен по адресу: </w:t>
      </w:r>
      <w:r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br w:type="textWrapping" w:clear="all"/>
      </w:r>
      <w:hyperlink r:id="rId7" w:tgtFrame="https://utp.sberbank-ast.ru/AP/Notice/1027/Instructions">
        <w:r>
          <w:rPr>
            <w:rStyle w:val="Hyperlink"/>
            <w:rFonts w:eastAsia="Calibri"/>
            <w:lang w:eastAsia="en-US"/>
          </w:rPr>
          <w:t>https://utp.sberbank-ast.ru/AP/Notice/1027/Instructions</w:t>
        </w:r>
      </w:hyperlink>
      <w:r>
        <w:rPr>
          <w:rFonts w:eastAsia="Calibri"/>
          <w:lang w:eastAsia="en-US"/>
        </w:rPr>
        <w:t>.</w:t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b/>
          <w:bCs/>
        </w:rPr>
      </w:pPr>
      <w:r>
        <w:rPr>
          <w:rFonts w:eastAsia="Courier New"/>
          <w:lang w:bidi="ru-RU"/>
        </w:rPr>
        <w:t xml:space="preserve">Инструкция по работе в торговой секции электронной площадки  </w:t>
      </w:r>
      <w:r>
        <w:rPr>
          <w:rFonts w:eastAsia="Courier New"/>
          <w:lang w:bidi="ru-RU"/>
        </w:rPr>
        <w:br w:type="textWrapping" w:clear="all"/>
      </w:r>
      <w:r>
        <w:rPr>
          <w:bCs/>
          <w:lang w:eastAsia="en-US" w:bidi="ru-RU"/>
        </w:rPr>
        <w:t>размещена по адресу:</w:t>
      </w:r>
      <w:r>
        <w:rPr>
          <w:rFonts w:eastAsia="Calibri" w:cs="Calibri" w:ascii="Calibri" w:hAnsi="Calibri"/>
          <w:sz w:val="22"/>
          <w:szCs w:val="22"/>
          <w:lang w:eastAsia="en-US"/>
        </w:rPr>
        <w:t xml:space="preserve"> </w:t>
      </w:r>
      <w:hyperlink r:id="rId8" w:tgtFrame="https://utp.sberbank-ast.ru/AP/Notice/652/Instructions">
        <w:r>
          <w:rPr>
            <w:rStyle w:val="Hyperlink"/>
            <w:bCs/>
            <w:lang w:eastAsia="en-US" w:bidi="ru-RU"/>
          </w:rPr>
          <w:t>https://utp.sberbank-ast.ru/AP/Notice/652/Instructions</w:t>
        </w:r>
      </w:hyperlink>
      <w:r>
        <w:rPr>
          <w:bCs/>
          <w:lang w:eastAsia="en-US" w:bidi="ru-RU"/>
        </w:rPr>
        <w:t>.</w:t>
      </w:r>
    </w:p>
    <w:p>
      <w:pPr>
        <w:pStyle w:val="Normal"/>
        <w:widowControl w:val="false"/>
        <w:ind w:firstLine="567" w:left="-567"/>
        <w:jc w:val="both"/>
        <w:rPr>
          <w:highlight w:val="none"/>
        </w:rPr>
      </w:pPr>
      <w:r>
        <w:rPr>
          <w:b/>
          <w:bCs/>
        </w:rPr>
        <w:t xml:space="preserve">Орган, уполномоченный на заключение договора купли-продажи земельного участка: </w:t>
      </w:r>
      <w:r>
        <w:rPr>
          <w:bCs/>
        </w:rPr>
        <w:t>департамент земельных отношений администрации города Перми, местонахождение: 614000,                       г. Пермь, ул. Сибирская,15, почтовый адрес: 614000, г. Пермь, ул. Сибирская,15, телефон 212-61-90 (отдел договоров), адрес электронной почты:</w:t>
      </w:r>
      <w:r>
        <w:rPr>
          <w:bCs/>
          <w:sz w:val="24"/>
          <w:szCs w:val="24"/>
        </w:rPr>
        <w:t xml:space="preserve"> </w:t>
      </w:r>
      <w:r>
        <w:rPr>
          <w:rStyle w:val="Hyperlink"/>
          <w:bCs/>
          <w:sz w:val="24"/>
          <w:szCs w:val="24"/>
          <w:lang w:val="en-US"/>
        </w:rPr>
        <w:t>dzo</w:t>
      </w:r>
      <w:r>
        <w:rPr>
          <w:rStyle w:val="Hyperlink"/>
          <w:bCs/>
          <w:sz w:val="24"/>
          <w:szCs w:val="24"/>
        </w:rPr>
        <w:t>@</w:t>
      </w:r>
      <w:r>
        <w:rPr>
          <w:rStyle w:val="Hyperlink"/>
          <w:bCs/>
          <w:sz w:val="24"/>
          <w:szCs w:val="24"/>
          <w:lang w:val="en-US"/>
        </w:rPr>
        <w:t>perm</w:t>
      </w:r>
      <w:r>
        <w:rPr>
          <w:rStyle w:val="Hyperlink"/>
          <w:bCs/>
          <w:sz w:val="24"/>
          <w:szCs w:val="24"/>
        </w:rPr>
        <w:t>.</w:t>
      </w:r>
      <w:r>
        <w:rPr>
          <w:rStyle w:val="Hyperlink"/>
          <w:bCs/>
          <w:sz w:val="24"/>
          <w:szCs w:val="24"/>
          <w:lang w:val="en-US"/>
        </w:rPr>
        <w:t>permkrai</w:t>
      </w:r>
      <w:r>
        <w:rPr>
          <w:rStyle w:val="Hyperlink"/>
          <w:bCs/>
          <w:sz w:val="24"/>
          <w:szCs w:val="24"/>
        </w:rPr>
        <w:t>.</w:t>
      </w:r>
      <w:r>
        <w:rPr>
          <w:rStyle w:val="Hyperlink"/>
          <w:bCs/>
          <w:sz w:val="24"/>
          <w:szCs w:val="24"/>
          <w:lang w:val="en-US"/>
        </w:rPr>
        <w:t>ru.</w:t>
      </w:r>
    </w:p>
    <w:p>
      <w:pPr>
        <w:pStyle w:val="Normal"/>
        <w:widowControl w:val="false"/>
        <w:ind w:firstLine="567" w:left="-567"/>
        <w:jc w:val="both"/>
        <w:rPr>
          <w:b/>
          <w:bCs/>
        </w:rPr>
      </w:pPr>
      <w:r>
        <w:rPr>
          <w:b/>
          <w:bCs/>
        </w:rPr>
      </w:r>
    </w:p>
    <w:p>
      <w:pPr>
        <w:pStyle w:val="PlainText"/>
        <w:spacing w:lineRule="exact" w:line="240"/>
        <w:ind w:hanging="1134" w:left="1134"/>
        <w:jc w:val="center"/>
        <w:rPr>
          <w:b/>
          <w:lang w:val="ru-RU"/>
        </w:rPr>
      </w:pPr>
      <w:r>
        <w:rPr>
          <w:rFonts w:cs="Times New Roman" w:ascii="Times New Roman" w:hAnsi="Times New Roman"/>
          <w:b/>
          <w:sz w:val="28"/>
          <w:szCs w:val="28"/>
          <w:lang w:val="ru-RU"/>
        </w:rPr>
        <w:t>Сведения о лотах (предметах аукциона)</w:t>
      </w:r>
    </w:p>
    <w:p>
      <w:pPr>
        <w:pStyle w:val="PlainText"/>
        <w:spacing w:lineRule="exact" w:line="240"/>
        <w:ind w:hanging="1134" w:left="113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tabs>
          <w:tab w:val="clear" w:pos="708"/>
          <w:tab w:val="left" w:pos="5103" w:leader="none"/>
        </w:tabs>
        <w:ind w:right="-263"/>
        <w:rPr>
          <w:sz w:val="20"/>
          <w:szCs w:val="20"/>
          <w:highlight w:val="none"/>
        </w:rPr>
      </w:pPr>
      <w:r>
        <w:rPr>
          <w:b/>
          <w:lang w:val="en-US"/>
        </w:rPr>
        <w:t>Лот № 1</w:t>
      </w:r>
    </w:p>
    <w:tbl>
      <w:tblPr>
        <w:tblW w:w="10485" w:type="dxa"/>
        <w:jc w:val="left"/>
        <w:tblInd w:w="-4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356"/>
        <w:gridCol w:w="3308"/>
        <w:gridCol w:w="6821"/>
      </w:tblGrid>
      <w:tr>
        <w:trPr>
          <w:trHeight w:val="877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органа</w:t>
            </w:r>
          </w:p>
          <w:p>
            <w:pPr>
              <w:pStyle w:val="Normal"/>
              <w:spacing w:lineRule="auto" w:line="240" w:before="0" w:after="0"/>
              <w:ind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местного самоуправления, принявшего решение о проведении аукциона, реквизиты указанного решения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города Перми, распоряжение начальника  департамента земельных отношений администрации города Перми</w:t>
            </w:r>
            <w:r>
              <w:rPr>
                <w:sz w:val="20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highlight w:val="white"/>
              </w:rPr>
              <w:t xml:space="preserve">от 01 июля 2026 г. № 21-01-03-4574 </w:t>
            </w:r>
            <w:r>
              <w:rPr>
                <w:rFonts w:eastAsia="Times New Roman" w:cs="Times New Roman"/>
                <w:color w:val="000000"/>
                <w:sz w:val="24"/>
                <w:szCs w:val="28"/>
                <w:highlight w:val="white"/>
              </w:rPr>
              <w:t>«О проведении аукциона по продаже земельного участка в Свердловском районе города Перми»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 аукциона по продаже земельного участка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93" w:hRule="atLeast"/>
        </w:trPr>
        <w:tc>
          <w:tcPr>
            <w:tcW w:w="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360" w:left="720"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местоположение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Федерация, Пермский край, городской округ Пермский, город Пермь, улица 1-я Липогорская, з/у 6</w:t>
            </w:r>
          </w:p>
        </w:tc>
      </w:tr>
      <w:tr>
        <w:trPr>
          <w:trHeight w:val="148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360" w:left="720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591 кв. м</w:t>
            </w:r>
          </w:p>
        </w:tc>
      </w:tr>
      <w:tr>
        <w:trPr>
          <w:trHeight w:val="155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360" w:left="720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кадастровый номер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/>
              <w:t>59:01:4411009:212</w:t>
            </w:r>
          </w:p>
        </w:tc>
      </w:tr>
      <w:tr>
        <w:trPr>
          <w:trHeight w:val="144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2"/>
              </w:numPr>
              <w:spacing w:before="0" w:after="0"/>
              <w:ind w:hanging="360" w:left="720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права на земельный участок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государственная собственность не разграничена</w:t>
            </w:r>
          </w:p>
        </w:tc>
      </w:tr>
      <w:tr>
        <w:trPr>
          <w:trHeight w:val="144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2"/>
              </w:numPr>
              <w:spacing w:before="0" w:after="0"/>
              <w:ind w:hanging="360" w:left="720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разрешенного использования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для индивидуального жилищного строительства</w:t>
            </w:r>
          </w:p>
        </w:tc>
      </w:tr>
      <w:tr>
        <w:trPr>
          <w:trHeight w:val="576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2"/>
              </w:numPr>
              <w:spacing w:before="0" w:after="0"/>
              <w:ind w:hanging="360" w:left="720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принадлежность к определенной  </w:t>
              <w:br/>
              <w:t>категории земель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земли населенных пунктов</w:t>
            </w:r>
          </w:p>
        </w:tc>
      </w:tr>
      <w:tr>
        <w:trPr>
          <w:trHeight w:val="576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3"/>
              </w:numPr>
              <w:spacing w:before="0" w:after="0"/>
              <w:ind w:hanging="360" w:left="720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принадлежность к определенной  </w:t>
              <w:br/>
              <w:t>территориальной зоне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/>
            </w:pPr>
            <w:r>
              <w:rPr>
                <w:sz w:val="24"/>
                <w:szCs w:val="24"/>
              </w:rPr>
              <w:t>Ж-5 «Зона индивидуальной усадебной жилой застройки»</w:t>
            </w:r>
          </w:p>
        </w:tc>
      </w:tr>
      <w:tr>
        <w:trPr>
          <w:trHeight w:val="144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2"/>
              </w:numPr>
              <w:spacing w:before="0" w:after="0"/>
              <w:ind w:hanging="360" w:left="720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ограничение прав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3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Ограничения прав подробно описаны:</w:t>
            </w:r>
          </w:p>
          <w:p>
            <w:pPr>
              <w:pStyle w:val="Normal"/>
              <w:ind w:firstLine="311"/>
              <w:jc w:val="both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>в выписке из Единого государственного реестра недвижимости об объекте недвижимости от 09.07.2026г. № КУВИ-001/2026-92746530 (далее - ЕГРН)</w:t>
            </w:r>
            <w:r>
              <w:rPr>
                <w:sz w:val="24"/>
                <w:szCs w:val="24"/>
                <w14:ligatures w14:val="none"/>
              </w:rPr>
              <w:t>;</w:t>
            </w:r>
          </w:p>
          <w:p>
            <w:pPr>
              <w:pStyle w:val="Normal"/>
              <w:ind w:firstLine="3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градостроительном плане земельного участка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19</w:t>
            </w:r>
            <w:r>
              <w:rPr>
                <w:color w:val="000000"/>
                <w:sz w:val="24"/>
                <w:szCs w:val="24"/>
              </w:rPr>
              <w:t>.05.2026 № РФ-59-2-03-0-00-2026-1255-0</w:t>
            </w:r>
            <w:r>
              <w:rPr>
                <w:sz w:val="24"/>
                <w:szCs w:val="24"/>
              </w:rPr>
              <w:t xml:space="preserve"> (далее – ГПЗУ) (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</w:rPr>
              <w:t>Приложение 2 к настоящему извещению)</w:t>
            </w:r>
            <w:r>
              <w:rPr>
                <w:sz w:val="24"/>
                <w:szCs w:val="24"/>
              </w:rPr>
              <w:t>.</w:t>
            </w:r>
          </w:p>
          <w:p>
            <w:pPr>
              <w:pStyle w:val="BodyText"/>
              <w:ind w:firstLine="3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 xml:space="preserve">В соответствии со сведениями ЕГРН в границах Участка расположено сооружение электроэнергетики </w:t>
              <w:br/>
              <w:t>с кадастровым номером 59:00:0000000:7856.</w:t>
            </w:r>
          </w:p>
          <w:p>
            <w:pPr>
              <w:pStyle w:val="Normal"/>
              <w:spacing w:lineRule="auto" w:line="240" w:before="0" w:after="0"/>
              <w:ind w:firstLine="317"/>
              <w:jc w:val="both"/>
              <w:rPr>
                <w:rFonts w:ascii="Times New Roman" w:hAnsi="Times New Roman"/>
                <w:color w:themeColor="text1" w:val="558035"/>
                <w:sz w:val="24"/>
                <w:szCs w:val="24"/>
                <w:highlight w:val="none"/>
              </w:rPr>
            </w:pPr>
            <w:r>
              <w:rPr>
                <w:color w:themeColor="text1" w:val="558035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>В соответствии с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  <w:highlight w:val="white"/>
              </w:rPr>
              <w:t>копией планшета М 1:500 (требуется корректура),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  <w:highlight w:val="white"/>
              </w:rPr>
              <w:t>объекты капитального/некапитального строительства в границах Участка отсутствуют.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</w:pPr>
            <w:r>
              <w:rPr>
                <w:color w:val="auto"/>
                <w:sz w:val="24"/>
                <w:szCs w:val="24"/>
              </w:rPr>
              <w:t xml:space="preserve">В соответствии </w:t>
            </w:r>
            <w:r>
              <w:rPr>
                <w:color w:val="auto"/>
                <w:sz w:val="24"/>
                <w:szCs w:val="24"/>
                <w:highlight w:val="white"/>
              </w:rPr>
              <w:t xml:space="preserve">геодезической съемкой, выполненной </w:t>
              <w:br/>
              <w:t>в 2026 году</w:t>
            </w:r>
            <w:r>
              <w:rPr>
                <w:color w:val="auto"/>
                <w:sz w:val="24"/>
                <w:szCs w:val="24"/>
              </w:rPr>
              <w:t>, Участок частично зарос кустарником, травянистой растительностью и одиночными лиственными деревьями. С северо-западной стороны по границе Участка установлен капитальный забор. С юго-западной стороны в границах Участка расположено разрушенное строение.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 xml:space="preserve">Согласно сведениям, содержащимся в ЕГРН, ГПЗУ </w:t>
              <w:br/>
              <w:t xml:space="preserve">и справке по градостроительным условиям участка </w:t>
              <w:br/>
              <w:t xml:space="preserve">от 09.07.2026 686343 Участок полностью расположен </w:t>
              <w:br/>
              <w:t>в границах зон с особыми условиями использования территории: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частично, площадью 35 кв.м, охранная зона ВЛ 0,4 кВ от КТП 6460, ВЛ 0,4 кВ от ТП 6352, ВЛ 0.4 КВ ОТ ТП 6117, реестровый номер 59:01-6.2632;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>приаэродромная территория аэродрома аэропорта Большое Савино, реестровый номер 59:32-6.553.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>Проектирование и строительство вести в соответствии: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 xml:space="preserve">с постановление Правительства Российской Федерации </w:t>
              <w:br/>
              <w:t xml:space="preserve">от 24.02.2009 № 160 «О порядке установления охранных зон объектов электросетевого хозяйства и особых условий использования земельных участков, расположенных </w:t>
              <w:br/>
              <w:t>в границах таких зон»;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>с постановлением Правительства Российской Федерации от 11.03.2010 № 138 «Об утверждении Федеральных правил использования воздушного пространства Российской Федерации»: «Запрещается размещать в полосах воздушных подходов на удалении до 30 км, а вне полос воздушных подходов – до 15 км от контрольной точки аэродрома объекты выбросов (размещения) отходов, животноводческие фермы, скотобойни и другие объекты, способствующие привлечению и массовому скоплению птиц».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  <w:highlight w:val="whit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>На Участке отсутствуют зеленые насаждения.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val="auto"/>
                <w:spacing w:val="0"/>
                <w:highlight w:val="white"/>
                <w14:ligatures w14:val="none"/>
              </w:rPr>
            </w:pPr>
            <w:r>
              <w:rPr>
                <w:rFonts w:eastAsia="Times New Roman" w:cs="Times New Roman"/>
                <w:color w:val="auto"/>
                <w:spacing w:val="0"/>
                <w:sz w:val="24"/>
              </w:rPr>
              <w:t xml:space="preserve"> </w:t>
            </w:r>
            <w:r>
              <w:rPr>
                <w:rFonts w:eastAsia="Times New Roman" w:cs="Times New Roman"/>
                <w:color w:val="auto"/>
                <w:spacing w:val="0"/>
                <w:sz w:val="24"/>
                <w:highlight w:val="white"/>
              </w:rPr>
              <w:t xml:space="preserve">Победителю аукциона необходимо соблюдать условия строительства, перечисленные в </w:t>
            </w:r>
            <w:r>
              <w:rPr>
                <w:rFonts w:eastAsia="Times New Roman" w:cs="Times New Roman"/>
                <w:color w:val="auto"/>
                <w:spacing w:val="0"/>
                <w:sz w:val="24"/>
                <w:szCs w:val="24"/>
                <w:highlight w:val="white"/>
              </w:rPr>
              <w:t xml:space="preserve">перечне мероприятий </w:t>
              <w:br/>
              <w:t>по охране окружающей среды от 05.05.2026 № 95.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val="auto"/>
                <w:spacing w:val="0"/>
                <w:highlight w:val="white"/>
                <w14:ligatures w14:val="none"/>
              </w:rPr>
            </w:pPr>
            <w:r>
              <w:rPr>
                <w:rFonts w:eastAsia="Times New Roman" w:cs="Times New Roman"/>
                <w:color w:val="auto"/>
                <w:spacing w:val="0"/>
                <w:sz w:val="24"/>
                <w:szCs w:val="24"/>
                <w:highlight w:val="white"/>
              </w:rPr>
              <w:t xml:space="preserve">(Аналогичная информация отражена в письме </w:t>
            </w:r>
            <w:r>
              <w:rPr>
                <w:rFonts w:eastAsia="Times New Roman" w:cs="Times New Roman"/>
                <w:b/>
                <w:color w:val="auto"/>
                <w:spacing w:val="0"/>
                <w:sz w:val="24"/>
                <w:szCs w:val="24"/>
                <w:highlight w:val="white"/>
              </w:rPr>
              <w:t>Управления по экологии и природопользованию администрации города Перми</w:t>
            </w:r>
            <w:r>
              <w:rPr>
                <w:rFonts w:eastAsia="Times New Roman" w:cs="Times New Roman"/>
                <w:color w:val="auto"/>
                <w:spacing w:val="0"/>
                <w:sz w:val="24"/>
                <w:szCs w:val="24"/>
                <w:highlight w:val="white"/>
              </w:rPr>
              <w:t xml:space="preserve"> от 05.05.2026 № 059-33-01-10/3-258).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val="auto"/>
                <w:spacing w:val="0"/>
                <w:highlight w:val="white"/>
                <w14:ligatures w14:val="none"/>
              </w:rPr>
            </w:pPr>
            <w:r>
              <w:rPr>
                <w:rFonts w:eastAsia="Times New Roman" w:cs="Times New Roman"/>
                <w:color w:val="auto"/>
                <w:spacing w:val="0"/>
                <w:highlight w:val="white"/>
                <w14:ligatures w14:val="none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Муниципальной программой «Дорожная деятельность и благоустройство города Перми», утвержденной постановлением администрации города Перми от 18.10.2024 № 966 «Об утверждении муниципальной программы «Дорожная деятельность и благоустройство города Перми»,</w:t>
            </w:r>
            <w:r>
              <w:rPr>
                <w:color w:val="auto"/>
                <w:sz w:val="24"/>
                <w:szCs w:val="24"/>
                <w:highlight w:val="white"/>
              </w:rPr>
              <w:t xml:space="preserve"> бюджетом города Перми на период 2025-2029 годы мероприятия по строительству, реконструкции, капитальному ремонту улично-до</w:t>
            </w:r>
            <w:r>
              <w:rPr>
                <w:rFonts w:eastAsia="Times New Roman" w:cs="Times New Roman"/>
                <w:color w:val="auto"/>
                <w:sz w:val="24"/>
                <w:szCs w:val="24"/>
                <w:highlight w:val="white"/>
              </w:rPr>
              <w:t>рожной сети на рассматриваемой территории не предусмотрены.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</w:rPr>
              <w:t xml:space="preserve">Программой комплексного развития транспортной инфраструктуры города Перми на 2025-2043 годы, утвержденной Решением Пермской городской Думы </w:t>
              <w:br/>
              <w:t>от 16.12.2025 № 238, мероприятия по строительству, реконструкции, капитальному ремонту улично-дорожной сети на рассматриваемой территории не предусмотрены.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>
                <w:color w:themeColor="accent4" w:themeShade="bf" w:val="auto"/>
              </w:rPr>
            </w:pPr>
            <w:r>
              <w:rPr>
                <w:rFonts w:eastAsia="Times New Roman" w:cs="Times New Roman"/>
                <w:color w:val="auto"/>
                <w:sz w:val="24"/>
              </w:rPr>
              <w:t>Для примыкания Участка к улично - дорожной сети города Перми необходимо выполнить условия, указанные в письме.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>
                <w:color w:themeColor="accent4" w:themeShade="bf" w:val="auto"/>
              </w:rPr>
            </w:pPr>
            <w:r>
              <w:rPr>
                <w:rFonts w:eastAsia="Times New Roman" w:cs="Times New Roman"/>
                <w:color w:val="auto"/>
                <w:sz w:val="24"/>
              </w:rPr>
              <w:t>Также направлена информация о соблюдении Правил благоустройства территории города Перми, утвержденных решением Пермской городской Думы от 15.12.2020 № 277 «Об утверждении Правил благоустройства территории города Перми», при строительстве объектов недвижимости на земельных участках, предоставленных на торгах.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themeColor="accent4" w:themeShade="bf" w:val="auto"/>
              </w:rPr>
            </w:pPr>
            <w:r>
              <w:rPr>
                <w:color w:val="auto"/>
                <w:sz w:val="24"/>
                <w:szCs w:val="24"/>
              </w:rPr>
              <w:t xml:space="preserve">В соответствии с Федеральным Законом от 08.11.2007 </w:t>
              <w:br/>
              <w:t xml:space="preserve">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расходы на строительство, реконструкцию, капитальный ремонт, ремонт пересечений и примыканий, в том числе расходы на выполнение дополнительных работ, связанных </w:t>
              <w:br/>
              <w:t xml:space="preserve">с обеспечением безопасности дорожного движения, водоотведения и исполнением других установленных техническими регламентами требований, несут лица, </w:t>
              <w:br/>
              <w:t xml:space="preserve">в интересах которых осуществляются строительство, реконструкция, капитальный ремонт, ремонт пересечений </w:t>
              <w:br/>
              <w:t>или примыканий.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val="auto"/>
                <w:spacing w:val="0"/>
                <w:highlight w:val="white"/>
                <w14:ligatures w14:val="none"/>
              </w:rPr>
            </w:pPr>
            <w:r>
              <w:rPr>
                <w:rFonts w:eastAsia="Times New Roman" w:cs="Times New Roman"/>
                <w:color w:val="auto"/>
                <w:spacing w:val="0"/>
                <w:sz w:val="24"/>
                <w:szCs w:val="24"/>
                <w:highlight w:val="white"/>
              </w:rPr>
              <w:t xml:space="preserve">(Аналогичная информация отражена в письме </w:t>
            </w:r>
            <w:r>
              <w:rPr>
                <w:rFonts w:eastAsia="Times New Roman" w:cs="Times New Roman"/>
                <w:b/>
                <w:color w:val="auto"/>
                <w:spacing w:val="0"/>
                <w:sz w:val="24"/>
                <w:szCs w:val="24"/>
                <w:highlight w:val="white"/>
              </w:rPr>
              <w:t xml:space="preserve"> Департамента дорог и благоустройства администрации города Перми</w:t>
            </w:r>
            <w:r>
              <w:rPr>
                <w:rFonts w:eastAsia="Times New Roman" w:cs="Times New Roman"/>
                <w:color w:val="auto"/>
                <w:spacing w:val="0"/>
                <w:sz w:val="24"/>
                <w:szCs w:val="24"/>
                <w:highlight w:val="white"/>
              </w:rPr>
              <w:t xml:space="preserve"> от 04.05.2026 № 059-24-01-36/3-1341).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val="auto"/>
                <w:spacing w:val="0"/>
                <w:highlight w:val="white"/>
                <w14:ligatures w14:val="none"/>
              </w:rPr>
            </w:pPr>
            <w:r>
              <w:rPr>
                <w:rFonts w:eastAsia="Times New Roman" w:cs="Times New Roman"/>
                <w:color w:val="auto"/>
                <w:spacing w:val="0"/>
                <w:highlight w:val="white"/>
                <w14:ligatures w14:val="none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</w:rPr>
              <w:t>Источники противопожарного водоснабжения на указанной территории отсутствуют. Запланировано строительство пожарного резервуара в 2027 году по адресу: ул. 4-я Липогорская, 7а.</w:t>
            </w:r>
          </w:p>
          <w:p>
            <w:pPr>
              <w:pStyle w:val="BodyText"/>
              <w:spacing w:lineRule="auto" w:line="240"/>
              <w:ind w:firstLine="283" w:left="0" w:right="0"/>
              <w:jc w:val="both"/>
              <w:rPr>
                <w:rFonts w:ascii="Times New Roman" w:hAnsi="Times New Roman" w:cs="Times New Roman"/>
                <w:color w:themeColor="accent3" w:themeShade="bf"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При планировке и размещении объектов на вышеуказанной территории необходимо соблюдать нормы и требования действующего законодательства: федеральных законов от 21 декабря 1994 г. № 69-ФЗ «О пожарной безопасности» и от 22 июля 2008 г. № 123-ФЗ «Технический регламент о</w:t>
            </w:r>
            <w:r>
              <w:rPr>
                <w:color w:val="auto"/>
                <w:spacing w:val="-3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требованиях пожарной безопасности», Свода правил 8.13130. «Системы противопожарной защиты. Источники</w:t>
            </w:r>
            <w:r>
              <w:rPr>
                <w:color w:val="auto"/>
                <w:spacing w:val="30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наружного противопожарного</w:t>
            </w:r>
            <w:r>
              <w:rPr>
                <w:color w:val="auto"/>
                <w:spacing w:val="30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водоснабжения. Требования</w:t>
            </w:r>
            <w:r>
              <w:rPr>
                <w:color w:val="auto"/>
                <w:spacing w:val="30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пожарной безопасности», утвержденных приказом МЧС России от 30.03.2020 № 225, Свода правил 4.13130 «Системы противопожарной защиты. Ограничение распространения пожара на объектах защиты. Требования к объемно- планировочным и конструктивным решениям», утвержденных Приказом МЧС России от 24.04.2013 № 288 и иной документации, касающейся норм противопожарной безопасности.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</w:rPr>
              <w:t xml:space="preserve">Информация о подразделениях пожарной охраны </w:t>
              <w:br/>
              <w:t xml:space="preserve">и времени их прибытия содержится в «Расписании выезда подразделений Пермского местного пожарно -спасательного гарнизона для тушения пожаров и проведения аварийно-спасательных работ на территории Пермского городского округа, Пермского муниципального района», утвержденном Главой города Перми 26.04.2024. Подразделение пожарной охраны расположено по адресу: ул. Белинского, 52 (ПСЧ-57 </w:t>
              <w:br/>
              <w:t>10-ПСО).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</w:rPr>
              <w:t>Помещения для аварийно-спасательных служб и (или) аварийно - спасательных формирований на указанной территории отсутствуют.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</w:rPr>
              <w:t>По информации, предоставленной Министерством территориальной безопасности Пермского края (письмо от 07.10.2020 № 964с), рассматриваемый земельный участок попадает в зону возможного химического заражения в особый период.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</w:rPr>
              <w:t>Указанный земельный участок находится в зоне действия системы оповещения населения города Перми, установленной по ул. Героев Хасана, 109/2б - 1500 м.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val="auto"/>
                <w:spacing w:val="0"/>
                <w:highlight w:val="white"/>
                <w14:ligatures w14:val="none"/>
              </w:rPr>
            </w:pPr>
            <w:r>
              <w:rPr>
                <w:rFonts w:eastAsia="Times New Roman" w:cs="Times New Roman"/>
                <w:color w:val="auto"/>
                <w:spacing w:val="0"/>
                <w:sz w:val="24"/>
                <w:szCs w:val="24"/>
                <w:highlight w:val="white"/>
              </w:rPr>
              <w:t xml:space="preserve">(Аналогичная информация отражена в письме </w:t>
            </w:r>
            <w:r>
              <w:rPr>
                <w:rFonts w:eastAsia="Times New Roman" w:cs="Times New Roman"/>
                <w:b/>
                <w:color w:val="auto"/>
                <w:spacing w:val="0"/>
                <w:sz w:val="24"/>
                <w:szCs w:val="24"/>
                <w:highlight w:val="white"/>
              </w:rPr>
              <w:t>департамента общественной безопасности администрации города Перми</w:t>
            </w:r>
            <w:r>
              <w:rPr>
                <w:rFonts w:eastAsia="Times New Roman" w:cs="Times New Roman"/>
                <w:color w:val="auto"/>
                <w:spacing w:val="0"/>
                <w:sz w:val="24"/>
                <w:szCs w:val="24"/>
                <w:highlight w:val="white"/>
              </w:rPr>
              <w:t xml:space="preserve"> от 30.04.2026 № 059-10-01-27/3-635).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val="auto"/>
                <w:spacing w:val="0"/>
                <w:highlight w:val="white"/>
                <w14:ligatures w14:val="none"/>
              </w:rPr>
            </w:pPr>
            <w:r>
              <w:rPr>
                <w:rFonts w:eastAsia="Times New Roman" w:cs="Times New Roman"/>
                <w:color w:val="auto"/>
                <w:spacing w:val="0"/>
                <w:highlight w:val="white"/>
                <w14:ligatures w14:val="none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>На период до 2028 года на территории, где расположен Участок, схемами водоснабжения и водоотведения города Перми, утвержденными постановлением администрации города Перми от 28.12.2018 № 1085, строительство сетей водоснабжения и водоотведения в мкр. Липовая гора предусмотрено.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val="auto"/>
                <w:spacing w:val="0"/>
                <w:highlight w:val="white"/>
                <w14:ligatures w14:val="none"/>
              </w:rPr>
            </w:pPr>
            <w:r>
              <w:rPr>
                <w:rFonts w:eastAsia="Times New Roman" w:cs="Times New Roman"/>
                <w:color w:val="auto"/>
                <w:spacing w:val="0"/>
                <w:sz w:val="24"/>
                <w:szCs w:val="24"/>
                <w:highlight w:val="white"/>
              </w:rPr>
              <w:t xml:space="preserve">(Аналогичная информация отражена в письме </w:t>
            </w:r>
            <w:r>
              <w:rPr>
                <w:rFonts w:eastAsia="Times New Roman" w:cs="Times New Roman"/>
                <w:b/>
                <w:bCs/>
                <w:color w:val="auto"/>
                <w:spacing w:val="0"/>
                <w:sz w:val="24"/>
                <w:szCs w:val="24"/>
                <w:highlight w:val="white"/>
              </w:rPr>
              <w:t>Департамента жилищно-коммунального хозяйства администрации города Перми</w:t>
            </w:r>
            <w:r>
              <w:rPr>
                <w:rFonts w:eastAsia="Times New Roman" w:cs="Times New Roman"/>
                <w:color w:val="auto"/>
                <w:spacing w:val="0"/>
                <w:sz w:val="24"/>
                <w:szCs w:val="24"/>
                <w:highlight w:val="white"/>
              </w:rPr>
              <w:t xml:space="preserve"> от 05.05.2026 № 059-04-17/3-376-ри).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val="auto"/>
                <w:spacing w:val="0"/>
                <w:highlight w:val="white"/>
                <w14:ligatures w14:val="none"/>
              </w:rPr>
            </w:pPr>
            <w:r>
              <w:rPr>
                <w:rFonts w:eastAsia="Times New Roman" w:cs="Times New Roman"/>
                <w:color w:val="auto"/>
                <w:spacing w:val="0"/>
                <w:highlight w:val="white"/>
                <w14:ligatures w14:val="none"/>
              </w:rPr>
            </w:r>
          </w:p>
        </w:tc>
      </w:tr>
      <w:tr>
        <w:trPr>
          <w:trHeight w:val="1087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2"/>
              </w:numPr>
              <w:spacing w:before="0" w:after="0"/>
              <w:ind w:firstLine="270" w:left="240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максимально и (или) минимально  допустимые параметры разрешенного строительства </w:t>
              <w:br/>
              <w:t>объекта капитального строительства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  <w:shd w:fill="FFFFFF" w:val="clear"/>
              </w:rPr>
              <w:t xml:space="preserve">документации по земельному участку, размещенной                         с извещением о проведении аукциона в ГИС Торги </w:t>
            </w:r>
            <w:r>
              <w:rPr>
                <w:sz w:val="24"/>
                <w:szCs w:val="24"/>
                <w:lang w:val="en-US"/>
              </w:rPr>
              <w:t>www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torgi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gov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  <w:r>
              <w:rPr>
                <w:sz w:val="24"/>
                <w:szCs w:val="24"/>
                <w:shd w:fill="FFFFFF" w:val="clear"/>
              </w:rPr>
              <w:t xml:space="preserve">, на официальном сайте муниципального образования город Пермь в информационно-телекоммуникационной сети Интернет </w:t>
            </w:r>
            <w:hyperlink r:id="rId9">
              <w:r>
                <w:rPr>
                  <w:rStyle w:val="Hyperlink"/>
                  <w:sz w:val="24"/>
                  <w:szCs w:val="24"/>
                </w:rPr>
                <w:t>www.gorodperm.ru</w:t>
              </w:r>
            </w:hyperlink>
            <w:r>
              <w:rPr>
                <w:sz w:val="24"/>
                <w:szCs w:val="24"/>
              </w:rPr>
              <w:t>.</w:t>
            </w:r>
          </w:p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Проектирование и строительство необходимо вести </w:t>
              <w:br/>
              <w:t>в соответствии с пунктом 4.5 СП 55.13330.2016 Свода Правил. Дома жилые одноквартирные. СНиП 31-02-2001, утвержденным и введенным в действие Приказом Министерства строительства и жилищно-коммунального хозяйства Российской Федерации от 20.10.2016 № 725/пр (ред. от 17.05.2023): дом должен включать жилые комнаты – одну или несколько (общую комнату или гостиную, спальню), а также вспомогательные помещения: переднюю, кухню (в том числе кухню-столовую и (или) кухню-нишу), ванные комнаты и (или) душевые, туалет (уборную) или совмещенный санузел, переднюю.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Согласно пункту 6.1 СП 55.13330.2016 площади помещений строящихся и реконструируемых жилых домов должны быть не менее: общей комнаты в однокомнатном доме - 14 м</w:t>
            </w:r>
            <w:r>
              <w:rPr>
                <w:color w:val="auto"/>
                <w:sz w:val="24"/>
                <w:szCs w:val="24"/>
                <w:vertAlign w:val="superscript"/>
              </w:rPr>
              <w:t>2</w:t>
            </w:r>
            <w:r>
              <w:rPr>
                <w:color w:val="auto"/>
                <w:sz w:val="24"/>
                <w:szCs w:val="24"/>
              </w:rPr>
              <w:t>, общей комнаты в доме с числом комнат две и более - 16 м</w:t>
            </w:r>
            <w:r>
              <w:rPr>
                <w:color w:val="auto"/>
                <w:sz w:val="24"/>
                <w:szCs w:val="24"/>
                <w:vertAlign w:val="superscript"/>
              </w:rPr>
              <w:t>2</w:t>
            </w:r>
            <w:r>
              <w:rPr>
                <w:color w:val="auto"/>
                <w:sz w:val="24"/>
                <w:szCs w:val="24"/>
              </w:rPr>
              <w:t>, спальни - 8 м</w:t>
            </w:r>
            <w:r>
              <w:rPr>
                <w:color w:val="auto"/>
                <w:sz w:val="24"/>
                <w:szCs w:val="24"/>
                <w:vertAlign w:val="superscript"/>
              </w:rPr>
              <w:t>2</w:t>
            </w:r>
            <w:r>
              <w:rPr>
                <w:color w:val="auto"/>
                <w:sz w:val="24"/>
                <w:szCs w:val="24"/>
              </w:rPr>
              <w:t xml:space="preserve"> (на двух человек - 10 м</w:t>
            </w:r>
            <w:r>
              <w:rPr>
                <w:color w:val="auto"/>
                <w:sz w:val="24"/>
                <w:szCs w:val="24"/>
                <w:vertAlign w:val="superscript"/>
              </w:rPr>
              <w:t>2</w:t>
            </w:r>
            <w:r>
              <w:rPr>
                <w:color w:val="auto"/>
                <w:sz w:val="24"/>
                <w:szCs w:val="24"/>
              </w:rPr>
              <w:t>); кухни - 8 м</w:t>
            </w:r>
            <w:r>
              <w:rPr>
                <w:color w:val="auto"/>
                <w:sz w:val="24"/>
                <w:szCs w:val="24"/>
                <w:vertAlign w:val="superscript"/>
              </w:rPr>
              <w:t>2</w:t>
            </w:r>
            <w:r>
              <w:rPr>
                <w:color w:val="auto"/>
                <w:sz w:val="24"/>
                <w:szCs w:val="24"/>
              </w:rPr>
              <w:t xml:space="preserve">; кухонной зоны </w:t>
              <w:br/>
              <w:t>в кухне-столовой - 6 м</w:t>
            </w:r>
            <w:r>
              <w:rPr>
                <w:color w:val="auto"/>
                <w:sz w:val="24"/>
                <w:szCs w:val="24"/>
                <w:vertAlign w:val="superscript"/>
              </w:rPr>
              <w:t>2</w:t>
            </w:r>
            <w:r>
              <w:rPr>
                <w:color w:val="auto"/>
                <w:sz w:val="24"/>
                <w:szCs w:val="24"/>
              </w:rPr>
              <w:t>. В домах с одной комнатой допускается проектировать кухни или кухни-ниши площадью не менее 5 м</w:t>
            </w:r>
            <w:r>
              <w:rPr>
                <w:color w:val="auto"/>
                <w:sz w:val="24"/>
                <w:szCs w:val="24"/>
                <w:vertAlign w:val="superscript"/>
              </w:rPr>
              <w:t>2</w:t>
            </w:r>
            <w:r>
              <w:rPr>
                <w:color w:val="auto"/>
                <w:sz w:val="24"/>
                <w:szCs w:val="24"/>
              </w:rPr>
              <w:t>. Площадь спальни и кухни в мансардном этаже (или этаже с наклонными ограждающими конструкциями) допускается не менее 7 м</w:t>
            </w:r>
            <w:r>
              <w:rPr>
                <w:color w:val="auto"/>
                <w:sz w:val="24"/>
                <w:szCs w:val="24"/>
                <w:vertAlign w:val="superscript"/>
              </w:rPr>
              <w:t>2</w:t>
            </w:r>
            <w:r>
              <w:rPr>
                <w:color w:val="auto"/>
                <w:sz w:val="24"/>
                <w:szCs w:val="24"/>
              </w:rPr>
              <w:t xml:space="preserve"> при условии, что общая жилая комната имеет площадь не менее 16 м</w:t>
            </w:r>
            <w:r>
              <w:rPr>
                <w:color w:val="auto"/>
                <w:sz w:val="24"/>
                <w:szCs w:val="24"/>
                <w:vertAlign w:val="superscript"/>
              </w:rPr>
              <w:t>2</w:t>
            </w:r>
            <w:r>
              <w:rPr>
                <w:color w:val="auto"/>
                <w:sz w:val="24"/>
                <w:szCs w:val="24"/>
              </w:rPr>
              <w:t>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</w:pPr>
            <w:r>
              <w:rPr>
                <w:color w:val="auto"/>
                <w:spacing w:val="-2"/>
                <w:sz w:val="24"/>
                <w:szCs w:val="24"/>
              </w:rPr>
              <w:t xml:space="preserve">Согласно пункту 6.2 СП 55.13330.2016 высота (от пола </w:t>
              <w:br/>
              <w:t xml:space="preserve">до потолка) комнат и кухни (кухни-столовой) </w:t>
              <w:br/>
              <w:t xml:space="preserve">в климатических районах строительства IА, IБ, IГ, IД, определяемых по СП 131.13330, должна быть не менее </w:t>
              <w:br/>
              <w:t xml:space="preserve">2,7 м, а в других климатических районах строительства - </w:t>
              <w:br/>
              <w:t xml:space="preserve">не менее 2,5 м. Высота внутридомовых коридоров, холлов, передних, антресолей должна составлять не менее 2,1 м, </w:t>
              <w:br/>
              <w:t>а высота пути эвакуации - не менее 2,2 м.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В жилых комнатах и кухнях, расположенных в этажах </w:t>
              <w:br/>
              <w:t xml:space="preserve">с наклонными ограждающими конструкциями или </w:t>
              <w:br/>
              <w:t>в мансардном этаже, допускается уменьшение высоты помещений (от пола до потолка), относительно нормируемой на площади, не превышающей 50%.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</w:rPr>
              <w:t>Согласно информации, содержащейся в  ГПЗУ: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предельная высота жилой застройки – согласно документации по планировке территории, утвержденной постановлением администрации города Перми от 22.12.2017 № 1178, до 10,5 м;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color w:val="auto"/>
                <w:sz w:val="24"/>
              </w:rPr>
              <w:t>м</w:t>
            </w:r>
            <w:r>
              <w:rPr>
                <w:color w:val="auto"/>
                <w:sz w:val="24"/>
                <w:highlight w:val="white"/>
              </w:rPr>
              <w:t>инимальный отступ от границ Уч</w:t>
            </w:r>
            <w:r>
              <w:rPr>
                <w:color w:val="auto"/>
                <w:sz w:val="24"/>
              </w:rPr>
              <w:t xml:space="preserve">астка до места допустимого размещения зданий, строений </w:t>
            </w:r>
            <w:r>
              <w:rPr>
                <w:color w:val="auto"/>
                <w:sz w:val="24"/>
                <w:szCs w:val="24"/>
              </w:rPr>
              <w:t>(за исключением границ со стороны территории общего пользования, где отступ определяется с учетом красных линий и линий регулирования застройки, установленных проектом планировки территории, а также смежных земельных участков при блокированной жилой застройке)</w:t>
            </w:r>
            <w:r>
              <w:rPr>
                <w:color w:val="auto"/>
                <w:sz w:val="24"/>
              </w:rPr>
              <w:t xml:space="preserve"> – 3 м.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максимальный выступ за красную линию нависающих частей здания наземных уровней, выступающих </w:t>
              <w:br/>
              <w:t xml:space="preserve">из плоскости наружной стены фасада здания на высоте </w:t>
              <w:br/>
              <w:t>не менее 4,5 м над территорией общего пользования, составляет не более 1,2 м от красной линии. В случаях, когда линия регулирования застройки отличается от красной линии, указанный выступ может быть произведен за линию регулирования застройки.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color w:val="auto"/>
                <w:sz w:val="24"/>
              </w:rPr>
              <w:t>максимальный процент застройки в границах Участка – 40%.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 уведомлением о планируемом строительстве жилого дома рекомендуется обратиться в уполномоченный орган администрации города Перми.</w:t>
            </w:r>
          </w:p>
          <w:p>
            <w:pPr>
              <w:pStyle w:val="BodyText"/>
              <w:ind w:firstLine="3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firstLine="5" w:left="24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возможность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31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ind w:firstLine="31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  <w:shd w:fill="FFFFFF" w:val="clear"/>
              </w:rPr>
              <w:t xml:space="preserve">документации по земельному участку, размещенной                      с извещением о проведении аукциона в ГИС Торги </w:t>
            </w:r>
            <w:r>
              <w:rPr>
                <w:sz w:val="24"/>
                <w:szCs w:val="24"/>
                <w:lang w:val="en-US"/>
              </w:rPr>
              <w:t>www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torgi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gov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  <w:r>
              <w:rPr>
                <w:sz w:val="24"/>
                <w:szCs w:val="24"/>
                <w:shd w:fill="FFFFFF" w:val="clear"/>
              </w:rPr>
              <w:t xml:space="preserve">, на официальном сайте муниципального образования город Пермь в информационно-телекоммуникационной сети Интернет </w:t>
            </w:r>
            <w:hyperlink r:id="rId10" w:tgtFrame="http://www.gorodperm.ru/">
              <w:r>
                <w:rPr>
                  <w:rStyle w:val="Hyperlink"/>
                  <w:color w:val="000000"/>
                  <w:sz w:val="24"/>
                  <w:szCs w:val="24"/>
                </w:rPr>
                <w:t>www.gorodperm.ru</w:t>
              </w:r>
            </w:hyperlink>
            <w:r>
              <w:rPr>
                <w:color w:val="000000"/>
                <w:sz w:val="24"/>
                <w:szCs w:val="24"/>
              </w:rPr>
              <w:t>.</w:t>
            </w:r>
          </w:p>
          <w:p>
            <w:pPr>
              <w:pStyle w:val="Normal"/>
              <w:ind w:firstLine="31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 наличии технической возможности технологического присоединения к электросетям филиала энергопринимающего устройства объекта капитального строительства с предполагаемой максимальной мощностью 15 кВт сообщает следующее.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Порядок технологического присоединения </w:t>
              <w:br/>
              <w:t xml:space="preserve">к электрическим сетям регламентирован Правилами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лица, к электрическим сетям, утвержденными постановлением Правительства РФ </w:t>
              <w:br/>
              <w:t>от 27.12.2004 № 861 (далее – Правила ТП).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>В силу пункта 6 Правил ТП технологическое присоединение осуществляется на основании договора заключаемого между сетевой организацией и юридическим или физическим лицом. Перечень мероприятий по технологическому присоединению определяется в технических условиях.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 xml:space="preserve">Согласно пунктам 15, 25, 25.1 Правил ТП технические условия являются неотъемлемым приложением </w:t>
              <w:br/>
              <w:t>к соответствующему договору технологического присоединения и представляют собой техническое решение присоединения конкретного энергопринимающего устройства к сетям электросетевой организации, которое предусматривают точки присоединения, требования к усилению существующей сети, иные технические требования. Следовательно, технические условия для технологического присоединения предоставляются заявителю сетевой организацией вместе с договором о технологическом присоединении.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При подготовке ГПЗУ необходимо предусмотреть коридоры для строительства кабельных линий и место для размещения трансформаторных подстанций.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 xml:space="preserve">Для получения технических условий и заключения договора на технологическое присоединении необходимо направить в адрес филиала ПАО «Россети Урал» - «Пермэнерго» соответствующую заявку с указанием сведений и приложением необходимых документов в соответствии с Правилами ТП через единый федеральный портал электросетевых услуг группы компаний «Россети» на сайте: </w:t>
            </w:r>
            <w:hyperlink r:id="rId11" w:tgtFrame="https://">
              <w:r>
                <w:rPr>
                  <w:rStyle w:val="Hyperlink"/>
                  <w:color w:val="auto"/>
                  <w:sz w:val="24"/>
                  <w:szCs w:val="24"/>
                </w:rPr>
                <w:t>https://</w:t>
              </w:r>
            </w:hyperlink>
            <w:r>
              <w:rPr>
                <w:color w:val="auto"/>
                <w:sz w:val="24"/>
                <w:szCs w:val="24"/>
              </w:rPr>
              <w:t xml:space="preserve"> портал-тп.рф, через Мобильное приложение ПАО «Россети» или при очном приеме в Центре обслуживания клиентов филиала «Россети» или рот очном приеме в Центре обслуживания клиентов филиала «Россети Урал» - «Пермэнерго» </w:t>
              <w:br/>
              <w:t xml:space="preserve">по адресу: г. Пермь, ул. Камчатовская, д. 26, а также почтовым отправлением по адресу: 614016, г. Пермь, </w:t>
              <w:br/>
              <w:t>ул. Камчатовская, 26. По дополнительным вопросам телефон контакт-центра: 8-800-220-0-220 (круглосуточно и бесплатно).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val="auto"/>
                <w:spacing w:val="0"/>
                <w:highlight w:val="white"/>
                <w14:ligatures w14:val="none"/>
              </w:rPr>
            </w:pPr>
            <w:r>
              <w:rPr>
                <w:rFonts w:eastAsia="Times New Roman" w:cs="Times New Roman"/>
                <w:color w:val="auto"/>
                <w:spacing w:val="0"/>
                <w:sz w:val="24"/>
                <w:szCs w:val="24"/>
                <w:highlight w:val="white"/>
              </w:rPr>
              <w:t xml:space="preserve">(Аналогичная информация отражена в письме Филиала </w:t>
            </w:r>
            <w:r>
              <w:rPr>
                <w:rFonts w:eastAsia="Times New Roman" w:cs="Times New Roman"/>
                <w:b/>
                <w:bCs/>
                <w:color w:val="auto"/>
                <w:spacing w:val="0"/>
                <w:sz w:val="24"/>
                <w:szCs w:val="24"/>
                <w:highlight w:val="white"/>
              </w:rPr>
              <w:t xml:space="preserve">ПАО «Россети Урал» - «Пермэнерго» Пермские </w:t>
            </w:r>
            <w:r>
              <w:rPr>
                <w:rFonts w:eastAsia="Times New Roman" w:cs="Times New Roman"/>
                <w:b/>
                <w:color w:val="auto"/>
                <w:spacing w:val="0"/>
                <w:sz w:val="24"/>
                <w:szCs w:val="24"/>
                <w:highlight w:val="white"/>
              </w:rPr>
              <w:t>городские электрические сети»</w:t>
            </w:r>
            <w:r>
              <w:rPr>
                <w:rFonts w:eastAsia="Times New Roman" w:cs="Times New Roman"/>
                <w:color w:val="auto"/>
                <w:spacing w:val="0"/>
                <w:sz w:val="24"/>
                <w:szCs w:val="24"/>
                <w:highlight w:val="white"/>
              </w:rPr>
              <w:t xml:space="preserve"> от 07.05.2026 № ПЭ/ПГЭС/01/22/6644).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val="auto"/>
                <w:spacing w:val="0"/>
                <w:highlight w:val="white"/>
                <w14:ligatures w14:val="none"/>
              </w:rPr>
            </w:pPr>
            <w:r>
              <w:rPr>
                <w:rFonts w:eastAsia="Times New Roman" w:cs="Times New Roman"/>
                <w:color w:val="auto"/>
                <w:spacing w:val="0"/>
                <w:highlight w:val="white"/>
                <w14:ligatures w14:val="none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Участок расположен вне зоны теплоснабжения ПАО «Т Плюс».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Для запроса информации о возможности подключения земельного участка рекомендуется обратиться </w:t>
              <w:br/>
              <w:t>к собственникам близлежащих тепловых сетей/источников теплоснабжения или рассмотреть возможность альтернативного источника теплоснабжения.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val="auto"/>
                <w:spacing w:val="0"/>
                <w:highlight w:val="white"/>
                <w14:ligatures w14:val="none"/>
              </w:rPr>
            </w:pPr>
            <w:r>
              <w:rPr>
                <w:rFonts w:eastAsia="Times New Roman" w:cs="Times New Roman"/>
                <w:color w:val="auto"/>
                <w:spacing w:val="0"/>
                <w:sz w:val="24"/>
                <w:szCs w:val="24"/>
                <w:highlight w:val="white"/>
              </w:rPr>
              <w:t xml:space="preserve">(Аналогичная информация отражена в письме </w:t>
            </w:r>
            <w:r>
              <w:rPr>
                <w:rFonts w:eastAsia="Times New Roman" w:cs="Times New Roman"/>
                <w:b/>
                <w:color w:val="auto"/>
                <w:spacing w:val="0"/>
                <w:sz w:val="24"/>
                <w:szCs w:val="24"/>
                <w:highlight w:val="white"/>
              </w:rPr>
              <w:t>ПАО «Т Плюс»</w:t>
            </w:r>
            <w:r>
              <w:rPr>
                <w:rFonts w:eastAsia="Times New Roman" w:cs="Times New Roman"/>
                <w:color w:val="auto"/>
                <w:spacing w:val="0"/>
                <w:sz w:val="24"/>
                <w:szCs w:val="24"/>
                <w:highlight w:val="white"/>
              </w:rPr>
              <w:t xml:space="preserve"> от 30.04.2026 № 51000-32-01735 ).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val="auto"/>
                <w:spacing w:val="0"/>
                <w:highlight w:val="white"/>
                <w14:ligatures w14:val="none"/>
              </w:rPr>
            </w:pPr>
            <w:r>
              <w:rPr>
                <w:rFonts w:eastAsia="Times New Roman" w:cs="Times New Roman"/>
                <w:color w:val="auto"/>
                <w:spacing w:val="0"/>
                <w:highlight w:val="white"/>
                <w14:ligatures w14:val="none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Техническая возможность подключения объекта к сетям теплоснабжения отсутствует.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>Рекомендовано рассмотреть альтернативный источник теплоснабжения – газ, электричество, дрова, пеллеты.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val="auto"/>
                <w:spacing w:val="0"/>
                <w:highlight w:val="white"/>
                <w14:ligatures w14:val="none"/>
              </w:rPr>
            </w:pPr>
            <w:r>
              <w:rPr>
                <w:rFonts w:eastAsia="Times New Roman" w:cs="Times New Roman"/>
                <w:color w:val="auto"/>
                <w:spacing w:val="0"/>
                <w:sz w:val="24"/>
                <w:szCs w:val="24"/>
                <w:highlight w:val="white"/>
              </w:rPr>
              <w:t xml:space="preserve">(Аналогичная информация отражена в письме </w:t>
            </w:r>
            <w:r>
              <w:rPr>
                <w:rFonts w:eastAsia="Times New Roman" w:cs="Times New Roman"/>
                <w:b/>
                <w:color w:val="auto"/>
                <w:spacing w:val="0"/>
                <w:sz w:val="24"/>
                <w:szCs w:val="24"/>
                <w:highlight w:val="white"/>
              </w:rPr>
              <w:t xml:space="preserve">Департамента жилищно-коммунального хозяйства администрации города Перми </w:t>
            </w:r>
            <w:r>
              <w:rPr>
                <w:rFonts w:eastAsia="Times New Roman" w:cs="Times New Roman"/>
                <w:color w:val="auto"/>
                <w:spacing w:val="0"/>
                <w:sz w:val="24"/>
                <w:szCs w:val="24"/>
                <w:highlight w:val="white"/>
              </w:rPr>
              <w:t xml:space="preserve"> от 05.05.2026 № 059-04-25/3-71-ри).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val="auto"/>
                <w:spacing w:val="0"/>
                <w:highlight w:val="white"/>
                <w14:ligatures w14:val="none"/>
              </w:rPr>
            </w:pPr>
            <w:r>
              <w:rPr>
                <w:rFonts w:eastAsia="Times New Roman" w:cs="Times New Roman"/>
                <w:color w:val="auto"/>
                <w:spacing w:val="0"/>
                <w:highlight w:val="white"/>
                <w14:ligatures w14:val="none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Техническая возможность подключения объекта капитального строительства с предполагаемой максимальной нагрузкой 8 куб.м/час к существующим сетям газораспределения имеется.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>Для рассмотрения вопроса о предоставлении технических условий на подключение (технологическое присоединение) необходимо направить запрос с приложением необходимых документов и сведений на электронную почту post@pf.ugaz.ru, либо почтовым отправлением по адресу: г. Пермь, ул. Уральская, 104, через Единый центр предоставления услуг по адресу: г. Пермь, ул. Уральская, д. 104, каб. 101.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val="auto"/>
                <w:spacing w:val="0"/>
                <w:highlight w:val="white"/>
                <w14:ligatures w14:val="none"/>
              </w:rPr>
            </w:pPr>
            <w:r>
              <w:rPr>
                <w:rFonts w:eastAsia="Times New Roman" w:cs="Times New Roman"/>
                <w:color w:val="auto"/>
                <w:spacing w:val="0"/>
                <w:sz w:val="24"/>
                <w:szCs w:val="24"/>
                <w:highlight w:val="white"/>
              </w:rPr>
              <w:t xml:space="preserve">(Аналогичная информация отражена в письме </w:t>
            </w:r>
            <w:r>
              <w:rPr>
                <w:rFonts w:eastAsia="Times New Roman" w:cs="Times New Roman"/>
                <w:b/>
                <w:bCs/>
                <w:color w:val="auto"/>
                <w:spacing w:val="0"/>
                <w:sz w:val="24"/>
                <w:szCs w:val="24"/>
              </w:rPr>
              <w:t xml:space="preserve">АО «Газпром газораспределение Пермь» </w:t>
            </w:r>
            <w:r>
              <w:rPr>
                <w:rFonts w:eastAsia="Times New Roman" w:cs="Times New Roman"/>
                <w:color w:val="auto"/>
                <w:spacing w:val="0"/>
                <w:sz w:val="24"/>
                <w:szCs w:val="24"/>
              </w:rPr>
              <w:t>от 19.05.2026 № ПФ-3659</w:t>
            </w:r>
            <w:r>
              <w:rPr>
                <w:rFonts w:eastAsia="Times New Roman" w:cs="Times New Roman"/>
                <w:color w:val="auto"/>
                <w:spacing w:val="0"/>
                <w:sz w:val="24"/>
                <w:szCs w:val="24"/>
                <w:highlight w:val="white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val="auto"/>
                <w:spacing w:val="0"/>
                <w:highlight w:val="white"/>
                <w14:ligatures w14:val="none"/>
              </w:rPr>
            </w:pPr>
            <w:r>
              <w:rPr>
                <w:rFonts w:eastAsia="Times New Roman" w:cs="Times New Roman"/>
                <w:color w:val="auto"/>
                <w:spacing w:val="0"/>
                <w:highlight w:val="white"/>
                <w14:ligatures w14:val="none"/>
              </w:rPr>
            </w:r>
          </w:p>
          <w:p>
            <w:pPr>
              <w:pStyle w:val="Normal"/>
              <w:shd w:val="clear" w:color="FFFFFF" w:themeColor="background1" w:fill="FFFFFF" w:themeFill="background1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 xml:space="preserve">О наличии технической возможности подключения сетей водоснабжения и водоотведения с предполагаемой величиной нагрузки 1,0 м3/сут. сообщается </w:t>
              <w:br/>
              <w:t xml:space="preserve">об отсутствии централизованной сети </w:t>
            </w:r>
            <w:r>
              <w:rPr>
                <w:rFonts w:eastAsia="Times New Roman" w:cs="Times New Roman"/>
                <w:color w:val="auto"/>
                <w:sz w:val="24"/>
                <w:szCs w:val="24"/>
              </w:rPr>
              <w:t xml:space="preserve">водоснабжения </w:t>
              <w:br/>
              <w:t>и водоотведения</w:t>
            </w:r>
            <w:r>
              <w:rPr>
                <w:color w:val="auto"/>
                <w:sz w:val="24"/>
                <w:szCs w:val="24"/>
              </w:rPr>
              <w:t>, эксплуатируемой ООО «НОВОГОР - Прикамье».</w:t>
            </w:r>
          </w:p>
          <w:p>
            <w:pPr>
              <w:pStyle w:val="Normal"/>
              <w:shd w:val="clear" w:color="FFFFFF" w:themeColor="background1" w:fill="FFFFFF" w:themeFill="background1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 xml:space="preserve">Ближайшие сети водоснабжения, эксплуатируемые </w:t>
              <w:br/>
              <w:t>ООО «НОВОГОР - Прикамье», является водовод Д - 500 мм внутри квартала в районе здания по ул. Бродовский тракт, 15 ориентировочно на расстоянии - 0,55 км от выше указанных земельных участков.</w:t>
            </w:r>
          </w:p>
          <w:p>
            <w:pPr>
              <w:pStyle w:val="Normal"/>
              <w:shd w:val="clear" w:color="FFFFFF" w:themeColor="background1" w:fill="FFFFFF" w:themeFill="background1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>В районе вышеуказанного земельного участка отсутствуют централизованные сети канализации, эксплуатируемые ООО «НОВОГОР - Прикамье».</w:t>
            </w:r>
          </w:p>
          <w:p>
            <w:pPr>
              <w:pStyle w:val="Normal"/>
              <w:shd w:val="clear" w:color="FFFFFF" w:themeColor="background1" w:fill="FFFFFF" w:themeFill="background1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 xml:space="preserve">Ближайшие сети водоотведения, эксплуатируемые </w:t>
              <w:br/>
              <w:t>ООО «НОВОГОР - Прикамье», располагаются в районе зданий по ул. Героев Хасана, 109/2 ориентировочно на расстоянии -1,4 км от выше указанных земельных участков.</w:t>
            </w:r>
          </w:p>
          <w:p>
            <w:pPr>
              <w:pStyle w:val="Normal"/>
              <w:shd w:val="clear" w:color="FFFFFF" w:themeColor="background1" w:fill="FFFFFF" w:themeFill="background1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 xml:space="preserve">Подключение к централизованной системе водоотведения будет возможно после окончания ООО «НОВОГОР - Прикамье» мероприятий по реконструкции (перекладки) участков сети канализации Д - 400 мм чepeз ул. Героев Хасана </w:t>
              <w:br/>
              <w:t xml:space="preserve">от колодца в районе здания по ул, Героя Хасана, 105 </w:t>
              <w:br/>
              <w:t xml:space="preserve">(м/г-н «Азбука») до колодца в районе здания </w:t>
              <w:br/>
              <w:t xml:space="preserve">по ул. Героев Хасана, 58 / ул, Хлебозаводская, 25, </w:t>
              <w:br/>
              <w:t>с увеличением диаметра сети до 600 мм и реконструкции KHC «Крохалева», не ранее 4 кв. 2028 года.</w:t>
            </w:r>
          </w:p>
          <w:p>
            <w:pPr>
              <w:pStyle w:val="Normal"/>
              <w:shd w:val="clear" w:color="FFFFFF" w:themeColor="background1" w:fill="FFFFFF" w:themeFill="background1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accent4" w:themeShade="bf" w:val="auto"/>
                <w:sz w:val="25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 xml:space="preserve">При проектировании может быть применен альтернативный способ водоснабжения без подключения к централизованной системе водоснабжения (от скважины) и альтернативный способ канализования, без подключения к централизованной системе канализации г. Перми (отвод стоков на локальные очистные сооружения, канализование объекта </w:t>
              <w:br/>
              <w:t>в выгребную яму с последующим вывозом стоков спец. машинами), который должен соответствовать всем нормативным требованиям Российской Федерации.</w:t>
            </w:r>
          </w:p>
          <w:p>
            <w:pPr>
              <w:pStyle w:val="Normal"/>
              <w:shd w:val="clear" w:color="FFFFFF" w:themeColor="background1" w:fill="FFFFFF" w:themeFill="background1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 xml:space="preserve">ООО «НОВОГОР - Прикамье» эксплуатирует только централизованные системы водоснабжения и водоотведения, по вопросу возможности обеспечения индивидуального жилого дома холодным водоснабжением от скважины и отвода канализационных стоков локально, предлагаем вам обратиться </w:t>
              <w:br/>
              <w:t>в соответствующие организации, регулирующие недропользование.</w:t>
            </w:r>
          </w:p>
          <w:p>
            <w:pPr>
              <w:pStyle w:val="Normal"/>
              <w:shd w:val="clear" w:color="FFFFFF" w:themeColor="background1" w:fill="FFFFFF" w:themeFill="background1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>ООО «НОВОГОР - Прикамье» не располагает сведениями о наличии сетей 3-x лиц в границах вышеуказанного земельного участка.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val="auto"/>
                <w:spacing w:val="0"/>
                <w:highlight w:val="white"/>
                <w14:ligatures w14:val="none"/>
              </w:rPr>
            </w:pPr>
            <w:r>
              <w:rPr>
                <w:rFonts w:eastAsia="Times New Roman" w:cs="Times New Roman"/>
                <w:color w:val="auto"/>
                <w:spacing w:val="0"/>
                <w:sz w:val="24"/>
                <w:szCs w:val="24"/>
                <w:highlight w:val="white"/>
              </w:rPr>
              <w:t xml:space="preserve">(Аналогичная информация отражена в письме </w:t>
            </w:r>
            <w:r>
              <w:rPr>
                <w:rFonts w:eastAsia="Times New Roman" w:cs="Times New Roman"/>
                <w:b/>
                <w:color w:val="auto"/>
                <w:spacing w:val="0"/>
                <w:sz w:val="24"/>
                <w:szCs w:val="24"/>
                <w:highlight w:val="white"/>
              </w:rPr>
              <w:t xml:space="preserve">ООО «НОВОГОР-Прикамье» </w:t>
            </w:r>
            <w:r>
              <w:rPr>
                <w:rFonts w:eastAsia="Times New Roman" w:cs="Times New Roman"/>
                <w:color w:val="auto"/>
                <w:spacing w:val="0"/>
                <w:sz w:val="24"/>
                <w:szCs w:val="24"/>
                <w:highlight w:val="white"/>
              </w:rPr>
              <w:t>от 05.05.2026 № 110-6313).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val="auto"/>
                <w:spacing w:val="0"/>
                <w:highlight w:val="white"/>
                <w14:ligatures w14:val="none"/>
              </w:rPr>
            </w:pPr>
            <w:r>
              <w:rPr>
                <w:rFonts w:eastAsia="Times New Roman" w:cs="Times New Roman"/>
                <w:color w:val="auto"/>
                <w:spacing w:val="0"/>
                <w:highlight w:val="white"/>
                <w14:ligatures w14:val="none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b w:val="false"/>
                <w:bCs w:val="false"/>
                <w:color w:val="auto"/>
                <w:highlight w:val="none"/>
                <w14:ligatures w14:val="none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Технологическое присоединение к сетям связи ПАО «Ростелеком» может быть произведено к узлу ВОЛС (г. Пермь, ул. Нейвинская, д. 14А), максимальную нагрузку в точке подключения (технологического присоединения) необходимо определить на стадии проектирования.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strike w:val="false"/>
                <w:dstrike w:val="false"/>
              </w:rPr>
            </w:pPr>
            <w:r>
              <w:rPr>
                <w:rFonts w:eastAsia="Droid Sans Fallback" w:cs="Lohit Devanagari"/>
                <w:b w:val="false"/>
                <w:bCs w:val="false"/>
                <w:strike w:val="false"/>
                <w:dstrike w:val="false"/>
                <w:color w:val="auto"/>
                <w:kern w:val="0"/>
                <w:sz w:val="24"/>
                <w:szCs w:val="24"/>
                <w:lang w:val="ru-RU" w:eastAsia="zh-CN" w:bidi="ar-SA"/>
              </w:rPr>
              <w:t xml:space="preserve">Для получения технических условий на подключение </w:t>
              <w:br/>
              <w:t xml:space="preserve">к сетям связи необходимо направить запрос </w:t>
              <w:br/>
              <w:t xml:space="preserve">на электронный адрес: </w:t>
            </w:r>
            <w:hyperlink r:id="rId12">
              <w:r>
                <w:rPr>
                  <w:rStyle w:val="Hyperlink"/>
                  <w:rFonts w:eastAsia="Droid Sans Fallback" w:cs="Lohit Devanagari"/>
                  <w:b w:val="false"/>
                  <w:bCs w:val="false"/>
                  <w:strike w:val="false"/>
                  <w:dstrike w:val="false"/>
                  <w:color w:val="auto"/>
                  <w:kern w:val="0"/>
                  <w:sz w:val="24"/>
                  <w:szCs w:val="24"/>
                  <w:lang w:val="ru-RU" w:eastAsia="zh-CN" w:bidi="ar-SA"/>
                </w:rPr>
                <w:t>perm-mail@ural.rt.ru</w:t>
              </w:r>
            </w:hyperlink>
            <w:r>
              <w:rPr>
                <w:rFonts w:eastAsia="Droid Sans Fallback" w:cs="Lohit Devanagari"/>
                <w:b w:val="false"/>
                <w:bCs w:val="false"/>
                <w:strike w:val="false"/>
                <w:dstrike w:val="false"/>
                <w:color w:val="auto"/>
                <w:kern w:val="0"/>
                <w:sz w:val="24"/>
                <w:szCs w:val="24"/>
                <w:lang w:val="ru-RU" w:eastAsia="zh-CN" w:bidi="ar-SA"/>
              </w:rPr>
              <w:t>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val="auto"/>
                <w:spacing w:val="0"/>
                <w:highlight w:val="white"/>
                <w14:ligatures w14:val="none"/>
              </w:rPr>
            </w:pPr>
            <w:r>
              <w:rPr>
                <w:rFonts w:eastAsia="Times New Roman" w:cs="Times New Roman"/>
                <w:color w:val="auto"/>
                <w:spacing w:val="0"/>
                <w:sz w:val="24"/>
                <w:szCs w:val="24"/>
                <w:highlight w:val="white"/>
              </w:rPr>
              <w:t xml:space="preserve">(Аналогичная информация отражена в письме </w:t>
            </w:r>
            <w:r>
              <w:rPr>
                <w:rFonts w:eastAsia="Times New Roman" w:cs="Times New Roman"/>
                <w:b/>
                <w:bCs/>
                <w:color w:val="auto"/>
                <w:spacing w:val="0"/>
                <w:sz w:val="24"/>
                <w:szCs w:val="24"/>
              </w:rPr>
              <w:t xml:space="preserve">ПАО «Ростелеком» 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spacing w:val="0"/>
                <w:sz w:val="24"/>
                <w:szCs w:val="24"/>
              </w:rPr>
              <w:t>от 06.05.2026 № 01/05/73810/26</w:t>
            </w:r>
            <w:r>
              <w:rPr>
                <w:rFonts w:eastAsia="Times New Roman" w:cs="Times New Roman"/>
                <w:color w:val="auto"/>
                <w:spacing w:val="0"/>
                <w:sz w:val="24"/>
                <w:szCs w:val="24"/>
                <w:highlight w:val="white"/>
              </w:rPr>
              <w:t>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val="auto"/>
                <w:spacing w:val="0"/>
                <w:highlight w:val="white"/>
                <w14:ligatures w14:val="none"/>
              </w:rPr>
            </w:pPr>
            <w:r>
              <w:rPr>
                <w:rFonts w:eastAsia="Times New Roman" w:cs="Times New Roman"/>
                <w:color w:val="auto"/>
                <w:spacing w:val="0"/>
                <w:highlight w:val="white"/>
                <w14:ligatures w14:val="none"/>
              </w:rPr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57"/>
              <w:jc w:val="left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Начальная цена предмета аукциона</w:t>
            </w:r>
          </w:p>
          <w:p>
            <w:pPr>
              <w:pStyle w:val="Normal"/>
              <w:widowControl/>
              <w:spacing w:before="0" w:after="0"/>
              <w:ind w:hanging="0" w:left="113" w:right="57"/>
              <w:jc w:val="left"/>
              <w:rPr>
                <w:highlight w:val="none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  <w:t>(рыночная стоимость земельного участка)</w:t>
            </w:r>
          </w:p>
          <w:p>
            <w:pPr>
              <w:pStyle w:val="Normal"/>
              <w:ind w:right="-263"/>
              <w:rPr>
                <w:b/>
                <w:bCs/>
                <w:sz w:val="24"/>
                <w:szCs w:val="24"/>
                <w:highlight w:val="none"/>
              </w:rPr>
            </w:pP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Normal"/>
              <w:ind w:hanging="0" w:left="120" w:right="0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sz w:val="24"/>
                <w:szCs w:val="24"/>
                <w:highlight w:val="none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</w:rPr>
              <w:t>По условиям пункта 4.1 проекта договора купли-продажи земельного участка, приобретаемого на торгах в форме аукциона (Приложение 1 к настоящему извещению),</w:t>
            </w:r>
          </w:p>
          <w:p>
            <w:pPr>
              <w:pStyle w:val="Normal"/>
              <w:ind w:hanging="0" w:left="120" w:right="0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победитель аукциона, иное лицо, с которым договор заключается в соответствии с п.13, п.14, п. 20 или п. 25</w:t>
            </w:r>
          </w:p>
          <w:p>
            <w:pPr>
              <w:pStyle w:val="Normal"/>
              <w:ind w:hanging="0" w:left="120" w:right="0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 xml:space="preserve">ст. 39.12 Земельного Кодекса Российской Федерации (далее – ЗК РФ), обязан </w:t>
            </w:r>
            <w:r>
              <w:rPr>
                <w:b/>
                <w:sz w:val="24"/>
                <w:szCs w:val="24"/>
                <w:shd w:fill="auto" w:val="clear"/>
              </w:rPr>
              <w:t>в течение 15 дней</w:t>
            </w:r>
            <w:r>
              <w:rPr>
                <w:sz w:val="24"/>
                <w:szCs w:val="24"/>
                <w:shd w:fill="auto" w:val="clear"/>
              </w:rPr>
              <w:t xml:space="preserve"> со дня размещения  протокола о результатах аукциона, а в случаях, определенных п.13, п.14, ст. 39.12 ЗК РФ, протокола рассмотрения заявок, </w:t>
            </w:r>
            <w:r>
              <w:rPr>
                <w:b/>
                <w:sz w:val="24"/>
                <w:szCs w:val="24"/>
                <w:shd w:fill="auto" w:val="clear"/>
              </w:rPr>
              <w:t xml:space="preserve">перечислить денежные средства </w:t>
            </w:r>
            <w:r>
              <w:rPr>
                <w:sz w:val="24"/>
                <w:szCs w:val="24"/>
                <w:shd w:fill="auto" w:val="clear"/>
              </w:rPr>
              <w:t>за земельный участок (за вычетом задатка, внесенного для участия в аукционе) на счет департамента земельных отношений администрации города Перми, 614000, ул. Сибирская,15, тел. 212-61-90 (отдел договоров), реквизиты которого указаны в проекте договора купли-продажи земельного участка (Приложение 1 к настоящему извещению)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2 368 900 руб.</w:t>
            </w:r>
          </w:p>
        </w:tc>
      </w:tr>
      <w:tr>
        <w:trPr>
          <w:trHeight w:val="225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«Шаг аукциона» (5% от</w:t>
            </w:r>
          </w:p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highlight w:val="none"/>
              </w:rPr>
            </w:pPr>
            <w:r>
              <w:rPr>
                <w:sz w:val="24"/>
                <w:szCs w:val="24"/>
                <w:shd w:fill="auto" w:val="clear"/>
              </w:rPr>
              <w:t>начальной цены предмета аукциона)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118 445 руб.</w:t>
            </w:r>
          </w:p>
        </w:tc>
      </w:tr>
      <w:tr>
        <w:trPr>
          <w:trHeight w:val="416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Форма заявки на участие в аукционе</w:t>
            </w:r>
          </w:p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>Заявка на участие в электронном аукционе с указанием</w:t>
              <w:br/>
              <w:t>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подпунктах 2-3 пункта 1, пункте 1.1 статьи 39.12 Земельного кодекса Российской Федерации (копии документов, удостоверяющих личность заявителя (для граждан) всех страниц; надлежащим образом заверенный перевод на русский язык документов</w:t>
              <w:br/>
              <w:t>о государственной регистрации юридического лица</w:t>
              <w:br/>
              <w:t>в соответствии с законодательством иностранного государства в случае, если заявителем является иностранное юридическое лицо).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каждый лот представляется отдельный пакет документов.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Решение о проведении аукциона принято в соответствии со статьей 39.18 Земельного кодекса Российской Федерации, участниками аукциона могут являться только граждане.</w:t>
            </w:r>
          </w:p>
        </w:tc>
      </w:tr>
      <w:tr>
        <w:trPr>
          <w:trHeight w:val="236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Размер задатка (50% от</w:t>
            </w:r>
          </w:p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highlight w:val="none"/>
              </w:rPr>
            </w:pPr>
            <w:r>
              <w:rPr>
                <w:sz w:val="24"/>
                <w:szCs w:val="24"/>
                <w:shd w:fill="auto" w:val="clear"/>
              </w:rPr>
              <w:t>начальной цены предмета аукциона)</w:t>
            </w:r>
          </w:p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1 184 450 руб.</w:t>
            </w:r>
          </w:p>
        </w:tc>
      </w:tr>
      <w:tr>
        <w:trPr>
          <w:trHeight w:val="236" w:hRule="atLeast"/>
        </w:trPr>
        <w:tc>
          <w:tcPr>
            <w:tcW w:w="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b w:val="false"/>
                <w:bCs w:val="fals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 xml:space="preserve">Дата </w:t>
            </w:r>
            <w:r>
              <w:rPr>
                <w:b w:val="false"/>
                <w:shd w:fill="auto" w:val="clear"/>
              </w:rPr>
              <w:t>размещения</w:t>
            </w:r>
          </w:p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highlight w:val="none"/>
              </w:rPr>
            </w:pPr>
            <w:r>
              <w:rPr>
                <w:b w:val="false"/>
                <w:shd w:fill="auto" w:val="clear"/>
              </w:rPr>
              <w:t xml:space="preserve">извещения в соответствии с пп. 1 п. 1 ст. 39.18 Земельного кодекса Российской Федерации на  </w:t>
            </w:r>
            <w:r>
              <w:rPr>
                <w:b w:val="false"/>
                <w:sz w:val="24"/>
                <w:szCs w:val="24"/>
                <w:shd w:fill="auto" w:val="clear"/>
                <w:lang w:val="en-US" w:eastAsia="en-US"/>
              </w:rPr>
              <w:t>сайтах www.torgi.gov.ru, www.gorodperm.ru</w:t>
            </w:r>
          </w:p>
        </w:tc>
        <w:tc>
          <w:tcPr>
            <w:tcW w:w="6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27.02.2026</w:t>
            </w:r>
          </w:p>
        </w:tc>
      </w:tr>
      <w:tr>
        <w:trPr>
          <w:trHeight w:val="1884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договора купли-продажи земельного</w:t>
            </w:r>
          </w:p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участка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Проект договора купли-продажи земельного участка,                     приобретаемого на торгах в форме аукциона, является </w:t>
              <w:br/>
              <w:t xml:space="preserve">Приложением 1 к настоящему извещению и </w:t>
            </w:r>
            <w:r>
              <w:rPr>
                <w:sz w:val="24"/>
                <w:szCs w:val="24"/>
                <w:lang w:val="en-US" w:eastAsia="en-US"/>
              </w:rPr>
              <w:t>размещен на сайтах www.torgi.gov.ru, www.gorodperm.ru (раздел Деятельность/ Муниципальная собственность/ Торговая площадка Вид торгов Продажа и аренда земельных участков)</w:t>
            </w:r>
          </w:p>
        </w:tc>
      </w:tr>
      <w:tr>
        <w:trPr>
          <w:trHeight w:val="76" w:hRule="atLeast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120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осмотра земельного участка на местности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Осмотр земельного участка производится заявителем   самостоятельно в любое время с даты опубликования настоящего извещения.</w:t>
            </w:r>
          </w:p>
        </w:tc>
      </w:tr>
    </w:tbl>
    <w:p>
      <w:pPr>
        <w:pStyle w:val="PlainText"/>
        <w:spacing w:lineRule="exact" w:line="240"/>
        <w:ind w:hanging="1134" w:left="113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spacing w:before="0" w:after="0"/>
        <w:ind w:left="567"/>
        <w:contextualSpacing/>
        <w:jc w:val="center"/>
        <w:rPr>
          <w:rFonts w:eastAsia="Courier New"/>
          <w:b/>
          <w:lang w:bidi="ru-RU"/>
        </w:rPr>
      </w:pPr>
      <w:r>
        <w:rPr>
          <w:rFonts w:eastAsia="Courier New"/>
          <w:b/>
          <w:lang w:bidi="ru-RU"/>
        </w:rPr>
        <w:t>Сроки, время подачи заявок, рассмотрения заявок, проведения аукциона</w:t>
      </w:r>
    </w:p>
    <w:p>
      <w:pPr>
        <w:pStyle w:val="Normal"/>
        <w:widowControl w:val="false"/>
        <w:spacing w:before="0" w:after="0"/>
        <w:ind w:left="567"/>
        <w:contextualSpacing/>
        <w:jc w:val="center"/>
        <w:rPr>
          <w:rFonts w:eastAsia="Courier New"/>
          <w:b/>
          <w:lang w:bidi="ru-RU"/>
        </w:rPr>
      </w:pPr>
      <w:r>
        <w:rPr>
          <w:rFonts w:eastAsia="Courier New"/>
          <w:b/>
          <w:lang w:bidi="ru-RU"/>
        </w:rPr>
      </w:r>
    </w:p>
    <w:p>
      <w:pPr>
        <w:pStyle w:val="Normal"/>
        <w:widowControl w:val="false"/>
        <w:ind w:firstLine="709" w:left="-567"/>
        <w:jc w:val="both"/>
        <w:rPr>
          <w:rFonts w:eastAsia="Courier New"/>
          <w:lang w:bidi="ru-RU"/>
        </w:rPr>
      </w:pPr>
      <w:r>
        <w:rPr>
          <w:rFonts w:eastAsia="Courier New"/>
          <w:b/>
          <w:lang w:bidi="ru-RU"/>
        </w:rPr>
        <w:t>Дата и время начала срока подачи заявок на участие в аукционе – 18.07.2026</w:t>
      </w:r>
      <w:r>
        <w:rPr>
          <w:rFonts w:eastAsia="Courier New"/>
          <w:lang w:bidi="ru-RU"/>
        </w:rPr>
        <w:t xml:space="preserve"> в 9:00 </w:t>
      </w:r>
      <w:r>
        <w:rPr>
          <w:rFonts w:eastAsia="Courier New"/>
          <w:lang w:bidi="ru-RU"/>
        </w:rPr>
        <w:br w:type="textWrapping" w:clear="all"/>
      </w:r>
      <w:r>
        <w:rPr>
          <w:rFonts w:eastAsia="Courier New"/>
          <w:lang w:bidi="ru-RU"/>
        </w:rPr>
        <w:t>по местному времени (7:00 МСК).</w:t>
      </w:r>
    </w:p>
    <w:p>
      <w:pPr>
        <w:pStyle w:val="Normal"/>
        <w:widowControl w:val="false"/>
        <w:ind w:firstLine="709" w:left="-567"/>
        <w:jc w:val="both"/>
        <w:rPr>
          <w:rFonts w:eastAsia="Courier New"/>
          <w:lang w:bidi="ru-RU"/>
        </w:rPr>
      </w:pPr>
      <w:r>
        <w:rPr>
          <w:rFonts w:eastAsia="Courier New"/>
          <w:lang w:bidi="ru-RU"/>
        </w:rPr>
      </w:r>
    </w:p>
    <w:p>
      <w:pPr>
        <w:pStyle w:val="Normal"/>
        <w:widowControl w:val="false"/>
        <w:ind w:firstLine="709" w:left="-567"/>
        <w:jc w:val="both"/>
        <w:rPr>
          <w:rFonts w:eastAsia="Courier New"/>
          <w:b/>
          <w:lang w:bidi="ru-RU"/>
        </w:rPr>
      </w:pPr>
      <w:r>
        <w:rPr>
          <w:rFonts w:eastAsia="Courier New"/>
          <w:b/>
          <w:lang w:bidi="ru-RU"/>
        </w:rPr>
        <w:t>Дата и время окончания срока подачи заявок на участие в аукционе – 18.08.2026</w:t>
      </w:r>
      <w:r>
        <w:rPr>
          <w:rFonts w:eastAsia="Courier New"/>
          <w:lang w:bidi="ru-RU"/>
        </w:rPr>
        <w:t xml:space="preserve"> </w:t>
      </w:r>
      <w:r>
        <w:rPr>
          <w:rFonts w:eastAsia="Courier New"/>
          <w:lang w:bidi="ru-RU"/>
        </w:rPr>
        <w:br w:type="textWrapping" w:clear="all"/>
      </w:r>
      <w:r>
        <w:rPr>
          <w:rFonts w:eastAsia="Courier New"/>
          <w:lang w:bidi="ru-RU"/>
        </w:rPr>
        <w:t xml:space="preserve">в 18:00 по местному времени (16:00 МСК). </w:t>
      </w:r>
    </w:p>
    <w:p>
      <w:pPr>
        <w:pStyle w:val="Normal"/>
        <w:widowControl w:val="false"/>
        <w:ind w:firstLine="709" w:left="-567"/>
        <w:jc w:val="both"/>
        <w:rPr>
          <w:rFonts w:eastAsia="Courier New"/>
          <w:b/>
          <w:lang w:bidi="ru-RU"/>
        </w:rPr>
      </w:pPr>
      <w:r>
        <w:rPr>
          <w:rFonts w:eastAsia="Courier New"/>
          <w:b/>
          <w:lang w:bidi="ru-RU"/>
        </w:rPr>
      </w:r>
    </w:p>
    <w:p>
      <w:pPr>
        <w:pStyle w:val="Normal"/>
        <w:widowControl w:val="false"/>
        <w:ind w:firstLine="709" w:left="-567"/>
        <w:jc w:val="both"/>
        <w:rPr>
          <w:rFonts w:eastAsia="Courier New"/>
          <w:lang w:bidi="ru-RU"/>
        </w:rPr>
      </w:pPr>
      <w:r>
        <w:rPr>
          <w:rFonts w:eastAsia="Courier New"/>
          <w:b/>
          <w:lang w:bidi="ru-RU"/>
        </w:rPr>
        <w:t>Дата окончания срока рассмотрения заявок на участие в аукционе (определение участников аукциона)</w:t>
      </w:r>
      <w:r>
        <w:rPr>
          <w:rFonts w:eastAsia="Courier New"/>
          <w:lang w:bidi="ru-RU"/>
        </w:rPr>
        <w:t xml:space="preserve"> – </w:t>
      </w:r>
      <w:r>
        <w:rPr>
          <w:rFonts w:eastAsia="Courier New"/>
          <w:b/>
          <w:bCs/>
          <w:lang w:bidi="ru-RU"/>
        </w:rPr>
        <w:t xml:space="preserve">19.08.2026. </w:t>
      </w:r>
    </w:p>
    <w:p>
      <w:pPr>
        <w:pStyle w:val="Normal"/>
        <w:widowControl w:val="false"/>
        <w:ind w:firstLine="709" w:left="-567"/>
        <w:jc w:val="both"/>
        <w:rPr>
          <w:rFonts w:eastAsia="Courier New"/>
          <w:b/>
          <w:bCs/>
          <w:lang w:bidi="ru-RU"/>
        </w:rPr>
      </w:pPr>
      <w:r>
        <w:rPr>
          <w:rFonts w:eastAsia="Courier New"/>
          <w:b/>
          <w:bCs/>
          <w:lang w:bidi="ru-RU"/>
        </w:rPr>
      </w:r>
    </w:p>
    <w:p>
      <w:pPr>
        <w:pStyle w:val="Normal"/>
        <w:widowControl w:val="false"/>
        <w:ind w:firstLine="709" w:left="-567"/>
        <w:jc w:val="both"/>
        <w:rPr>
          <w:rFonts w:eastAsia="Courier New"/>
          <w:b/>
          <w:lang w:bidi="ru-RU"/>
        </w:rPr>
      </w:pPr>
      <w:r>
        <w:rPr>
          <w:rFonts w:eastAsia="Courier New"/>
          <w:b/>
          <w:bCs/>
          <w:lang w:bidi="ru-RU"/>
        </w:rPr>
        <w:t xml:space="preserve">Дата проведения аукциона (дата и время начала приема предложений </w:t>
      </w:r>
      <w:r>
        <w:rPr>
          <w:rFonts w:eastAsia="Courier New"/>
          <w:b/>
          <w:bCs/>
          <w:lang w:bidi="ru-RU"/>
        </w:rPr>
        <w:br w:type="textWrapping" w:clear="all"/>
      </w:r>
      <w:r>
        <w:rPr>
          <w:rFonts w:eastAsia="Courier New"/>
          <w:b/>
          <w:bCs/>
          <w:lang w:bidi="ru-RU"/>
        </w:rPr>
        <w:t>от участников аукциона) – 20.08</w:t>
      </w:r>
      <w:r>
        <w:rPr>
          <w:rFonts w:eastAsia="Courier New"/>
          <w:b/>
          <w:lang w:bidi="ru-RU"/>
        </w:rPr>
        <w:t>.2026</w:t>
      </w:r>
      <w:r>
        <w:rPr>
          <w:rFonts w:eastAsia="Courier New"/>
          <w:lang w:bidi="ru-RU"/>
        </w:rPr>
        <w:t xml:space="preserve"> в 09:00 по местному времени (07:00 МСК). </w:t>
      </w:r>
    </w:p>
    <w:p>
      <w:pPr>
        <w:pStyle w:val="Normal"/>
        <w:widowControl w:val="false"/>
        <w:ind w:firstLine="709" w:left="-567"/>
        <w:jc w:val="both"/>
        <w:rPr>
          <w:rFonts w:eastAsia="Courier New"/>
          <w:b/>
          <w:lang w:bidi="ru-RU"/>
        </w:rPr>
      </w:pPr>
      <w:r>
        <w:rPr>
          <w:rFonts w:eastAsia="Courier New"/>
          <w:b/>
          <w:lang w:bidi="ru-RU"/>
        </w:rPr>
      </w:r>
    </w:p>
    <w:p>
      <w:pPr>
        <w:pStyle w:val="Normal"/>
        <w:widowControl w:val="false"/>
        <w:ind w:firstLine="709" w:left="-567"/>
        <w:jc w:val="both"/>
        <w:rPr/>
      </w:pPr>
      <w:r>
        <w:rPr>
          <w:b/>
        </w:rPr>
        <w:t>Место подачи (приема) заявок и место проведения аукциона:</w:t>
      </w:r>
      <w:r>
        <w:rPr/>
        <w:t xml:space="preserve"> электронная площадка – универсальная торговая платформа АО «Сбербанк-АСТ», размещенная на сайте http://utp.sberbank-ast.ru в сети Интернет (торговая секция «Приватизация, аренда и продажа прав»).</w:t>
      </w:r>
    </w:p>
    <w:p>
      <w:pPr>
        <w:pStyle w:val="Normal"/>
        <w:widowControl w:val="false"/>
        <w:ind w:firstLine="709" w:left="-567"/>
        <w:jc w:val="both"/>
        <w:rPr/>
      </w:pPr>
      <w:r>
        <w:rPr/>
      </w:r>
    </w:p>
    <w:p>
      <w:pPr>
        <w:pStyle w:val="Normal"/>
        <w:widowControl w:val="false"/>
        <w:spacing w:before="0" w:after="0"/>
        <w:ind w:left="502"/>
        <w:contextualSpacing/>
        <w:jc w:val="center"/>
        <w:rPr>
          <w:b/>
          <w:bCs/>
          <w:lang w:bidi="ru-RU"/>
        </w:rPr>
      </w:pPr>
      <w:r>
        <w:rPr>
          <w:b/>
          <w:bCs/>
          <w:lang w:bidi="ru-RU"/>
        </w:rPr>
        <w:t>Размер задатка для участия в аукционе, порядок его внесения и возврата, реквизиты счета для перечисления задатка</w:t>
      </w:r>
    </w:p>
    <w:p>
      <w:pPr>
        <w:pStyle w:val="Normal"/>
        <w:widowControl w:val="false"/>
        <w:spacing w:before="0" w:after="0"/>
        <w:ind w:left="502"/>
        <w:contextualSpacing/>
        <w:jc w:val="center"/>
        <w:rPr>
          <w:b/>
          <w:bCs/>
          <w:lang w:bidi="ru-RU"/>
        </w:rPr>
      </w:pPr>
      <w:r>
        <w:rPr>
          <w:b/>
          <w:bCs/>
          <w:lang w:bidi="ru-RU"/>
        </w:rPr>
      </w:r>
    </w:p>
    <w:p>
      <w:pPr>
        <w:pStyle w:val="BodyText"/>
        <w:widowControl w:val="false"/>
        <w:spacing w:before="0" w:after="0"/>
        <w:ind w:firstLine="567" w:left="-567"/>
        <w:contextualSpacing/>
        <w:jc w:val="both"/>
        <w:rPr>
          <w:rFonts w:ascii="Times New Roman" w:hAnsi="Times New Roman" w:eastAsia="Droid Sans Fallback" w:cs="Lohit Devanagari"/>
          <w:bCs/>
          <w:color w:val="auto"/>
          <w:kern w:val="0"/>
          <w:sz w:val="24"/>
          <w:szCs w:val="24"/>
          <w:lang w:val="ru-RU" w:eastAsia="zh-CN" w:bidi="ru-RU"/>
        </w:rPr>
      </w:pPr>
      <w:r>
        <w:rPr>
          <w:rFonts w:eastAsia="Droid Sans Fallback" w:cs="Lohit Devanagari"/>
          <w:bCs/>
          <w:color w:val="auto"/>
          <w:kern w:val="0"/>
          <w:sz w:val="24"/>
          <w:szCs w:val="24"/>
          <w:lang w:val="ru-RU" w:eastAsia="zh-CN" w:bidi="ru-RU"/>
        </w:rPr>
        <w:t xml:space="preserve">Задаток для участия в электронном аукционе вносится заявителем путем зачисления денежных средств на расчетный счет Оператора. </w:t>
      </w:r>
    </w:p>
    <w:p>
      <w:pPr>
        <w:pStyle w:val="BodyText"/>
        <w:widowControl w:val="false"/>
        <w:spacing w:before="0" w:after="0"/>
        <w:ind w:firstLine="567" w:left="-567"/>
        <w:contextualSpacing/>
        <w:jc w:val="both"/>
        <w:rPr>
          <w:rFonts w:ascii="Times New Roman" w:hAnsi="Times New Roman" w:eastAsia="Droid Sans Fallback" w:cs="Lohit Devanagari"/>
          <w:bCs/>
          <w:color w:val="auto"/>
          <w:kern w:val="0"/>
          <w:sz w:val="24"/>
          <w:szCs w:val="24"/>
          <w:lang w:val="ru-RU" w:eastAsia="zh-CN" w:bidi="ru-RU"/>
        </w:rPr>
      </w:pPr>
      <w:r>
        <w:rPr>
          <w:rFonts w:eastAsia="Droid Sans Fallback" w:cs="Lohit Devanagari"/>
          <w:bCs/>
          <w:color w:val="auto"/>
          <w:kern w:val="0"/>
          <w:sz w:val="24"/>
          <w:szCs w:val="24"/>
          <w:lang w:val="ru-RU" w:eastAsia="zh-CN" w:bidi="ru-RU"/>
        </w:rPr>
        <w:t xml:space="preserve">В этом случае документы, подтверждающие внесение задатка, заявителем не представляются. </w:t>
      </w:r>
    </w:p>
    <w:p>
      <w:pPr>
        <w:pStyle w:val="BodyText"/>
        <w:widowControl w:val="false"/>
        <w:spacing w:before="0" w:after="0"/>
        <w:ind w:firstLine="567" w:left="-567"/>
        <w:contextualSpacing/>
        <w:jc w:val="both"/>
        <w:rPr>
          <w:rFonts w:ascii="Times New Roman" w:hAnsi="Times New Roman" w:eastAsia="Droid Sans Fallback" w:cs="Lohit Devanagari"/>
          <w:bCs/>
          <w:color w:val="auto"/>
          <w:kern w:val="0"/>
          <w:sz w:val="24"/>
          <w:szCs w:val="24"/>
          <w:lang w:val="ru-RU" w:eastAsia="zh-CN" w:bidi="ru-RU"/>
        </w:rPr>
      </w:pPr>
      <w:r>
        <w:rPr>
          <w:rFonts w:eastAsia="Droid Sans Fallback" w:cs="Lohit Devanagari"/>
          <w:bCs/>
          <w:color w:val="auto"/>
          <w:kern w:val="0"/>
          <w:sz w:val="24"/>
          <w:szCs w:val="24"/>
          <w:lang w:val="ru-RU" w:eastAsia="zh-CN" w:bidi="ru-RU"/>
        </w:rPr>
        <w:t xml:space="preserve">Информация о внесении заявителем денежных средств в размере задатка направляется Оператором Организатору аукциона вместе с заявкой на участие в аукционе (далее - заявка). </w:t>
      </w:r>
    </w:p>
    <w:p>
      <w:pPr>
        <w:pStyle w:val="BodyText"/>
        <w:widowControl w:val="false"/>
        <w:spacing w:before="0" w:after="0"/>
        <w:ind w:firstLine="567" w:left="-567"/>
        <w:contextualSpacing/>
        <w:jc w:val="both"/>
        <w:rPr>
          <w:rFonts w:ascii="Times New Roman" w:hAnsi="Times New Roman" w:eastAsia="Droid Sans Fallback" w:cs="Lohit Devanagari"/>
          <w:bCs/>
          <w:color w:val="auto"/>
          <w:kern w:val="0"/>
          <w:sz w:val="24"/>
          <w:szCs w:val="24"/>
          <w:lang w:val="ru-RU" w:eastAsia="zh-CN" w:bidi="ru-RU"/>
        </w:rPr>
      </w:pPr>
      <w:r>
        <w:rPr>
          <w:rFonts w:eastAsia="Droid Sans Fallback" w:cs="Lohit Devanagari"/>
          <w:bCs/>
          <w:color w:val="auto"/>
          <w:kern w:val="0"/>
          <w:sz w:val="24"/>
          <w:szCs w:val="24"/>
          <w:lang w:val="ru-RU" w:eastAsia="zh-CN" w:bidi="ru-RU"/>
        </w:rPr>
        <w:t>Блокирование денежных средств в размере задатка Оператором на расчетном счете Оператора признается заключением соглашения о задатке.</w:t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bCs/>
          <w:lang w:bidi="ru-RU"/>
        </w:rPr>
      </w:pPr>
      <w:r>
        <w:rPr>
          <w:bCs/>
          <w:lang w:bidi="ru-RU"/>
        </w:rPr>
        <w:t>Сумма задатка для участия в аукционе определяется в размере 50 процентов начальной цены предмета аукциона. Размер задатка в извещении о проведении аукциона указан по каждому лоту.</w:t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b/>
          <w:bCs/>
          <w:lang w:bidi="ru-RU"/>
        </w:rPr>
      </w:pPr>
      <w:r>
        <w:rPr>
          <w:bCs/>
          <w:lang w:bidi="ru-RU"/>
        </w:rPr>
        <w:t xml:space="preserve">Перечисление задатка для участия в аукционе и возврат задатка осуществляются с учетом особенностей, установленных регламентом электронной площадки. </w:t>
      </w:r>
    </w:p>
    <w:p>
      <w:pPr>
        <w:pStyle w:val="Normal"/>
        <w:widowControl w:val="false"/>
        <w:ind w:firstLine="567" w:left="-567"/>
        <w:jc w:val="both"/>
        <w:rPr>
          <w:rFonts w:eastAsia="Calibri"/>
          <w:bCs/>
          <w:lang w:eastAsia="en-US"/>
        </w:rPr>
      </w:pPr>
      <w:r>
        <w:rPr>
          <w:b/>
          <w:bCs/>
          <w:lang w:bidi="ru-RU"/>
        </w:rPr>
        <w:t>Задаток перечисляется на реквизиты Оператора электронной площадки (</w:t>
      </w:r>
      <w:hyperlink r:id="rId13" w:tgtFrame="http://utp.sberbank-ast.ru/AP/Notice/653/Requisites">
        <w:r>
          <w:rPr>
            <w:rStyle w:val="Hyperlink"/>
            <w:b/>
            <w:bCs/>
            <w:lang w:bidi="ru-RU"/>
          </w:rPr>
          <w:t>http://utp.sberbank-ast.ru/AP/Notice/653/Requisites</w:t>
        </w:r>
      </w:hyperlink>
      <w:r>
        <w:rPr>
          <w:b/>
          <w:bCs/>
          <w:lang w:bidi="ru-RU"/>
        </w:rPr>
        <w:t>).</w:t>
      </w:r>
    </w:p>
    <w:p>
      <w:pPr>
        <w:pStyle w:val="Normal"/>
        <w:spacing w:lineRule="exact" w:line="240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Получатель: АО «Сбербанк-АСТ»</w:t>
      </w:r>
    </w:p>
    <w:p>
      <w:pPr>
        <w:pStyle w:val="Normal"/>
        <w:spacing w:lineRule="exact" w:line="240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ИНН: 7707308480, КПП: 770401001, </w:t>
      </w:r>
    </w:p>
    <w:p>
      <w:pPr>
        <w:pStyle w:val="Normal"/>
        <w:spacing w:lineRule="exact" w:line="240"/>
        <w:rPr/>
      </w:pPr>
      <w:r>
        <w:rPr>
          <w:rFonts w:eastAsia="Calibri"/>
          <w:bCs/>
          <w:lang w:eastAsia="en-US"/>
        </w:rPr>
        <w:t>Банк получателя: ПАО «СБЕРБАНК РОССИИ» Г. МОСКВА</w:t>
      </w:r>
    </w:p>
    <w:p>
      <w:pPr>
        <w:pStyle w:val="Normal"/>
        <w:spacing w:lineRule="exact" w:line="240"/>
        <w:rPr>
          <w:rFonts w:eastAsia="Calibri"/>
          <w:bCs/>
          <w:lang w:eastAsia="en-US"/>
        </w:rPr>
      </w:pPr>
      <w:r>
        <w:rPr/>
        <w:t xml:space="preserve">Расчетный счет: </w:t>
      </w:r>
      <w:r>
        <w:rPr>
          <w:rFonts w:eastAsia="Calibri"/>
          <w:bCs/>
          <w:lang w:eastAsia="en-US"/>
        </w:rPr>
        <w:t>40702810300020038047</w:t>
      </w:r>
    </w:p>
    <w:p>
      <w:pPr>
        <w:pStyle w:val="Normal"/>
        <w:spacing w:lineRule="exact" w:line="240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БИК: 044525225</w:t>
      </w:r>
    </w:p>
    <w:p>
      <w:pPr>
        <w:pStyle w:val="Normal"/>
        <w:spacing w:lineRule="exact" w:line="240"/>
        <w:rPr>
          <w:bCs/>
          <w:lang w:bidi="ru-RU"/>
        </w:rPr>
      </w:pPr>
      <w:r>
        <w:rPr>
          <w:rFonts w:eastAsia="Calibri"/>
          <w:bCs/>
          <w:lang w:eastAsia="en-US"/>
        </w:rPr>
        <w:t>Корреспондентский счет: 30101810400000000225</w:t>
      </w:r>
    </w:p>
    <w:p>
      <w:pPr>
        <w:pStyle w:val="Normal"/>
        <w:widowControl w:val="false"/>
        <w:ind w:firstLine="567" w:left="-567"/>
        <w:jc w:val="both"/>
        <w:rPr>
          <w:b/>
        </w:rPr>
      </w:pPr>
      <w:r>
        <w:rPr>
          <w:bCs/>
          <w:lang w:bidi="ru-RU"/>
        </w:rPr>
        <w:t>В платёжном поручении в части «Назначение платежа» необходимо указать: Задаток по лоту  № ___, ИНН плательщика. НДС не облагается.</w:t>
      </w:r>
    </w:p>
    <w:p>
      <w:pPr>
        <w:pStyle w:val="Normal"/>
        <w:widowControl w:val="false"/>
        <w:ind w:firstLine="567" w:left="-567"/>
        <w:jc w:val="both"/>
        <w:rPr>
          <w:bCs/>
          <w:lang w:bidi="ru-RU"/>
        </w:rPr>
      </w:pPr>
      <w:r>
        <w:rPr>
          <w:b/>
        </w:rPr>
        <w:t xml:space="preserve">Срок внесения задатка, т.е. поступления суммы задатка на счет </w:t>
      </w:r>
      <w:r>
        <w:rPr>
          <w:rFonts w:eastAsia="Calibri"/>
          <w:b/>
        </w:rPr>
        <w:t>Оператора</w:t>
      </w:r>
      <w:r>
        <w:rPr>
          <w:b/>
        </w:rPr>
        <w:t xml:space="preserve">: </w:t>
      </w:r>
      <w:r>
        <w:rPr>
          <w:b/>
        </w:rPr>
        <w:br w:type="textWrapping" w:clear="all"/>
      </w:r>
      <w:r>
        <w:rPr>
          <w:bCs/>
          <w:lang w:bidi="ru-RU"/>
        </w:rPr>
        <w:t>c 18.07.2026 по 18.08.2026.</w:t>
      </w:r>
    </w:p>
    <w:p>
      <w:pPr>
        <w:pStyle w:val="Normal"/>
        <w:widowControl w:val="false"/>
        <w:ind w:firstLine="709" w:left="-567"/>
        <w:jc w:val="both"/>
        <w:rPr>
          <w:bCs/>
          <w:lang w:bidi="ru-RU"/>
        </w:rPr>
      </w:pPr>
      <w:r>
        <w:rPr>
          <w:bCs/>
          <w:lang w:bidi="ru-RU"/>
        </w:rPr>
      </w:r>
    </w:p>
    <w:p>
      <w:pPr>
        <w:pStyle w:val="Normal"/>
        <w:widowControl w:val="false"/>
        <w:ind w:firstLine="709" w:left="-567"/>
        <w:jc w:val="center"/>
        <w:rPr>
          <w:b/>
          <w:lang w:bidi="ru-RU"/>
        </w:rPr>
      </w:pPr>
      <w:r>
        <w:rPr>
          <w:b/>
          <w:lang w:bidi="ru-RU"/>
        </w:rPr>
        <w:t>Порядок возврата задатка:</w:t>
      </w:r>
    </w:p>
    <w:p>
      <w:pPr>
        <w:pStyle w:val="Normal"/>
        <w:widowControl w:val="false"/>
        <w:ind w:firstLine="709" w:left="-567"/>
        <w:jc w:val="both"/>
        <w:rPr>
          <w:b/>
          <w:lang w:bidi="ru-RU"/>
        </w:rPr>
      </w:pPr>
      <w:r>
        <w:rPr>
          <w:b/>
          <w:lang w:bidi="ru-RU"/>
        </w:rPr>
      </w:r>
    </w:p>
    <w:p>
      <w:pPr>
        <w:pStyle w:val="BodyText"/>
        <w:widowControl w:val="false"/>
        <w:ind w:firstLine="709" w:left="-567"/>
        <w:jc w:val="both"/>
        <w:rPr>
          <w:b w:val="false"/>
          <w:sz w:val="24"/>
          <w:szCs w:val="24"/>
          <w:highlight w:val="none"/>
          <w:shd w:fill="auto" w:val="clear"/>
          <w:lang w:bidi="ru-RU"/>
        </w:rPr>
      </w:pPr>
      <w:r>
        <w:rPr>
          <w:b w:val="false"/>
          <w:sz w:val="24"/>
          <w:szCs w:val="24"/>
          <w:shd w:fill="auto" w:val="clear"/>
          <w:lang w:bidi="ru-RU"/>
        </w:rPr>
        <w:t>Оператор обеспечивает возврат заблокированных в размере задатка на расчетном счете Оператора денежных средств лицам, участвовавшим в электронном аукционе, но не победившим в нем, за исключением участника аукциона, который сделал предпоследнее предложение о цене предмета электронного аукциона, в течение трех рабочих дней со дня подписания протокола о результатах электронного аукциона. Денежные средства в размере задатка, внесенные участником аукциона, который сделал предпоследнее предложение о цене предмета электронного аукциона, возвращаются ему в течение трех рабочих дней со дня подписания договора купли-продажи земельного участка победителем аукциона.</w:t>
      </w:r>
    </w:p>
    <w:p>
      <w:pPr>
        <w:pStyle w:val="BodyText"/>
        <w:widowControl w:val="false"/>
        <w:ind w:firstLine="709" w:left="-567"/>
        <w:jc w:val="both"/>
        <w:rPr>
          <w:sz w:val="24"/>
          <w:szCs w:val="24"/>
          <w:highlight w:val="none"/>
          <w:shd w:fill="auto" w:val="clear"/>
        </w:rPr>
      </w:pPr>
      <w:r>
        <w:rPr>
          <w:b w:val="false"/>
          <w:bCs/>
          <w:sz w:val="24"/>
          <w:szCs w:val="24"/>
          <w:shd w:fill="auto" w:val="clear"/>
          <w:lang w:bidi="ru-RU"/>
        </w:rPr>
        <w:t>Оператор обеспечивает возврат заблокированных в размере задатка на расчетном счете оператора денежных средств заявителю, не допущенному к участию в электронном аукционе, в течение трех рабочих дней со дня оформления протокола рассмотрения заявок на участие в электронном аукционе.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  <w:lang w:bidi="ru-RU"/>
        </w:rPr>
        <w:t>Организатор аукциона посредством штатного интерфейса торговой секции</w:t>
      </w:r>
      <w:r>
        <w:rPr>
          <w:shd w:fill="auto" w:val="clear"/>
          <w:lang w:bidi="ru-RU"/>
        </w:rPr>
        <w:br w:type="textWrapping" w:clear="all"/>
      </w:r>
      <w:r>
        <w:rPr>
          <w:shd w:fill="auto" w:val="clear"/>
          <w:lang w:bidi="ru-RU"/>
        </w:rPr>
        <w:t>в установленные сроки формирует поручение Оператору: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  <w:lang w:bidi="ru-RU"/>
        </w:rPr>
        <w:t>- о перечислении задатка единственного заявителя, признанного участником аукциона, победителя аукциона или единственного принявшего участие в аукционе участника после формирования протокола о результатах аукциона на указанные в поручении банковские реквизиты;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  <w:lang w:bidi="ru-RU"/>
        </w:rPr>
        <w:t xml:space="preserve">Задаток, внесенный лицом, признанным победителем аукциона, задаток, внесенный иным лицом, с которым договор купли-продажи земельного участка заключается в соответствии                            с пунктами 13, 14, 20 или 25 ст. 39.12 Земельного кодекса Российской Федерации, засчитываются                       в оплату приобретаемого земельного участка. Задатки, внесенные этими лицами, не заключившими      в установленном настоящей статьей порядке договор купли-продажи земельного участка вследствие уклонения от заключения указанного договора, не возвращаются. </w:t>
      </w:r>
    </w:p>
    <w:p>
      <w:pPr>
        <w:pStyle w:val="Normal"/>
        <w:widowControl w:val="false"/>
        <w:spacing w:lineRule="auto" w:line="276"/>
        <w:jc w:val="both"/>
        <w:rPr>
          <w:bCs/>
          <w:highlight w:val="none"/>
          <w:shd w:fill="auto" w:val="clear"/>
          <w:lang w:bidi="ru-RU"/>
        </w:rPr>
      </w:pPr>
      <w:r>
        <w:rPr>
          <w:bCs/>
          <w:shd w:fill="auto" w:val="clear"/>
          <w:lang w:bidi="ru-RU"/>
        </w:rPr>
      </w:r>
    </w:p>
    <w:p>
      <w:pPr>
        <w:pStyle w:val="Normal"/>
        <w:widowControl w:val="false"/>
        <w:jc w:val="center"/>
        <w:rPr>
          <w:highlight w:val="none"/>
          <w:shd w:fill="auto" w:val="clear"/>
        </w:rPr>
      </w:pPr>
      <w:r>
        <w:rPr>
          <w:b/>
          <w:shd w:fill="auto" w:val="clear"/>
        </w:rPr>
        <w:t>Организатор аукциона вправе:</w:t>
      </w:r>
    </w:p>
    <w:p>
      <w:pPr>
        <w:pStyle w:val="Normal"/>
        <w:widowControl w:val="false"/>
        <w:jc w:val="center"/>
        <w:rPr>
          <w:rFonts w:eastAsia="Courier New"/>
          <w:highlight w:val="none"/>
          <w:shd w:fill="auto" w:val="clear"/>
          <w:lang w:bidi="ru-RU"/>
        </w:rPr>
      </w:pPr>
      <w:r>
        <w:rPr>
          <w:rFonts w:eastAsia="Courier New"/>
          <w:shd w:fill="auto" w:val="clear"/>
          <w:lang w:bidi="ru-RU"/>
        </w:rPr>
      </w:r>
    </w:p>
    <w:p>
      <w:pPr>
        <w:pStyle w:val="BodyText"/>
        <w:widowControl w:val="false"/>
        <w:ind w:firstLine="709" w:left="-567"/>
        <w:jc w:val="both"/>
        <w:rPr>
          <w:highlight w:val="none"/>
          <w:shd w:fill="auto" w:val="clear"/>
        </w:rPr>
      </w:pPr>
      <w:r>
        <w:rPr>
          <w:rFonts w:eastAsia="Droid Sans Fallback" w:cs="Lohit Devanagari"/>
          <w:color w:val="000000"/>
          <w:sz w:val="24"/>
          <w:szCs w:val="24"/>
          <w:shd w:fill="auto" w:val="clear"/>
          <w:lang w:val="ru-RU" w:eastAsia="zh-CN" w:bidi="ar-SA"/>
        </w:rPr>
        <w:t xml:space="preserve">Не позднее чем за один рабочий день до даты окончания приема заявок на участие в аукционе  принять решение о внесении изменений в извещение о проведении аукциона в целях исправления технических ошибок, не связанных с предметом аукциона, начальной ценой предмета аукциона, «шагом аукциона», размером задатка, со сроком заключаемого по результатам аукциона договора аренды, а также с видом права, на котором земельный участок предоставляется по результатам аукциона. При этом срок подачи заявок на участие в аукционе должен быть продлен таким образом, чтобы со дня размещения в порядке, установленном п. 19 ст. 39.11 Земельного кодекса Российской Федерации, изменений в извещение о проведении аукциона до дня проведения аукциона такой срок составлял не менее десяти рабочих дней. </w:t>
      </w:r>
      <w:r>
        <w:rPr>
          <w:rFonts w:eastAsia="Droid Sans Fallback" w:cs="Lohit Devanagari"/>
          <w:b w:val="false"/>
          <w:color w:val="000000"/>
          <w:sz w:val="24"/>
          <w:szCs w:val="24"/>
          <w:shd w:fill="auto" w:val="clear"/>
          <w:lang w:val="ru-RU" w:eastAsia="zh-CN" w:bidi="ar-SA"/>
        </w:rPr>
        <w:t xml:space="preserve">Информация о внесении изменений в извещение                             о проведении аукциона размещается на официальных сайтах </w:t>
      </w:r>
      <w:r>
        <w:rPr>
          <w:rFonts w:eastAsia="Droid Sans Fallback" w:cs="Lohit Devanagari"/>
          <w:b w:val="false"/>
          <w:bCs/>
          <w:color w:val="000000"/>
          <w:sz w:val="24"/>
          <w:szCs w:val="24"/>
          <w:shd w:fill="auto" w:val="clear"/>
          <w:lang w:val="ru-RU" w:eastAsia="zh-CN" w:bidi="ar-SA"/>
        </w:rPr>
        <w:t>www.torgi.gov.ru,  www.gorodperm.ru.</w:t>
      </w:r>
    </w:p>
    <w:p>
      <w:pPr>
        <w:pStyle w:val="BodyText"/>
        <w:widowControl w:val="false"/>
        <w:ind w:firstLine="709" w:left="-567"/>
        <w:jc w:val="both"/>
        <w:rPr>
          <w:highlight w:val="none"/>
          <w:shd w:fill="auto" w:val="clear"/>
        </w:rPr>
      </w:pPr>
      <w:r>
        <w:rPr>
          <w:rFonts w:eastAsia="Droid Sans Fallback" w:cs="Lohit Devanagari"/>
          <w:b w:val="false"/>
          <w:color w:val="000000"/>
          <w:sz w:val="24"/>
          <w:szCs w:val="24"/>
          <w:shd w:fill="auto" w:val="clear"/>
          <w:lang w:val="ru-RU" w:eastAsia="zh-CN" w:bidi="ar-SA"/>
        </w:rPr>
        <w:t>В случае, если за один рабочий день до даты окончания приема заявок на участие в аукционе не поступило ни одной заявки, организатор аукциона до момента окончания срока подачи заявок на участие в аукционе может принять решение о продлении срока подачи заявок в соответствии                         с правилами, предусмотренными п. 22.1  ст. 39.11 Земельного кодекса Российской Федерации.</w:t>
      </w:r>
    </w:p>
    <w:p>
      <w:pPr>
        <w:pStyle w:val="Normal"/>
        <w:widowControl w:val="false"/>
        <w:ind w:firstLine="567" w:left="-567"/>
        <w:jc w:val="both"/>
        <w:rPr/>
      </w:pPr>
      <w:r>
        <w:rPr>
          <w:shd w:fill="auto" w:val="clear"/>
        </w:rPr>
        <w:t xml:space="preserve">В соответствии с п. 4 ст. 448 Гражданского кодекса Российской Федерации отказаться </w:t>
      </w:r>
      <w:r>
        <w:rPr/>
        <w:br w:type="textWrapping" w:clear="all"/>
      </w:r>
      <w:r>
        <w:rPr/>
        <w:t xml:space="preserve">от проведения аукциона в любое время, но не позднее чем за три дня до наступления даты </w:t>
      </w:r>
      <w:r>
        <w:rPr/>
        <w:br w:type="textWrapping" w:clear="all"/>
      </w:r>
      <w:r>
        <w:rPr/>
        <w:t xml:space="preserve">его проведения, указанной в извещении </w:t>
      </w:r>
      <w:r>
        <w:rPr>
          <w:shd w:fill="auto" w:val="clear"/>
        </w:rPr>
        <w:t xml:space="preserve">о проведении аукциона. </w:t>
      </w:r>
    </w:p>
    <w:p>
      <w:pPr>
        <w:pStyle w:val="Normal"/>
        <w:widowControl w:val="false"/>
        <w:jc w:val="center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widowControl w:val="false"/>
        <w:jc w:val="center"/>
        <w:rPr>
          <w:highlight w:val="none"/>
          <w:shd w:fill="auto" w:val="clear"/>
        </w:rPr>
      </w:pPr>
      <w:r>
        <w:rPr>
          <w:b/>
          <w:shd w:fill="auto" w:val="clear"/>
        </w:rPr>
        <w:t xml:space="preserve">Организатор аукциона обязан:  </w:t>
      </w:r>
    </w:p>
    <w:p>
      <w:pPr>
        <w:pStyle w:val="Normal"/>
        <w:widowControl w:val="false"/>
        <w:ind w:firstLine="567" w:left="-567"/>
        <w:jc w:val="both"/>
        <w:rPr>
          <w:shd w:fill="auto" w:val="clear"/>
        </w:rPr>
      </w:pPr>
      <w:r>
        <w:rPr>
          <w:shd w:fill="auto" w:val="clear"/>
        </w:rPr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Принять решение об отказе в проведении аукциона в случае выявления обстоятельств, предусмотренных п. 8 ст. 39.11 Земельного кодекса Российской Федерации. 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Извещение об отказе в проведении аукциона размещается организатором аукциона                              на официальных сайтах  </w:t>
      </w:r>
      <w:r>
        <w:rPr>
          <w:rFonts w:eastAsia="Droid Sans Fallback" w:cs="Lohit Devanagari"/>
          <w:b w:val="false"/>
          <w:bCs/>
          <w:color w:val="000000"/>
          <w:sz w:val="24"/>
          <w:szCs w:val="24"/>
          <w:shd w:fill="auto" w:val="clear"/>
          <w:lang w:val="ru-RU" w:eastAsia="zh-CN" w:bidi="ar-SA"/>
        </w:rPr>
        <w:t xml:space="preserve">www.torgi.gov.ru,  www.gorodperm.ru </w:t>
      </w:r>
      <w:r>
        <w:rPr>
          <w:shd w:fill="auto" w:val="clear"/>
        </w:rPr>
        <w:t xml:space="preserve"> и на электронной площадке в течение трех дней со дня принятия данного решения.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В течение трех дней со дня принятия решения об отказе в проведении аукциона участники аукциона извещаются об отказе в проведении аукциона, внесенные задатки возвращаются его участникам.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В случае отказа от проведения аукциона организатором (в т. ч. одного или нескольких лотов), Оператор в течение одного часа прекращает блокирование денежных средств участников аукциона              в размере задатка на их лицевых счетах на электронной площадке.</w:t>
      </w:r>
    </w:p>
    <w:p>
      <w:pPr>
        <w:pStyle w:val="Normal"/>
        <w:widowControl w:val="false"/>
        <w:jc w:val="both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widowControl w:val="false"/>
        <w:ind w:left="502"/>
        <w:jc w:val="center"/>
        <w:rPr>
          <w:highlight w:val="none"/>
          <w:shd w:fill="auto" w:val="clear"/>
        </w:rPr>
      </w:pPr>
      <w:r>
        <w:rPr>
          <w:rFonts w:eastAsia="Courier New"/>
          <w:b/>
          <w:shd w:fill="auto" w:val="clear"/>
          <w:lang w:bidi="ru-RU"/>
        </w:rPr>
        <w:t>Порядок регистрации на электронной площадке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/>
        <w:t>Для участия в электронном аукционе лица должны быть зарегистрированы на электронной площадке, на которой проводится электронный аукцион.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  <w:lang w:bidi="ru-RU"/>
        </w:rPr>
        <w:t>Для обеспечения доступа к участию в аукционе заявителю необходимо пройти процедуру регистрации на электронной площадке. Регистрации на электронной площадке подлежат лица, ранее не зарегистрированные на электронной площадке.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  <w:lang w:bidi="ru-RU"/>
        </w:rPr>
        <w:t>Регистрация на электронной площадке проводится в соответствии с регламентом электронной площадки.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  <w:lang w:bidi="ru-RU"/>
        </w:rPr>
        <w:t xml:space="preserve">Дата и время регистрации участников аукциона на участие в аукционе на электронной площадке на сайте в сети Интернет: c 18.07.2026 по 18.08.2026 с 9.00 до 18.00 по местному времени (7:00 – 16:00 МСК). </w:t>
      </w:r>
    </w:p>
    <w:p>
      <w:pPr>
        <w:pStyle w:val="NormalWeb"/>
        <w:jc w:val="center"/>
        <w:rPr>
          <w:highlight w:val="none"/>
          <w:shd w:fill="auto" w:val="clear"/>
        </w:rPr>
      </w:pPr>
      <w:r>
        <w:rPr>
          <w:b/>
          <w:color w:val="000000"/>
          <w:shd w:fill="auto" w:val="clear"/>
        </w:rPr>
        <w:t>Разъяснение положений извещения о проведении аукциона</w:t>
      </w:r>
    </w:p>
    <w:p>
      <w:pPr>
        <w:pStyle w:val="ListParagraph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  <w:lang w:bidi="ru-RU"/>
        </w:rPr>
        <w:t>На этапе приема заявок любое заинтересованное лицо вправе не позднее 10 календарных дней до окончания срока подачи заявок направить Организатору аукциона запрос о разъяснениях положений извещения о проведении аукциона посредством функционала электронной площадки. Запросы о разъяснении положений извещения, полученные после вышеуказанного срока,</w:t>
        <w:br/>
        <w:t>не рассматриваются.</w:t>
      </w:r>
    </w:p>
    <w:p>
      <w:pPr>
        <w:pStyle w:val="ListParagraph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  <w:lang w:bidi="ru-RU"/>
        </w:rPr>
        <w:t xml:space="preserve">Ответ на запрос о разъяснении положений извещения должен быть подготовлен в течение трех рабочих дней со дня поступления указанного запроса.  </w:t>
      </w:r>
    </w:p>
    <w:p>
      <w:pPr>
        <w:pStyle w:val="Normal"/>
        <w:widowControl w:val="false"/>
        <w:spacing w:lineRule="auto" w:line="276"/>
        <w:ind w:firstLine="709" w:left="-567"/>
        <w:jc w:val="both"/>
        <w:rPr>
          <w:bCs/>
          <w:highlight w:val="none"/>
          <w:shd w:fill="auto" w:val="clear"/>
          <w:lang w:bidi="ru-RU"/>
        </w:rPr>
      </w:pPr>
      <w:r>
        <w:rPr>
          <w:bCs/>
          <w:shd w:fill="auto" w:val="clear"/>
          <w:lang w:bidi="ru-RU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hanging="0" w:left="0"/>
        <w:jc w:val="center"/>
        <w:outlineLvl w:val="0"/>
        <w:rPr>
          <w:highlight w:val="none"/>
          <w:shd w:fill="auto" w:val="clear"/>
        </w:rPr>
      </w:pPr>
      <w:r>
        <w:rPr>
          <w:b/>
          <w:bCs/>
          <w:shd w:fill="auto" w:val="clear"/>
        </w:rPr>
        <w:t>Требования к содержанию и составу заявки на участие в аукционе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hanging="0" w:left="0"/>
        <w:jc w:val="center"/>
        <w:outlineLvl w:val="0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rFonts w:eastAsia="Courier New"/>
          <w:shd w:fill="auto" w:val="clear"/>
          <w:lang w:bidi="ru-RU"/>
        </w:rPr>
        <w:t>Для участия в аукционе заявители представляют в установленный в извещении</w:t>
      </w:r>
      <w:r>
        <w:rPr>
          <w:rFonts w:eastAsia="Courier New"/>
          <w:shd w:fill="auto" w:val="clear"/>
          <w:lang w:bidi="ru-RU"/>
        </w:rPr>
        <w:br w:type="textWrapping" w:clear="all"/>
      </w:r>
      <w:r>
        <w:rPr>
          <w:rFonts w:eastAsia="Courier New"/>
          <w:shd w:fill="auto" w:val="clear"/>
          <w:lang w:bidi="ru-RU"/>
        </w:rPr>
        <w:t>о проведении аукциона срок следующие документы:</w:t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1) копии документов, удостоверяющих личность заявителя (для граждан), всех страниц;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2) надлежащим образом заверенный перевод на русский язык документов</w:t>
      </w:r>
      <w:r>
        <w:rPr>
          <w:rFonts w:eastAsia="Calibri"/>
          <w:shd w:fill="auto" w:val="clear"/>
        </w:rPr>
        <w:br w:type="textWrapping" w:clear="all"/>
      </w:r>
      <w:r>
        <w:rPr>
          <w:rFonts w:eastAsia="Calibri"/>
          <w:shd w:fill="auto" w:val="clear"/>
        </w:rPr>
        <w:t>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>
      <w:pPr>
        <w:pStyle w:val="Normal"/>
        <w:jc w:val="both"/>
        <w:rPr>
          <w:rFonts w:eastAsia="Calibri"/>
          <w:highlight w:val="none"/>
          <w:shd w:fill="auto" w:val="clear"/>
        </w:rPr>
      </w:pPr>
      <w:r>
        <w:rPr>
          <w:rFonts w:eastAsia="Calibri"/>
          <w:shd w:fill="auto" w:val="clear"/>
        </w:rPr>
      </w:r>
    </w:p>
    <w:p>
      <w:pPr>
        <w:pStyle w:val="Normal"/>
        <w:ind w:firstLine="708"/>
        <w:jc w:val="center"/>
        <w:rPr>
          <w:highlight w:val="none"/>
          <w:shd w:fill="auto" w:val="clear"/>
        </w:rPr>
      </w:pPr>
      <w:r>
        <w:rPr>
          <w:b/>
          <w:shd w:fill="auto" w:val="clear"/>
        </w:rPr>
        <w:t>Инструкция по заполнению и подаче заявки, порядок приема заявки</w:t>
      </w:r>
    </w:p>
    <w:p>
      <w:pPr>
        <w:pStyle w:val="Normal"/>
        <w:ind w:firstLine="708"/>
        <w:jc w:val="center"/>
        <w:rPr>
          <w:b/>
          <w:highlight w:val="none"/>
          <w:shd w:fill="auto" w:val="clear"/>
        </w:rPr>
      </w:pPr>
      <w:r>
        <w:rPr>
          <w:b/>
          <w:shd w:fill="auto" w:val="clear"/>
        </w:rPr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Заявка на участие в электронном аукционе с указанием банковских реквизитов счета                         для возврата задатка направляется оператору электронной площадки в форме электронного документа с приложением документов, указанных в подпунктах 2 - 3 пункта 1, пункте 1.1 статьи 39.12 Земельного кодекса Российской Федерации (копии </w:t>
      </w:r>
      <w:r>
        <w:rPr>
          <w:b w:val="false"/>
          <w:shd w:fill="auto" w:val="clear"/>
        </w:rPr>
        <w:t xml:space="preserve">документов, удостоверяющих личность заявителя (для граждан) всех страниц; </w:t>
      </w:r>
      <w:r>
        <w:rPr>
          <w:b w:val="false"/>
        </w:rPr>
        <w:t>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лицо).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>
      <w:pPr>
        <w:pStyle w:val="Normal"/>
        <w:ind w:firstLine="567" w:left="-567"/>
        <w:jc w:val="both"/>
        <w:rPr>
          <w:highlight w:val="none"/>
        </w:rPr>
      </w:pPr>
      <w:r>
        <w:rPr>
          <w:sz w:val="24"/>
          <w:szCs w:val="24"/>
        </w:rPr>
        <w:t>На каждый лот представляется отдельный пакет документов.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Заполнение заявки осуществляется в соответствии с порядком, определенным регламентом электронной площадки АО «Сбербанк-АСТ».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Все документы и сведения, связанные с получением регистрации на универсальной торговой платформе и проведением закупок/продаж, направляются заявителями, пользователями, оператором электронной площадки либо размещаются ими на универсальной торговой платформе в форме электронных документов (п. 10.1.1. Регламента Универсальной торговой платформы).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Пользователи принимают, что в случае наличия требований к формату и содержанию электронного документа, в системе используются электронные документы установленного формата (п. 10.2.3.</w:t>
      </w:r>
      <w:r>
        <w:rPr>
          <w:rFonts w:eastAsia="Droid Sans Fallback" w:cs="Lohit Devanagari"/>
          <w:color w:val="000000"/>
          <w:sz w:val="24"/>
          <w:szCs w:val="24"/>
          <w:shd w:fill="auto" w:val="clear"/>
          <w:lang w:val="ru-RU" w:eastAsia="zh-CN" w:bidi="ar-SA"/>
        </w:rPr>
        <w:t xml:space="preserve"> Регламента Универсальной торговой платформы).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Droid Sans Fallback" w:cs="Lohit Devanagari"/>
          <w:color w:val="000000"/>
          <w:sz w:val="24"/>
          <w:szCs w:val="24"/>
          <w:shd w:fill="auto" w:val="clear"/>
          <w:lang w:val="ru-RU" w:eastAsia="zh-CN" w:bidi="ar-SA"/>
        </w:rPr>
        <w:t>Заявка подается в виде электронного документа, подписанного электронной подписью заявителя (п. 3.2.2. Регламента торговой секции).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Droid Sans Fallback" w:cs="Lohit Devanagari"/>
          <w:color w:val="000000"/>
          <w:sz w:val="24"/>
          <w:szCs w:val="24"/>
          <w:shd w:fill="auto" w:val="clear"/>
          <w:lang w:val="ru-RU" w:eastAsia="zh-CN" w:bidi="ar-SA"/>
        </w:rPr>
        <w:t>Заявитель заполняет электронную форму заявки, при</w:t>
      </w:r>
      <w:r>
        <w:rPr>
          <w:shd w:fill="auto" w:val="clear"/>
        </w:rPr>
        <w:t>кладывает предусмотренные извещением          о проведении аукциона файлы документов (при необходимости). Документы и сведения                              из регистрационных данных заявителя на универсальной торговой платформе, актуальные на дату                и время окончания приема заявок, направляются оператором электронной площадки вместе с заявкой организатору аукциона после окончания приема заявок (п. 3.2.3. Регламента торговой секции).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Подача заявки осуществляется заявителем, зарегистрированным в торговой секции,</w:t>
      </w:r>
      <w:r>
        <w:rPr>
          <w:shd w:fill="auto" w:val="clear"/>
        </w:rPr>
        <w:br w:type="textWrapping" w:clear="all"/>
      </w:r>
      <w:r>
        <w:rPr>
          <w:shd w:fill="auto" w:val="clear"/>
        </w:rPr>
        <w:t>из личного кабинета посредством штатного интерфейса отдельно по каждому лоту в сроки, установленные в извещении о проведении аукциона.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Заявитель вправе подать заявку в любое время с момента размещения извещения</w:t>
      </w:r>
      <w:r>
        <w:rPr>
          <w:shd w:fill="auto" w:val="clear"/>
        </w:rPr>
        <w:br w:type="textWrapping" w:clear="all"/>
      </w:r>
      <w:r>
        <w:rPr>
          <w:shd w:fill="auto" w:val="clear"/>
        </w:rPr>
        <w:t>о проведении аукциона до предусмотренных указанным извещением даты и времени окончания срока подачи заявок.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Один заявитель вправе подать только одну заявку на участие в аукционе в отношении каждого лота.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Заявка на участие в аукционе, поступившая по истечении срока приема заявок, возвращается заявителю в день ее поступления.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Участие в аукционе возможно при наличии на лицевом счете заявителя денежных средств</w:t>
      </w:r>
      <w:r>
        <w:rPr>
          <w:shd w:fill="auto" w:val="clear"/>
        </w:rPr>
        <w:br w:type="textWrapping" w:clear="all"/>
      </w:r>
      <w:r>
        <w:rPr>
          <w:shd w:fill="auto" w:val="clear"/>
        </w:rPr>
        <w:t>в размере не менее чем размер задатка на участие в аукционе, предусмотренный извещением</w:t>
      </w:r>
      <w:r>
        <w:rPr>
          <w:shd w:fill="auto" w:val="clear"/>
        </w:rPr>
        <w:br w:type="textWrapping" w:clear="all"/>
      </w:r>
      <w:r>
        <w:rPr>
          <w:shd w:fill="auto" w:val="clear"/>
        </w:rPr>
        <w:t>о проведении аукциона.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Все документы, входящие в состав заявки, должны иметь четко читаемый текст.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Заявка предоставляется организатору аукциона через Оператора.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hanging="0" w:left="0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>Заявка не может быть принята Оператором в случае: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firstLine="567" w:left="-567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>а) отсутствия на лицевом счете заявителя достаточной суммы денежных средств</w:t>
      </w:r>
      <w:r>
        <w:rPr>
          <w:bCs/>
          <w:shd w:fill="auto" w:val="clear"/>
        </w:rPr>
        <w:br w:type="textWrapping" w:clear="all"/>
      </w:r>
      <w:r>
        <w:rPr>
          <w:bCs/>
          <w:shd w:fill="auto" w:val="clear"/>
        </w:rPr>
        <w:t>в размере задатка;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firstLine="567" w:left="-567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>б) подачи заявителем второй заявки на участие в отношении одного и того же лота при условии, что поданная ранее заявка таким заявителем не отозвана;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hanging="0" w:left="0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>в) подачи заявки по истечении установленного срока подачи заявок;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firstLine="567" w:left="-567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>г) некорректного заполнения формы заявки, в том числе незаполнения полей, являющихся обязательными для заполнения.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284" w:leader="none"/>
        </w:tabs>
        <w:ind w:firstLine="567" w:left="-567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>Заявителям, признанным участниками аукциона, и заявителям, не допущенным к участию</w:t>
        <w:br/>
        <w:t>в аукционе, оператор электронной площадки направляет в электронной форме уведомления</w:t>
        <w:br/>
        <w:t xml:space="preserve">о принятых в отношении их решениях не позднее дня, следующего после дня подписания протокола рассмотрения заявок на участие в аукционе. 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284" w:leader="none"/>
        </w:tabs>
        <w:spacing w:lineRule="auto" w:line="276"/>
        <w:ind w:firstLine="567" w:left="-567"/>
        <w:jc w:val="both"/>
        <w:outlineLvl w:val="0"/>
        <w:rPr>
          <w:bCs/>
          <w:highlight w:val="none"/>
          <w:shd w:fill="auto" w:val="clear"/>
        </w:rPr>
      </w:pPr>
      <w:r>
        <w:rPr>
          <w:bCs/>
          <w:shd w:fill="auto" w:val="clear"/>
        </w:rPr>
      </w:r>
    </w:p>
    <w:p>
      <w:pPr>
        <w:pStyle w:val="Normal"/>
        <w:widowControl w:val="false"/>
        <w:ind w:left="502"/>
        <w:jc w:val="center"/>
        <w:rPr>
          <w:highlight w:val="none"/>
          <w:shd w:fill="auto" w:val="clear"/>
        </w:rPr>
      </w:pPr>
      <w:r>
        <w:rPr>
          <w:b/>
          <w:bCs/>
          <w:shd w:fill="auto" w:val="clear"/>
          <w:lang w:bidi="ru-RU"/>
        </w:rPr>
        <w:t>Порядок и срок изменения, отзыва заявки на участие в аукционе</w:t>
      </w:r>
    </w:p>
    <w:p>
      <w:pPr>
        <w:pStyle w:val="Normal"/>
        <w:widowControl w:val="false"/>
        <w:ind w:left="502"/>
        <w:rPr>
          <w:b/>
          <w:bCs/>
          <w:highlight w:val="none"/>
          <w:shd w:fill="auto" w:val="clear"/>
          <w:lang w:bidi="ru-RU"/>
        </w:rPr>
      </w:pPr>
      <w:r>
        <w:rPr>
          <w:b/>
          <w:bCs/>
          <w:shd w:fill="auto" w:val="clear"/>
          <w:lang w:bidi="ru-RU"/>
        </w:rPr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Заявитель имеет право отозвать принятую организатором аукциона заявку на участие</w:t>
      </w:r>
      <w:r>
        <w:rPr>
          <w:shd w:fill="auto" w:val="clear"/>
        </w:rPr>
        <w:br w:type="textWrapping" w:clear="all"/>
      </w:r>
      <w:r>
        <w:rPr>
          <w:shd w:fill="auto" w:val="clear"/>
        </w:rPr>
        <w:t xml:space="preserve">в аукционе до дня окончания срока приема заявок, путем направления уведомления об отзыве заявки на электронную площадку. В случае отзыва заявки в установленном порядке, уведомление об отзыве заявки поступает в «личный кабинет» организатора аукциона, о чем заявителю направляется соответствующее уведомление. </w:t>
      </w:r>
    </w:p>
    <w:p>
      <w:pPr>
        <w:pStyle w:val="BodyText"/>
        <w:widowControl w:val="false"/>
        <w:ind w:firstLine="567" w:left="-567"/>
        <w:jc w:val="both"/>
        <w:rPr>
          <w:rFonts w:ascii="Times New Roman" w:hAnsi="Times New Roman" w:eastAsia="Droid Sans Fallback" w:cs="Lohit Devanagari"/>
          <w:color w:val="auto"/>
          <w:kern w:val="0"/>
          <w:sz w:val="24"/>
          <w:szCs w:val="24"/>
          <w:shd w:fill="auto" w:val="clear"/>
          <w:lang w:val="ru-RU" w:eastAsia="zh-CN" w:bidi="ar-SA"/>
        </w:rPr>
      </w:pPr>
      <w:r>
        <w:rPr>
          <w:rFonts w:eastAsia="Droid Sans Fallback" w:cs="Lohit Devanagari"/>
          <w:color w:val="000000"/>
          <w:kern w:val="0"/>
          <w:sz w:val="24"/>
          <w:szCs w:val="24"/>
          <w:shd w:fill="auto" w:val="clear"/>
          <w:lang w:val="ru-RU" w:eastAsia="zh-CN" w:bidi="ar-SA"/>
        </w:rPr>
        <w:t xml:space="preserve">В случае отзыва заявки заявителем до дня окончания срока приема заявок Оператор  обеспечивает возврат заявителю денежных средств, заблокированных в размере задатка на расчетном счете Оператора, в течение трех рабочих дней со дня отзыва заявки. </w:t>
      </w:r>
    </w:p>
    <w:p>
      <w:pPr>
        <w:pStyle w:val="BodyText"/>
        <w:widowControl w:val="false"/>
        <w:ind w:firstLine="567" w:left="-567"/>
        <w:jc w:val="both"/>
        <w:rPr>
          <w:rFonts w:ascii="Times New Roman" w:hAnsi="Times New Roman" w:eastAsia="Droid Sans Fallback" w:cs="Lohit Devanagari"/>
          <w:color w:val="auto"/>
          <w:kern w:val="0"/>
          <w:sz w:val="24"/>
          <w:szCs w:val="24"/>
          <w:shd w:fill="auto" w:val="clear"/>
          <w:lang w:val="ru-RU" w:eastAsia="zh-CN" w:bidi="ar-SA"/>
        </w:rPr>
      </w:pPr>
      <w:r>
        <w:rPr>
          <w:rFonts w:eastAsia="Droid Sans Fallback" w:cs="Lohit Devanagari"/>
          <w:color w:val="000000"/>
          <w:kern w:val="0"/>
          <w:sz w:val="24"/>
          <w:szCs w:val="24"/>
          <w:shd w:fill="auto" w:val="clear"/>
          <w:lang w:val="ru-RU" w:eastAsia="zh-CN" w:bidi="ar-SA"/>
        </w:rPr>
        <w:t>В случае отзыва заявки заявителем позднее дня окончания срока приема заявок денежные средства, заблокированные в размере задатка на расчетном счете Оператора, возвращаются в порядке, установленном пунктом 10.1 статьи 39.13  Земельного кодекса Российской Федерации.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jc w:val="center"/>
        <w:rPr>
          <w:highlight w:val="none"/>
          <w:shd w:fill="auto" w:val="clear"/>
        </w:rPr>
      </w:pPr>
      <w:r>
        <w:rPr>
          <w:b/>
          <w:bCs/>
          <w:shd w:fill="auto" w:val="clear"/>
        </w:rPr>
        <w:t>Определение участников аукциона</w:t>
      </w:r>
    </w:p>
    <w:p>
      <w:pPr>
        <w:pStyle w:val="Normal"/>
        <w:jc w:val="center"/>
        <w:rPr>
          <w:b/>
          <w:bCs/>
          <w:highlight w:val="none"/>
          <w:shd w:fill="auto" w:val="clear"/>
        </w:rPr>
      </w:pPr>
      <w:r>
        <w:rPr>
          <w:b/>
          <w:bCs/>
          <w:shd w:fill="auto" w:val="clear"/>
        </w:rPr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</w:rPr>
        <w:t>По результатам рассмотрения заявок комиссия принимает решение о допуске заявителей</w:t>
      </w:r>
      <w:r>
        <w:rPr>
          <w:bCs/>
          <w:shd w:fill="auto" w:val="clear"/>
        </w:rPr>
        <w:br w:type="textWrapping" w:clear="all"/>
      </w:r>
      <w:r>
        <w:rPr>
          <w:bCs/>
          <w:shd w:fill="auto" w:val="clear"/>
        </w:rPr>
        <w:t>к участию в аукционе или об отказе в допуске к участию в аукционе.</w:t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shd w:fill="auto" w:val="clear"/>
        </w:rPr>
        <w:t>Заявитель не допускается к участию в аукционе в следующих случаях: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z w:val="20"/>
          <w:shd w:fill="auto" w:val="clear"/>
        </w:rPr>
        <w:t xml:space="preserve">1) </w:t>
      </w:r>
      <w:r>
        <w:rPr>
          <w:shd w:fill="auto" w:val="clear"/>
        </w:rPr>
        <w:t>непредставление необходимых для участия в аукционе документов или представление недостоверных сведений;</w:t>
      </w:r>
    </w:p>
    <w:p>
      <w:pPr>
        <w:pStyle w:val="Normal"/>
        <w:widowControl w:val="false"/>
        <w:jc w:val="both"/>
        <w:rPr>
          <w:highlight w:val="none"/>
          <w:shd w:fill="auto" w:val="clear"/>
        </w:rPr>
      </w:pPr>
      <w:r>
        <w:rPr>
          <w:shd w:fill="auto" w:val="clear"/>
        </w:rPr>
        <w:t>2) непоступление задатка на дату рассмотрения заявок на участие в аукционе;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3) подача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 или приобрести земельный участок</w:t>
        <w:br/>
        <w:t>в аренду;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В день признания заявителей участниками аукциона, указанный в извещении</w:t>
        <w:br/>
        <w:t>о проведении аукциона, оператор через «личный кабинет» организатора торгов обеспечивает доступ организатора торгов к поданным  заявителями заявкам и документам, а также к журналу приема заявок.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Заявитель приобретает статус участника аукциона с момента подписания протокола рассмотрения заявок.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Не позднее следующего рабочего дня после дня подписания протокола рассмотрения заявок, всем заявителям оператором электронной площадки направляется в личные кабинеты уведомления                  о признании их участниками аукциона или об отказе в признании участниками аукциона с указанием оснований отказа. </w:t>
      </w:r>
    </w:p>
    <w:p>
      <w:pPr>
        <w:pStyle w:val="BodyText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rFonts w:eastAsia="Droid Sans Fallback" w:cs="Lohit Devanagari"/>
          <w:color w:val="000000"/>
          <w:sz w:val="24"/>
          <w:szCs w:val="24"/>
          <w:shd w:fill="auto" w:val="clear"/>
          <w:lang w:val="ru-RU" w:eastAsia="zh-CN" w:bidi="ar-SA"/>
        </w:rPr>
        <w:t>В случае, если по окончании срока подачи заявок на участие в аукционе не подано ни одной заявки на участие в аукционе, подана только одна заявка на участие в аукционе либо по результатам рассмотрения заявок на участие в аукционе принято решение об отказе в допуске к участию                       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несостоявшимся. При признании аукциона несостоявшимся в протокол рассмотрения заявок на участие в аукционе, включается информация               об основании признания аукциона несостоявшимся и сведения, указанные в подпункте 4 пункта 15  ст. 39.12 З</w:t>
      </w:r>
      <w:r>
        <w:rPr>
          <w:rFonts w:eastAsia="Droid Sans Fallback" w:cs="Lohit Devanagari"/>
          <w:bCs/>
          <w:color w:val="000000"/>
          <w:sz w:val="24"/>
          <w:szCs w:val="24"/>
          <w:shd w:fill="auto" w:val="clear"/>
          <w:lang w:val="ru-RU" w:eastAsia="zh-CN" w:bidi="ar-SA"/>
        </w:rPr>
        <w:t>емельного кодекса Российской Федерации</w:t>
      </w:r>
      <w:r>
        <w:rPr>
          <w:rFonts w:eastAsia="Droid Sans Fallback" w:cs="Lohit Devanagari"/>
          <w:color w:val="000000"/>
          <w:sz w:val="24"/>
          <w:szCs w:val="24"/>
          <w:shd w:fill="auto" w:val="clear"/>
          <w:lang w:val="ru-RU" w:eastAsia="zh-CN" w:bidi="ar-SA"/>
        </w:rPr>
        <w:t>, в отношении лиц, указанных в пунктах 13 и 14 ст. 39.12 З</w:t>
      </w:r>
      <w:r>
        <w:rPr>
          <w:rFonts w:eastAsia="Droid Sans Fallback" w:cs="Lohit Devanagari"/>
          <w:bCs/>
          <w:color w:val="000000"/>
          <w:sz w:val="24"/>
          <w:szCs w:val="24"/>
          <w:shd w:fill="auto" w:val="clear"/>
          <w:lang w:val="ru-RU" w:eastAsia="zh-CN" w:bidi="ar-SA"/>
        </w:rPr>
        <w:t>емельного кодекса Российской Федерации.</w:t>
      </w:r>
    </w:p>
    <w:p>
      <w:pPr>
        <w:pStyle w:val="Normal"/>
        <w:widowControl w:val="false"/>
        <w:spacing w:lineRule="auto" w:line="276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jc w:val="center"/>
        <w:rPr>
          <w:b/>
          <w:bCs/>
          <w:highlight w:val="none"/>
          <w:shd w:fill="auto" w:val="clear"/>
        </w:rPr>
      </w:pPr>
      <w:r>
        <w:rPr>
          <w:b/>
          <w:bCs/>
          <w:shd w:fill="auto" w:val="clear"/>
        </w:rPr>
        <w:t>Порядок проведения аукциона</w:t>
      </w:r>
    </w:p>
    <w:p>
      <w:pPr>
        <w:pStyle w:val="Normal"/>
        <w:widowControl w:val="false"/>
        <w:ind w:left="502"/>
        <w:jc w:val="center"/>
        <w:rPr>
          <w:rFonts w:eastAsia="Courier New"/>
          <w:b/>
          <w:bCs/>
          <w:highlight w:val="none"/>
          <w:shd w:fill="auto" w:val="clear"/>
          <w:lang w:bidi="ru-RU"/>
        </w:rPr>
      </w:pPr>
      <w:r>
        <w:rPr>
          <w:rFonts w:eastAsia="Courier New"/>
          <w:b/>
          <w:bCs/>
          <w:shd w:fill="auto" w:val="clear"/>
          <w:lang w:bidi="ru-RU"/>
        </w:rPr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Торговая сессия проводится путем последовательного повышения участниками аукциона начальной цены аукциона на величину, равную величине «шага аукциона».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 xml:space="preserve">«Шаг аукциона» устанавливается Организатором аукциона в фиксированной сумме, составляющей </w:t>
      </w:r>
      <w:r>
        <w:rPr>
          <w:rFonts w:eastAsia="Droid Sans Fallback" w:cs="Lohit Devanagari"/>
          <w:bCs/>
          <w:color w:val="000000"/>
          <w:sz w:val="24"/>
          <w:szCs w:val="24"/>
          <w:shd w:fill="auto" w:val="clear"/>
          <w:lang w:val="ru-RU" w:eastAsia="zh-CN" w:bidi="ar-SA"/>
        </w:rPr>
        <w:t>5% от начальной цены предмета аукциона</w:t>
      </w:r>
      <w:r>
        <w:rPr>
          <w:rFonts w:eastAsia="Calibri"/>
          <w:shd w:fill="auto" w:val="clear"/>
        </w:rPr>
        <w:t>, и не изменяется в течение всего времени подачи предложений о цене.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В ходе проведения аукциона участники аукциона подают предложения о цене предмета аукциона в соответствии со следующими требованиями: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 xml:space="preserve">1) предложение о цене предмета аукциона увеличивает текущее максимальное предложение </w:t>
      </w:r>
      <w:r>
        <w:rPr>
          <w:rFonts w:eastAsia="Calibri"/>
          <w:shd w:fill="auto" w:val="clear"/>
        </w:rPr>
        <w:br w:type="textWrapping" w:clear="all"/>
      </w:r>
      <w:r>
        <w:rPr>
          <w:rFonts w:eastAsia="Calibri"/>
          <w:shd w:fill="auto" w:val="clear"/>
        </w:rPr>
        <w:t>о цене предмета аукциона на величину «шага аукциона»;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2) участник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Время для подачи предложений о цене аукциона определяется в следующем порядке: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Время ожидания предложения участника аукциона о цене предмета аукциона составляет</w:t>
      </w:r>
      <w:r>
        <w:rPr>
          <w:rFonts w:eastAsia="Calibri"/>
          <w:shd w:fill="auto" w:val="clear"/>
        </w:rPr>
        <w:br w:type="textWrapping" w:clear="all"/>
      </w:r>
      <w:r>
        <w:rPr>
          <w:rFonts w:eastAsia="Calibri"/>
          <w:shd w:fill="auto" w:val="clear"/>
        </w:rPr>
        <w:t>10 (десять) минут. При поступлении предложения участника аукциона</w:t>
        <w:br/>
        <w:t>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аукцион завершается.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Срок для подачи предложений о цене обновляется автоматически после улучшения текущего предложения о цене. Время срока подачи предложений отсчитывается с момента подачи последнего (лучшего) предложения (или с начала подачи предложений о цене), отображается в закрытой части электронной площадки как расчетное время окончания торгов, а так же как время, оставшееся до окончания торгов в минутах.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В ходе проведения подачи предложений о цене аукциона Оператор программными средствами электронной площадки обеспечивает отклонение предложения о цене аукциона</w:t>
      </w:r>
      <w:r>
        <w:rPr>
          <w:rFonts w:eastAsia="Calibri"/>
          <w:shd w:fill="auto" w:val="clear"/>
        </w:rPr>
        <w:br w:type="textWrapping" w:clear="all"/>
      </w:r>
      <w:r>
        <w:rPr>
          <w:rFonts w:eastAsia="Calibri"/>
          <w:shd w:fill="auto" w:val="clear"/>
        </w:rPr>
        <w:t>в момент его поступления и соответствующее уведомление участника аукциона, в случаях, если: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- предложение о цене аукциона предоставлено до начала или по истечении установленного времени для подачи предложений о цене аукциона;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- представленное предложение о цене аукциона ниже начальной цены;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- представленное предложение о цене аукциона равно нулю;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- представленное предложение о цене аукциона не соответствует увеличению текущей цены на величину «шага аукциона»;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- предыдущее представленное данным участником аукциона предложение о цене аукциона является лучшим текущим предложением о цене;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- представленное участником аукциона предложение о цене аукциона меньше ранее представленных предложений.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В случае если при проведении процедуры подачи ценовых предложений были поданы равные ценовые предложения несколькими участниками аукциона, то лучшим признается ценовое предложение, поступившее ранее других ценовых предложений.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Победителем аукциона признается участник аукциона, предложивший наибольшую цену</w:t>
      </w:r>
      <w:r>
        <w:rPr>
          <w:rFonts w:eastAsia="Calibri"/>
          <w:shd w:fill="auto" w:val="clear"/>
        </w:rPr>
        <w:br w:type="textWrapping" w:clear="all"/>
      </w:r>
      <w:r>
        <w:rPr>
          <w:rFonts w:eastAsia="Calibri"/>
          <w:shd w:fill="auto" w:val="clear"/>
        </w:rPr>
        <w:t>за земельный участок.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Протокол проведения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аукциона.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Электронный аукцион признается несостоявшимся в случае, если в электронном аукционе участвовал один участник электронного аукциона, в ходе проведения электронного аукциона ни один из участников не подал предложение о цене предмета аукциона.</w:t>
      </w:r>
    </w:p>
    <w:p>
      <w:pPr>
        <w:pStyle w:val="Normal"/>
        <w:ind w:firstLine="567" w:left="-567"/>
        <w:jc w:val="both"/>
        <w:rPr>
          <w:rFonts w:eastAsia="Calibri"/>
          <w:highlight w:val="none"/>
          <w:shd w:fill="auto" w:val="clear"/>
        </w:rPr>
      </w:pPr>
      <w:r>
        <w:rPr>
          <w:rFonts w:eastAsia="Calibri"/>
          <w:shd w:fill="auto" w:val="clear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hanging="0" w:left="0"/>
        <w:jc w:val="center"/>
        <w:outlineLvl w:val="0"/>
        <w:rPr>
          <w:highlight w:val="none"/>
          <w:shd w:fill="auto" w:val="clear"/>
        </w:rPr>
      </w:pPr>
      <w:r>
        <w:rPr>
          <w:b/>
          <w:bCs/>
          <w:shd w:fill="auto" w:val="clear"/>
        </w:rPr>
        <w:t>Порядок и срок заключения договора</w:t>
      </w:r>
      <w:r>
        <w:rPr>
          <w:b/>
          <w:bCs/>
          <w:shd w:fill="auto" w:val="clear"/>
        </w:rPr>
        <w:br w:type="textWrapping" w:clear="all"/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firstLine="567" w:left="-567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>По результатам проведения аукциона не допускается заключение договора купли-продажи земельного участка, находящегося в государственной или муниципальной собственности ранее чем через десять дней со дня размещения протокола рассмотрения заявок на участие в аукционе в случае, ес</w:t>
      </w:r>
      <w:r>
        <w:rPr>
          <w:rFonts w:eastAsia="Droid Sans Fallback" w:cs="Lohit Devanagari"/>
          <w:bCs/>
          <w:color w:val="000000"/>
          <w:sz w:val="24"/>
          <w:szCs w:val="24"/>
          <w:shd w:fill="auto" w:val="clear"/>
          <w:lang w:val="ru-RU" w:eastAsia="zh-CN" w:bidi="ar-SA"/>
        </w:rPr>
        <w:t>ли аукцион признан несостоявшимся, либо протокола о результатах аукциона на официальных сайтах www.torgi.gov.ru,  www.gorodperm.ru.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firstLine="567" w:left="-567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 xml:space="preserve">Департамент земельных отношений администрации города Перми обязан в течение пяти дней со дня истечения срока, предусмотренного пунктом 11 статьи 39.13 Земельного кодекса Российской Федерации, направить победителю аукциона или иным лицам, с которыми </w:t>
        <w:br/>
        <w:t xml:space="preserve">в соответствии с пунктами 13, 14, 20 и 25 статьи 39.12 Земельного кодекса Российской Федерации заключается договор купли-продажи земельного участка, находящегося </w:t>
        <w:br/>
        <w:t>в государственной или муниципальной собственности, подписанный проект договора купли-продажи земельного участка, находящегося в государственной или муниципальной собственности.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firstLine="567" w:left="-567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>По результатам проведения аукциона договор купли-продажи земельного участка, находящегося в государственной или муниципальной собственности заключается в электронной форме и подписывается усиленной квалифицированной электронной подписью сторон такого договора.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</w:rPr>
        <w:t>Проект договора является частью извещения и представлен в Приложении 1</w:t>
        <w:br/>
        <w:t>к настоящему извещению.</w:t>
        <w:tab/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</w:rPr>
        <w:t xml:space="preserve">Если договор купли-продажи  в течение десяти рабочих дней со дня направления победителю аукциона проекта указанного договора не был им подписан и представлен в департамент земельных отношений администрации города Перми, департамент земельных отношений администрации города Перми направляет указанный договор участнику аукциона, который сделал предпоследнее предложение о цене предмета аукциона, </w:t>
      </w:r>
      <w:r>
        <w:rPr>
          <w:b w:val="false"/>
          <w:bCs/>
          <w:shd w:fill="auto" w:val="clear"/>
        </w:rPr>
        <w:t>для их заключения по цене, предложенной таким участником аукциона.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67" w:leader="none"/>
        </w:tabs>
        <w:ind w:firstLine="567" w:left="-567"/>
        <w:jc w:val="both"/>
        <w:outlineLvl w:val="0"/>
        <w:rPr>
          <w:highlight w:val="none"/>
          <w:shd w:fill="auto" w:val="clear"/>
        </w:rPr>
      </w:pPr>
      <w:r>
        <w:rPr>
          <w:rFonts w:eastAsia="Courier New"/>
          <w:shd w:fill="auto" w:val="clear"/>
          <w:lang w:bidi="ru-RU"/>
        </w:rPr>
        <w:t>Сведения о победителях аукционов, уклонившихся от заключения договора купли-продажи, являющегося предметом аукциона, и об иных лицах, с которыми указанный договор заключается в соответствии с пунктом 13, 14, 20 или 25 ст. 39.12 Земельного кодекса Российской Федерации и которые уклонились от их заключения, включаются в реестр недобросовестных участников аукциона.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67" w:leader="none"/>
        </w:tabs>
        <w:ind w:firstLine="567" w:left="-567"/>
        <w:jc w:val="both"/>
        <w:outlineLvl w:val="0"/>
        <w:rPr>
          <w:highlight w:val="none"/>
          <w:shd w:fill="auto" w:val="clear"/>
        </w:rPr>
      </w:pPr>
      <w:r>
        <w:rPr>
          <w:rFonts w:eastAsia="Courier New"/>
          <w:shd w:fill="auto" w:val="clear"/>
          <w:lang w:bidi="ru-RU"/>
        </w:rPr>
        <w:t>Информация и документы о заключении договора купли-продажи земельного участка и (или) об оформлении иных документов по результатам проведения аукциона размещаются на ГИС Торги.</w:t>
      </w:r>
    </w:p>
    <w:sectPr>
      <w:headerReference w:type="default" r:id="rId14"/>
      <w:headerReference w:type="first" r:id="rId15"/>
      <w:type w:val="nextPage"/>
      <w:pgSz w:w="11906" w:h="16838"/>
      <w:pgMar w:left="1418" w:right="567" w:gutter="0" w:header="363" w:top="420" w:footer="0" w:bottom="1134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Symbol">
    <w:charset w:val="01"/>
    <w:family w:val="roman"/>
    <w:pitch w:val="variable"/>
  </w:font>
  <w:font w:name="Courier New">
    <w:charset w:val="01"/>
    <w:family w:val="roman"/>
    <w:pitch w:val="variable"/>
  </w:font>
  <w:font w:name="Calibri Light">
    <w:charset w:val="01"/>
    <w:family w:val="roman"/>
    <w:pitch w:val="variable"/>
  </w:font>
  <w:font w:name="Open Sans">
    <w:charset w:val="01"/>
    <w:family w:val="roman"/>
    <w:pitch w:val="variable"/>
  </w:font>
  <w:font w:name="Consultant">
    <w:charset w:val="01"/>
    <w:family w:val="roman"/>
    <w:pitch w:val="variable"/>
  </w:font>
  <w:font w:name="Tahoma">
    <w:charset w:val="01"/>
    <w:family w:val="roman"/>
    <w:pitch w:val="variable"/>
  </w:font>
  <w:font w:name="Verdana">
    <w:charset w:val="01"/>
    <w:family w:val="roman"/>
    <w:pitch w:val="variable"/>
  </w:font>
  <w:font w:name="Calibri">
    <w:charset w:val="01"/>
    <w:family w:val="roman"/>
    <w:pitch w:val="variable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sz w:val="20"/>
        <w:szCs w:val="28"/>
      </w:rPr>
    </w:pPr>
    <w:r>
      <w:rPr>
        <w:sz w:val="20"/>
        <w:szCs w:val="28"/>
      </w:rPr>
      <w:fldChar w:fldCharType="begin"/>
    </w:r>
    <w:r>
      <w:rPr>
        <w:sz w:val="20"/>
        <w:szCs w:val="28"/>
      </w:rPr>
      <w:instrText xml:space="preserve"> PAGE </w:instrText>
    </w:r>
    <w:r>
      <w:rPr>
        <w:sz w:val="20"/>
        <w:szCs w:val="28"/>
      </w:rPr>
      <w:fldChar w:fldCharType="separate"/>
    </w:r>
    <w:r>
      <w:rPr>
        <w:sz w:val="20"/>
        <w:szCs w:val="28"/>
      </w:rPr>
      <w:t>17</w:t>
    </w:r>
    <w:r>
      <w:rPr>
        <w:sz w:val="20"/>
        <w:szCs w:val="28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pStyle w:val="Heading6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roid Sans Fallback" w:cs="Lohit Devanagari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Droid Sans Fallback" w:cs="Lohit Devanagari"/>
      <w:color w:val="auto"/>
      <w:kern w:val="0"/>
      <w:sz w:val="24"/>
      <w:szCs w:val="24"/>
      <w:lang w:val="ru-RU" w:eastAsia="zh-CN" w:bidi="ar-SA"/>
    </w:rPr>
  </w:style>
  <w:style w:type="paragraph" w:styleId="Heading1">
    <w:name w:val="Heading 1"/>
    <w:basedOn w:val="Normal"/>
    <w:qFormat/>
    <w:pPr>
      <w:keepNext w:val="true"/>
      <w:numPr>
        <w:ilvl w:val="0"/>
        <w:numId w:val="1"/>
      </w:numPr>
      <w:jc w:val="center"/>
      <w:outlineLvl w:val="0"/>
    </w:pPr>
    <w:rPr>
      <w:b/>
      <w:sz w:val="28"/>
      <w:szCs w:val="20"/>
    </w:rPr>
  </w:style>
  <w:style w:type="paragraph" w:styleId="Heading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Heading6">
    <w:name w:val="Heading 6"/>
    <w:basedOn w:val="Normal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FootnoteTextChar">
    <w:name w:val="Footnote Text Char"/>
    <w:uiPriority w:val="99"/>
    <w:qFormat/>
    <w:rPr>
      <w:sz w:val="18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uiPriority w:val="9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1" w:customStyle="1">
    <w:name w:val="Заголовок 6 Знак1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11" w:customStyle="1">
    <w:name w:val="Заголовок Знак1"/>
    <w:uiPriority w:val="10"/>
    <w:qFormat/>
    <w:rPr>
      <w:sz w:val="48"/>
      <w:szCs w:val="48"/>
    </w:rPr>
  </w:style>
  <w:style w:type="character" w:styleId="Style5" w:customStyle="1">
    <w:name w:val="Подзаголовок Знак"/>
    <w:uiPriority w:val="11"/>
    <w:qFormat/>
    <w:rPr>
      <w:sz w:val="24"/>
      <w:szCs w:val="24"/>
    </w:rPr>
  </w:style>
  <w:style w:type="character" w:styleId="21" w:customStyle="1">
    <w:name w:val="Цитата 2 Знак"/>
    <w:uiPriority w:val="29"/>
    <w:qFormat/>
    <w:rPr>
      <w:i/>
    </w:rPr>
  </w:style>
  <w:style w:type="character" w:styleId="Style6" w:customStyle="1">
    <w:name w:val="Выделенная цитата Знак"/>
    <w:uiPriority w:val="30"/>
    <w:qFormat/>
    <w:rPr>
      <w:i/>
    </w:rPr>
  </w:style>
  <w:style w:type="character" w:styleId="12" w:customStyle="1">
    <w:name w:val="Верхний колонтитул Знак1"/>
    <w:uiPriority w:val="99"/>
    <w:qFormat/>
    <w:rPr/>
  </w:style>
  <w:style w:type="character" w:styleId="FooterChar" w:customStyle="1">
    <w:name w:val="Footer Char"/>
    <w:uiPriority w:val="99"/>
    <w:qFormat/>
    <w:rPr/>
  </w:style>
  <w:style w:type="character" w:styleId="13" w:customStyle="1">
    <w:name w:val="Нижний колонтитул Знак1"/>
    <w:uiPriority w:val="99"/>
    <w:qFormat/>
    <w:rPr/>
  </w:style>
  <w:style w:type="character" w:styleId="Style7" w:customStyle="1">
    <w:name w:val="Текст сноски Знак"/>
    <w:uiPriority w:val="99"/>
    <w:qFormat/>
    <w:rPr>
      <w:sz w:val="18"/>
    </w:rPr>
  </w:style>
  <w:style w:type="character" w:styleId="Style8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9" w:customStyle="1">
    <w:name w:val="Текст концевой сноски Знак"/>
    <w:uiPriority w:val="99"/>
    <w:qFormat/>
    <w:rPr>
      <w:sz w:val="20"/>
    </w:rPr>
  </w:style>
  <w:style w:type="character" w:styleId="Style10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WW8Num2z0" w:customStyle="1">
    <w:name w:val="WW8Num2z0"/>
    <w:qFormat/>
    <w:rPr>
      <w:rFonts w:ascii="Symbol" w:hAnsi="Symbol" w:cs="Symbol"/>
    </w:rPr>
  </w:style>
  <w:style w:type="character" w:styleId="WW8Num3z0" w:customStyle="1">
    <w:name w:val="WW8Num3z0"/>
    <w:qFormat/>
    <w:rPr/>
  </w:style>
  <w:style w:type="character" w:styleId="WW8Num4z0" w:customStyle="1">
    <w:name w:val="WW8Num4z0"/>
    <w:qFormat/>
    <w:rPr/>
  </w:style>
  <w:style w:type="character" w:styleId="WW8Num5z0" w:customStyle="1">
    <w:name w:val="WW8Num5z0"/>
    <w:qFormat/>
    <w:rPr>
      <w:sz w:val="16"/>
      <w:szCs w:val="16"/>
    </w:rPr>
  </w:style>
  <w:style w:type="character" w:styleId="WW8Num6z0" w:customStyle="1">
    <w:name w:val="WW8Num6z0"/>
    <w:qFormat/>
    <w:rPr/>
  </w:style>
  <w:style w:type="character" w:styleId="WW8Num7z0" w:customStyle="1">
    <w:name w:val="WW8Num7z0"/>
    <w:qFormat/>
    <w:rPr/>
  </w:style>
  <w:style w:type="character" w:styleId="WW8Num8z0" w:customStyle="1">
    <w:name w:val="WW8Num8z0"/>
    <w:qFormat/>
    <w:rPr/>
  </w:style>
  <w:style w:type="character" w:styleId="WW8Num9z0" w:customStyle="1">
    <w:name w:val="WW8Num9z0"/>
    <w:qFormat/>
    <w:rPr/>
  </w:style>
  <w:style w:type="character" w:styleId="WW8Num10z0" w:customStyle="1">
    <w:name w:val="WW8Num10z0"/>
    <w:qFormat/>
    <w:rPr/>
  </w:style>
  <w:style w:type="character" w:styleId="WW8Num11z0" w:customStyle="1">
    <w:name w:val="WW8Num11z0"/>
    <w:qFormat/>
    <w:rPr/>
  </w:style>
  <w:style w:type="character" w:styleId="WW8Num12z0" w:customStyle="1">
    <w:name w:val="WW8Num12z0"/>
    <w:qFormat/>
    <w:rPr/>
  </w:style>
  <w:style w:type="character" w:styleId="WW8Num13z0" w:customStyle="1">
    <w:name w:val="WW8Num13z0"/>
    <w:qFormat/>
    <w:rPr/>
  </w:style>
  <w:style w:type="character" w:styleId="WW8Num14z0" w:customStyle="1">
    <w:name w:val="WW8Num14z0"/>
    <w:qFormat/>
    <w:rPr/>
  </w:style>
  <w:style w:type="character" w:styleId="WW8Num15z0" w:customStyle="1">
    <w:name w:val="WW8Num15z0"/>
    <w:qFormat/>
    <w:rPr/>
  </w:style>
  <w:style w:type="character" w:styleId="WW8Num18z0" w:customStyle="1">
    <w:name w:val="WW8Num18z0"/>
    <w:qFormat/>
    <w:rPr/>
  </w:style>
  <w:style w:type="character" w:styleId="WW8Num19z0" w:customStyle="1">
    <w:name w:val="WW8Num19z0"/>
    <w:qFormat/>
    <w:rPr/>
  </w:style>
  <w:style w:type="character" w:styleId="WW8Num20z0" w:customStyle="1">
    <w:name w:val="WW8Num20z0"/>
    <w:qFormat/>
    <w:rPr/>
  </w:style>
  <w:style w:type="character" w:styleId="WW8Num21z0" w:customStyle="1">
    <w:name w:val="WW8Num21z0"/>
    <w:qFormat/>
    <w:rPr/>
  </w:style>
  <w:style w:type="character" w:styleId="WW8Num22z0" w:customStyle="1">
    <w:name w:val="WW8Num22z0"/>
    <w:qFormat/>
    <w:rPr/>
  </w:style>
  <w:style w:type="character" w:styleId="WW8Num23z0" w:customStyle="1">
    <w:name w:val="WW8Num23z0"/>
    <w:qFormat/>
    <w:rPr/>
  </w:style>
  <w:style w:type="character" w:styleId="WW8Num25z0" w:customStyle="1">
    <w:name w:val="WW8Num25z0"/>
    <w:qFormat/>
    <w:rPr/>
  </w:style>
  <w:style w:type="character" w:styleId="WW8Num26z0" w:customStyle="1">
    <w:name w:val="WW8Num26z0"/>
    <w:qFormat/>
    <w:rPr/>
  </w:style>
  <w:style w:type="character" w:styleId="WW8Num27z0" w:customStyle="1">
    <w:name w:val="WW8Num27z0"/>
    <w:qFormat/>
    <w:rPr/>
  </w:style>
  <w:style w:type="character" w:styleId="WW8Num29z0" w:customStyle="1">
    <w:name w:val="WW8Num29z0"/>
    <w:qFormat/>
    <w:rPr>
      <w:rFonts w:ascii="Symbol" w:hAnsi="Symbol" w:cs="Symbol"/>
    </w:rPr>
  </w:style>
  <w:style w:type="character" w:styleId="WW8Num30z0" w:customStyle="1">
    <w:name w:val="WW8Num30z0"/>
    <w:qFormat/>
    <w:rPr/>
  </w:style>
  <w:style w:type="character" w:styleId="WW8Num31z0" w:customStyle="1">
    <w:name w:val="WW8Num31z0"/>
    <w:qFormat/>
    <w:rPr/>
  </w:style>
  <w:style w:type="character" w:styleId="WW8Num32z0" w:customStyle="1">
    <w:name w:val="WW8Num32z0"/>
    <w:qFormat/>
    <w:rPr/>
  </w:style>
  <w:style w:type="character" w:styleId="WW8Num33z0" w:customStyle="1">
    <w:name w:val="WW8Num33z0"/>
    <w:qFormat/>
    <w:rPr/>
  </w:style>
  <w:style w:type="character" w:styleId="WW8Num34z0" w:customStyle="1">
    <w:name w:val="WW8Num34z0"/>
    <w:qFormat/>
    <w:rPr/>
  </w:style>
  <w:style w:type="character" w:styleId="Pagenumber">
    <w:name w:val="page number"/>
    <w:basedOn w:val="DefaultParagraphFont"/>
    <w:qFormat/>
    <w:rPr/>
  </w:style>
  <w:style w:type="character" w:styleId="Style11" w:customStyle="1">
    <w:name w:val="Текст Знак"/>
    <w:qFormat/>
    <w:rPr>
      <w:rFonts w:ascii="Courier New" w:hAnsi="Courier New" w:cs="Courier New"/>
    </w:rPr>
  </w:style>
  <w:style w:type="character" w:styleId="Style12" w:customStyle="1">
    <w:name w:val="Верхний колонтитул Знак"/>
    <w:qFormat/>
    <w:rPr>
      <w:sz w:val="16"/>
      <w:lang w:val="ru-RU" w:bidi="ar-SA"/>
    </w:rPr>
  </w:style>
  <w:style w:type="character" w:styleId="31" w:customStyle="1">
    <w:name w:val="Основной текст с отступом 3 Знак"/>
    <w:qFormat/>
    <w:rPr>
      <w:sz w:val="16"/>
      <w:szCs w:val="16"/>
    </w:rPr>
  </w:style>
  <w:style w:type="character" w:styleId="Hyperlink">
    <w:name w:val="Hyperlink"/>
    <w:rPr>
      <w:color w:val="0563C1"/>
      <w:u w:val="single"/>
    </w:rPr>
  </w:style>
  <w:style w:type="character" w:styleId="Style13" w:customStyle="1">
    <w:name w:val="Абзац списка Знак"/>
    <w:qFormat/>
    <w:rPr>
      <w:sz w:val="24"/>
      <w:szCs w:val="24"/>
    </w:rPr>
  </w:style>
  <w:style w:type="character" w:styleId="6" w:customStyle="1">
    <w:name w:val="Заголовок 6 Знак"/>
    <w:qFormat/>
    <w:rPr>
      <w:b/>
      <w:bCs/>
      <w:sz w:val="22"/>
      <w:szCs w:val="22"/>
    </w:rPr>
  </w:style>
  <w:style w:type="character" w:styleId="Style14" w:customStyle="1">
    <w:name w:val="Название Знак"/>
    <w:qFormat/>
    <w:rPr>
      <w:sz w:val="28"/>
      <w:lang w:val="ru-RU" w:bidi="ar-SA"/>
    </w:rPr>
  </w:style>
  <w:style w:type="character" w:styleId="Style15" w:customStyle="1">
    <w:name w:val="Заголовок Знак"/>
    <w:qFormat/>
    <w:rPr>
      <w:rFonts w:ascii="Calibri Light" w:hAnsi="Calibri Light" w:eastAsia="Times New Roman" w:cs="Times New Roman"/>
      <w:b/>
      <w:bCs/>
      <w:sz w:val="32"/>
      <w:szCs w:val="32"/>
    </w:rPr>
  </w:style>
  <w:style w:type="character" w:styleId="Style16" w:customStyle="1">
    <w:name w:val="Нижний колонтитул Знак"/>
    <w:qFormat/>
    <w:rPr/>
  </w:style>
  <w:style w:type="character" w:styleId="FollowedHyperlink">
    <w:name w:val="FollowedHyperlink"/>
    <w:rPr>
      <w:color w:val="954F72"/>
      <w:u w:val="single"/>
    </w:rPr>
  </w:style>
  <w:style w:type="character" w:styleId="Style17" w:customStyle="1">
    <w:name w:val="Гиперссылка"/>
    <w:qFormat/>
    <w:rPr>
      <w:color w:val="0000FF"/>
      <w:u w:val="single"/>
    </w:rPr>
  </w:style>
  <w:style w:type="character" w:styleId="Style18">
    <w:name w:val="Символ нумерации"/>
    <w:qFormat/>
    <w:rPr/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jc w:val="right"/>
    </w:pPr>
    <w:rPr>
      <w:sz w:val="28"/>
    </w:rPr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link w:val="CaptionChar"/>
    <w:qFormat/>
    <w:pPr>
      <w:suppressLineNumbers/>
      <w:spacing w:before="120" w:after="120"/>
    </w:pPr>
    <w:rPr>
      <w:rFonts w:cs="Lohit Devanagari"/>
      <w:i/>
      <w:iCs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qFormat/>
    <w:pPr>
      <w:ind w:left="708"/>
    </w:pPr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Droid Sans Fallback" w:cs="Lohit Devanagari"/>
      <w:color w:val="auto"/>
      <w:kern w:val="0"/>
      <w:sz w:val="20"/>
      <w:szCs w:val="20"/>
      <w:lang w:val="ru-RU" w:eastAsia="ru-RU" w:bidi="ar-SA"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paragraph" w:styleId="Subtitle">
    <w:name w:val="Subtitle"/>
    <w:basedOn w:val="Normal"/>
    <w:uiPriority w:val="11"/>
    <w:qFormat/>
    <w:pPr>
      <w:spacing w:before="200" w:after="200"/>
    </w:pPr>
    <w:rPr/>
  </w:style>
  <w:style w:type="paragraph" w:styleId="Quote">
    <w:name w:val="Quote"/>
    <w:basedOn w:val="Normal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FootnoteText">
    <w:name w:val="Footnote Text"/>
    <w:basedOn w:val="Normal"/>
    <w:uiPriority w:val="99"/>
    <w:semiHidden/>
    <w:unhideWhenUsed/>
    <w:pPr>
      <w:spacing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/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uiPriority w:val="39"/>
    <w:unhideWhenUsed/>
    <w:pPr>
      <w:spacing w:before="0" w:after="57"/>
      <w:ind w:left="2268"/>
    </w:pPr>
    <w:rPr/>
  </w:style>
  <w:style w:type="paragraph" w:styleId="IndexHeading">
    <w:name w:val="Index Heading"/>
    <w:basedOn w:val="Style19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Droid Sans Fallback" w:cs="Lohit Devanagari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uiPriority w:val="99"/>
    <w:unhideWhenUsed/>
    <w:pPr/>
    <w:rPr/>
  </w:style>
  <w:style w:type="paragraph" w:styleId="Indexheading1">
    <w:name w:val="index heading1"/>
    <w:basedOn w:val="Normal"/>
    <w:qFormat/>
    <w:pPr>
      <w:suppressLineNumbers/>
    </w:pPr>
    <w:rPr>
      <w:rFonts w:cs="Lohit Devanagari"/>
    </w:rPr>
  </w:style>
  <w:style w:type="paragraph" w:styleId="Caption1" w:customStyle="1">
    <w:name w:val="Caption1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PlainText">
    <w:name w:val="Plain Text"/>
    <w:basedOn w:val="Normal"/>
    <w:qFormat/>
    <w:pPr/>
    <w:rPr>
      <w:rFonts w:ascii="Courier New" w:hAnsi="Courier New" w:cs="Courier New"/>
      <w:sz w:val="20"/>
      <w:szCs w:val="20"/>
      <w:lang w:val="en-US"/>
    </w:rPr>
  </w:style>
  <w:style w:type="paragraph" w:styleId="ConsNormal" w:customStyle="1">
    <w:name w:val="ConsNormal"/>
    <w:qFormat/>
    <w:pPr>
      <w:widowControl/>
      <w:suppressAutoHyphens w:val="true"/>
      <w:bidi w:val="0"/>
      <w:spacing w:before="0" w:after="0"/>
      <w:ind w:firstLine="720"/>
      <w:jc w:val="left"/>
    </w:pPr>
    <w:rPr>
      <w:rFonts w:ascii="Consultant" w:hAnsi="Consultant" w:eastAsia="Droid Sans Fallback" w:cs="Consultant"/>
      <w:color w:val="auto"/>
      <w:kern w:val="0"/>
      <w:sz w:val="20"/>
      <w:szCs w:val="20"/>
      <w:lang w:val="ru-RU" w:eastAsia="zh-CN" w:bidi="ar-SA"/>
    </w:rPr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Style21" w:customStyle="1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22" w:customStyle="1">
    <w:name w:val="Знак Знак Знак Знак Знак Знак Знак Знак Знак Знак Знак Знак"/>
    <w:basedOn w:val="Normal"/>
    <w:qFormat/>
    <w:pPr/>
    <w:rPr>
      <w:rFonts w:ascii="Verdana" w:hAnsi="Verdana" w:cs="Verdana"/>
      <w:sz w:val="20"/>
      <w:szCs w:val="20"/>
      <w:lang w:val="en-US"/>
    </w:rPr>
  </w:style>
  <w:style w:type="paragraph" w:styleId="ConsPlusNormal" w:customStyle="1">
    <w:name w:val="ConsPlus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Lohit Devanagari"/>
      <w:color w:val="auto"/>
      <w:kern w:val="0"/>
      <w:sz w:val="20"/>
      <w:szCs w:val="20"/>
      <w:lang w:val="ru-RU" w:eastAsia="zh-CN" w:bidi="ar-SA"/>
    </w:rPr>
  </w:style>
  <w:style w:type="paragraph" w:styleId="Header">
    <w:name w:val="Header"/>
    <w:pPr>
      <w:widowControl/>
      <w:tabs>
        <w:tab w:val="clear" w:pos="708"/>
        <w:tab w:val="center" w:pos="4153" w:leader="none"/>
        <w:tab w:val="right" w:pos="8306" w:leader="none"/>
      </w:tabs>
      <w:suppressAutoHyphens w:val="true"/>
      <w:bidi w:val="0"/>
      <w:spacing w:before="0" w:after="0"/>
      <w:jc w:val="center"/>
    </w:pPr>
    <w:rPr>
      <w:rFonts w:ascii="Times New Roman" w:hAnsi="Times New Roman" w:eastAsia="Droid Sans Fallback" w:cs="Lohit Devanagari"/>
      <w:color w:val="auto"/>
      <w:kern w:val="0"/>
      <w:sz w:val="16"/>
      <w:szCs w:val="20"/>
      <w:lang w:val="ru-RU" w:eastAsia="zh-CN" w:bidi="ar-SA"/>
    </w:rPr>
  </w:style>
  <w:style w:type="paragraph" w:styleId="BodyTextIndent3">
    <w:name w:val="Body Text Indent 3"/>
    <w:basedOn w:val="Normal"/>
    <w:qFormat/>
    <w:pPr>
      <w:spacing w:before="0" w:after="120"/>
      <w:ind w:left="283"/>
    </w:pPr>
    <w:rPr>
      <w:sz w:val="16"/>
      <w:szCs w:val="16"/>
      <w:lang w:val="en-US"/>
    </w:rPr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Droid Sans Fallback" w:cs="Lohit Devanagari"/>
      <w:color w:val="000000"/>
      <w:kern w:val="0"/>
      <w:sz w:val="24"/>
      <w:szCs w:val="24"/>
      <w:lang w:val="ru-RU" w:eastAsia="zh-CN" w:bidi="ar-SA"/>
    </w:rPr>
  </w:style>
  <w:style w:type="paragraph" w:styleId="Style23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4" w:customStyle="1">
    <w:name w:val="Заголовок таблицы"/>
    <w:basedOn w:val="Style23"/>
    <w:qFormat/>
    <w:pPr>
      <w:jc w:val="center"/>
    </w:pPr>
    <w:rPr>
      <w:b/>
      <w:bCs/>
    </w:rPr>
  </w:style>
  <w:style w:type="paragraph" w:styleId="14">
    <w:name w:val="Основной текст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TableParagraph">
    <w:name w:val="Table Paragraph"/>
    <w:qFormat/>
    <w:pPr>
      <w:widowControl w:val="false"/>
      <w:suppressAutoHyphens w:val="true"/>
      <w:bidi w:val="0"/>
      <w:spacing w:before="0" w:after="0"/>
      <w:ind w:hanging="0" w:left="107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TimesNewRoman">
    <w:name w:val="Times New Roman"/>
    <w:qFormat/>
    <w:pPr>
      <w:keepNext w:val="false"/>
      <w:keepLines w:val="false"/>
      <w:pageBreakBefore w:val="false"/>
      <w:widowControl/>
      <w:shd w:val="nil"/>
      <w:suppressAutoHyphens w:val="true"/>
      <w:bidi w:val="0"/>
      <w:spacing w:lineRule="auto" w:line="240" w:beforeAutospacing="0" w:before="0" w:afterAutospacing="0" w:after="0"/>
      <w:ind w:firstLine="311" w:left="0" w:right="0"/>
      <w:jc w:val="both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kern w:val="0"/>
      <w:position w:val="0"/>
      <w:sz w:val="24"/>
      <w:sz w:val="24"/>
      <w:szCs w:val="24"/>
      <w:u w:val="none"/>
      <w:vertAlign w:val="baseline"/>
      <w:lang w:val="ru-RU" w:eastAsia="ru-RU" w:bidi="ar-SA"/>
      <w14:ligatures w14:val="none"/>
    </w:rPr>
  </w:style>
  <w:style w:type="numbering" w:styleId="NoList" w:default="1">
    <w:name w:val="No List"/>
    <w:uiPriority w:val="99"/>
    <w:semiHidden/>
    <w:unhideWhenUsed/>
    <w:qFormat/>
  </w:style>
  <w:style w:type="table" w:styleId="832">
    <w:name w:val="Table Grid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33">
    <w:name w:val="Table Grid Light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34">
    <w:name w:val="Plain Table 1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0"/>
      </w:tcPr>
    </w:tblStylePr>
    <w:tblStylePr w:type="band1Vert">
      <w:tblPr/>
      <w:tcPr>
        <w:shd w:val="clear" w:color="FFFFFF" w:fill="F2F2F2" w:themeFill="text1" w:themeFillTint="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835">
    <w:name w:val="Plain Table 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836">
    <w:name w:val="Plain Table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0"/>
      </w:tcPr>
    </w:tblStylePr>
    <w:tblStylePr w:type="band1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</w:style>
  <w:style w:type="table" w:styleId="837">
    <w:name w:val="Plain Table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0"/>
      </w:tcPr>
    </w:tblStylePr>
    <w:tblStylePr w:type="band1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38">
    <w:name w:val="Plain Table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0"/>
      </w:tcPr>
    </w:tblStylePr>
    <w:tblStylePr w:type="band1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39">
    <w:name w:val="Grid Table 1 Ligh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40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41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42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43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44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45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46">
    <w:name w:val="Grid Table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47">
    <w:name w:val="Grid Table 2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AE5F1" w:themeFill="accent1" w:themeFillTint="34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48">
    <w:name w:val="Grid Table 2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49">
    <w:name w:val="Grid Table 2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0">
    <w:name w:val="Grid Table 2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1">
    <w:name w:val="Grid Table 2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2">
    <w:name w:val="Grid Table 2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3">
    <w:name w:val="Grid Table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4">
    <w:name w:val="Grid Table 3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AE5F1" w:themeFill="accent1" w:themeFillTint="34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5">
    <w:name w:val="Grid Table 3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6">
    <w:name w:val="Grid Table 3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7">
    <w:name w:val="Grid Table 3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8">
    <w:name w:val="Grid Table 3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9">
    <w:name w:val="Grid Table 3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60">
    <w:name w:val="Grid Table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</w:style>
  <w:style w:type="table" w:styleId="861">
    <w:name w:val="Grid Table 4 - Accent 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CE6F1" w:themeFill="accent1" w:themeFillTint="32"/>
      </w:tcPr>
    </w:tblStylePr>
    <w:tblStylePr w:type="band1Vert">
      <w:rPr>
        <w:sz w:val="22"/>
      </w:rPr>
      <w:tblPr/>
      <w:tcPr>
        <w:shd w:val="clear" w:color="FFFFFF" w:fill="DCE6F1" w:themeFill="accent1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DC2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</w:tcBorders>
      </w:tcPr>
    </w:tblStylePr>
  </w:style>
  <w:style w:type="table" w:styleId="862">
    <w:name w:val="Grid Table 4 - Accent 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99694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</w:tcBorders>
      </w:tcPr>
    </w:tblStylePr>
  </w:style>
  <w:style w:type="table" w:styleId="863">
    <w:name w:val="Grid Table 4 - Accent 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A59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</w:tcBorders>
      </w:tcPr>
    </w:tblStylePr>
  </w:style>
  <w:style w:type="table" w:styleId="864">
    <w:name w:val="Grid Table 4 - Accent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6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</w:tcBorders>
      </w:tcPr>
    </w:tblStylePr>
  </w:style>
  <w:style w:type="table" w:styleId="865">
    <w:name w:val="Grid Table 4 - Accent 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</w:tcBorders>
      </w:tcPr>
    </w:tblStylePr>
  </w:style>
  <w:style w:type="table" w:styleId="866">
    <w:name w:val="Grid Table 4 - Accent 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</w:tcBorders>
      </w:tcPr>
    </w:tblStylePr>
  </w:style>
  <w:style w:type="table" w:styleId="867">
    <w:name w:val="Grid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</w:style>
  <w:style w:type="table" w:styleId="868">
    <w:name w:val="Grid Table 5 Dark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DC5E0" w:themeFill="accent1" w:themeFillTint="75"/>
      </w:tcPr>
    </w:tblStylePr>
    <w:tblStylePr w:type="band1Vert">
      <w:tblPr/>
      <w:tcPr>
        <w:shd w:val="clear" w:color="FFFFFF" w:fill="ADC5E0" w:themeFill="accent1" w:themeFillTint="75"/>
      </w:tcPr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</w:style>
  <w:style w:type="table" w:styleId="869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1ADAC" w:themeFill="accent2" w:themeFillTint="75"/>
      </w:tcPr>
    </w:tblStylePr>
    <w:tblStylePr w:type="band1Vert">
      <w:tblPr/>
      <w:tcPr>
        <w:shd w:val="clear" w:color="FFFFFF" w:fill="E1ADAC" w:themeFill="accent2" w:themeFillTint="75"/>
      </w:tcPr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</w:style>
  <w:style w:type="table" w:styleId="870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DFB2" w:themeFill="accent3" w:themeFillTint="75"/>
      </w:tcPr>
    </w:tblStylePr>
    <w:tblStylePr w:type="band1Vert">
      <w:tblPr/>
      <w:tcPr>
        <w:shd w:val="clear" w:color="FFFFFF" w:fill="D1DFB2" w:themeFill="accent3" w:themeFillTint="75"/>
      </w:tcPr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</w:style>
  <w:style w:type="table" w:styleId="871">
    <w:name w:val="Grid Table 5 Dark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4B7D4" w:themeFill="accent4" w:themeFillTint="75"/>
      </w:tcPr>
    </w:tblStylePr>
    <w:tblStylePr w:type="band1Vert">
      <w:tblPr/>
      <w:tcPr>
        <w:shd w:val="clear" w:color="FFFFFF" w:fill="C4B7D4" w:themeFill="accent4" w:themeFillTint="75"/>
      </w:tcPr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</w:style>
  <w:style w:type="table" w:styleId="872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BD9E4" w:themeFill="accent5" w:themeFillTint="75"/>
      </w:tcPr>
    </w:tblStylePr>
    <w:tblStylePr w:type="band1Vert">
      <w:tblPr/>
      <w:tcPr>
        <w:shd w:val="clear" w:color="FFFFFF" w:fill="ABD9E4" w:themeFill="accent5" w:themeFillTint="75"/>
      </w:tcPr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</w:style>
  <w:style w:type="table" w:styleId="873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DA8" w:themeFill="accent6" w:themeFillTint="75"/>
      </w:tcPr>
    </w:tblStylePr>
    <w:tblStylePr w:type="band1Vert">
      <w:tblPr/>
      <w:tcPr>
        <w:shd w:val="clear" w:color="FFFFFF" w:fill="FBCDA8" w:themeFill="accent6" w:themeFillTint="75"/>
      </w:tcPr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</w:style>
  <w:style w:type="table" w:styleId="874">
    <w:name w:val="Grid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rPr>
        <w:b/>
        <w:color w:themeColor="text1" w:themeTint="80" w:themeShade="95"/>
      </w:rPr>
      <w:tblPr/>
    </w:tblStylePr>
    <w:tblStylePr w:type="firstRow"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themeColor="text1" w:themeTint="80" w:themeShade="95"/>
      </w:rPr>
      <w:tblPr/>
    </w:tblStylePr>
    <w:tblStylePr w:type="lastRow">
      <w:rPr>
        <w:b/>
        <w:color w:themeColor="text1" w:themeTint="80" w:themeShade="95"/>
      </w:rPr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875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firstCol">
      <w:rPr>
        <w:b/>
        <w:color w:themeColor="accent1" w:themeTint="80" w:themeShade="95"/>
      </w:rPr>
      <w:tblPr/>
    </w:tblStylePr>
    <w:tblStylePr w:type="firstRow">
      <w:rPr>
        <w:b/>
        <w:color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themeColor="accent1" w:themeTint="80" w:themeShade="95"/>
      </w:rPr>
      <w:tblPr/>
    </w:tblStylePr>
    <w:tblStylePr w:type="lastRow">
      <w:rPr>
        <w:b/>
        <w:color w:themeColor="accent1" w:themeTint="80" w:themeShade="95"/>
      </w:rPr>
      <w:tblPr/>
    </w:tblStylePr>
    <w:tblStylePr w:type="wholeTable">
      <w:rPr>
        <w:color w:themeColor="accent1" w:themeTint="80" w:themeShade="95"/>
        <w:sz w:val="22"/>
      </w:rPr>
      <w:tblPr/>
    </w:tblStylePr>
  </w:style>
  <w:style w:type="table" w:styleId="876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2DCDB" w:themeFill="accent2" w:themeFillTint="32"/>
      </w:tcPr>
    </w:tblStylePr>
    <w:tblStylePr w:type="band1Vert">
      <w:tblPr/>
      <w:tcPr>
        <w:shd w:val="clear" w:color="FFFFFF" w:fill="F2DCDB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877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AF0DD" w:themeFill="accent3" w:themeFillTint="34"/>
      </w:tcPr>
    </w:tblStylePr>
    <w:tblStylePr w:type="band1Vert">
      <w:tblPr/>
      <w:tcPr>
        <w:shd w:val="clear" w:color="FFFFFF" w:fill="EAF0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firstCol">
      <w:rPr>
        <w:b/>
        <w:color w:themeColor="accent3" w:themeTint="fe" w:themeShade="95"/>
      </w:rPr>
      <w:tblPr/>
    </w:tblStylePr>
    <w:tblStylePr w:type="firstRow">
      <w:rPr>
        <w:b/>
        <w:color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themeColor="accent3" w:themeTint="fe" w:themeShade="95"/>
      </w:rPr>
      <w:tblPr/>
    </w:tblStylePr>
    <w:tblStylePr w:type="lastRow">
      <w:rPr>
        <w:b/>
        <w:color w:themeColor="accent3" w:themeTint="fe" w:themeShade="95"/>
      </w:rPr>
      <w:tblPr/>
    </w:tblStylePr>
    <w:tblStylePr w:type="wholeTable">
      <w:rPr>
        <w:color w:themeColor="accent3" w:themeTint="fe" w:themeShade="95"/>
        <w:sz w:val="22"/>
      </w:rPr>
      <w:tblPr/>
    </w:tblStylePr>
  </w:style>
  <w:style w:type="table" w:styleId="878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879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880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881">
    <w:name w:val="Grid Table 7 Colorfu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F2F2F2" w:themeFill="text1" w:themeFillTint="0"/>
      </w:tcPr>
    </w:tblStylePr>
    <w:tblStylePr w:type="band1Vert">
      <w:tblPr/>
      <w:tcPr>
        <w:shd w:val="clear" w:color="FFFFFF" w:fill="F2F2F2" w:themeFill="text1" w:themeFillTint="0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82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83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2DCDB" w:themeFill="accent2" w:themeFillTint="32"/>
      </w:tcPr>
    </w:tblStylePr>
    <w:tblStylePr w:type="band1Vert">
      <w:tblPr/>
      <w:tcPr>
        <w:shd w:val="clear" w:color="FFFFFF" w:fill="F2DCDB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84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AF0DD" w:themeFill="accent3" w:themeFillTint="34"/>
      </w:tcPr>
    </w:tblStylePr>
    <w:tblStylePr w:type="band1Vert">
      <w:tblPr/>
      <w:tcPr>
        <w:shd w:val="clear" w:color="FFFFFF" w:fill="EAF0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85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86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b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87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b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88">
    <w:name w:val="List Table 1 Ligh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>
    <w:name w:val="List Table 1 Light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0">
    <w:name w:val="List Table 1 Light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1">
    <w:name w:val="List Table 1 Light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2">
    <w:name w:val="List Table 1 Light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3">
    <w:name w:val="List Table 1 Light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4">
    <w:name w:val="List Table 1 Light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5">
    <w:name w:val="List Table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896">
    <w:name w:val="List Table 2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E0EE" w:themeFill="accent1" w:themeFillTint="40"/>
      </w:tcPr>
    </w:tblStylePr>
    <w:tblStylePr w:type="band1Vert">
      <w:rPr>
        <w:sz w:val="22"/>
      </w:rPr>
      <w:tblPr/>
      <w:tcPr>
        <w:shd w:val="clear" w:color="FFFFFF" w:fill="D3E0EE" w:themeFill="accen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897">
    <w:name w:val="List Table 2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898">
    <w:name w:val="List Table 2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899">
    <w:name w:val="List Table 2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7" w:themeFill="accent4" w:themeFillTint="40"/>
      </w:tc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900">
    <w:name w:val="List Table 2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1EAF0" w:themeFill="accent5" w:themeFillTint="40"/>
      </w:tc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901">
    <w:name w:val="List Table 2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CE4D1" w:themeFill="accent6" w:themeFillTint="40"/>
      </w:tcPr>
    </w:tblStylePr>
    <w:tblStylePr w:type="band1Vert">
      <w:rPr>
        <w:sz w:val="22"/>
      </w:rPr>
      <w:tblPr/>
      <w:tcPr>
        <w:shd w:val="clear" w:color="FFFFFF" w:fill="FCE4D1" w:themeFill="accent6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902">
    <w:name w:val="List Table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03">
    <w:name w:val="List Table 3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04">
    <w:name w:val="List Table 3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05">
    <w:name w:val="List Table 3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3D69B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06">
    <w:name w:val="List Table 3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07">
    <w:name w:val="List Table 3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1CDDC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08">
    <w:name w:val="List Table 3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9BF90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09">
    <w:name w:val="List Table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10">
    <w:name w:val="List Table 4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E0EE" w:themeFill="accent1" w:themeFillTint="40"/>
      </w:tcPr>
    </w:tblStylePr>
    <w:tblStylePr w:type="band1Vert">
      <w:rPr>
        <w:sz w:val="22"/>
      </w:rPr>
      <w:tblPr/>
      <w:tcPr>
        <w:shd w:val="clear" w:color="FFFFFF" w:fill="D3E0EE" w:themeFill="accen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11">
    <w:name w:val="List Table 4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12">
    <w:name w:val="List Table 4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13">
    <w:name w:val="List Table 4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7" w:themeFill="accent4" w:themeFillTint="40"/>
      </w:tc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14">
    <w:name w:val="List Table 4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1EAF0" w:themeFill="accent5" w:themeFillTint="40"/>
      </w:tc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15">
    <w:name w:val="List Table 4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CE4D1" w:themeFill="accent6" w:themeFillTint="40"/>
      </w:tcPr>
    </w:tblStylePr>
    <w:tblStylePr w:type="band1Vert">
      <w:rPr>
        <w:sz w:val="22"/>
      </w:rPr>
      <w:tblPr/>
      <w:tcPr>
        <w:shd w:val="clear" w:color="FFFFFF" w:fill="FCE4D1" w:themeFill="accent6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16">
    <w:name w:val="List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17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18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99694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99694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99694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99694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19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B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B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20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6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6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21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1CDDC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1CDDC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1CDDC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1CDDC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22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9BF90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9BF90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9BF90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9BF90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23">
    <w:name w:val="List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/>
        <w:sz w:val="22"/>
      </w:rPr>
      <w:tblPr/>
    </w:tblStylePr>
    <w:tblStylePr w:type="firstCol">
      <w:rPr>
        <w:b/>
        <w:color w:themeColor="text1"/>
      </w:rPr>
      <w:tblPr/>
    </w:tblStylePr>
    <w:tblStylePr w:type="firstRow"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themeColor="text1"/>
      </w:rPr>
      <w:tblPr/>
    </w:tblStylePr>
    <w:tblStylePr w:type="lastRow"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</w:style>
  <w:style w:type="table" w:styleId="924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firstCol">
      <w:rPr>
        <w:b/>
        <w:color w:themeColor="accent1" w:themeShade="95"/>
      </w:rPr>
      <w:tblPr/>
    </w:tblStylePr>
    <w:tblStylePr w:type="firstRow">
      <w:rPr>
        <w:b/>
        <w:color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themeColor="accent1" w:themeShade="95"/>
      </w:rPr>
      <w:tblPr/>
    </w:tblStylePr>
    <w:tblStylePr w:type="lastRow">
      <w:rPr>
        <w:b/>
        <w:color w:themeColor="accent1" w:themeShade="95"/>
      </w:rPr>
      <w:tblPr/>
      <w:tcPr>
        <w:tcBorders>
          <w:top w:val="single" w:color="000000" w:themeColor="accent1" w:sz="4" w:space="0"/>
        </w:tcBorders>
      </w:tcPr>
    </w:tblStylePr>
  </w:style>
  <w:style w:type="table" w:styleId="925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</w:style>
  <w:style w:type="table" w:styleId="926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firstCol">
      <w:rPr>
        <w:b/>
        <w:color w:themeColor="accent3" w:themeTint="98" w:themeShade="95"/>
      </w:rPr>
      <w:tblPr/>
    </w:tblStylePr>
    <w:tblStylePr w:type="firstRow">
      <w:rPr>
        <w:b/>
        <w:color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themeColor="accent3" w:themeTint="98" w:themeShade="95"/>
      </w:rPr>
      <w:tblPr/>
    </w:tblStylePr>
    <w:tblStylePr w:type="lastRow">
      <w:rPr>
        <w:b/>
        <w:color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</w:style>
  <w:style w:type="table" w:styleId="927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</w:style>
  <w:style w:type="table" w:styleId="928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firstCol">
      <w:rPr>
        <w:b/>
        <w:color w:themeColor="accent5" w:themeTint="9a" w:themeShade="95"/>
      </w:rPr>
      <w:tblPr/>
    </w:tblStylePr>
    <w:tblStylePr w:type="firstRow">
      <w:rPr>
        <w:b/>
        <w:color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themeColor="accent5" w:themeTint="9a" w:themeShade="95"/>
      </w:rPr>
      <w:tblPr/>
    </w:tblStylePr>
    <w:tblStylePr w:type="lastRow">
      <w:rPr>
        <w:b/>
        <w:color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</w:style>
  <w:style w:type="table" w:styleId="929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firstCol">
      <w:rPr>
        <w:b/>
        <w:color w:themeColor="accent6" w:themeTint="98" w:themeShade="95"/>
      </w:rPr>
      <w:tblPr/>
    </w:tblStylePr>
    <w:tblStylePr w:type="firstRow">
      <w:rPr>
        <w:b/>
        <w:color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themeColor="accent6" w:themeTint="98" w:themeShade="95"/>
      </w:rPr>
      <w:tblPr/>
    </w:tblStylePr>
    <w:tblStylePr w:type="lastRow">
      <w:rPr>
        <w:b/>
        <w:color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</w:style>
  <w:style w:type="table" w:styleId="930">
    <w:name w:val="List Table 7 Colorfu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text1" w:themeTint="80" w:themeShade="95"/>
        <w:sz w:val="22"/>
      </w:rPr>
      <w:tblPr/>
    </w:tblStylePr>
  </w:style>
  <w:style w:type="table" w:styleId="93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1" w:themeShade="95"/>
        <w:sz w:val="22"/>
      </w:rPr>
      <w:tblPr/>
    </w:tblStylePr>
  </w:style>
  <w:style w:type="table" w:styleId="93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93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3" w:themeTint="98" w:themeShade="95"/>
        <w:sz w:val="22"/>
      </w:rPr>
      <w:tblPr/>
    </w:tblStylePr>
  </w:style>
  <w:style w:type="table" w:styleId="93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93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5" w:themeTint="9a" w:themeShade="95"/>
        <w:sz w:val="22"/>
      </w:rPr>
      <w:tblPr/>
    </w:tblStylePr>
  </w:style>
  <w:style w:type="table" w:styleId="93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6" w:themeTint="98" w:themeShade="95"/>
        <w:sz w:val="22"/>
      </w:rPr>
      <w:tblPr/>
    </w:tblStylePr>
  </w:style>
  <w:style w:type="table" w:styleId="937">
    <w:name w:val="Lined - Accen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0"/>
      </w:tcPr>
    </w:tblStylePr>
    <w:tblStylePr w:type="band2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938">
    <w:name w:val="Lined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firstCol">
      <w:rPr>
        <w:sz w:val="22"/>
      </w:rPr>
      <w:tblPr/>
      <w:tcPr>
        <w:shd w:val="clear" w:color="FFFFFF" w:fill="5D8DC2" w:themeFill="accent1" w:themeFillTint="ea"/>
      </w:tcPr>
    </w:tblStylePr>
    <w:tblStylePr w:type="firstRow">
      <w:rPr>
        <w:sz w:val="22"/>
      </w:rPr>
      <w:tblPr/>
      <w:tcPr>
        <w:shd w:val="clear" w:color="FFFFFF" w:fill="5D8DC2" w:themeFill="accent1" w:themeFillTint="ea"/>
      </w:tcPr>
    </w:tblStylePr>
    <w:tblStylePr w:type="lastCol">
      <w:rPr>
        <w:sz w:val="22"/>
      </w:rPr>
      <w:tblPr/>
      <w:tcPr>
        <w:shd w:val="clear" w:color="FFFFFF" w:fill="5D8DC2" w:themeFill="accent1" w:themeFillTint="ea"/>
      </w:tcPr>
    </w:tblStylePr>
    <w:tblStylePr w:type="lastRow">
      <w:rPr>
        <w:sz w:val="22"/>
      </w:rPr>
      <w:tblPr/>
      <w:tcPr>
        <w:shd w:val="clear" w:color="FFFFFF" w:fill="5D8DC2" w:themeFill="accent1" w:themeFillTint="ea"/>
      </w:tcPr>
    </w:tblStylePr>
  </w:style>
  <w:style w:type="table" w:styleId="939">
    <w:name w:val="Lined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DCDB" w:themeFill="accent2" w:themeFillTint="32"/>
      </w:tcPr>
    </w:tblStylePr>
    <w:tblStylePr w:type="band2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sz w:val="22"/>
      </w:rPr>
      <w:tblPr/>
      <w:tcPr>
        <w:shd w:val="clear" w:color="FFFFFF" w:fill="D99694" w:themeFill="accent2" w:themeFillTint="97"/>
      </w:tcPr>
    </w:tblStylePr>
    <w:tblStylePr w:type="firstRow">
      <w:rPr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sz w:val="22"/>
      </w:rPr>
      <w:tblPr/>
      <w:tcPr>
        <w:shd w:val="clear" w:color="FFFFFF" w:fill="D99694" w:themeFill="accent2" w:themeFillTint="97"/>
      </w:tcPr>
    </w:tblStylePr>
    <w:tblStylePr w:type="lastRow">
      <w:rPr>
        <w:sz w:val="22"/>
      </w:rPr>
      <w:tblPr/>
      <w:tcPr>
        <w:shd w:val="clear" w:color="FFFFFF" w:fill="D99694" w:themeFill="accent2" w:themeFillTint="97"/>
      </w:tcPr>
    </w:tblStylePr>
  </w:style>
  <w:style w:type="table" w:styleId="940">
    <w:name w:val="Lined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AF0DD" w:themeFill="accent3" w:themeFillTint="34"/>
      </w:tcPr>
    </w:tblStylePr>
    <w:tblStylePr w:type="band2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sz w:val="22"/>
      </w:rPr>
      <w:tblPr/>
      <w:tcPr>
        <w:shd w:val="clear" w:color="FFFFFF" w:fill="9BBA59" w:themeFill="accent3" w:themeFillTint="fe"/>
      </w:tcPr>
    </w:tblStylePr>
    <w:tblStylePr w:type="firstRow">
      <w:rPr>
        <w:sz w:val="22"/>
      </w:rPr>
      <w:tblPr/>
      <w:tcPr>
        <w:shd w:val="clear" w:color="FFFFFF" w:fill="9BBA59" w:themeFill="accent3" w:themeFillTint="fe"/>
      </w:tcPr>
    </w:tblStylePr>
    <w:tblStylePr w:type="lastCol">
      <w:rPr>
        <w:sz w:val="22"/>
      </w:rPr>
      <w:tblPr/>
      <w:tcPr>
        <w:shd w:val="clear" w:color="FFFFFF" w:fill="9BBA59" w:themeFill="accent3" w:themeFillTint="fe"/>
      </w:tcPr>
    </w:tblStylePr>
    <w:tblStylePr w:type="lastRow">
      <w:rPr>
        <w:sz w:val="22"/>
      </w:rPr>
      <w:tblPr/>
      <w:tcPr>
        <w:shd w:val="clear" w:color="FFFFFF" w:fill="9BBA59" w:themeFill="accent3" w:themeFillTint="fe"/>
      </w:tcPr>
    </w:tblStylePr>
  </w:style>
  <w:style w:type="table" w:styleId="941">
    <w:name w:val="Lined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</w:style>
  <w:style w:type="table" w:styleId="942">
    <w:name w:val="Lined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</w:style>
  <w:style w:type="table" w:styleId="943">
    <w:name w:val="Lined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</w:style>
  <w:style w:type="table" w:styleId="944">
    <w:name w:val="Bordered &amp; Lined - Accen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0"/>
      </w:tcPr>
    </w:tblStylePr>
    <w:tblStylePr w:type="band2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945">
    <w:name w:val="Bordered &amp; Lin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firstCol">
      <w:rPr>
        <w:sz w:val="22"/>
      </w:rPr>
      <w:tblPr/>
      <w:tcPr>
        <w:shd w:val="clear" w:color="FFFFFF" w:fill="5D8DC2" w:themeFill="accent1" w:themeFillTint="ea"/>
      </w:tcPr>
    </w:tblStylePr>
    <w:tblStylePr w:type="firstRow">
      <w:rPr>
        <w:sz w:val="22"/>
      </w:rPr>
      <w:tblPr/>
      <w:tcPr>
        <w:shd w:val="clear" w:color="FFFFFF" w:fill="5D8DC2" w:themeFill="accent1" w:themeFillTint="ea"/>
      </w:tcPr>
    </w:tblStylePr>
    <w:tblStylePr w:type="lastCol">
      <w:rPr>
        <w:sz w:val="22"/>
      </w:rPr>
      <w:tblPr/>
      <w:tcPr>
        <w:shd w:val="clear" w:color="FFFFFF" w:fill="5D8DC2" w:themeFill="accent1" w:themeFillTint="ea"/>
      </w:tcPr>
    </w:tblStylePr>
    <w:tblStylePr w:type="lastRow">
      <w:rPr>
        <w:sz w:val="22"/>
      </w:rPr>
      <w:tblPr/>
      <w:tcPr>
        <w:shd w:val="clear" w:color="FFFFFF" w:fill="5D8DC2" w:themeFill="accent1" w:themeFillTint="ea"/>
      </w:tcPr>
    </w:tblStylePr>
  </w:style>
  <w:style w:type="table" w:styleId="946">
    <w:name w:val="Bordered &amp; Lin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DCDB" w:themeFill="accent2" w:themeFillTint="32"/>
      </w:tcPr>
    </w:tblStylePr>
    <w:tblStylePr w:type="band2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sz w:val="22"/>
      </w:rPr>
      <w:tblPr/>
      <w:tcPr>
        <w:shd w:val="clear" w:color="FFFFFF" w:fill="D99694" w:themeFill="accent2" w:themeFillTint="97"/>
      </w:tcPr>
    </w:tblStylePr>
    <w:tblStylePr w:type="firstRow">
      <w:rPr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sz w:val="22"/>
      </w:rPr>
      <w:tblPr/>
      <w:tcPr>
        <w:shd w:val="clear" w:color="FFFFFF" w:fill="D99694" w:themeFill="accent2" w:themeFillTint="97"/>
      </w:tcPr>
    </w:tblStylePr>
    <w:tblStylePr w:type="lastRow">
      <w:rPr>
        <w:sz w:val="22"/>
      </w:rPr>
      <w:tblPr/>
      <w:tcPr>
        <w:shd w:val="clear" w:color="FFFFFF" w:fill="D99694" w:themeFill="accent2" w:themeFillTint="97"/>
      </w:tcPr>
    </w:tblStylePr>
  </w:style>
  <w:style w:type="table" w:styleId="947">
    <w:name w:val="Bordered &amp; Lin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AF0DD" w:themeFill="accent3" w:themeFillTint="34"/>
      </w:tcPr>
    </w:tblStylePr>
    <w:tblStylePr w:type="band2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sz w:val="22"/>
      </w:rPr>
      <w:tblPr/>
      <w:tcPr>
        <w:shd w:val="clear" w:color="FFFFFF" w:fill="9BBA59" w:themeFill="accent3" w:themeFillTint="fe"/>
      </w:tcPr>
    </w:tblStylePr>
    <w:tblStylePr w:type="firstRow">
      <w:rPr>
        <w:sz w:val="22"/>
      </w:rPr>
      <w:tblPr/>
      <w:tcPr>
        <w:shd w:val="clear" w:color="FFFFFF" w:fill="9BBA59" w:themeFill="accent3" w:themeFillTint="fe"/>
      </w:tcPr>
    </w:tblStylePr>
    <w:tblStylePr w:type="lastCol">
      <w:rPr>
        <w:sz w:val="22"/>
      </w:rPr>
      <w:tblPr/>
      <w:tcPr>
        <w:shd w:val="clear" w:color="FFFFFF" w:fill="9BBA59" w:themeFill="accent3" w:themeFillTint="fe"/>
      </w:tcPr>
    </w:tblStylePr>
    <w:tblStylePr w:type="lastRow">
      <w:rPr>
        <w:sz w:val="22"/>
      </w:rPr>
      <w:tblPr/>
      <w:tcPr>
        <w:shd w:val="clear" w:color="FFFFFF" w:fill="9BBA59" w:themeFill="accent3" w:themeFillTint="fe"/>
      </w:tcPr>
    </w:tblStylePr>
  </w:style>
  <w:style w:type="table" w:styleId="948">
    <w:name w:val="Bordered &amp; Lin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</w:style>
  <w:style w:type="table" w:styleId="949">
    <w:name w:val="Bordered &amp; Lin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</w:style>
  <w:style w:type="table" w:styleId="950">
    <w:name w:val="Bordered &amp; Lin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</w:style>
  <w:style w:type="table" w:styleId="951">
    <w:name w:val="Bordered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</w:style>
  <w:style w:type="table" w:styleId="952">
    <w:name w:val="Border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1" w:sz="12" w:space="0"/>
        </w:tcBorders>
      </w:tcPr>
    </w:tblStylePr>
  </w:style>
  <w:style w:type="table" w:styleId="953">
    <w:name w:val="Border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2" w:sz="12" w:space="0"/>
        </w:tcBorders>
      </w:tcPr>
    </w:tblStylePr>
  </w:style>
  <w:style w:type="table" w:styleId="954">
    <w:name w:val="Border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3" w:sz="12" w:space="0"/>
        </w:tcBorders>
      </w:tcPr>
    </w:tblStylePr>
  </w:style>
  <w:style w:type="table" w:styleId="955">
    <w:name w:val="Border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4" w:sz="12" w:space="0"/>
        </w:tcBorders>
      </w:tcPr>
    </w:tblStylePr>
  </w:style>
  <w:style w:type="table" w:styleId="956">
    <w:name w:val="Border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5" w:sz="12" w:space="0"/>
        </w:tcBorders>
      </w:tcPr>
    </w:tblStylePr>
  </w:style>
  <w:style w:type="table" w:styleId="957">
    <w:name w:val="Border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6" w:sz="12" w:space="0"/>
        </w:tcBorders>
      </w:tcPr>
    </w:tblStylePr>
  </w:style>
  <w:style w:type="table" w:default="1" w:styleId="958">
    <w:name w:val="Normal Table"/>
    <w:uiPriority w:val="99"/>
    <w:semiHidden/>
    <w:unhideWhenUsed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torgi.gov.ru/" TargetMode="External"/><Relationship Id="rId3" Type="http://schemas.openxmlformats.org/officeDocument/2006/relationships/hyperlink" Target="http://www.gorodperm.ru/" TargetMode="External"/><Relationship Id="rId4" Type="http://schemas.openxmlformats.org/officeDocument/2006/relationships/hyperlink" Target="http://utp.sberbank-ast.ru/" TargetMode="External"/><Relationship Id="rId5" Type="http://schemas.openxmlformats.org/officeDocument/2006/relationships/hyperlink" Target="http://utp.sberbank-ast.ru/" TargetMode="External"/><Relationship Id="rId6" Type="http://schemas.openxmlformats.org/officeDocument/2006/relationships/hyperlink" Target="https://utp.sberbank-ast.ru/Main/Notice/988/Reglament" TargetMode="External"/><Relationship Id="rId7" Type="http://schemas.openxmlformats.org/officeDocument/2006/relationships/hyperlink" Target="https://utp.sberbank-ast.ru/AP/Notice/1027/Instructions" TargetMode="External"/><Relationship Id="rId8" Type="http://schemas.openxmlformats.org/officeDocument/2006/relationships/hyperlink" Target="https://utp.sberbank-ast.ru/AP/Notice/652/Instructions" TargetMode="External"/><Relationship Id="rId9" Type="http://schemas.openxmlformats.org/officeDocument/2006/relationships/hyperlink" Target="http://www.gorodperm.ru/" TargetMode="External"/><Relationship Id="rId10" Type="http://schemas.openxmlformats.org/officeDocument/2006/relationships/hyperlink" Target="http://www.gorodperm.ru/" TargetMode="External"/><Relationship Id="rId11" Type="http://schemas.openxmlformats.org/officeDocument/2006/relationships/hyperlink" Target="https://" TargetMode="External"/><Relationship Id="rId12" Type="http://schemas.openxmlformats.org/officeDocument/2006/relationships/hyperlink" Target="mailto:perm-mail@ural.rt.ru" TargetMode="External"/><Relationship Id="rId13" Type="http://schemas.openxmlformats.org/officeDocument/2006/relationships/hyperlink" Target="http://utp.sberbank-ast.ru/AP/Notice/653/Requisites" TargetMode="External"/><Relationship Id="rId14" Type="http://schemas.openxmlformats.org/officeDocument/2006/relationships/header" Target="header1.xml"/><Relationship Id="rId15" Type="http://schemas.openxmlformats.org/officeDocument/2006/relationships/header" Target="header2.xml"/><Relationship Id="rId16" Type="http://schemas.openxmlformats.org/officeDocument/2006/relationships/numbering" Target="numbering.xml"/><Relationship Id="rId17" Type="http://schemas.openxmlformats.org/officeDocument/2006/relationships/fontTable" Target="fontTable.xml"/><Relationship Id="rId18" Type="http://schemas.openxmlformats.org/officeDocument/2006/relationships/settings" Target="settings.xml"/><Relationship Id="rId1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Application>LibreOffice/7.6.7.2$Linux_X86_64 LibreOffice_project/60$Build-2</Application>
  <AppVersion>15.0000</AppVersion>
  <Pages>17</Pages>
  <Words>5707</Words>
  <Characters>40286</Characters>
  <CharactersWithSpaces>46299</CharactersWithSpaces>
  <Paragraphs>259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2023-10-30T09:15:00Z</dcterms:created>
  <dc:creator>Tatyannikova</dc:creator>
  <dc:description/>
  <dc:language>ru-RU</dc:language>
  <cp:lastModifiedBy/>
  <cp:lastPrinted>2026-06-16T15:13:14Z</cp:lastPrinted>
  <dcterms:modified xsi:type="dcterms:W3CDTF">2026-07-17T15:02:14Z</dcterms:modified>
  <cp:revision>392</cp:revision>
  <dc:subject/>
  <dc:title>Департамент имущественных отношений администрации города Перми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