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5"/>
        <w:numPr>
          <w:ilvl w:val="0"/>
          <w:numId w:val="0"/>
        </w:numPr>
        <w:ind w:left="0" w:firstLine="0"/>
        <w:jc w:val="center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Департамент имущественных отношений администрации города Перми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5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5"/>
        <w:numPr>
          <w:ilvl w:val="0"/>
          <w:numId w:val="0"/>
        </w:numPr>
        <w:ind w:left="0" w:firstLine="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Протокол рассмотрения заявок на участие в электронных аукционах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15"/>
        <w:numPr>
          <w:ilvl w:val="0"/>
          <w:numId w:val="0"/>
        </w:numPr>
        <w:ind w:left="0" w:firstLine="0"/>
        <w:jc w:val="center"/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на право</w:t>
      </w:r>
      <w:r>
        <w:rPr>
          <w:rFonts w:eastAsia="Droid Sans Fallback" w:cs="Lohit Devanagari"/>
          <w:b/>
          <w:color w:val="auto"/>
          <w:sz w:val="28"/>
          <w:szCs w:val="28"/>
          <w:lang w:val="ru-RU" w:eastAsia="ru-RU" w:bidi="ar-SA"/>
        </w:rPr>
        <w:t xml:space="preserve"> заключения договоров аренды  зем</w:t>
      </w:r>
      <w:r>
        <w:rPr>
          <w:b/>
          <w:sz w:val="28"/>
          <w:szCs w:val="28"/>
        </w:rPr>
        <w:t xml:space="preserve">ельных участков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15"/>
        <w:numPr>
          <w:ilvl w:val="0"/>
          <w:numId w:val="0"/>
        </w:numPr>
        <w:ind w:left="0" w:firstLine="0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г. Пермь, ул. Сибирская, д.14, каб. 2                      </w:t>
        <w:tab/>
        <w:t xml:space="preserve">                               22</w:t>
      </w:r>
      <w:r>
        <w:rPr>
          <w:sz w:val="28"/>
          <w:szCs w:val="28"/>
        </w:rPr>
        <w:t xml:space="preserve">.07.2026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5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5"/>
        <w:ind w:firstLine="720"/>
        <w:jc w:val="both"/>
        <w:spacing w:line="276" w:lineRule="auto"/>
        <w:tabs>
          <w:tab w:val="clear" w:pos="708" w:leader="none"/>
          <w:tab w:val="left" w:pos="2805" w:leader="none"/>
        </w:tabs>
        <w:rPr>
          <w:highlight w:val="white"/>
        </w:rPr>
      </w:pPr>
      <w:r>
        <w:rPr>
          <w:sz w:val="28"/>
          <w:szCs w:val="28"/>
          <w:highlight w:val="white"/>
        </w:rPr>
        <w:t xml:space="preserve">Комиссия по проведению аукционов по продаже земельных участков, находящихся в муниципальной собственности города Перми, и участков, собственность на котор</w:t>
      </w:r>
      <w:r>
        <w:rPr>
          <w:sz w:val="28"/>
          <w:szCs w:val="28"/>
          <w:highlight w:val="white"/>
        </w:rPr>
        <w:t xml:space="preserve">ые не разграничена, объектов незавершенного строительства, расположенных на земельных участках, находящихся                              в муниципальной собственности города Перми, и участках, собственность                  на которые не разграничена, или </w:t>
      </w:r>
      <w:r>
        <w:rPr>
          <w:sz w:val="28"/>
          <w:szCs w:val="28"/>
          <w:highlight w:val="white"/>
        </w:rPr>
        <w:t xml:space="preserve">на право заключения договоров аренды земельных участков, находящихся в муниципальной собственности города Перми, и участков, собственность на которые не разграничена, утвержденная постановлением администрации города Перми от 20.11.2008 № 1089, в  составе: </w:t>
      </w:r>
      <w:r>
        <w:rPr>
          <w:highlight w:val="white"/>
        </w:rPr>
      </w:r>
      <w:r>
        <w:rPr>
          <w:highlight w:val="white"/>
        </w:rPr>
      </w:r>
    </w:p>
    <w:p>
      <w:pPr>
        <w:pStyle w:val="815"/>
        <w:jc w:val="both"/>
        <w:spacing w:line="276" w:lineRule="auto"/>
        <w:rPr>
          <w:highlight w:val="white"/>
        </w:rPr>
      </w:pPr>
      <w:r>
        <w:rPr>
          <w:sz w:val="28"/>
          <w:szCs w:val="28"/>
          <w:highlight w:val="white"/>
        </w:rPr>
        <w:t xml:space="preserve">             </w:t>
      </w:r>
      <w:r>
        <w:rPr>
          <w:highlight w:val="white"/>
        </w:rPr>
      </w:r>
      <w:r>
        <w:rPr>
          <w:highlight w:val="white"/>
        </w:rPr>
      </w:r>
    </w:p>
    <w:p>
      <w:pPr>
        <w:pStyle w:val="815"/>
        <w:ind w:left="3543" w:right="0" w:hanging="3543"/>
        <w:jc w:val="both"/>
        <w:spacing w:before="0" w:after="120" w:line="276" w:lineRule="auto"/>
        <w:widowControl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Председатель комиссии: Соснин А.В., и.о. начальника департамента имущественных отношений администрации города Перми;   </w:t>
      </w:r>
      <w:r>
        <w:rPr>
          <w:highlight w:val="white"/>
        </w:rPr>
      </w:r>
      <w:r>
        <w:rPr>
          <w:highlight w:val="white"/>
        </w:rPr>
      </w:r>
    </w:p>
    <w:p>
      <w:pPr>
        <w:pStyle w:val="815"/>
        <w:ind w:left="4680" w:right="0" w:hanging="4680"/>
        <w:jc w:val="both"/>
        <w:spacing w:before="0" w:after="120" w:line="276" w:lineRule="auto"/>
        <w:widowControl/>
        <w:rPr>
          <w:highlight w:val="white"/>
        </w:rPr>
      </w:pPr>
      <w:r>
        <w:rPr>
          <w:sz w:val="28"/>
          <w:szCs w:val="28"/>
          <w:highlight w:val="white"/>
          <w:lang w:eastAsia="en-US"/>
        </w:rPr>
        <w:t xml:space="preserve">Заместитель председателя комиссии: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en-US" w:bidi="ar-SA"/>
        </w:rPr>
        <w:t xml:space="preserve">Шафранова Е.П.,</w:t>
      </w:r>
      <w:r>
        <w:rPr>
          <w:sz w:val="28"/>
          <w:szCs w:val="28"/>
          <w:highlight w:val="white"/>
          <w:lang w:eastAsia="en-US"/>
        </w:rPr>
        <w:t xml:space="preserve"> заместитель начальника департамента земельных отношений администрации города Перми;  </w:t>
      </w:r>
      <w:r>
        <w:rPr>
          <w:highlight w:val="white"/>
        </w:rPr>
      </w:r>
      <w:r>
        <w:rPr>
          <w:highlight w:val="white"/>
        </w:rPr>
      </w:r>
    </w:p>
    <w:p>
      <w:pPr>
        <w:pStyle w:val="815"/>
        <w:ind w:left="2126" w:right="0" w:hanging="2126"/>
        <w:jc w:val="both"/>
        <w:spacing w:before="0" w:after="0" w:line="276" w:lineRule="auto"/>
        <w:widowControl/>
        <w:tabs>
          <w:tab w:val="clear" w:pos="708" w:leader="none"/>
          <w:tab w:val="left" w:pos="2100" w:leader="none"/>
        </w:tabs>
        <w:rPr>
          <w:rFonts w:eastAsia="Droid Sans Fallback" w:cs="Lohit Devanagari"/>
          <w:color w:val="000000"/>
          <w:sz w:val="28"/>
          <w:szCs w:val="28"/>
          <w:highlight w:val="none"/>
          <w:lang w:val="ru-RU" w:eastAsia="ru-RU" w:bidi="ar-SA"/>
        </w:rPr>
      </w:pPr>
      <w:r>
        <w:rPr>
          <w:rFonts w:eastAsia="Droid Sans Fallback" w:cs="Lohit Devanagari"/>
          <w:color w:val="000000"/>
          <w:sz w:val="28"/>
          <w:szCs w:val="28"/>
          <w:shd w:val="clear" w:color="auto" w:fill="auto"/>
          <w:lang w:val="ru-RU" w:eastAsia="ru-RU" w:bidi="ar-SA"/>
        </w:rPr>
        <w:t xml:space="preserve">Члены комиссии: Союстова А.А., заместитель начальника отдела сопровождения договоров департамента земельных отношений администрации города Перми;</w:t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ru-RU" w:bidi="ar-SA"/>
        </w:rPr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ru-RU" w:bidi="ar-SA"/>
        </w:rPr>
      </w:r>
    </w:p>
    <w:p>
      <w:pPr>
        <w:pStyle w:val="815"/>
        <w:ind w:left="2126" w:right="0" w:firstLine="0"/>
        <w:jc w:val="both"/>
        <w:spacing w:before="0" w:after="0" w:line="276" w:lineRule="auto"/>
        <w:widowControl/>
        <w:tabs>
          <w:tab w:val="left" w:pos="708" w:leader="none"/>
        </w:tabs>
      </w:pPr>
      <w:r>
        <w:rPr>
          <w:rFonts w:eastAsia="Droid Sans Fallback" w:cs="Lohit Devanagari"/>
          <w:color w:val="000000"/>
          <w:sz w:val="28"/>
          <w:szCs w:val="28"/>
          <w:highlight w:val="white"/>
          <w:shd w:val="clear" w:color="auto" w:fill="auto"/>
          <w:lang w:val="ru-RU" w:eastAsia="ru-RU" w:bidi="ar-SA"/>
        </w:rPr>
        <w:t xml:space="preserve">Четина Ю.И., заместитель начальника отдела по распоряжению муниципальным имуществом управления по распоряжению муниципальным имуществом департамента имущественных отношений администрации города Перми;</w:t>
      </w:r>
      <w:r/>
    </w:p>
    <w:p>
      <w:pPr>
        <w:pStyle w:val="815"/>
        <w:ind w:left="2160" w:right="0" w:firstLine="0"/>
        <w:jc w:val="both"/>
        <w:spacing w:before="0" w:after="0" w:line="276" w:lineRule="auto"/>
        <w:widowControl/>
        <w:rPr>
          <w:rFonts w:ascii="Times New Roman" w:hAnsi="Times New Roman" w:eastAsia="Droid Sans Fallback" w:cs="Lohit Devanagari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sz w:val="28"/>
          <w:szCs w:val="28"/>
          <w:lang w:val="ru-RU" w:eastAsia="en-US" w:bidi="ar-SA"/>
        </w:rPr>
      </w:r>
      <w:r>
        <w:rPr>
          <w:rFonts w:ascii="Times New Roman" w:hAnsi="Times New Roman" w:eastAsia="Droid Sans Fallback" w:cs="Lohit Devanagari"/>
          <w:sz w:val="28"/>
          <w:szCs w:val="28"/>
          <w:lang w:val="ru-RU" w:eastAsia="en-US" w:bidi="ar-SA"/>
        </w:rPr>
      </w:r>
      <w:r>
        <w:rPr>
          <w:rFonts w:ascii="Times New Roman" w:hAnsi="Times New Roman" w:eastAsia="Droid Sans Fallback" w:cs="Lohit Devanagari"/>
          <w:sz w:val="28"/>
          <w:szCs w:val="28"/>
          <w:lang w:val="ru-RU" w:eastAsia="en-US" w:bidi="ar-SA"/>
        </w:rPr>
      </w:r>
    </w:p>
    <w:p>
      <w:pPr>
        <w:pStyle w:val="815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pPr>
      <w:r>
        <w:rPr>
          <w:sz w:val="28"/>
          <w:szCs w:val="28"/>
        </w:rPr>
        <w:t xml:space="preserve">рассмотрев заявки на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участие в электронных аукционах, назначенных                           на 23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.07.2026 (процедура 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№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ru-RU" w:bidi="ar-SA"/>
        </w:rPr>
        <w:t xml:space="preserve"> 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ru-RU" w:bidi="ar-SA"/>
        </w:rPr>
        <w:t xml:space="preserve">SBR012-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  <w:highlight w:val="white"/>
        </w:rPr>
        <w:t xml:space="preserve">2606260039</w:t>
      </w:r>
      <w:r>
        <w:rPr>
          <w:rFonts w:eastAsia="Droid Sans Fallback" w:cs="Lohit Devanagari"/>
          <w:color w:val="auto"/>
          <w:sz w:val="28"/>
          <w:szCs w:val="28"/>
          <w:highlight w:val="white"/>
          <w:lang w:val="ru-RU" w:eastAsia="ru-RU" w:bidi="ar-SA"/>
        </w:rPr>
        <w:t xml:space="preserve">), р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е</w:t>
      </w: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шила: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/>
        </w:rPr>
      </w:r>
    </w:p>
    <w:p>
      <w:pPr>
        <w:pStyle w:val="815"/>
        <w:ind w:left="0" w:right="0" w:firstLine="0"/>
        <w:jc w:val="both"/>
        <w:spacing w:before="0" w:after="0"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  <w:suppressLineNumbers w:val="0"/>
      </w:pPr>
      <w:r>
        <w:rPr>
          <w:b/>
          <w:sz w:val="28"/>
          <w:szCs w:val="28"/>
        </w:rPr>
        <w:t xml:space="preserve">Лот № 1 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Право заключения договора аренды земельного участка, государственная собственность на который не разграничена, с кадастровым номером 59:01:0000000:91562 площадью 565 кв. м, расположенно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го по адресу: Росс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ийская Федерация, Пермский край, городской округ Пермский, город Пермь, улица Кутузова, з/у 2г, для индивидуального жилищного строительства. Разрешенное использование земельного участка – для индивидуального жилищного строительства (2.1) (далее – лот № 1).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</w:p>
    <w:tbl>
      <w:tblPr>
        <w:tblW w:w="9921" w:type="dxa"/>
        <w:tblInd w:w="10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3260"/>
        <w:gridCol w:w="1843"/>
        <w:gridCol w:w="1984"/>
        <w:gridCol w:w="2125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Единственный заявитель,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номер заявки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Дата и время подачи заявки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Сведения               о внесенном задатке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5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Решение комиссии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sz w:val="28"/>
                <w:szCs w:val="28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Шубина Виталика Александровна </w:t>
            </w: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в лице представителя Шубина Сергея Владимировича</w:t>
            </w:r>
            <w:r>
              <w:rPr>
                <w:rFonts w:eastAsia="Droid Sans Fallback" w:cs="Lohit Devanagari"/>
                <w:color w:val="auto"/>
                <w:sz w:val="28"/>
                <w:szCs w:val="28"/>
                <w:lang w:val="ru-RU" w:eastAsia="ru-RU" w:bidi="ar-SA"/>
              </w:rPr>
              <w:t xml:space="preserve">, действующего на основании доверенности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,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3881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843" w:type="dxa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21.07.2026 11:14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71 200,00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5" w:type="dxa"/>
            <w:textDirection w:val="lrTb"/>
            <w:noWrap w:val="false"/>
          </w:tcPr>
          <w:p>
            <w:pPr>
              <w:pStyle w:val="815"/>
              <w:contextualSpacing w:val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</w:rPr>
              <w:suppressLineNumbers w:val="0"/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</w:t>
              <w:br/>
              <w:t xml:space="preserve">к участию </w:t>
              <w:br/>
              <w:t xml:space="preserve">в аукционе </w:t>
              <w:br/>
              <w:t xml:space="preserve">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</w:rPr>
            </w:r>
          </w:p>
        </w:tc>
      </w:tr>
    </w:tbl>
    <w:p>
      <w:pPr>
        <w:pStyle w:val="815"/>
        <w:contextualSpacing w:val="0"/>
        <w:ind w:firstLine="708"/>
        <w:jc w:val="both"/>
        <w:spacing w:before="0" w:after="0" w:line="276" w:lineRule="auto"/>
        <w:suppressLineNumbers w:val="0"/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  <w:t xml:space="preserve">Признать аукцион несостоявшимся по лоту 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/>
          <w:sz w:val="28"/>
          <w:szCs w:val="28"/>
        </w:rPr>
        <w:t xml:space="preserve">№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/>
          <w:sz w:val="28"/>
          <w:szCs w:val="28"/>
        </w:rPr>
        <w:t xml:space="preserve">1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  <w:t xml:space="preserve">в связи с тем, что                      по окончании срока подачи заявок на участие в аукционе по данному лоту подана только одна заявка на участие в аукционе.</w:t>
      </w:r>
      <w:r/>
    </w:p>
    <w:p>
      <w:pPr>
        <w:pStyle w:val="859"/>
        <w:contextualSpacing w:val="0"/>
        <w:ind w:firstLine="708"/>
        <w:jc w:val="both"/>
        <w:spacing w:before="0" w:after="0" w:line="276" w:lineRule="auto"/>
        <w:suppressLineNumbers w:val="0"/>
      </w:pPr>
      <w:r>
        <w:rPr>
          <w:color w:val="000000"/>
          <w:sz w:val="28"/>
          <w:szCs w:val="28"/>
        </w:rPr>
        <w:t xml:space="preserve">Единственная заявка на участие в аукционе и заявитель, подавший указанную заявку, соответствуют всем требованиям и условиям, указанным                 в извещении о проведении аукциона. </w:t>
      </w:r>
      <w:r/>
    </w:p>
    <w:p>
      <w:pPr>
        <w:pStyle w:val="859"/>
        <w:contextualSpacing w:val="0"/>
        <w:ind w:left="0" w:right="0" w:firstLine="708"/>
        <w:jc w:val="both"/>
        <w:spacing w:before="0" w:after="0" w:line="276" w:lineRule="auto"/>
        <w:suppressLineNumbers w:val="0"/>
      </w:pPr>
      <w:r>
        <w:rPr>
          <w:rFonts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  <w:t xml:space="preserve">В соответствии с пунктом 12 статьи 39.13 Земельного кодекса Российской Федерации уполномоченный орган  в течение пяти дней со дня истечения срока, предусмотренного п. 11 ст. 39.13 Земельного кодекса Российской Федерации обязан направить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  <w:t xml:space="preserve"> заявителю, признанному единственным участником аукциона, подписанный проект 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аукциона:</w:t>
      </w:r>
      <w:r/>
    </w:p>
    <w:p>
      <w:pPr>
        <w:contextualSpacing w:val="0"/>
        <w:ind w:firstLine="708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  <w:suppressLineNumbers w:val="0"/>
      </w:pPr>
      <w:r>
        <w:rPr>
          <w:b/>
          <w:color w:val="000000"/>
          <w:sz w:val="28"/>
          <w:szCs w:val="28"/>
        </w:rPr>
        <w:t xml:space="preserve">по лоту </w:t>
      </w:r>
      <w:r>
        <w:rPr>
          <w:rFonts w:eastAsia="Droid Sans Fallback" w:cs="Lohit Devanagari"/>
          <w:b/>
          <w:color w:val="000000"/>
          <w:sz w:val="28"/>
          <w:szCs w:val="28"/>
          <w:lang w:val="ru-RU" w:eastAsia="ru-RU" w:bidi="ar-SA"/>
        </w:rPr>
        <w:t xml:space="preserve">№ </w:t>
      </w:r>
      <w:r>
        <w:rPr>
          <w:rFonts w:eastAsia="Droid Sans Fallback" w:cs="Lohit Devanagari"/>
          <w:b/>
          <w:color w:val="000000"/>
          <w:sz w:val="28"/>
          <w:szCs w:val="28"/>
          <w:lang w:val="ru-RU" w:eastAsia="ru-RU" w:bidi="ar-SA"/>
        </w:rPr>
        <w:t xml:space="preserve">1</w:t>
      </w:r>
      <w:r>
        <w:rPr>
          <w:rFonts w:eastAsia="Droid Sans Fallback" w:cs="Lohit Devanagari"/>
          <w:b/>
          <w:bCs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eastAsia="Droid Sans Fallback" w:cs="Lohit Devanagari"/>
          <w:b/>
          <w:color w:val="000000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mallCaps w:val="0"/>
          <w:color w:val="000000"/>
          <w:sz w:val="28"/>
          <w:szCs w:val="28"/>
        </w:rPr>
        <w:t xml:space="preserve">142 400,00</w:t>
      </w:r>
      <w:r>
        <w:rPr>
          <w:rFonts w:eastAsia="Droid Sans Fallback" w:cs="Lohit Devanagari"/>
          <w:b/>
          <w:color w:val="000000"/>
          <w:sz w:val="28"/>
          <w:szCs w:val="28"/>
          <w:lang w:val="ru-RU" w:eastAsia="ru-RU" w:bidi="ar-SA"/>
        </w:rPr>
        <w:t xml:space="preserve"> руб.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</w:p>
    <w:p>
      <w:pPr>
        <w:pStyle w:val="859"/>
        <w:contextualSpacing w:val="0"/>
        <w:ind w:left="0" w:right="0" w:firstLine="709"/>
        <w:jc w:val="both"/>
        <w:spacing w:before="0" w:after="0" w:line="276" w:lineRule="auto"/>
        <w:rPr>
          <w:rFonts w:ascii="Times New Roman" w:hAnsi="Times New Roman" w:eastAsia="Droid Sans Fallback" w:cs="Lohit Devanagari"/>
          <w:b w:val="0"/>
          <w:bCs w:val="0"/>
          <w:color w:val="auto"/>
          <w:sz w:val="28"/>
          <w:szCs w:val="28"/>
          <w:highlight w:val="white"/>
        </w:rPr>
        <w:suppressLineNumbers w:val="0"/>
      </w:pPr>
      <w:r>
        <w:rPr>
          <w:rFonts w:eastAsia="Droid Sans Fallback" w:cs="Lohit Devanagari"/>
          <w:iCs w:val="0"/>
          <w:color w:val="auto"/>
          <w:sz w:val="28"/>
          <w:szCs w:val="28"/>
          <w:highlight w:val="white"/>
          <w:lang w:val="ru-RU" w:eastAsia="ru-RU" w:bidi="ar-SA"/>
        </w:rPr>
        <w:t xml:space="preserve">В соответствии с</w:t>
      </w:r>
      <w:r>
        <w:rPr>
          <w:rFonts w:eastAsia="Droid Sans Fallback" w:cs="Lohit Devanagari"/>
          <w:iCs w:val="0"/>
          <w:color w:val="auto"/>
          <w:sz w:val="28"/>
          <w:szCs w:val="28"/>
          <w:highlight w:val="white"/>
          <w:lang w:val="ru-RU" w:eastAsia="ru-RU" w:bidi="ar-SA"/>
        </w:rPr>
        <w:t xml:space="preserve"> пунктом 13 статьи 39.13 Земельного кодекса Российской Федерации по результатам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 w:eastAsia="Droid Sans Fallback" w:cs="Lohit Devanagari"/>
          <w:b w:val="0"/>
          <w:bCs w:val="0"/>
          <w:color w:val="auto"/>
          <w:sz w:val="28"/>
          <w:szCs w:val="28"/>
          <w:highlight w:val="white"/>
        </w:rPr>
      </w:r>
      <w:r>
        <w:rPr>
          <w:rFonts w:ascii="Times New Roman" w:hAnsi="Times New Roman" w:eastAsia="Droid Sans Fallback" w:cs="Lohit Devanagari"/>
          <w:b w:val="0"/>
          <w:bCs w:val="0"/>
          <w:color w:val="auto"/>
          <w:sz w:val="28"/>
          <w:szCs w:val="28"/>
          <w:highlight w:val="white"/>
        </w:rPr>
      </w:r>
    </w:p>
    <w:p>
      <w:pPr>
        <w:pStyle w:val="859"/>
        <w:ind w:left="0" w:right="0" w:firstLine="709"/>
        <w:jc w:val="both"/>
        <w:spacing w:before="0" w:after="0" w:line="276" w:lineRule="auto"/>
        <w:rPr>
          <w:rFonts w:ascii="Times New Roman" w:hAnsi="Times New Roman"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</w:pPr>
      <w:r>
        <w:rPr>
          <w:rFonts w:ascii="Times New Roman" w:hAnsi="Times New Roman"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</w:r>
      <w:r>
        <w:rPr>
          <w:rFonts w:ascii="Times New Roman" w:hAnsi="Times New Roman"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</w:r>
      <w:r>
        <w:rPr>
          <w:rFonts w:ascii="Times New Roman" w:hAnsi="Times New Roman"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  <w:suppressLineNumbers w:val="0"/>
      </w:pPr>
      <w:r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 xml:space="preserve">2</w:t>
      </w:r>
      <w:r>
        <w:rPr>
          <w:b/>
          <w:sz w:val="28"/>
          <w:szCs w:val="28"/>
        </w:rPr>
        <w:t xml:space="preserve"> 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Право заключения договора аренды земельного участка, государственная собственность на который не разграничена, с кадастровым номером 59:01:4510451:258 площадью 693 кв.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 м, расположенного по адресу: Российская Федерация, Пермский край, г.о. Пермский, г. Пермь, ул. Новоколхозная, з/у 33в, для индивидуального жилищного строительства. Разрешенное использование земельного участка – для индивидуального жилищного строительства.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</w:p>
    <w:p>
      <w:pPr>
        <w:pStyle w:val="815"/>
        <w:ind w:firstLine="708"/>
        <w:jc w:val="both"/>
        <w:spacing w:before="0" w:after="0"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color w:val="auto"/>
          <w:sz w:val="28"/>
          <w:szCs w:val="28"/>
          <w:lang w:val="ru-RU" w:eastAsia="ru-RU" w:bidi="ar-SA"/>
        </w:rPr>
        <w:t xml:space="preserve">По указанному лоту заявки не поступали.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pStyle w:val="815"/>
        <w:ind w:firstLine="708"/>
        <w:jc w:val="both"/>
        <w:spacing w:line="276" w:lineRule="auto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pPr>
      <w:r>
        <w:rPr>
          <w:rFonts w:eastAsia="Droid Sans Fallback" w:cs="Lohit Devanagari"/>
          <w:iCs w:val="0"/>
          <w:color w:val="auto"/>
          <w:sz w:val="28"/>
          <w:szCs w:val="28"/>
          <w:highlight w:val="white"/>
          <w:lang w:val="ru-RU" w:eastAsia="ru-RU" w:bidi="ar-SA"/>
        </w:rPr>
        <w:t xml:space="preserve">На основании пункта 12 статьи 39.12 Земельного кодекса Российской Федерации электронный аукцион признан несостовшимся.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ru-RU" w:bidi="ar-SA"/>
        </w:rPr>
      </w:r>
    </w:p>
    <w:p>
      <w:pPr>
        <w:contextualSpacing w:val="0"/>
        <w:jc w:val="both"/>
        <w:spacing w:before="0" w:after="0" w:line="276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  <w:highlight w:val="none"/>
        </w:rPr>
        <w:suppressLineNumbers w:val="0"/>
      </w:pPr>
      <w:r>
        <w:rPr>
          <w:rFonts w:eastAsia="Droid Sans Fallback" w:cs="Lohit Devanagari"/>
          <w:b/>
          <w:color w:val="auto"/>
          <w:sz w:val="28"/>
          <w:szCs w:val="28"/>
          <w:lang w:val="ru-RU" w:eastAsia="ru-RU" w:bidi="ar-SA"/>
        </w:rPr>
        <w:t xml:space="preserve">Лот № 3</w:t>
      </w:r>
      <w:r>
        <w:rPr>
          <w:rFonts w:eastAsia="Droid Sans Fallback" w:cs="Lohit Devanagari"/>
          <w:b/>
          <w:color w:val="auto"/>
          <w:lang w:val="ru-RU" w:eastAsia="ru-RU" w:bidi="ar-SA"/>
        </w:rPr>
        <w:t xml:space="preserve"> 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lang w:val="ru-RU" w:eastAsia="ru-RU" w:bidi="ar-SA"/>
        </w:rPr>
        <w:t xml:space="preserve">–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Право заключения договора аренды земельного участка, государственная собственность на который не разграничена, с кадастровым номером 59:01:4510451:257 площадью 829 кв. м, расположенно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го по адресу: Росс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  <w:t xml:space="preserve">ийская Федерация, Пермский край, городской округ Пермский, город Пермь, улица Новоколхозная, з/у 41б, для индивидуального жилищного строительства. Разрешенное использование земельного участка – для индивидуального жилищного строительства (далее – лот № 3).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  <w:sz w:val="28"/>
          <w:szCs w:val="28"/>
          <w:highlight w:val="none"/>
        </w:rPr>
      </w:r>
    </w:p>
    <w:tbl>
      <w:tblPr>
        <w:tblW w:w="9921" w:type="dxa"/>
        <w:tblInd w:w="107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2469"/>
        <w:gridCol w:w="2066"/>
        <w:gridCol w:w="2268"/>
        <w:gridCol w:w="2409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п/п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69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Единственный заявитель,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номер заявки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66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Дата и время подачи заявки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Сведения               о внесенном задатке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Решение комиссии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09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1</w:t>
            </w:r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6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Черемных Вера Петровна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,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6217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</w:r>
          </w:p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66" w:type="dxa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21.07.2026 10:35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268" w:type="dxa"/>
            <w:textDirection w:val="lrTb"/>
            <w:noWrap w:val="false"/>
          </w:tcPr>
          <w:p>
            <w:pPr>
              <w:pStyle w:val="815"/>
              <w:jc w:val="center"/>
              <w:spacing w:before="0" w:after="0"/>
              <w:widowControl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8"/>
                <w:szCs w:val="28"/>
              </w:rPr>
              <w:t xml:space="preserve">210 000,00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val="en-US" w:eastAsia="en-US" w:bidi="ar-SA"/>
              </w:rPr>
            </w:r>
            <w:r>
              <w:rPr>
                <w:rFonts w:ascii="Times New Roman" w:hAnsi="Times New Roman" w:eastAsia="Times New Roman" w:cs="Times New Roman"/>
                <w:sz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409" w:type="dxa"/>
            <w:textDirection w:val="lrTb"/>
            <w:noWrap w:val="false"/>
          </w:tcPr>
          <w:p>
            <w:pPr>
              <w:pStyle w:val="815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  <w:t xml:space="preserve">Допустить </w:t>
              <w:br/>
              <w:t xml:space="preserve">к участию </w:t>
              <w:br/>
              <w:t xml:space="preserve">в аукционе </w:t>
              <w:br/>
              <w:t xml:space="preserve">и признать участником аукциона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aps w:val="0"/>
                <w:smallCaps w:val="0"/>
                <w:color w:val="000000" w:themeColor="text1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815"/>
        <w:ind w:firstLine="708"/>
        <w:jc w:val="both"/>
        <w:spacing w:line="276" w:lineRule="auto"/>
      </w:pP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  <w:t xml:space="preserve">Признать аукцион несостоявшимся по лоту 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/>
          <w:sz w:val="28"/>
          <w:szCs w:val="28"/>
        </w:rPr>
        <w:t xml:space="preserve">№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/>
          <w:sz w:val="28"/>
          <w:szCs w:val="28"/>
        </w:rPr>
        <w:t xml:space="preserve">3</w:t>
      </w:r>
      <w:r>
        <w:rPr>
          <w:rFonts w:eastAsia="Times New Roman" w:cs="Times New Roman"/>
          <w:b/>
          <w:bCs/>
          <w:i w:val="0"/>
          <w:iCs w:val="0"/>
          <w:caps w:val="0"/>
          <w:smallCaps w:val="0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b w:val="0"/>
          <w:bCs w:val="0"/>
          <w:i w:val="0"/>
          <w:iCs w:val="0"/>
          <w:caps w:val="0"/>
          <w:smallCaps w:val="0"/>
          <w:color w:val="000000"/>
          <w:sz w:val="28"/>
          <w:szCs w:val="28"/>
        </w:rPr>
        <w:t xml:space="preserve">в связи с тем, что                      по окончании срока подачи заявок на участие в аукционе по данному лоту подана только одна заявка на участие в аукционе.</w:t>
      </w:r>
      <w:r/>
    </w:p>
    <w:p>
      <w:pPr>
        <w:pStyle w:val="859"/>
        <w:contextualSpacing/>
        <w:ind w:firstLine="708"/>
        <w:jc w:val="both"/>
        <w:spacing w:before="0" w:after="0" w:line="276" w:lineRule="auto"/>
      </w:pPr>
      <w:r>
        <w:rPr>
          <w:color w:val="000000"/>
          <w:sz w:val="28"/>
          <w:szCs w:val="28"/>
        </w:rPr>
        <w:t xml:space="preserve">Единственная заявка на участие в аукционе и заявитель, подавший указанную заявку, соответствуют всем требованиям и условиям, указанным                 в извещении о проведении аукциона. </w:t>
      </w:r>
      <w:r/>
    </w:p>
    <w:p>
      <w:pPr>
        <w:pStyle w:val="859"/>
        <w:ind w:left="0" w:right="0" w:firstLine="708"/>
        <w:jc w:val="both"/>
        <w:spacing w:before="0" w:after="0" w:line="276" w:lineRule="auto"/>
      </w:pPr>
      <w:r>
        <w:rPr>
          <w:rFonts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  <w:t xml:space="preserve">В соответствии с пунктом 12 статьи 39.13 Земельного кодекса Российской Федерации уполномоченный орган  в течение пяти дней со дня истечения срока, предусмотренного п. 11 ст. 39.13 Земельного кодекса Российской Федерации обязан направить</w:t>
      </w:r>
      <w:r>
        <w:rPr>
          <w:rFonts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  <w:t xml:space="preserve"> заявителю, признанному единственным участником аукциона, подписанный проект 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аукциона:</w:t>
      </w:r>
      <w:r/>
    </w:p>
    <w:p>
      <w:pPr>
        <w:ind w:left="0" w:right="0" w:firstLine="709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pPr>
      <w:r>
        <w:rPr>
          <w:b/>
          <w:color w:val="000000"/>
          <w:sz w:val="28"/>
          <w:szCs w:val="28"/>
        </w:rPr>
        <w:t xml:space="preserve">по лоту </w:t>
      </w:r>
      <w:r>
        <w:rPr>
          <w:rFonts w:eastAsia="Droid Sans Fallback" w:cs="Lohit Devanagari"/>
          <w:b/>
          <w:color w:val="000000"/>
          <w:sz w:val="28"/>
          <w:szCs w:val="28"/>
          <w:lang w:val="ru-RU" w:eastAsia="ru-RU" w:bidi="ar-SA"/>
        </w:rPr>
        <w:t xml:space="preserve">№ 3</w:t>
      </w:r>
      <w:r>
        <w:rPr>
          <w:rFonts w:eastAsia="Droid Sans Fallback" w:cs="Lohit Devanagari"/>
          <w:b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eastAsia="Droid Sans Fallback" w:cs="Lohit Devanagari"/>
          <w:b/>
          <w:bCs/>
          <w:color w:val="000000"/>
          <w:sz w:val="28"/>
          <w:szCs w:val="28"/>
          <w:lang w:val="ru-RU" w:eastAsia="ru-RU" w:bidi="ar-SA"/>
        </w:rPr>
        <w:t xml:space="preserve">–</w:t>
      </w:r>
      <w:r>
        <w:rPr>
          <w:rFonts w:eastAsia="Droid Sans Fallback" w:cs="Lohit Devanagari"/>
          <w:b/>
          <w:bCs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mallCaps w:val="0"/>
          <w:color w:val="000000"/>
          <w:sz w:val="28"/>
          <w:szCs w:val="28"/>
        </w:rPr>
        <w:t xml:space="preserve">420 000,00</w:t>
      </w:r>
      <w:r>
        <w:rPr>
          <w:rFonts w:eastAsia="Droid Sans Fallback" w:cs="Lohit Devanagari"/>
          <w:b/>
          <w:bCs/>
          <w:color w:val="000000"/>
          <w:sz w:val="28"/>
          <w:szCs w:val="28"/>
          <w:lang w:val="ru-RU" w:eastAsia="ru-RU" w:bidi="ar-SA"/>
        </w:rPr>
        <w:t xml:space="preserve"> </w:t>
      </w:r>
      <w:r>
        <w:rPr>
          <w:rFonts w:eastAsia="Droid Sans Fallback" w:cs="Lohit Devanagari"/>
          <w:b/>
          <w:color w:val="000000"/>
          <w:sz w:val="28"/>
          <w:szCs w:val="28"/>
          <w:lang w:val="ru-RU" w:eastAsia="ru-RU" w:bidi="ar-SA"/>
        </w:rPr>
        <w:t xml:space="preserve">руб.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mallCaps w:val="0"/>
          <w:color w:val="000000"/>
        </w:rPr>
      </w:r>
    </w:p>
    <w:p>
      <w:pPr>
        <w:pStyle w:val="859"/>
        <w:ind w:left="0" w:right="0" w:firstLine="709"/>
        <w:jc w:val="both"/>
        <w:spacing w:before="0" w:after="0" w:line="276" w:lineRule="auto"/>
        <w:rPr>
          <w:rFonts w:ascii="Times New Roman" w:hAnsi="Times New Roman"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</w:pPr>
      <w:r>
        <w:rPr>
          <w:rFonts w:eastAsia="Droid Sans Fallback" w:cs="Lohit Devanagari"/>
          <w:iCs w:val="0"/>
          <w:color w:val="auto"/>
          <w:sz w:val="28"/>
          <w:szCs w:val="28"/>
          <w:highlight w:val="white"/>
          <w:lang w:val="ru-RU" w:eastAsia="ru-RU" w:bidi="ar-SA"/>
        </w:rPr>
        <w:t xml:space="preserve">В соответствии с</w:t>
      </w:r>
      <w:r>
        <w:rPr>
          <w:rFonts w:eastAsia="Droid Sans Fallback" w:cs="Lohit Devanagari"/>
          <w:iCs w:val="0"/>
          <w:color w:val="auto"/>
          <w:sz w:val="28"/>
          <w:szCs w:val="28"/>
          <w:highlight w:val="white"/>
          <w:lang w:val="ru-RU" w:eastAsia="ru-RU" w:bidi="ar-SA"/>
        </w:rPr>
        <w:t xml:space="preserve"> пунктом 13 статьи 39.13 Земельного кодекса Российской Федерации по результатам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</w:r>
      <w:r>
        <w:rPr>
          <w:rFonts w:ascii="Times New Roman" w:hAnsi="Times New Roman" w:eastAsia="Droid Sans Fallback" w:cs="Lohit Devanagari"/>
          <w:b w:val="0"/>
          <w:bCs w:val="0"/>
          <w:color w:val="auto"/>
          <w:sz w:val="28"/>
          <w:szCs w:val="28"/>
          <w:highlight w:val="white"/>
          <w:lang w:val="ru-RU" w:eastAsia="ru-RU" w:bidi="ar-SA"/>
        </w:rPr>
      </w:r>
    </w:p>
    <w:p>
      <w:pPr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15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Председатель комиссии                                                                     </w:t>
      </w:r>
      <w:r>
        <w:rPr>
          <w:sz w:val="28"/>
          <w:szCs w:val="28"/>
          <w:highlight w:val="white"/>
        </w:rPr>
        <w:t xml:space="preserve">А.В. 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о</w:t>
      </w:r>
      <w:r>
        <w:rPr>
          <w:sz w:val="28"/>
          <w:szCs w:val="28"/>
          <w:highlight w:val="white"/>
        </w:rPr>
        <w:t xml:space="preserve">с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white"/>
        </w:rPr>
        <w:t xml:space="preserve">и</w:t>
      </w:r>
      <w:r>
        <w:rPr>
          <w:sz w:val="28"/>
          <w:szCs w:val="28"/>
          <w:highlight w:val="white"/>
        </w:rPr>
        <w:t xml:space="preserve">н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15"/>
        <w:ind w:left="0" w:firstLine="0"/>
        <w:spacing w:before="120" w:after="120"/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pPr>
      <w:r>
        <w:rPr>
          <w:sz w:val="28"/>
          <w:szCs w:val="28"/>
          <w:lang w:eastAsia="en-US"/>
        </w:rPr>
        <w:t xml:space="preserve">Заместитель председателя комиссии</w:t>
      </w:r>
      <w:r>
        <w:rPr>
          <w:sz w:val="28"/>
          <w:szCs w:val="28"/>
        </w:rPr>
        <w:t xml:space="preserve"> </w:t>
        <w:tab/>
        <w:tab/>
        <w:tab/>
        <w:tab/>
        <w:t xml:space="preserve">         Е.П. </w:t>
      </w:r>
      <w:r>
        <w:rPr>
          <w:rFonts w:eastAsia="Droid Sans Fallback" w:cs="Lohit Devanagari"/>
          <w:color w:val="auto"/>
          <w:sz w:val="28"/>
          <w:szCs w:val="28"/>
          <w:lang w:val="ru-RU" w:eastAsia="en-US" w:bidi="ar-SA"/>
        </w:rPr>
        <w:t xml:space="preserve">Шафранова</w:t>
      </w:r>
      <w:r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r>
      <w:r>
        <w:rPr>
          <w:rFonts w:eastAsia="Droid Sans Fallback" w:cs="Lohit Devanagari"/>
          <w:color w:val="auto"/>
          <w:sz w:val="28"/>
          <w:szCs w:val="28"/>
          <w:highlight w:val="none"/>
          <w:lang w:val="ru-RU" w:eastAsia="en-US" w:bidi="ar-SA"/>
        </w:rPr>
      </w:r>
    </w:p>
    <w:p>
      <w:pPr>
        <w:pStyle w:val="815"/>
        <w:spacing w:before="120" w:after="120"/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shd w:val="clear" w:color="auto" w:fill="auto"/>
          <w:lang w:val="ru-RU" w:eastAsia="en-US" w:bidi="ar-SA"/>
        </w:rPr>
        <w:t xml:space="preserve">Члены комиссии </w:t>
        <w:tab/>
        <w:tab/>
        <w:tab/>
        <w:tab/>
        <w:tab/>
        <w:tab/>
        <w:tab/>
        <w:tab/>
        <w:t xml:space="preserve">         А.А. Союстова</w:t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r>
      <w:r>
        <w:rPr>
          <w:rFonts w:eastAsia="Droid Sans Fallback" w:cs="Lohit Devanagari"/>
          <w:color w:val="000000"/>
          <w:sz w:val="28"/>
          <w:szCs w:val="28"/>
          <w:highlight w:val="none"/>
          <w:lang w:val="ru-RU" w:eastAsia="en-US" w:bidi="ar-SA"/>
        </w:rPr>
      </w:r>
    </w:p>
    <w:p>
      <w:pPr>
        <w:ind w:left="6372" w:firstLine="708"/>
        <w:jc w:val="center"/>
        <w:spacing w:before="120" w:after="120"/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pPr>
      <w:r>
        <w:rPr>
          <w:rFonts w:eastAsia="Droid Sans Fallback" w:cs="Lohit Devanagari"/>
          <w:color w:val="000000"/>
          <w:sz w:val="28"/>
          <w:szCs w:val="28"/>
          <w:highlight w:val="none"/>
          <w:shd w:val="clear" w:color="auto" w:fill="auto"/>
          <w:lang w:val="ru-RU" w:eastAsia="en-US" w:bidi="ar-SA"/>
        </w:rPr>
        <w:t xml:space="preserve">Ю.И. Четина</w:t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  <w:r>
        <w:rPr>
          <w:rFonts w:ascii="Times New Roman" w:hAnsi="Times New Roman" w:eastAsia="Droid Sans Fallback" w:cs="Lohit Devanagari"/>
          <w:color w:val="auto"/>
          <w:sz w:val="28"/>
          <w:szCs w:val="28"/>
          <w:lang w:val="ru-RU" w:eastAsia="en-US" w:bidi="ar-SA"/>
        </w:rPr>
      </w:r>
    </w:p>
    <w:sectPr>
      <w:headerReference w:type="default" r:id="rId8"/>
      <w:headerReference w:type="first" r:id="rId9"/>
      <w:footerReference w:type="default" r:id="rId10"/>
      <w:footerReference w:type="even" r:id="rId11"/>
      <w:footerReference w:type="first" r:id="rId12"/>
      <w:footnotePr/>
      <w:endnotePr/>
      <w:type w:val="nextPage"/>
      <w:pgSz w:w="11906" w:h="16838" w:orient="portrait"/>
      <w:pgMar w:top="786" w:right="567" w:bottom="766" w:left="1418" w:header="0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Open Sans">
    <w:panose1 w:val="020B0606030504020204"/>
  </w:font>
  <w:font w:name="Tahoma">
    <w:panose1 w:val="020B0604030504040204"/>
  </w:font>
  <w:font w:name="Arial">
    <w:panose1 w:val="020B0604020202020204"/>
  </w:font>
  <w:font w:name="Droid Sans Fallback">
    <w:panose1 w:val="020B0502000000000001"/>
  </w:font>
  <w:font w:name="Courier New">
    <w:panose1 w:val="02070309020205020404"/>
  </w:font>
  <w:font w:name="Lohit Devanagari">
    <w:panose1 w:val="020B0600000000000000"/>
  </w:font>
  <w:font w:name="Times New Roman">
    <w:panose1 w:val="02020603050405020304"/>
  </w:font>
  <w:font w:name="Calibri">
    <w:panose1 w:val="020F050202020403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jc w:val="right"/>
    </w:pPr>
    <w:fldSimple w:instr="PAGE \* MERGEFORMAT">
      <w:r>
        <w:t xml:space="preserve">1</w:t>
      </w:r>
    </w:fldSimple>
    <w:r/>
    <w:r/>
  </w:p>
  <w:p>
    <w:pPr>
      <w:pStyle w:val="871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ind w:right="360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1"/>
                            <w:ind w:right="360"/>
                            <w:rPr>
                              <w:rStyle w:val="852"/>
                            </w:rPr>
                          </w:pPr>
                          <w:r>
                            <w:rPr>
                              <w:rStyle w:val="852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52"/>
                            </w:rPr>
                          </w:r>
                          <w:r>
                            <w:rPr>
                              <w:rStyle w:val="852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1"/>
                      <w:ind w:right="360"/>
                      <w:rPr>
                        <w:rStyle w:val="852"/>
                      </w:rPr>
                    </w:pPr>
                    <w:r>
                      <w:rPr>
                        <w:rStyle w:val="852"/>
                        <w:color w:val="000000"/>
                      </w:rPr>
                      <w:fldChar w:fldCharType="begin"/>
                    </w:r>
                    <w:r>
                      <w:rPr>
                        <w:rStyle w:val="852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52"/>
                        <w:color w:val="000000"/>
                      </w:rPr>
                      <w:fldChar w:fldCharType="separate"/>
                    </w:r>
                    <w:r>
                      <w:rPr>
                        <w:rStyle w:val="852"/>
                        <w:color w:val="000000"/>
                      </w:rPr>
                      <w:t xml:space="preserve">0</w:t>
                    </w:r>
                    <w:r>
                      <w:rPr>
                        <w:rStyle w:val="852"/>
                        <w:color w:val="000000"/>
                      </w:rPr>
                      <w:fldChar w:fldCharType="end"/>
                    </w:r>
                    <w:r>
                      <w:rPr>
                        <w:rStyle w:val="852"/>
                      </w:rPr>
                    </w:r>
                    <w:r>
                      <w:rPr>
                        <w:rStyle w:val="852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3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1"/>
                            <w:rPr>
                              <w:rStyle w:val="852"/>
                            </w:rPr>
                          </w:pPr>
                          <w:r>
                            <w:rPr>
                              <w:rStyle w:val="852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852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852"/>
                            </w:rPr>
                          </w:r>
                          <w:r>
                            <w:rPr>
                              <w:rStyle w:val="852"/>
                            </w:rPr>
                          </w:r>
                        </w:p>
                      </w:txbxContent>
                    </wps:txbx>
                    <wps:bodyPr lIns="36360" tIns="-20880" rIns="36360" bIns="-2088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-3;o:allowoverlap:true;o:allowincell:fals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1"/>
                      <w:rPr>
                        <w:rStyle w:val="852"/>
                      </w:rPr>
                    </w:pPr>
                    <w:r>
                      <w:rPr>
                        <w:rStyle w:val="852"/>
                        <w:color w:val="000000"/>
                      </w:rPr>
                      <w:fldChar w:fldCharType="begin"/>
                    </w:r>
                    <w:r>
                      <w:rPr>
                        <w:rStyle w:val="852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852"/>
                        <w:color w:val="000000"/>
                      </w:rPr>
                      <w:fldChar w:fldCharType="separate"/>
                    </w:r>
                    <w:r>
                      <w:rPr>
                        <w:rStyle w:val="852"/>
                        <w:color w:val="000000"/>
                      </w:rPr>
                      <w:t xml:space="preserve">0</w:t>
                    </w:r>
                    <w:r>
                      <w:rPr>
                        <w:rStyle w:val="852"/>
                        <w:color w:val="000000"/>
                      </w:rPr>
                      <w:fldChar w:fldCharType="end"/>
                    </w:r>
                    <w:r>
                      <w:rPr>
                        <w:rStyle w:val="852"/>
                      </w:rPr>
                    </w:r>
                    <w:r>
                      <w:rPr>
                        <w:rStyle w:val="852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5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3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1"/>
                            <w:rPr>
                              <w:rStyle w:val="852"/>
                            </w:rPr>
                          </w:pPr>
                          <w:r>
                            <w:rPr>
                              <w:rStyle w:val="852"/>
                            </w:rPr>
                          </w:r>
                          <w:r>
                            <w:rPr>
                              <w:rStyle w:val="852"/>
                            </w:rPr>
                          </w:r>
                          <w:r>
                            <w:rPr>
                              <w:rStyle w:val="852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1" type="#_x0000_t1" style="position:absolute;z-index:-15;o:allowoverlap:true;o:allowincell:false;mso-position-horizontal-relative:margin;mso-position-horizontal:right;mso-position-vertical-relative:text;margin-top:0.05pt;mso-position-vertical:absolute;width:6.75pt;height:19.4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1"/>
                      <w:rPr>
                        <w:rStyle w:val="852"/>
                      </w:rPr>
                    </w:pPr>
                    <w:r>
                      <w:rPr>
                        <w:rStyle w:val="852"/>
                      </w:rPr>
                    </w:r>
                    <w:r>
                      <w:rPr>
                        <w:rStyle w:val="852"/>
                      </w:rPr>
                    </w:r>
                    <w:r>
                      <w:rPr>
                        <w:rStyle w:val="852"/>
                      </w:rPr>
                    </w:r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1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5725" cy="246380"/>
              <wp:effectExtent l="0" t="0" r="0" b="0"/>
              <wp:wrapSquare wrapText="bothSides"/>
              <wp:docPr id="4" name="Врезка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85680" cy="2462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871"/>
                            <w:rPr>
                              <w:rStyle w:val="852"/>
                            </w:rPr>
                          </w:pPr>
                          <w:r>
                            <w:rPr>
                              <w:rStyle w:val="852"/>
                            </w:rPr>
                          </w:r>
                          <w:r>
                            <w:rPr>
                              <w:rStyle w:val="852"/>
                            </w:rPr>
                          </w:r>
                          <w:r>
                            <w:rPr>
                              <w:rStyle w:val="852"/>
                            </w:rPr>
                          </w:r>
                        </w:p>
                      </w:txbxContent>
                    </wps:txbx>
                    <wps:bodyPr lIns="36360" tIns="36360" rIns="36360" bIns="3636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1" type="#_x0000_t1" style="position:absolute;z-index:-16;o:allowoverlap:true;o:allowincell:false;mso-position-horizontal-relative:margin;mso-position-horizontal:right;mso-position-vertical-relative:text;margin-top:0.05pt;mso-position-vertical:absolute;width:6.75pt;height:19.40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871"/>
                      <w:rPr>
                        <w:rStyle w:val="852"/>
                      </w:rPr>
                    </w:pPr>
                    <w:r>
                      <w:rPr>
                        <w:rStyle w:val="852"/>
                      </w:rPr>
                    </w:r>
                    <w:r>
                      <w:rPr>
                        <w:rStyle w:val="852"/>
                      </w:rPr>
                    </w:r>
                    <w:r>
                      <w:rPr>
                        <w:rStyle w:val="852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1"/>
      <w:jc w:val="right"/>
    </w:pPr>
    <w:r/>
    <w:r/>
  </w:p>
  <w:p>
    <w:pPr>
      <w:pStyle w:val="87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roid Sans Fallback" w:cs="Lohit Devanagari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15" w:default="1">
    <w:name w:val="Normal"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4"/>
      <w:szCs w:val="24"/>
      <w:lang w:val="ru-RU" w:eastAsia="ru-RU" w:bidi="ar-SA"/>
    </w:rPr>
  </w:style>
  <w:style w:type="paragraph" w:styleId="816">
    <w:name w:val="Heading 1"/>
    <w:basedOn w:val="81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817">
    <w:name w:val="Heading 2"/>
    <w:basedOn w:val="8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818">
    <w:name w:val="Heading 3"/>
    <w:basedOn w:val="81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819">
    <w:name w:val="Heading 4"/>
    <w:basedOn w:val="81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20">
    <w:name w:val="Heading 5"/>
    <w:basedOn w:val="81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21">
    <w:name w:val="Heading 6"/>
    <w:basedOn w:val="8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22">
    <w:name w:val="Heading 7"/>
    <w:basedOn w:val="8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3">
    <w:name w:val="Heading 8"/>
    <w:basedOn w:val="8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24">
    <w:name w:val="Heading 9"/>
    <w:basedOn w:val="8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25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826">
    <w:name w:val="Heading 2 Char"/>
    <w:uiPriority w:val="9"/>
    <w:qFormat/>
    <w:rPr>
      <w:rFonts w:ascii="Arial" w:hAnsi="Arial" w:eastAsia="Arial" w:cs="Arial"/>
      <w:sz w:val="34"/>
    </w:rPr>
  </w:style>
  <w:style w:type="character" w:styleId="827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828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829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830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83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32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833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34">
    <w:name w:val="Title Char"/>
    <w:uiPriority w:val="10"/>
    <w:qFormat/>
    <w:rPr>
      <w:sz w:val="48"/>
      <w:szCs w:val="48"/>
    </w:rPr>
  </w:style>
  <w:style w:type="character" w:styleId="835">
    <w:name w:val="Subtitle Char"/>
    <w:uiPriority w:val="11"/>
    <w:qFormat/>
    <w:rPr>
      <w:sz w:val="24"/>
      <w:szCs w:val="24"/>
    </w:rPr>
  </w:style>
  <w:style w:type="character" w:styleId="836">
    <w:name w:val="Quote Char"/>
    <w:uiPriority w:val="29"/>
    <w:qFormat/>
    <w:rPr>
      <w:i/>
    </w:rPr>
  </w:style>
  <w:style w:type="character" w:styleId="837">
    <w:name w:val="Intense Quote Char"/>
    <w:uiPriority w:val="30"/>
    <w:qFormat/>
    <w:rPr>
      <w:i/>
    </w:rPr>
  </w:style>
  <w:style w:type="character" w:styleId="838">
    <w:name w:val="Header Char"/>
    <w:uiPriority w:val="99"/>
    <w:qFormat/>
  </w:style>
  <w:style w:type="character" w:styleId="839">
    <w:name w:val="Footer Char"/>
    <w:uiPriority w:val="99"/>
    <w:qFormat/>
  </w:style>
  <w:style w:type="character" w:styleId="840">
    <w:name w:val="Caption Char"/>
    <w:uiPriority w:val="99"/>
    <w:qFormat/>
  </w:style>
  <w:style w:type="character" w:styleId="841">
    <w:name w:val="Hyperlink"/>
    <w:uiPriority w:val="99"/>
    <w:unhideWhenUsed/>
    <w:rPr>
      <w:color w:val="0000ff" w:themeColor="hyperlink"/>
      <w:u w:val="single"/>
    </w:rPr>
  </w:style>
  <w:style w:type="character" w:styleId="842">
    <w:name w:val="Footnote Text Char"/>
    <w:uiPriority w:val="99"/>
    <w:qFormat/>
    <w:rPr>
      <w:sz w:val="18"/>
    </w:rPr>
  </w:style>
  <w:style w:type="character" w:styleId="843">
    <w:name w:val="Символ сноски"/>
    <w:uiPriority w:val="99"/>
    <w:unhideWhenUsed/>
    <w:qFormat/>
    <w:rPr>
      <w:vertAlign w:val="superscript"/>
    </w:rPr>
  </w:style>
  <w:style w:type="character" w:styleId="844">
    <w:name w:val="footnote reference"/>
    <w:rPr>
      <w:vertAlign w:val="superscript"/>
    </w:rPr>
  </w:style>
  <w:style w:type="character" w:styleId="845">
    <w:name w:val="Endnote Text Char"/>
    <w:uiPriority w:val="99"/>
    <w:qFormat/>
    <w:rPr>
      <w:sz w:val="20"/>
    </w:rPr>
  </w:style>
  <w:style w:type="character" w:styleId="84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47">
    <w:name w:val="endnote reference"/>
    <w:rPr>
      <w:vertAlign w:val="superscript"/>
    </w:rPr>
  </w:style>
  <w:style w:type="character" w:styleId="848">
    <w:name w:val="Основной шрифт абзаца"/>
    <w:semiHidden/>
    <w:qFormat/>
  </w:style>
  <w:style w:type="character" w:styleId="849">
    <w:name w:val="Основной текст с отступом 3 Знак"/>
    <w:qFormat/>
    <w:rPr>
      <w:sz w:val="16"/>
      <w:szCs w:val="16"/>
    </w:rPr>
  </w:style>
  <w:style w:type="character" w:styleId="850">
    <w:name w:val="Текст Знак"/>
    <w:qFormat/>
    <w:rPr>
      <w:rFonts w:ascii="Courier New" w:hAnsi="Courier New"/>
    </w:rPr>
  </w:style>
  <w:style w:type="character" w:styleId="851">
    <w:name w:val="Текст выноски Знак"/>
    <w:qFormat/>
    <w:rPr>
      <w:rFonts w:ascii="Tahoma" w:hAnsi="Tahoma" w:cs="Tahoma"/>
      <w:sz w:val="16"/>
      <w:szCs w:val="16"/>
    </w:rPr>
  </w:style>
  <w:style w:type="character" w:styleId="852">
    <w:name w:val="Основной текст с отступом Знак"/>
    <w:qFormat/>
    <w:rPr>
      <w:sz w:val="24"/>
      <w:szCs w:val="24"/>
    </w:rPr>
  </w:style>
  <w:style w:type="character" w:styleId="853">
    <w:name w:val="Верхний колонтитул Знак"/>
    <w:qFormat/>
    <w:rPr>
      <w:sz w:val="24"/>
      <w:szCs w:val="24"/>
    </w:rPr>
  </w:style>
  <w:style w:type="character" w:styleId="854">
    <w:name w:val="Нижний колонтитул Знак"/>
    <w:qFormat/>
    <w:rPr>
      <w:sz w:val="24"/>
      <w:szCs w:val="24"/>
    </w:rPr>
  </w:style>
  <w:style w:type="character" w:styleId="855">
    <w:name w:val="Текст сноски Знак"/>
    <w:basedOn w:val="848"/>
    <w:qFormat/>
  </w:style>
  <w:style w:type="character" w:styleId="856">
    <w:name w:val="Знак сноски"/>
    <w:qFormat/>
    <w:rPr>
      <w:vertAlign w:val="superscript"/>
    </w:rPr>
  </w:style>
  <w:style w:type="character" w:styleId="857" w:default="1">
    <w:name w:val="Default Paragraph Font"/>
    <w:uiPriority w:val="1"/>
    <w:semiHidden/>
    <w:unhideWhenUsed/>
    <w:qFormat/>
  </w:style>
  <w:style w:type="paragraph" w:styleId="858">
    <w:name w:val="Заголовок"/>
    <w:basedOn w:val="815"/>
    <w:next w:val="859"/>
    <w:qFormat/>
    <w:pPr>
      <w:keepNext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859">
    <w:name w:val="Body Text"/>
    <w:basedOn w:val="815"/>
    <w:pPr>
      <w:spacing w:before="0" w:after="140" w:line="276" w:lineRule="auto"/>
    </w:pPr>
  </w:style>
  <w:style w:type="paragraph" w:styleId="860">
    <w:name w:val="List"/>
    <w:basedOn w:val="859"/>
    <w:rPr>
      <w:rFonts w:cs="Lohit Devanagari"/>
    </w:rPr>
  </w:style>
  <w:style w:type="paragraph" w:styleId="861">
    <w:name w:val="Caption"/>
    <w:basedOn w:val="815"/>
    <w:link w:val="84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62">
    <w:name w:val="Указатель"/>
    <w:basedOn w:val="815"/>
    <w:qFormat/>
    <w:pPr>
      <w:suppressLineNumbers/>
    </w:pPr>
    <w:rPr>
      <w:rFonts w:cs="Lohit Devanagari"/>
    </w:rPr>
  </w:style>
  <w:style w:type="paragraph" w:styleId="863">
    <w:name w:val="List Paragraph"/>
    <w:basedOn w:val="815"/>
    <w:uiPriority w:val="34"/>
    <w:qFormat/>
    <w:pPr>
      <w:contextualSpacing/>
      <w:ind w:left="720"/>
      <w:spacing w:before="0" w:after="0"/>
    </w:pPr>
  </w:style>
  <w:style w:type="paragraph" w:styleId="864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65">
    <w:name w:val="Title"/>
    <w:basedOn w:val="815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66">
    <w:name w:val="Subtitle"/>
    <w:basedOn w:val="815"/>
    <w:uiPriority w:val="11"/>
    <w:qFormat/>
    <w:pPr>
      <w:spacing w:before="200" w:after="200"/>
    </w:pPr>
    <w:rPr>
      <w:sz w:val="24"/>
      <w:szCs w:val="24"/>
    </w:rPr>
  </w:style>
  <w:style w:type="paragraph" w:styleId="867">
    <w:name w:val="Quote"/>
    <w:basedOn w:val="815"/>
    <w:uiPriority w:val="29"/>
    <w:qFormat/>
    <w:pPr>
      <w:ind w:left="720" w:right="720"/>
    </w:pPr>
    <w:rPr>
      <w:i/>
    </w:rPr>
  </w:style>
  <w:style w:type="paragraph" w:styleId="868">
    <w:name w:val="Intense Quote"/>
    <w:basedOn w:val="815"/>
    <w:uiPriority w:val="30"/>
    <w:qFormat/>
    <w:pPr>
      <w:ind w:left="720" w:right="72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69">
    <w:name w:val="Колонтитул"/>
    <w:basedOn w:val="815"/>
    <w:qFormat/>
  </w:style>
  <w:style w:type="paragraph" w:styleId="870">
    <w:name w:val="Header"/>
    <w:basedOn w:val="815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71">
    <w:name w:val="Footer"/>
    <w:basedOn w:val="815"/>
    <w:uiPriority w:val="99"/>
    <w:unhideWhenUsed/>
    <w:pPr>
      <w:tabs>
        <w:tab w:val="clear" w:pos="708" w:leader="none"/>
        <w:tab w:val="center" w:pos="4677" w:leader="none"/>
        <w:tab w:val="right" w:pos="9355" w:leader="none"/>
      </w:tabs>
    </w:pPr>
  </w:style>
  <w:style w:type="paragraph" w:styleId="872">
    <w:name w:val="footnote text"/>
    <w:basedOn w:val="815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73">
    <w:name w:val="endnote text"/>
    <w:basedOn w:val="815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74">
    <w:name w:val="toc 1"/>
    <w:basedOn w:val="815"/>
    <w:uiPriority w:val="39"/>
    <w:unhideWhenUsed/>
    <w:pPr>
      <w:ind w:left="0" w:right="0" w:firstLine="0"/>
      <w:spacing w:before="0" w:after="57"/>
    </w:pPr>
  </w:style>
  <w:style w:type="paragraph" w:styleId="875">
    <w:name w:val="toc 2"/>
    <w:basedOn w:val="815"/>
    <w:uiPriority w:val="39"/>
    <w:unhideWhenUsed/>
    <w:pPr>
      <w:ind w:left="283" w:right="0" w:firstLine="0"/>
      <w:spacing w:before="0" w:after="57"/>
    </w:pPr>
  </w:style>
  <w:style w:type="paragraph" w:styleId="876">
    <w:name w:val="toc 3"/>
    <w:basedOn w:val="815"/>
    <w:uiPriority w:val="39"/>
    <w:unhideWhenUsed/>
    <w:pPr>
      <w:ind w:left="567" w:right="0" w:firstLine="0"/>
      <w:spacing w:before="0" w:after="57"/>
    </w:pPr>
  </w:style>
  <w:style w:type="paragraph" w:styleId="877">
    <w:name w:val="toc 4"/>
    <w:basedOn w:val="815"/>
    <w:uiPriority w:val="39"/>
    <w:unhideWhenUsed/>
    <w:pPr>
      <w:ind w:left="850" w:right="0" w:firstLine="0"/>
      <w:spacing w:before="0" w:after="57"/>
    </w:pPr>
  </w:style>
  <w:style w:type="paragraph" w:styleId="878">
    <w:name w:val="toc 5"/>
    <w:basedOn w:val="815"/>
    <w:uiPriority w:val="39"/>
    <w:unhideWhenUsed/>
    <w:pPr>
      <w:ind w:left="1134" w:right="0" w:firstLine="0"/>
      <w:spacing w:before="0" w:after="57"/>
    </w:pPr>
  </w:style>
  <w:style w:type="paragraph" w:styleId="879">
    <w:name w:val="toc 6"/>
    <w:basedOn w:val="815"/>
    <w:uiPriority w:val="39"/>
    <w:unhideWhenUsed/>
    <w:pPr>
      <w:ind w:left="1417" w:right="0" w:firstLine="0"/>
      <w:spacing w:before="0" w:after="57"/>
    </w:pPr>
  </w:style>
  <w:style w:type="paragraph" w:styleId="880">
    <w:name w:val="toc 7"/>
    <w:basedOn w:val="815"/>
    <w:uiPriority w:val="39"/>
    <w:unhideWhenUsed/>
    <w:pPr>
      <w:ind w:left="1701" w:right="0" w:firstLine="0"/>
      <w:spacing w:before="0" w:after="57"/>
    </w:pPr>
  </w:style>
  <w:style w:type="paragraph" w:styleId="881">
    <w:name w:val="toc 8"/>
    <w:basedOn w:val="815"/>
    <w:uiPriority w:val="39"/>
    <w:unhideWhenUsed/>
    <w:pPr>
      <w:ind w:left="1984" w:right="0" w:firstLine="0"/>
      <w:spacing w:before="0" w:after="57"/>
    </w:pPr>
  </w:style>
  <w:style w:type="paragraph" w:styleId="882">
    <w:name w:val="toc 9"/>
    <w:basedOn w:val="815"/>
    <w:uiPriority w:val="39"/>
    <w:unhideWhenUsed/>
    <w:pPr>
      <w:ind w:left="2268" w:right="0" w:firstLine="0"/>
      <w:spacing w:before="0" w:after="57"/>
    </w:pPr>
  </w:style>
  <w:style w:type="paragraph" w:styleId="883">
    <w:name w:val="Index Heading"/>
    <w:basedOn w:val="858"/>
  </w:style>
  <w:style w:type="paragraph" w:styleId="884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Droid Sans Fallback" w:cs="Lohit Devanagari"/>
      <w:color w:val="auto"/>
      <w:sz w:val="20"/>
      <w:szCs w:val="20"/>
      <w:lang w:val="ru-RU" w:eastAsia="zh-CN" w:bidi="ar-SA"/>
    </w:rPr>
  </w:style>
  <w:style w:type="paragraph" w:styleId="885">
    <w:name w:val="table of figures"/>
    <w:basedOn w:val="815"/>
    <w:uiPriority w:val="99"/>
    <w:unhideWhenUsed/>
    <w:pPr>
      <w:spacing w:before="0" w:after="0" w:afterAutospacing="0"/>
    </w:pPr>
  </w:style>
  <w:style w:type="paragraph" w:styleId="886">
    <w:name w:val="Body Text Indent"/>
    <w:basedOn w:val="815"/>
    <w:pPr>
      <w:ind w:left="283"/>
      <w:spacing w:before="0" w:after="120"/>
    </w:pPr>
    <w:rPr>
      <w:lang w:val="en-US" w:eastAsia="en-US"/>
    </w:rPr>
  </w:style>
  <w:style w:type="paragraph" w:styleId="887">
    <w:name w:val="Текст"/>
    <w:basedOn w:val="815"/>
    <w:qFormat/>
    <w:rPr>
      <w:rFonts w:ascii="Courier New" w:hAnsi="Courier New"/>
      <w:sz w:val="20"/>
      <w:szCs w:val="20"/>
      <w:lang w:val="en-US" w:eastAsia="en-US"/>
    </w:rPr>
  </w:style>
  <w:style w:type="paragraph" w:styleId="888">
    <w:name w:val="Знак Знак Знак Знак Знак Знак Знак Знак Знак Знак Знак Знак"/>
    <w:basedOn w:val="815"/>
    <w:qFormat/>
    <w:rPr>
      <w:rFonts w:ascii="Verdana" w:hAnsi="Verdana" w:cs="Verdana"/>
      <w:sz w:val="20"/>
      <w:szCs w:val="20"/>
      <w:lang w:val="en-US" w:eastAsia="en-US"/>
    </w:rPr>
  </w:style>
  <w:style w:type="paragraph" w:styleId="889">
    <w:name w:val="Основной текст с отступом 3"/>
    <w:basedOn w:val="815"/>
    <w:qFormat/>
    <w:pPr>
      <w:ind w:left="283"/>
      <w:spacing w:before="0" w:after="120"/>
    </w:pPr>
    <w:rPr>
      <w:sz w:val="16"/>
      <w:szCs w:val="16"/>
      <w:lang w:val="en-US" w:eastAsia="en-US"/>
    </w:rPr>
  </w:style>
  <w:style w:type="paragraph" w:styleId="890">
    <w:name w:val="Текст выноски"/>
    <w:basedOn w:val="815"/>
    <w:qFormat/>
    <w:rPr>
      <w:rFonts w:ascii="Tahoma" w:hAnsi="Tahoma"/>
      <w:sz w:val="16"/>
      <w:szCs w:val="16"/>
      <w:lang w:val="en-US" w:eastAsia="en-US"/>
    </w:rPr>
  </w:style>
  <w:style w:type="paragraph" w:styleId="891">
    <w:name w:val="Текст сноски"/>
    <w:basedOn w:val="815"/>
    <w:qFormat/>
    <w:rPr>
      <w:sz w:val="20"/>
      <w:szCs w:val="20"/>
    </w:rPr>
  </w:style>
  <w:style w:type="paragraph" w:styleId="892">
    <w:name w:val="Содержимое врезки"/>
    <w:basedOn w:val="815"/>
    <w:qFormat/>
  </w:style>
  <w:style w:type="paragraph" w:styleId="893">
    <w:name w:val="Содержимое таблицы"/>
    <w:basedOn w:val="815"/>
    <w:qFormat/>
    <w:pPr>
      <w:widowControl w:val="off"/>
      <w:suppressLineNumbers/>
    </w:pPr>
  </w:style>
  <w:style w:type="paragraph" w:styleId="894">
    <w:name w:val="Заголовок таблицы"/>
    <w:basedOn w:val="893"/>
    <w:qFormat/>
    <w:pPr>
      <w:jc w:val="center"/>
      <w:suppressLineNumbers/>
    </w:pPr>
    <w:rPr>
      <w:b/>
      <w:bCs/>
    </w:rPr>
  </w:style>
  <w:style w:type="numbering" w:styleId="895">
    <w:name w:val="Нет списка"/>
    <w:semiHidden/>
    <w:qFormat/>
  </w:style>
  <w:style w:type="numbering" w:styleId="896" w:default="1">
    <w:name w:val="No List"/>
    <w:uiPriority w:val="99"/>
    <w:semiHidden/>
    <w:unhideWhenUsed/>
    <w:qFormat/>
  </w:style>
  <w:style w:type="table" w:styleId="897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8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99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00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901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902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903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cPr>
        <w:shd w:val="clear" w:color="ffffff" w:fill="f2f2f2" w:themeFill="text1" w:themeFillTint="00"/>
      </w:tcPr>
    </w:tblStylePr>
    <w:tblStylePr w:type="band1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04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5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6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7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8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09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0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11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926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ce6f1" w:themeFill="accent1" w:themeFillTint="32"/>
      </w:tcPr>
    </w:tblStylePr>
    <w:tblStylePr w:type="band1Vert">
      <w:rPr>
        <w:sz w:val="22"/>
      </w:rPr>
      <w:tcPr>
        <w:shd w:val="clear" w:color="ffffff" w:fill="dce6f1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</w:tcBorders>
      </w:tcPr>
    </w:tblStylePr>
  </w:style>
  <w:style w:type="table" w:styleId="927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f2dcdb" w:themeFill="accent2" w:themeFillTint="32"/>
      </w:tcPr>
    </w:tblStylePr>
    <w:tblStylePr w:type="band1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</w:tcBorders>
      </w:tcPr>
    </w:tblStylePr>
  </w:style>
  <w:style w:type="table" w:styleId="928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af0dd" w:themeFill="accent3" w:themeFillTint="34"/>
      </w:tcPr>
    </w:tblStylePr>
    <w:tblStylePr w:type="band1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</w:tcBorders>
      </w:tcPr>
    </w:tblStylePr>
  </w:style>
  <w:style w:type="table" w:styleId="929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</w:tcBorders>
      </w:tcPr>
    </w:tblStylePr>
  </w:style>
  <w:style w:type="table" w:styleId="930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</w:tcBorders>
      </w:tcPr>
    </w:tblStylePr>
  </w:style>
  <w:style w:type="table" w:styleId="931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</w:tcBorders>
      </w:tcPr>
    </w:tblStylePr>
  </w:style>
  <w:style w:type="table" w:styleId="932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933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934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935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936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937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938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939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40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3e70a3" w:themeColor="accent1" w:themeTint="80" w:themeShade="95"/>
        <w:sz w:val="22"/>
      </w:rPr>
    </w:tblStylePr>
  </w:style>
  <w:style w:type="table" w:styleId="941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42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5c702f" w:themeColor="accent3" w:themeTint="FE" w:themeShade="95"/>
        <w:sz w:val="22"/>
      </w:rPr>
    </w:tblStylePr>
  </w:style>
  <w:style w:type="table" w:styleId="943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944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45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266777" w:themeColor="accent5" w:themeShade="95"/>
        <w:sz w:val="22"/>
      </w:rPr>
    </w:tblStylePr>
  </w:style>
  <w:style w:type="table" w:styleId="946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7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8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9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0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1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2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3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4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5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961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962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963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964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965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966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967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8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9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4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0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1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2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1cd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3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9bf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4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5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cPr>
        <w:shd w:val="clear" w:color="ffffff" w:fill="d3e0ee" w:themeFill="accent1" w:themeFillTint="40"/>
      </w:tcPr>
    </w:tblStylePr>
    <w:tblStylePr w:type="band1Vert">
      <w:rPr>
        <w:sz w:val="22"/>
      </w:rPr>
      <w:tcPr>
        <w:shd w:val="clear" w:color="ffffff" w:fill="d3e0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6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cPr>
        <w:shd w:val="clear" w:color="ffffff" w:fill="efd3d2" w:themeFill="accent2" w:themeFillTint="40"/>
      </w:tcPr>
    </w:tblStylePr>
    <w:tblStylePr w:type="band1Vert">
      <w:rPr>
        <w:sz w:val="22"/>
      </w:rPr>
      <w:tcPr>
        <w:shd w:val="clear" w:color="ffffff" w:fill="efd3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7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cPr>
        <w:shd w:val="clear" w:color="ffffff" w:fill="e6eed5" w:themeFill="accent3" w:themeFillTint="40"/>
      </w:tcPr>
    </w:tblStylePr>
    <w:tblStylePr w:type="band1Vert">
      <w:rPr>
        <w:sz w:val="22"/>
      </w:rPr>
      <w:tcPr>
        <w:shd w:val="clear" w:color="ffffff" w:fill="e6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8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79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0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cPr>
        <w:shd w:val="clear" w:color="ffffff" w:fill="fce4d1" w:themeFill="accent6" w:themeFillTint="40"/>
      </w:tcPr>
    </w:tblStylePr>
    <w:tblStylePr w:type="band1Vert">
      <w:rPr>
        <w:sz w:val="22"/>
      </w:rPr>
      <w:tcPr>
        <w:shd w:val="clear" w:color="ffffff" w:fill="fce4d1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81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2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3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4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5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6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7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988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989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90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991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992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993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994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995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996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997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998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999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1000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1001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1002">
    <w:name w:val="Lined - Accen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1003">
    <w:name w:val="Lined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1004">
    <w:name w:val="Lined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1005">
    <w:name w:val="Lined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1006">
    <w:name w:val="Lined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1007">
    <w:name w:val="Lined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1008">
    <w:name w:val="Lined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1009">
    <w:name w:val="Bordered &amp; Lined - Accen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f2f2" w:themeFill="text1" w:themeFillTint="00"/>
      </w:tcPr>
    </w:tblStylePr>
    <w:tblStylePr w:type="band2Vert">
      <w:rPr>
        <w:sz w:val="22"/>
      </w:rPr>
      <w:tcPr>
        <w:shd w:val="clear" w:color="ffffff" w:fill="f2f2f2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1010">
    <w:name w:val="Bordered &amp; Lin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dc2" w:themeFill="accent1" w:themeFillTint="EA"/>
      </w:tcPr>
    </w:tblStylePr>
    <w:tblStylePr w:type="firstRow">
      <w:rPr>
        <w:sz w:val="22"/>
      </w:rPr>
      <w:tcPr>
        <w:shd w:val="clear" w:color="ffffff" w:fill="5d8dc2" w:themeFill="accent1" w:themeFillTint="EA"/>
      </w:tcPr>
    </w:tblStylePr>
    <w:tblStylePr w:type="lastCol">
      <w:rPr>
        <w:sz w:val="22"/>
      </w:rPr>
      <w:tcPr>
        <w:shd w:val="clear" w:color="ffffff" w:fill="5d8dc2" w:themeFill="accent1" w:themeFillTint="EA"/>
      </w:tcPr>
    </w:tblStylePr>
    <w:tblStylePr w:type="lastRow">
      <w:rPr>
        <w:sz w:val="22"/>
      </w:rPr>
      <w:tcPr>
        <w:shd w:val="clear" w:color="ffffff" w:fill="5d8dc2" w:themeFill="accent1" w:themeFillTint="EA"/>
      </w:tcPr>
    </w:tblStylePr>
  </w:style>
  <w:style w:type="table" w:styleId="1011">
    <w:name w:val="Bordered &amp; Lin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b" w:themeFill="accent2" w:themeFillTint="32"/>
      </w:tcPr>
    </w:tblStylePr>
    <w:tblStylePr w:type="band2Vert">
      <w:rPr>
        <w:sz w:val="22"/>
      </w:rPr>
      <w:tcPr>
        <w:shd w:val="clear" w:color="ffffff" w:fill="f2dcdb" w:themeFill="accent2" w:themeFillTint="32"/>
      </w:tcPr>
    </w:tblStylePr>
    <w:tblStylePr w:type="firstCol">
      <w:rPr>
        <w:sz w:val="22"/>
      </w:rPr>
      <w:tcPr>
        <w:shd w:val="clear" w:color="ffffff" w:fill="d99694" w:themeFill="accent2" w:themeFillTint="97"/>
      </w:tcPr>
    </w:tblStylePr>
    <w:tblStylePr w:type="firstRow">
      <w:rPr>
        <w:sz w:val="22"/>
      </w:rPr>
      <w:tcPr>
        <w:shd w:val="clear" w:color="ffffff" w:fill="d99694" w:themeFill="accent2" w:themeFillTint="97"/>
      </w:tcPr>
    </w:tblStylePr>
    <w:tblStylePr w:type="lastCol">
      <w:rPr>
        <w:sz w:val="22"/>
      </w:rPr>
      <w:tcPr>
        <w:shd w:val="clear" w:color="ffffff" w:fill="d99694" w:themeFill="accent2" w:themeFillTint="97"/>
      </w:tcPr>
    </w:tblStylePr>
    <w:tblStylePr w:type="lastRow">
      <w:rPr>
        <w:sz w:val="22"/>
      </w:rPr>
      <w:tcPr>
        <w:shd w:val="clear" w:color="ffffff" w:fill="d99694" w:themeFill="accent2" w:themeFillTint="97"/>
      </w:tcPr>
    </w:tblStylePr>
  </w:style>
  <w:style w:type="table" w:styleId="1012">
    <w:name w:val="Bordered &amp; Lin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0dd" w:themeFill="accent3" w:themeFillTint="34"/>
      </w:tcPr>
    </w:tblStylePr>
    <w:tblStylePr w:type="band2Vert">
      <w:rPr>
        <w:sz w:val="22"/>
      </w:rPr>
      <w:tcPr>
        <w:shd w:val="clear" w:color="ffffff" w:fill="eaf0dd" w:themeFill="accent3" w:themeFillTint="34"/>
      </w:tcPr>
    </w:tblStylePr>
    <w:tblStylePr w:type="firstCol">
      <w:rPr>
        <w:sz w:val="22"/>
      </w:rPr>
      <w:tcPr>
        <w:shd w:val="clear" w:color="ffffff" w:fill="9bba59" w:themeFill="accent3" w:themeFillTint="FE"/>
      </w:tcPr>
    </w:tblStylePr>
    <w:tblStylePr w:type="firstRow">
      <w:rPr>
        <w:sz w:val="22"/>
      </w:rPr>
      <w:tcPr>
        <w:shd w:val="clear" w:color="ffffff" w:fill="9bba59" w:themeFill="accent3" w:themeFillTint="FE"/>
      </w:tcPr>
    </w:tblStylePr>
    <w:tblStylePr w:type="lastCol">
      <w:rPr>
        <w:sz w:val="22"/>
      </w:rPr>
      <w:tcPr>
        <w:shd w:val="clear" w:color="ffffff" w:fill="9bba59" w:themeFill="accent3" w:themeFillTint="FE"/>
      </w:tcPr>
    </w:tblStylePr>
    <w:tblStylePr w:type="lastRow">
      <w:rPr>
        <w:sz w:val="22"/>
      </w:rPr>
      <w:tcPr>
        <w:shd w:val="clear" w:color="ffffff" w:fill="9bba59" w:themeFill="accent3" w:themeFillTint="FE"/>
      </w:tcPr>
    </w:tblStylePr>
  </w:style>
  <w:style w:type="table" w:styleId="1013">
    <w:name w:val="Bordered &amp; Lin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1014">
    <w:name w:val="Bordered &amp; Lin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1015">
    <w:name w:val="Bordered &amp; Lin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1016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1017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18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1019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1020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1021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1022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1023" w:default="1">
    <w:name w:val="Normal Table"/>
    <w:uiPriority w:val="99"/>
    <w:semiHidden/>
    <w:unhideWhenUsed/>
    <w:tblPr/>
  </w:style>
  <w:style w:type="table" w:styleId="1024" w:customStyle="1">
    <w:name w:val="block-tbl "/>
    <w:pPr>
      <w:ind w:right="0"/>
      <w:jc w:val="left"/>
      <w:spacing w:before="0" w:after="0" w:line="240" w:lineRule="auto"/>
    </w:pPr>
    <w:rPr>
      <w:b w:val="0"/>
      <w:bCs w:val="0"/>
      <w:i w:val="0"/>
      <w:caps w:val="0"/>
      <w:smallCaps w:val="0"/>
      <w:spacing w:val="0"/>
      <w:sz w:val="20"/>
      <w:szCs w:val="20"/>
      <w:lang w:val="en-US" w:eastAsia="en-US" w:bidi="ar-SA"/>
    </w:rPr>
    <w:tblPr>
      <w:tblStyleRowBandSize w:val="1"/>
      <w:tblStyleColBandSize w:val="1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vAlign w:val="top"/>
    </w:tc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Деп. имущественных отношений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имущественных отношений</dc:title>
  <dc:subject/>
  <dc:creator>bna</dc:creator>
  <dc:description/>
  <dc:language>ru-RU</dc:language>
  <cp:lastModifiedBy>chetina-yui</cp:lastModifiedBy>
  <cp:revision>1139</cp:revision>
  <dcterms:created xsi:type="dcterms:W3CDTF">2015-07-02T10:18:00Z</dcterms:created>
  <dcterms:modified xsi:type="dcterms:W3CDTF">2026-07-22T06:20:24Z</dcterms:modified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