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68"/>
        <w:ind w:left="1134" w:right="-261" w:hanging="113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sz w:val="24"/>
          <w:szCs w:val="24"/>
          <w:lang w:val="ru-RU"/>
        </w:rPr>
      </w:r>
    </w:p>
    <w:p>
      <w:pPr>
        <w:pStyle w:val="648"/>
        <w:numPr>
          <w:ilvl w:val="0"/>
          <w:numId w:val="0"/>
        </w:numPr>
        <w:ind w:left="0" w:firstLine="5670"/>
        <w:jc w:val="both"/>
        <w:spacing w:line="240" w:lineRule="exact"/>
        <w:tabs>
          <w:tab w:val="clear" w:pos="708" w:leader="none"/>
          <w:tab w:val="left" w:pos="4732" w:leader="none"/>
          <w:tab w:val="left" w:pos="5812" w:leader="none"/>
        </w:tabs>
        <w:rPr>
          <w:sz w:val="28"/>
          <w:szCs w:val="28"/>
        </w:rPr>
        <w:outlineLvl w:val="5"/>
      </w:pPr>
      <w:r>
        <w:rPr>
          <w:bCs/>
          <w:sz w:val="28"/>
          <w:szCs w:val="28"/>
        </w:rPr>
        <w:t xml:space="preserve">Приложение 2</w:t>
      </w:r>
      <w:r>
        <w:rPr>
          <w:sz w:val="28"/>
          <w:szCs w:val="28"/>
        </w:rPr>
      </w:r>
    </w:p>
    <w:p>
      <w:pPr>
        <w:pStyle w:val="648"/>
        <w:ind w:left="5664" w:firstLine="6"/>
        <w:spacing w:line="240" w:lineRule="exact"/>
        <w:tabs>
          <w:tab w:val="clear" w:pos="708" w:leader="none"/>
          <w:tab w:val="left" w:pos="473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приказу начальника департамента имущественных отношений</w:t>
      </w:r>
      <w:r>
        <w:rPr>
          <w:sz w:val="28"/>
          <w:szCs w:val="28"/>
        </w:rPr>
      </w:r>
    </w:p>
    <w:p>
      <w:pPr>
        <w:pStyle w:val="648"/>
        <w:ind w:firstLine="5670"/>
        <w:spacing w:line="240" w:lineRule="exact"/>
        <w:tabs>
          <w:tab w:val="clear" w:pos="708" w:leader="none"/>
          <w:tab w:val="left" w:pos="473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Перми</w:t>
      </w:r>
      <w:r>
        <w:rPr>
          <w:sz w:val="28"/>
          <w:szCs w:val="28"/>
        </w:rPr>
      </w:r>
    </w:p>
    <w:p>
      <w:pPr>
        <w:pStyle w:val="648"/>
        <w:ind w:firstLine="5670"/>
        <w:spacing w:line="240" w:lineRule="exact"/>
        <w:tabs>
          <w:tab w:val="clear" w:pos="708" w:leader="none"/>
          <w:tab w:val="left" w:pos="473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 27.07.2026 № 059-19-01-11-120</w:t>
      </w:r>
      <w:r>
        <w:rPr>
          <w:sz w:val="28"/>
          <w:szCs w:val="28"/>
        </w:rPr>
      </w:r>
    </w:p>
    <w:p>
      <w:pPr>
        <w:pStyle w:val="648"/>
        <w:ind w:left="283"/>
        <w:jc w:val="center"/>
        <w:tabs>
          <w:tab w:val="clear" w:pos="708" w:leader="none"/>
          <w:tab w:val="left" w:pos="473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8"/>
        <w:ind w:left="283"/>
        <w:jc w:val="center"/>
        <w:tabs>
          <w:tab w:val="clear" w:pos="708" w:leader="none"/>
          <w:tab w:val="left" w:pos="4732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68"/>
        <w:ind w:left="1134" w:hanging="1134"/>
        <w:jc w:val="center"/>
        <w:spacing w:line="240" w:lineRule="exac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Извещение о проведении</w:t>
      </w:r>
      <w:r>
        <w:rPr>
          <w:rFonts w:ascii="Times New Roman" w:hAnsi="Times New Roman" w:cs="Times New Roman"/>
          <w:b/>
          <w:sz w:val="28"/>
          <w:szCs w:val="28"/>
          <w:shd w:val="clear" w:color="auto" w:fill="auto"/>
          <w:lang w:val="ru-RU"/>
        </w:rPr>
        <w:t xml:space="preserve"> 27.08.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2026 электронных аукционов на право заключения договоров аренды земельных участков</w:t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</w:p>
    <w:p>
      <w:pPr>
        <w:pStyle w:val="768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</w:p>
    <w:p>
      <w:pPr>
        <w:pStyle w:val="648"/>
        <w:ind w:left="-567" w:firstLine="567"/>
        <w:jc w:val="both"/>
        <w:widowControl w:val="off"/>
        <w:rPr>
          <w:b/>
          <w:bCs/>
        </w:rPr>
      </w:pPr>
      <w:r>
        <w:rPr>
          <w:shd w:val="clear" w:color="auto" w:fill="ffffff"/>
        </w:rPr>
        <w:t xml:space="preserve">Электронные аукционы на право заключения договоров аренды земельных участков (далее – аукцион) проводятся в соответствии со статьями 39.1</w:t>
      </w:r>
      <w:r>
        <w:rPr>
          <w:shd w:val="clear" w:color="auto" w:fill="ffffff"/>
        </w:rPr>
        <w:t xml:space="preserve">1, 39.12, 39.13, 39.18 Земельного кодекса Российской Федерации, Положением о департаменте имущественных отношений администрации города Перми, утвержденным решением Пермской городской Думы от 12 сентября 2006 г. № 210, постановлением администрации города Пе</w:t>
      </w:r>
      <w:r>
        <w:rPr>
          <w:shd w:val="clear" w:color="auto" w:fill="ffffff"/>
        </w:rPr>
        <w:t xml:space="preserve">рми от 20 ноября 2008 г. № 1089 «О комиссии по проведению аукционов по продаже земельных участков, находящихся в муниципальной собственности города Перми, и участков, собственность на которые не разграничена, объектов незавершенного строительства, располож</w:t>
      </w:r>
      <w:r>
        <w:rPr>
          <w:shd w:val="clear" w:color="auto" w:fill="ffffff"/>
        </w:rPr>
        <w:t xml:space="preserve">енных на земельных участках, находящихся в муниципальной собственности города Перми, и участках, собственность на которые не разграничена, или на право заключения договоров аренды земельных участков, находящихся в муниципальной собственности города Перми, </w:t>
      </w:r>
      <w:r>
        <w:rPr>
          <w:rFonts w:eastAsia="Droid Sans Fallback" w:cs="Lohit Devanagari"/>
          <w:color w:val="000000"/>
          <w:sz w:val="24"/>
          <w:szCs w:val="24"/>
          <w:shd w:val="clear" w:color="auto" w:fill="ffffff"/>
          <w:lang w:val="ru-RU" w:eastAsia="zh-CN" w:bidi="ar-SA"/>
        </w:rPr>
        <w:t xml:space="preserve">и участков, собственность на которые не разграничена» (далее – комиссия), регламентом работы электронной площадки АО «Сбербанк-АСТ», регламентом работы торговой секции АО «Сбербанк-АСТ».</w:t>
      </w:r>
      <w:r>
        <w:rPr>
          <w:b/>
          <w:bCs/>
        </w:rPr>
      </w:r>
    </w:p>
    <w:p>
      <w:pPr>
        <w:pStyle w:val="648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left" w:pos="9355" w:leader="none"/>
        </w:tabs>
        <w:rPr>
          <w:b/>
          <w:bCs/>
        </w:rPr>
        <w:outlineLvl w:val="0"/>
      </w:pPr>
      <w:r>
        <w:rPr>
          <w:b/>
          <w:bCs/>
        </w:rPr>
        <w:t xml:space="preserve">Орган, принявший решение о проведении аукциона: </w:t>
      </w:r>
      <w:r>
        <w:rPr>
          <w:bCs/>
        </w:rPr>
        <w:t xml:space="preserve">департамент земельных отношений администрации города Перми, местонахождение: 614000, г. Пермь, ул. Сибирская,15, почтовый адрес: 614000, г. Пермь, ул. Сибирская,15, телефон 212-33-48 (аналитический отдел), адрес электронной почты: </w:t>
      </w:r>
      <w:r>
        <w:rPr>
          <w:rStyle w:val="731"/>
          <w:bCs/>
          <w:sz w:val="24"/>
          <w:szCs w:val="24"/>
          <w:lang w:val="en-US"/>
        </w:rPr>
        <w:t xml:space="preserve">dzo@perm.permkrai.ru.</w:t>
      </w:r>
      <w:r>
        <w:rPr>
          <w:b/>
          <w:bCs/>
        </w:rPr>
      </w:r>
    </w:p>
    <w:p>
      <w:pPr>
        <w:pStyle w:val="648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left" w:pos="9355" w:leader="none"/>
        </w:tabs>
        <w:rPr>
          <w:b/>
          <w:bCs/>
          <w:sz w:val="24"/>
          <w:szCs w:val="24"/>
        </w:rPr>
        <w:outlineLvl w:val="0"/>
      </w:pPr>
      <w:r>
        <w:rPr>
          <w:b/>
          <w:bCs/>
        </w:rPr>
        <w:t xml:space="preserve">Организатор аукциона </w:t>
      </w:r>
      <w:r>
        <w:rPr>
          <w:bCs/>
        </w:rPr>
        <w:t xml:space="preserve">(далее – Организатор аукциона)</w:t>
      </w:r>
      <w:r>
        <w:rPr>
          <w:b/>
          <w:bCs/>
        </w:rPr>
        <w:t xml:space="preserve">: </w:t>
      </w:r>
      <w:r>
        <w:rPr>
          <w:bCs/>
        </w:rPr>
        <w:t xml:space="preserve">депар</w:t>
      </w:r>
      <w:r>
        <w:rPr>
          <w:bCs/>
        </w:rPr>
        <w:t xml:space="preserve">тамент имущественных отношений администрации города Перми, местонахождение: 614000, г. Пермь, ул. Сибирская,14, почтовый адрес: 614000, г. Пермь, ул. Сибирская,14, телефон 212-77-24 (отдел по распоряжению муниципальным имуществом), адрес электронной почты:</w:t>
      </w:r>
      <w:r>
        <w:rPr>
          <w:b/>
          <w:bCs/>
        </w:rPr>
        <w:t xml:space="preserve"> </w:t>
      </w:r>
      <w:r>
        <w:rPr>
          <w:sz w:val="24"/>
          <w:szCs w:val="24"/>
          <w:lang w:val="en-US"/>
        </w:rPr>
        <w:t xml:space="preserve">dio</w:t>
      </w:r>
      <w:r>
        <w:rPr>
          <w:sz w:val="24"/>
          <w:szCs w:val="24"/>
        </w:rPr>
        <w:t xml:space="preserve">@</w:t>
      </w:r>
      <w:r>
        <w:rPr>
          <w:sz w:val="24"/>
          <w:szCs w:val="24"/>
          <w:lang w:val="en-US"/>
        </w:rPr>
        <w:t xml:space="preserve">perm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permkrai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ru</w:t>
      </w:r>
      <w:r>
        <w:rPr>
          <w:b/>
          <w:bCs/>
          <w:sz w:val="24"/>
          <w:szCs w:val="24"/>
        </w:rPr>
        <w:t xml:space="preserve">.</w:t>
      </w:r>
      <w:r>
        <w:rPr>
          <w:b/>
          <w:bCs/>
          <w:sz w:val="24"/>
          <w:szCs w:val="24"/>
        </w:rPr>
      </w:r>
    </w:p>
    <w:p>
      <w:pPr>
        <w:pStyle w:val="648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left" w:pos="9355" w:leader="none"/>
        </w:tabs>
        <w:rPr>
          <w:sz w:val="24"/>
          <w:szCs w:val="24"/>
        </w:rPr>
        <w:outlineLvl w:val="0"/>
      </w:pPr>
      <w:r>
        <w:rPr>
          <w:b/>
          <w:bCs/>
        </w:rPr>
        <w:t xml:space="preserve">Реквизиты приказа об организации проведения аукциона:</w:t>
      </w:r>
      <w:r>
        <w:rPr>
          <w:bCs/>
        </w:rPr>
        <w:t xml:space="preserve"> приказ начальника департамента имущественных отношений администрации города Перми от</w:t>
      </w:r>
      <w:r>
        <w:rPr>
          <w:bCs/>
          <w:sz w:val="24"/>
          <w:szCs w:val="24"/>
        </w:rPr>
        <w:t xml:space="preserve"> 27.07.2026 № 059-19-01-11-120.</w:t>
      </w:r>
      <w:r>
        <w:rPr>
          <w:sz w:val="24"/>
          <w:szCs w:val="24"/>
        </w:rPr>
      </w:r>
    </w:p>
    <w:p>
      <w:pPr>
        <w:pStyle w:val="778"/>
        <w:numPr>
          <w:ilvl w:val="0"/>
          <w:numId w:val="0"/>
        </w:numPr>
        <w:ind w:left="-567" w:firstLine="567"/>
        <w:jc w:val="both"/>
        <w:spacing w:before="0" w:after="0"/>
        <w:rPr>
          <w:rFonts w:eastAsia="Courier New"/>
          <w:b/>
          <w:color w:val="000000"/>
          <w:lang w:val="ru-RU" w:bidi="ru-RU"/>
        </w:rPr>
        <w:outlineLvl w:val="0"/>
      </w:pPr>
      <w:r>
        <w:rPr>
          <w:sz w:val="24"/>
          <w:szCs w:val="24"/>
          <w:lang w:val="ru-RU"/>
        </w:rPr>
        <w:t xml:space="preserve">Извещение о проведение электронных аукционов размещается на официальном сайте Российской Федерации для размещения информации о проведении торгов </w:t>
      </w:r>
      <w:hyperlink r:id="rId11" w:tooltip="http://www.torgi.gov.ru/" w:history="1">
        <w:r>
          <w:rPr>
            <w:rStyle w:val="731"/>
            <w:color w:val="000000"/>
            <w:sz w:val="24"/>
            <w:szCs w:val="24"/>
            <w:u w:val="none"/>
          </w:rPr>
          <w:t xml:space="preserve">www</w:t>
        </w:r>
        <w:r>
          <w:rPr>
            <w:rStyle w:val="731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31"/>
            <w:color w:val="000000"/>
            <w:sz w:val="24"/>
            <w:szCs w:val="24"/>
            <w:u w:val="none"/>
          </w:rPr>
          <w:t xml:space="preserve">torgi</w:t>
        </w:r>
        <w:r>
          <w:rPr>
            <w:rStyle w:val="731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31"/>
            <w:color w:val="000000"/>
            <w:sz w:val="24"/>
            <w:szCs w:val="24"/>
            <w:u w:val="none"/>
          </w:rPr>
          <w:t xml:space="preserve">gov</w:t>
        </w:r>
        <w:r>
          <w:rPr>
            <w:rStyle w:val="731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31"/>
            <w:color w:val="000000"/>
            <w:sz w:val="24"/>
            <w:szCs w:val="24"/>
            <w:u w:val="none"/>
          </w:rPr>
          <w:t xml:space="preserve">ru</w:t>
        </w:r>
      </w:hyperlink>
      <w:r>
        <w:rPr>
          <w:color w:val="000000"/>
          <w:sz w:val="24"/>
          <w:szCs w:val="24"/>
          <w:u w:val="none"/>
        </w:rPr>
        <w:t xml:space="preserve"> </w:t>
        <w:br/>
        <w:t xml:space="preserve">(далее – ГИС Торги)</w:t>
      </w:r>
      <w:r>
        <w:rPr>
          <w:b/>
          <w:sz w:val="24"/>
          <w:szCs w:val="24"/>
          <w:lang w:val="ru-RU"/>
        </w:rPr>
        <w:t xml:space="preserve">,</w:t>
      </w:r>
      <w:r>
        <w:rPr>
          <w:b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официальном сайте муниципального образования город Пермь </w:t>
        <w:br/>
        <w:t xml:space="preserve">в информационно-телекоммуникационной сети «Интернет» </w:t>
      </w:r>
      <w:hyperlink r:id="rId12" w:tooltip="http://www.gorodperm.ru/" w:history="1">
        <w:r>
          <w:rPr>
            <w:rStyle w:val="731"/>
            <w:color w:val="000000"/>
            <w:sz w:val="24"/>
            <w:szCs w:val="24"/>
            <w:u w:val="none"/>
          </w:rPr>
          <w:t xml:space="preserve">www</w:t>
        </w:r>
        <w:r>
          <w:rPr>
            <w:rStyle w:val="731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31"/>
            <w:color w:val="000000"/>
            <w:sz w:val="24"/>
            <w:szCs w:val="24"/>
            <w:u w:val="none"/>
          </w:rPr>
          <w:t xml:space="preserve">gorodperm</w:t>
        </w:r>
        <w:r>
          <w:rPr>
            <w:rStyle w:val="731"/>
            <w:color w:val="000000"/>
            <w:sz w:val="24"/>
            <w:szCs w:val="24"/>
            <w:u w:val="none"/>
            <w:lang w:val="ru-RU"/>
          </w:rPr>
          <w:t xml:space="preserve">.</w:t>
        </w:r>
        <w:r>
          <w:rPr>
            <w:rStyle w:val="731"/>
            <w:color w:val="000000"/>
            <w:sz w:val="24"/>
            <w:szCs w:val="24"/>
            <w:u w:val="none"/>
          </w:rPr>
          <w:t xml:space="preserve">ru</w:t>
        </w:r>
      </w:hyperlink>
      <w:r>
        <w:rPr>
          <w:sz w:val="24"/>
          <w:szCs w:val="24"/>
          <w:lang w:val="ru-RU"/>
        </w:rPr>
        <w:t xml:space="preserve"> и на электронной </w:t>
      </w:r>
      <w:r>
        <w:rPr>
          <w:bCs/>
          <w:sz w:val="24"/>
          <w:szCs w:val="24"/>
          <w:lang w:val="ru-RU" w:bidi="ru-RU"/>
        </w:rPr>
        <w:t xml:space="preserve">площадке </w:t>
      </w:r>
      <w:hyperlink r:id="rId13" w:tooltip="http://utp.sberbank-ast.ru/" w:history="1">
        <w:r>
          <w:rPr>
            <w:rStyle w:val="731"/>
            <w:sz w:val="24"/>
            <w:szCs w:val="24"/>
          </w:rPr>
          <w:t xml:space="preserve">http</w:t>
        </w:r>
        <w:r>
          <w:rPr>
            <w:rStyle w:val="731"/>
            <w:sz w:val="24"/>
            <w:szCs w:val="24"/>
            <w:lang w:val="ru-RU"/>
          </w:rPr>
          <w:t xml:space="preserve">://</w:t>
        </w:r>
        <w:r>
          <w:rPr>
            <w:rStyle w:val="731"/>
            <w:sz w:val="24"/>
            <w:szCs w:val="24"/>
          </w:rPr>
          <w:t xml:space="preserve">utp</w:t>
        </w:r>
        <w:r>
          <w:rPr>
            <w:rStyle w:val="731"/>
            <w:sz w:val="24"/>
            <w:szCs w:val="24"/>
            <w:lang w:val="ru-RU"/>
          </w:rPr>
          <w:t xml:space="preserve">.</w:t>
        </w:r>
        <w:r>
          <w:rPr>
            <w:rStyle w:val="731"/>
            <w:sz w:val="24"/>
            <w:szCs w:val="24"/>
          </w:rPr>
          <w:t xml:space="preserve">sberbank</w:t>
        </w:r>
        <w:r>
          <w:rPr>
            <w:rStyle w:val="731"/>
            <w:sz w:val="24"/>
            <w:szCs w:val="24"/>
            <w:lang w:val="ru-RU"/>
          </w:rPr>
          <w:t xml:space="preserve">-</w:t>
        </w:r>
        <w:r>
          <w:rPr>
            <w:rStyle w:val="731"/>
            <w:sz w:val="24"/>
            <w:szCs w:val="24"/>
          </w:rPr>
          <w:t xml:space="preserve">ast</w:t>
        </w:r>
        <w:r>
          <w:rPr>
            <w:rStyle w:val="731"/>
            <w:sz w:val="24"/>
            <w:szCs w:val="24"/>
            <w:lang w:val="ru-RU"/>
          </w:rPr>
          <w:t xml:space="preserve">.</w:t>
        </w:r>
        <w:r>
          <w:rPr>
            <w:rStyle w:val="731"/>
            <w:sz w:val="24"/>
            <w:szCs w:val="24"/>
          </w:rPr>
          <w:t xml:space="preserve">ru</w:t>
        </w:r>
      </w:hyperlink>
      <w:r>
        <w:rPr>
          <w:bCs/>
          <w:sz w:val="24"/>
          <w:szCs w:val="24"/>
          <w:lang w:val="ru-RU" w:bidi="ru-RU"/>
        </w:rPr>
        <w:t xml:space="preserve">.</w:t>
      </w:r>
      <w:r>
        <w:rPr>
          <w:rFonts w:eastAsia="Courier New"/>
          <w:b/>
          <w:color w:val="000000"/>
          <w:lang w:val="ru-RU" w:bidi="ru-RU"/>
        </w:rPr>
      </w:r>
    </w:p>
    <w:p>
      <w:pPr>
        <w:pStyle w:val="648"/>
        <w:ind w:left="-567" w:firstLine="567"/>
        <w:jc w:val="both"/>
        <w:widowControl w:val="off"/>
        <w:rPr>
          <w:rFonts w:eastAsia="Courier New"/>
          <w:b/>
          <w:color w:val="000000"/>
          <w:lang w:eastAsia="en-US" w:bidi="ru-RU"/>
        </w:rPr>
      </w:pPr>
      <w:r>
        <w:rPr>
          <w:rFonts w:eastAsia="Courier New"/>
          <w:b/>
          <w:color w:val="000000"/>
          <w:lang w:bidi="ru-RU"/>
        </w:rPr>
        <w:t xml:space="preserve">Адрес электронной площадки в информационно-телекоммуникационной сети «Интернет», на которой будет проводиться аукцион</w:t>
      </w:r>
      <w:r>
        <w:rPr>
          <w:rFonts w:eastAsia="Courier New"/>
          <w:color w:val="000000"/>
          <w:lang w:bidi="ru-RU"/>
        </w:rPr>
        <w:t xml:space="preserve">:</w:t>
      </w:r>
      <w:r>
        <w:rPr>
          <w:rFonts w:ascii="Courier New" w:hAnsi="Courier New" w:eastAsia="Courier New" w:cs="Courier New"/>
          <w:color w:val="000000"/>
          <w:lang w:bidi="ru-RU"/>
        </w:rPr>
        <w:t xml:space="preserve"> </w:t>
      </w:r>
      <w:hyperlink r:id="rId14" w:tooltip="http://utp.sberbank-ast.ru/" w:history="1">
        <w:r>
          <w:rPr>
            <w:rStyle w:val="731"/>
          </w:rPr>
          <w:t xml:space="preserve">http://utp.sberbank-ast.ru</w:t>
        </w:r>
      </w:hyperlink>
      <w:r>
        <w:rPr>
          <w:rFonts w:eastAsia="Courier New"/>
          <w:lang w:bidi="ru-RU"/>
        </w:rPr>
        <w:t xml:space="preserve"> </w:t>
        <w:br/>
      </w:r>
      <w:r>
        <w:rPr>
          <w:rFonts w:eastAsia="Courier New"/>
          <w:color w:val="000000"/>
          <w:lang w:bidi="ru-RU"/>
        </w:rPr>
        <w:t xml:space="preserve">(далее – электронная площадка), торговая секция «Приватизация, аренда и продажа прав» </w:t>
        <w:br/>
        <w:t xml:space="preserve">(далее – торговая секция). </w:t>
      </w:r>
      <w:r>
        <w:rPr>
          <w:rFonts w:eastAsia="Courier New"/>
          <w:b/>
          <w:color w:val="000000"/>
          <w:lang w:eastAsia="en-US" w:bidi="ru-RU"/>
        </w:rPr>
      </w:r>
    </w:p>
    <w:p>
      <w:pPr>
        <w:pStyle w:val="648"/>
        <w:contextualSpacing/>
        <w:ind w:left="-567" w:firstLine="567"/>
        <w:jc w:val="both"/>
        <w:spacing w:before="0" w:after="0"/>
        <w:widowControl w:val="off"/>
        <w:rPr>
          <w:rFonts w:eastAsia="Courier New"/>
          <w:color w:val="000000"/>
          <w:lang w:bidi="ru-RU"/>
        </w:rPr>
      </w:pPr>
      <w:r>
        <w:rPr>
          <w:rFonts w:eastAsia="Courier New"/>
          <w:b/>
          <w:color w:val="000000"/>
          <w:lang w:eastAsia="en-US" w:bidi="ru-RU"/>
        </w:rPr>
        <w:t xml:space="preserve">Владелец электронной площадки</w:t>
      </w:r>
      <w:r>
        <w:rPr>
          <w:rFonts w:eastAsia="Courier New"/>
          <w:color w:val="000000"/>
          <w:lang w:eastAsia="en-US" w:bidi="ru-RU"/>
        </w:rPr>
        <w:t xml:space="preserve">:</w:t>
      </w:r>
      <w:r>
        <w:rPr>
          <w:rFonts w:eastAsia="Calibri"/>
          <w:lang w:eastAsia="en-US"/>
        </w:rPr>
        <w:t xml:space="preserve"> АО «Сбербанк-АСТ» (далее – Оператор)</w:t>
      </w:r>
      <w:r>
        <w:rPr>
          <w:rFonts w:eastAsia="Courier New"/>
          <w:color w:val="000000"/>
          <w:lang w:eastAsia="en-US" w:bidi="ru-RU"/>
        </w:rPr>
        <w:t xml:space="preserve">.</w:t>
      </w:r>
      <w:r>
        <w:rPr>
          <w:rFonts w:eastAsia="Courier New"/>
          <w:color w:val="000000"/>
          <w:lang w:bidi="ru-RU"/>
        </w:rPr>
      </w:r>
    </w:p>
    <w:p>
      <w:pPr>
        <w:pStyle w:val="648"/>
        <w:contextualSpacing/>
        <w:ind w:left="-567" w:firstLine="567"/>
        <w:jc w:val="both"/>
        <w:spacing w:before="0" w:after="0"/>
        <w:widowControl w:val="off"/>
        <w:rPr>
          <w:bCs/>
          <w:lang w:bidi="ru-RU"/>
        </w:rPr>
      </w:pPr>
      <w:r>
        <w:rPr>
          <w:rFonts w:eastAsia="Courier New"/>
          <w:color w:val="000000"/>
          <w:lang w:bidi="ru-RU"/>
        </w:rPr>
        <w:t xml:space="preserve">Регламент работы электронной площадки размещён по </w:t>
      </w:r>
      <w:r>
        <w:rPr>
          <w:rFonts w:eastAsia="Courier New"/>
          <w:lang w:bidi="ru-RU"/>
        </w:rPr>
        <w:t xml:space="preserve">адресу: </w:t>
      </w:r>
      <w:hyperlink r:id="rId15" w:tooltip="https://utp.sberbank-ast.ru/Main/Notice/988/Reglament" w:history="1">
        <w:r>
          <w:rPr>
            <w:rStyle w:val="731"/>
            <w:rFonts w:eastAsia="Courier New"/>
            <w:lang w:bidi="ru-RU"/>
          </w:rPr>
          <w:t xml:space="preserve">https://utp.sberbank-ast.ru/Main/Notice/988/Reglament</w:t>
        </w:r>
      </w:hyperlink>
      <w:r>
        <w:rPr>
          <w:rFonts w:eastAsia="Courier New"/>
          <w:lang w:bidi="ru-RU"/>
        </w:rPr>
        <w:t xml:space="preserve">.</w:t>
      </w:r>
      <w:r>
        <w:rPr>
          <w:bCs/>
          <w:lang w:bidi="ru-RU"/>
        </w:rPr>
      </w:r>
    </w:p>
    <w:p>
      <w:pPr>
        <w:pStyle w:val="648"/>
        <w:contextualSpacing/>
        <w:ind w:left="-567" w:firstLine="567"/>
        <w:jc w:val="both"/>
        <w:spacing w:before="0" w:after="0"/>
        <w:widowControl w:val="off"/>
        <w:rPr>
          <w:rFonts w:eastAsia="Courier New"/>
          <w:lang w:bidi="ru-RU"/>
        </w:rPr>
      </w:pPr>
      <w:r>
        <w:rPr>
          <w:bCs/>
          <w:lang w:bidi="ru-RU"/>
        </w:rPr>
        <w:t xml:space="preserve">Регламент работы </w:t>
      </w:r>
      <w:r>
        <w:rPr>
          <w:rFonts w:eastAsia="Courier New"/>
          <w:lang w:bidi="ru-RU"/>
        </w:rPr>
        <w:t xml:space="preserve">торговой секции </w:t>
      </w:r>
      <w:r>
        <w:rPr>
          <w:bCs/>
          <w:lang w:eastAsia="en-US" w:bidi="ru-RU"/>
        </w:rPr>
        <w:t xml:space="preserve">размещен по адресу: 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br w:type="textWrapping" w:clear="all"/>
      </w:r>
      <w:hyperlink r:id="rId16" w:tooltip="https://utp.sberbank-ast.ru/AP/Notice/1027/Instructions" w:history="1">
        <w:r>
          <w:rPr>
            <w:rStyle w:val="731"/>
            <w:rFonts w:eastAsia="Calibri"/>
            <w:lang w:eastAsia="en-US"/>
          </w:rPr>
          <w:t xml:space="preserve">https://utp.sberbank-ast.ru/AP/Notice/1027/Instructions</w:t>
        </w:r>
      </w:hyperlink>
      <w:r>
        <w:rPr>
          <w:rFonts w:eastAsia="Calibri"/>
          <w:lang w:eastAsia="en-US"/>
        </w:rPr>
        <w:t xml:space="preserve">.</w:t>
      </w:r>
      <w:r>
        <w:rPr>
          <w:rFonts w:eastAsia="Courier New"/>
          <w:lang w:bidi="ru-RU"/>
        </w:rPr>
      </w:r>
    </w:p>
    <w:p>
      <w:pPr>
        <w:pStyle w:val="648"/>
        <w:contextualSpacing/>
        <w:ind w:left="-567" w:firstLine="567"/>
        <w:jc w:val="both"/>
        <w:spacing w:before="0" w:after="0"/>
        <w:widowControl w:val="off"/>
        <w:rPr>
          <w:b/>
          <w:bCs/>
        </w:rPr>
      </w:pPr>
      <w:r>
        <w:rPr>
          <w:rFonts w:eastAsia="Courier New"/>
          <w:lang w:bidi="ru-RU"/>
        </w:rPr>
        <w:t xml:space="preserve">Инструкция по работе в торговой секции электронной площадки  </w:t>
      </w:r>
      <w:r>
        <w:rPr>
          <w:rFonts w:eastAsia="Courier New"/>
          <w:lang w:bidi="ru-RU"/>
        </w:rPr>
        <w:br w:type="textWrapping" w:clear="all"/>
      </w:r>
      <w:r>
        <w:rPr>
          <w:bCs/>
          <w:lang w:eastAsia="en-US" w:bidi="ru-RU"/>
        </w:rPr>
        <w:t xml:space="preserve">размещена по адресу:</w:t>
      </w:r>
      <w:r>
        <w:rPr>
          <w:rFonts w:ascii="Calibri" w:hAnsi="Calibri" w:eastAsia="Calibri" w:cs="Calibri"/>
          <w:sz w:val="22"/>
          <w:szCs w:val="22"/>
          <w:lang w:eastAsia="en-US"/>
        </w:rPr>
        <w:t xml:space="preserve"> </w:t>
      </w:r>
      <w:hyperlink r:id="rId17" w:tooltip="https://utp.sberbank-ast.ru/AP/Notice/652/Instructions" w:history="1">
        <w:r>
          <w:rPr>
            <w:rStyle w:val="731"/>
            <w:bCs/>
            <w:lang w:eastAsia="en-US" w:bidi="ru-RU"/>
          </w:rPr>
          <w:t xml:space="preserve">https://utp.sberbank-ast.ru/AP/Notice/652/Instructions</w:t>
        </w:r>
      </w:hyperlink>
      <w:r>
        <w:rPr>
          <w:bCs/>
          <w:lang w:eastAsia="en-US" w:bidi="ru-RU"/>
        </w:rPr>
        <w:t xml:space="preserve">.</w:t>
      </w:r>
      <w:r>
        <w:rPr>
          <w:b/>
          <w:bCs/>
        </w:rPr>
      </w:r>
    </w:p>
    <w:p>
      <w:pPr>
        <w:pStyle w:val="648"/>
        <w:ind w:left="-567" w:firstLine="567"/>
        <w:jc w:val="both"/>
        <w:widowControl w:val="off"/>
        <w:rPr>
          <w:highlight w:val="none"/>
        </w:rPr>
      </w:pPr>
      <w:r>
        <w:rPr>
          <w:b/>
          <w:bCs/>
        </w:rPr>
        <w:t xml:space="preserve">Орган, уполномоченный на право заключение договора аренды земельного участка: </w:t>
      </w:r>
      <w:r>
        <w:rPr>
          <w:bCs/>
        </w:rPr>
        <w:t xml:space="preserve">департамент земельных отношений администрации города Перми, местонахождение: 614000, </w:t>
        <w:br/>
        <w:t xml:space="preserve">г. Пермь, ул. Сибирская,15, почтовый адрес: 614000, г. Пермь, ул. Сибирская,15, телефон 212-61-90 (отдел договоров), адрес электронной почты:</w:t>
      </w:r>
      <w:r>
        <w:rPr>
          <w:bCs/>
          <w:sz w:val="24"/>
          <w:szCs w:val="24"/>
        </w:rPr>
        <w:t xml:space="preserve"> </w:t>
      </w:r>
      <w:r>
        <w:rPr>
          <w:rStyle w:val="731"/>
          <w:bCs/>
          <w:sz w:val="24"/>
          <w:szCs w:val="24"/>
          <w:lang w:val="en-US"/>
        </w:rPr>
        <w:t xml:space="preserve">dzo</w:t>
      </w:r>
      <w:r>
        <w:rPr>
          <w:rStyle w:val="731"/>
          <w:bCs/>
          <w:sz w:val="24"/>
          <w:szCs w:val="24"/>
        </w:rPr>
        <w:t xml:space="preserve">@</w:t>
      </w:r>
      <w:r>
        <w:rPr>
          <w:rStyle w:val="731"/>
          <w:bCs/>
          <w:sz w:val="24"/>
          <w:szCs w:val="24"/>
          <w:lang w:val="en-US"/>
        </w:rPr>
        <w:t xml:space="preserve">perm</w:t>
      </w:r>
      <w:r>
        <w:rPr>
          <w:rStyle w:val="731"/>
          <w:bCs/>
          <w:sz w:val="24"/>
          <w:szCs w:val="24"/>
        </w:rPr>
        <w:t xml:space="preserve">.</w:t>
      </w:r>
      <w:r>
        <w:rPr>
          <w:rStyle w:val="731"/>
          <w:bCs/>
          <w:sz w:val="24"/>
          <w:szCs w:val="24"/>
          <w:lang w:val="en-US"/>
        </w:rPr>
        <w:t xml:space="preserve">permkrai</w:t>
      </w:r>
      <w:r>
        <w:rPr>
          <w:rStyle w:val="731"/>
          <w:bCs/>
          <w:sz w:val="24"/>
          <w:szCs w:val="24"/>
        </w:rPr>
        <w:t xml:space="preserve">.</w:t>
      </w:r>
      <w:r>
        <w:rPr>
          <w:rStyle w:val="731"/>
          <w:bCs/>
          <w:sz w:val="24"/>
          <w:szCs w:val="24"/>
          <w:lang w:val="en-US"/>
        </w:rPr>
        <w:t xml:space="preserve">ru.</w:t>
      </w:r>
      <w:r>
        <w:rPr>
          <w:highlight w:val="none"/>
        </w:rPr>
      </w:r>
    </w:p>
    <w:p>
      <w:pPr>
        <w:pStyle w:val="648"/>
        <w:ind w:left="-567" w:firstLine="567"/>
        <w:jc w:val="both"/>
        <w:widowControl w:val="off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768"/>
        <w:ind w:left="1134" w:hanging="1134"/>
        <w:jc w:val="center"/>
        <w:spacing w:line="240" w:lineRule="exact"/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Сведения о лотах (предметах аукциона)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lang w:val="ru-RU"/>
        </w:rPr>
      </w:r>
    </w:p>
    <w:p>
      <w:pPr>
        <w:pStyle w:val="768"/>
        <w:ind w:left="1134" w:hanging="1134"/>
        <w:jc w:val="center"/>
        <w:spacing w:line="240" w:lineRule="exact"/>
        <w:rPr>
          <w:b/>
          <w:bCs/>
          <w:lang w:val="ru-RU"/>
        </w:rPr>
      </w:pP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768"/>
        <w:ind w:left="1134" w:hanging="1134"/>
        <w:jc w:val="left"/>
        <w:spacing w:line="240" w:lineRule="exact"/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Лот № 1</w:t>
      </w:r>
      <w:r/>
    </w:p>
    <w:tbl>
      <w:tblPr>
        <w:tblW w:w="10485" w:type="dxa"/>
        <w:tblInd w:w="-47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67"/>
        <w:gridCol w:w="3054"/>
        <w:gridCol w:w="6864"/>
      </w:tblGrid>
      <w:tr>
        <w:tblPrEx/>
        <w:trPr>
          <w:trHeight w:val="8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 xml:space="preserve">о проведении аукциона,</w:t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 xml:space="preserve">решения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 xml:space="preserve"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Times New Roman" w:cs="Times New Roman"/>
                <w:color w:val="000000"/>
                <w:sz w:val="24"/>
                <w:szCs w:val="20"/>
                <w:lang w:val="ru-RU" w:eastAsia="ru-RU" w:bidi="ar-SA"/>
              </w:rPr>
              <w:t xml:space="preserve">от 20 мая 2026 г. № 21-01-03-3370 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val="clear" w:color="auto" w:fill="auto"/>
                <w:lang w:val="ru-RU" w:eastAsia="zh-CN" w:bidi="ar-SA"/>
              </w:rPr>
              <w:t xml:space="preserve">«О проведении аукциона на право заключения договора аренды земельного участка в </w:t>
            </w:r>
            <w:r>
              <w:rPr>
                <w:rFonts w:eastAsia="Times New Roman" w:cs="Times New Roman"/>
                <w:color w:val="000000"/>
                <w:sz w:val="24"/>
                <w:szCs w:val="20"/>
                <w:shd w:val="clear" w:color="auto" w:fill="auto"/>
                <w:lang w:val="ru-RU" w:eastAsia="ru-RU" w:bidi="ar-SA"/>
              </w:rPr>
              <w:t xml:space="preserve">Орджоникидзевском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val="clear" w:color="auto" w:fill="auto"/>
                <w:lang w:val="ru-RU" w:eastAsia="zh-CN" w:bidi="ar-SA"/>
              </w:rPr>
              <w:t xml:space="preserve"> районе города Перми»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 xml:space="preserve">договора аренды земельного участка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pStyle w:val="6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numPr>
                <w:ilvl w:val="0"/>
                <w:numId w:val="2"/>
              </w:numPr>
              <w:ind w:left="419" w:right="-263" w:hanging="2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местоположение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tabs>
                <w:tab w:val="clear" w:pos="708" w:leader="none"/>
                <w:tab w:val="left" w:pos="825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Пермский край, городской округ Пермский, город Пермь, улица Ленина(Голованово), земельный участок 5в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numPr>
                <w:ilvl w:val="0"/>
                <w:numId w:val="2"/>
              </w:numPr>
              <w:ind w:left="419" w:right="-263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площадь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490 кв. м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numPr>
                <w:ilvl w:val="0"/>
                <w:numId w:val="2"/>
              </w:numPr>
              <w:ind w:left="419" w:right="-263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кадастровый номер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59:01:3610019:163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numPr>
                <w:ilvl w:val="0"/>
                <w:numId w:val="2"/>
              </w:numPr>
              <w:ind w:left="419" w:right="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права на земельный участок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муниципальная собственность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numPr>
                <w:ilvl w:val="0"/>
                <w:numId w:val="2"/>
              </w:numPr>
              <w:ind w:left="419" w:right="0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вид разрешенного использования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numPr>
                <w:ilvl w:val="0"/>
                <w:numId w:val="2"/>
              </w:numPr>
              <w:ind w:left="419" w:right="-263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 xml:space="preserve">категории земель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земли населенных пунктов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numPr>
                <w:ilvl w:val="0"/>
                <w:numId w:val="2"/>
              </w:numPr>
              <w:ind w:left="419" w:right="-263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территориальной зоне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Ж-5 «Зона индивидуальной усадебной жилой застройки»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numPr>
                <w:ilvl w:val="0"/>
                <w:numId w:val="3"/>
              </w:numPr>
              <w:ind w:left="419" w:right="-263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ограничение прав</w:t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Ограничения прав подробно описаны:</w:t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выписке из Единого государственного реестра недвижимости об объекте недвижимости от 07.07.2026г. № КУВИ-001/2026-91004618 (далее – ЕГРН);</w:t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ind w:firstLine="311"/>
              <w:jc w:val="both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в градостроительном плане земельного участка</w:t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648"/>
              <w:jc w:val="both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от 14.05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.2026 № РФ-59-2-03-0-00-2026-1200-0 </w:t>
            </w:r>
            <w:r>
              <w:rPr>
                <w:sz w:val="24"/>
                <w:szCs w:val="24"/>
                <w:shd w:val="clear" w:color="auto" w:fill="auto"/>
              </w:rPr>
              <w:t xml:space="preserve">(далее – ГПЗУ).</w:t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648"/>
              <w:jc w:val="both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(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auto"/>
              </w:rPr>
              <w:t xml:space="preserve">Приложение 2 к настоящему извещению)</w:t>
            </w:r>
            <w:r>
              <w:rPr>
                <w:sz w:val="24"/>
                <w:szCs w:val="24"/>
                <w:shd w:val="clear" w:color="auto" w:fill="auto"/>
              </w:rPr>
              <w:t xml:space="preserve">.</w:t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</w:t>
            </w:r>
            <w:r>
              <w:rPr>
                <w:color w:val="000000" w:themeColor="text1"/>
                <w:sz w:val="24"/>
                <w:szCs w:val="24"/>
              </w:rPr>
              <w:t xml:space="preserve">оступ на участок не ограничен. Состояние рельефа-ровное. На Участке произрастают многолетние лиственные деревья, низкорослые кустарники. </w:t>
            </w:r>
            <w:r>
              <w:rPr>
                <w:color w:val="000000" w:themeColor="text1"/>
                <w:sz w:val="24"/>
                <w:szCs w:val="24"/>
              </w:rPr>
              <w:t xml:space="preserve">Объекты капитального/некапитального строительства отсутствуют.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</w:pPr>
            <w:r>
              <w:rPr>
                <w:color w:val="000000" w:themeColor="text1"/>
                <w:sz w:val="24"/>
                <w:szCs w:val="24"/>
              </w:rPr>
              <w:t xml:space="preserve">Близлежащий источник противопожарного вод</w:t>
            </w:r>
            <w:r>
              <w:rPr>
                <w:color w:val="000000" w:themeColor="text1"/>
                <w:sz w:val="24"/>
                <w:szCs w:val="24"/>
              </w:rPr>
              <w:t xml:space="preserve">оснабжения относительно Участка расположен по адресу: Пермский край, г. Пермь, Орджоникидзевский район, ул. Ленина (Голованово) между жилыми домами 10 и 12, ул. Зелёная, в непосредственной близости расположен водный объект р. Васильевка (пожарный гидрант).</w:t>
            </w:r>
            <w:r/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администрации Орджоникидзевского района города Перми</w:t>
            </w:r>
            <w:r>
              <w:rPr>
                <w:color w:val="000000" w:themeColor="text1"/>
                <w:sz w:val="24"/>
                <w:szCs w:val="24"/>
              </w:rPr>
              <w:t xml:space="preserve"> от 05.05.2026 № 059-37-01-32/3-2568, в акте обследования от 04.05.2026 № 41).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В соответствии со сведениями ЕГРН объекты капитального/некапитального строительства в границах Участка отсутствуют.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В соответствии с копией планшета 1:500 (требуется корректура) объекты капитального/некапитального строительства в границах Участка отсутствуют.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648"/>
              <w:ind w:firstLine="311"/>
              <w:jc w:val="both"/>
              <w:spacing w:before="0" w:after="0" w:line="240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</w:rPr>
            </w:r>
          </w:p>
          <w:p>
            <w:pPr>
              <w:pStyle w:val="648"/>
              <w:ind w:firstLine="311"/>
              <w:jc w:val="both"/>
              <w:spacing w:before="0" w:after="0" w:afterAutospacing="0" w:line="235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color w:val="auto"/>
                <w:spacing w:val="-6"/>
                <w:sz w:val="24"/>
                <w:szCs w:val="24"/>
              </w:rPr>
              <w:t xml:space="preserve">Согласно сведениям, содержащимся ЕГРН, ГПЗУ и градостроительной справке от 07.07.2026 № 685983 сведения о границах</w:t>
            </w:r>
            <w:r>
              <w:rPr>
                <w:color w:val="000000" w:themeColor="text1"/>
                <w:spacing w:val="-6"/>
                <w:sz w:val="24"/>
                <w:szCs w:val="24"/>
              </w:rPr>
              <w:t xml:space="preserve"> зон с особыми условиями использования территории отсутствуют</w:t>
            </w:r>
            <w:r>
              <w:rPr>
                <w:b w:val="0"/>
                <w:bCs w:val="0"/>
                <w:color w:val="auto"/>
                <w:spacing w:val="-6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firstLine="311"/>
              <w:jc w:val="both"/>
              <w:spacing w:before="0" w:after="0" w:afterAutospacing="0" w:line="235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</w:pPr>
            <w:r>
              <w:rPr>
                <w:color w:val="auto"/>
                <w:sz w:val="24"/>
                <w:szCs w:val="24"/>
              </w:rPr>
              <w:t xml:space="preserve">Н</w:t>
            </w:r>
            <w:r>
              <w:rPr>
                <w:color w:val="auto"/>
                <w:sz w:val="24"/>
                <w:szCs w:val="24"/>
              </w:rPr>
              <w:t xml:space="preserve">а Участке произрастает 20 деревьев: береза 7 шт., ива 7 шт., тополь 4 шт., черемуха 2 шт..</w:t>
            </w:r>
            <w:r/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Средняя стоимость в ценах 2026 года одного дерева лиственной породы от 25 тыс. руб., а хвойной – от 30 тыс. руб.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</w:rPr>
              <w:t xml:space="preserve">Победителю аукциона необходимо соблюдать условия строительства, перечисленные в 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</w:rPr>
              <w:t xml:space="preserve">перечне мероприятий по охране окружающей среды от 15.05.2026 № 108.</w:t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Управления по экологии и природопользованию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15.05.2026 № 059-33-01-10/3-275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Муниципальной программой «Дорожная деятельность и благоустройство города Перми», утвержденной постановлением администрации города Перми от 18.10.2024 № 966 </w:t>
              <w:br/>
              <w:t xml:space="preserve">«Об утверждении муниципальной программы «Дорожная деятельность и благоустройство города Перми»,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бюджетом города Перми на период 2025-2029 годы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</w:pPr>
            <w:r>
              <w:rPr>
                <w:color w:val="auto"/>
                <w:sz w:val="24"/>
                <w:szCs w:val="24"/>
                <w14:ligatures w14:val="none"/>
              </w:rPr>
              <w:t xml:space="preserve">Программой комплексного развития трансп</w:t>
            </w:r>
            <w:r>
              <w:rPr>
                <w:color w:val="auto"/>
                <w:sz w:val="24"/>
                <w:szCs w:val="24"/>
                <w14:ligatures w14:val="none"/>
              </w:rPr>
              <w:t xml:space="preserve">ортной инфраструктуры города Перми на 2025-2043 годы, утвержденной Решением Пермской городской Думы </w:t>
              <w:br/>
              <w:t xml:space="preserve">от 16.12.2025 № 238, мероприятия по строительству, реконструкции, капитальному ремонту улично-дорожной сети на рассматриваемой территории не предусмотрены.</w:t>
            </w:r>
            <w:r/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</w:pPr>
            <w:r>
              <w:rPr>
                <w:color w:val="auto"/>
                <w:sz w:val="24"/>
                <w:szCs w:val="24"/>
                <w14:ligatures w14:val="none"/>
              </w:rPr>
              <w:t xml:space="preserve">В отношении территории в границах которой расположен Земельный участок, постановлением администрации города Перми от 22.12.2017 № 1178 утверждены проект планировки территории и проект межевания территории. Пр</w:t>
            </w:r>
            <w:r>
              <w:rPr>
                <w:color w:val="auto"/>
                <w:sz w:val="24"/>
                <w:szCs w:val="24"/>
                <w14:ligatures w14:val="none"/>
              </w:rPr>
              <w:t xml:space="preserve">оектом планировки территории не установлены красные линии, обозначающие территории общего пользования (улицы, проезды), для обеспечения доступа к Земельному участку. По информации, имеющейся в департаменте дорог и благоустройства администрации города Перми</w:t>
            </w:r>
            <w:r>
              <w:rPr>
                <w:color w:val="auto"/>
                <w:sz w:val="24"/>
                <w:szCs w:val="24"/>
                <w14:ligatures w14:val="none"/>
              </w:rPr>
              <w:t xml:space="preserve">, улично-дорожная сеть для обеспечения доступа к Земельному участку отсутствует. В настоящее время доступ к Земельному участку с территории общего пользования (земельный участок с кадастровым номером 59:01:0000000:96844 по Клубному пер.) возможен через зем</w:t>
            </w:r>
            <w:r>
              <w:rPr>
                <w:color w:val="auto"/>
                <w:sz w:val="24"/>
                <w:szCs w:val="24"/>
                <w14:ligatures w14:val="none"/>
              </w:rPr>
              <w:t xml:space="preserve">ли государственная собственность на которые не разграничена. Примыкание Земельного участка </w:t>
              <w:br/>
              <w:t xml:space="preserve">к улично-дорожной сети возможно при строительстве улично-дорожной сети, обеспечивающей доступ </w:t>
              <w:br/>
              <w:t xml:space="preserve">к Земельному участку, которое бюджетом города Перми не предусмотрено.</w:t>
            </w:r>
            <w:r/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</w:pPr>
            <w:r>
              <w:rPr>
                <w:color w:val="auto"/>
                <w:sz w:val="24"/>
                <w:szCs w:val="24"/>
                <w14:ligatures w14:val="none"/>
              </w:rPr>
              <w:t xml:space="preserve">Для примыкания Земельного участка к улично-дорожной сети города Перми необходимо:</w:t>
            </w:r>
            <w:r/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</w:pPr>
            <w:r>
              <w:rPr>
                <w:color w:val="auto"/>
                <w:sz w:val="24"/>
                <w:szCs w:val="24"/>
                <w14:ligatures w14:val="none"/>
              </w:rPr>
              <w:t xml:space="preserve">разработать проект организации дорожного движения </w:t>
              <w:br/>
              <w:t xml:space="preserve">и согласовать в установленном порядке с ГКУ «Центр безопасности дорожного движения Пермского края» </w:t>
              <w:br/>
              <w:t xml:space="preserve">(ул. Пермская, 164, тел. 236-21-84); получить согласие владельца автомобильной дороги (порядок выдач</w:t>
            </w:r>
            <w:r>
              <w:rPr>
                <w:color w:val="auto"/>
                <w:sz w:val="24"/>
                <w:szCs w:val="24"/>
                <w14:ligatures w14:val="none"/>
              </w:rPr>
              <w:t xml:space="preserve">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сооружениями пересечения автомобильной дороги общего пользования местного значения </w:t>
              <w:br/>
              <w:t xml:space="preserve">с другими авто</w:t>
            </w:r>
            <w:r>
              <w:rPr>
                <w:color w:val="auto"/>
                <w:sz w:val="24"/>
                <w:szCs w:val="24"/>
                <w14:ligatures w14:val="none"/>
              </w:rPr>
              <w:t xml:space="preserve">мобильными дорогами, примыкания автомобильной дороги общего пользования местного значения к другой автомобильной дороге, а также перечень документов, необходимых для выдачи согласия, утверждены Постановлением администрации города Перми от 31.01.2022 № 45).</w:t>
            </w:r>
            <w:r/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</w:pPr>
            <w:r>
              <w:rPr>
                <w:color w:val="auto"/>
                <w:sz w:val="24"/>
                <w:szCs w:val="24"/>
                <w14:ligatures w14:val="none"/>
              </w:rPr>
              <w:t xml:space="preserve">Также направляем информацию о соблюдении Правил благоустройства территории города Перми, утвержденны</w:t>
            </w:r>
            <w:r>
              <w:rPr>
                <w:color w:val="auto"/>
                <w:sz w:val="24"/>
                <w:szCs w:val="24"/>
                <w14:ligatures w14:val="none"/>
              </w:rPr>
              <w:t xml:space="preserve">х решением Пермской городской Думы от 15.12.2020 № 277, при строительстве объектов недвижимости на земельных участках, предоставленных на торгах: поверхностный водоотвод решить проектом без подтопления смежных территорий, в соответствии с действующими норм</w:t>
            </w:r>
            <w:r>
              <w:rPr>
                <w:color w:val="auto"/>
                <w:sz w:val="24"/>
                <w:szCs w:val="24"/>
                <w14:ligatures w14:val="none"/>
              </w:rPr>
              <w:t xml:space="preserve">ативно-правовыми актами и природоохранным законодательством; предусмотреть электроосвещение территории объекта; стоянку для временного хранения транспорта разместить в границах отведенного под строительство земельного участка вне территории общего пользова</w:t>
            </w:r>
            <w:r>
              <w:rPr>
                <w:color w:val="auto"/>
                <w:sz w:val="24"/>
                <w:szCs w:val="24"/>
                <w14:ligatures w14:val="none"/>
              </w:rPr>
              <w:t xml:space="preserve">ния; предусмотреть устройство подъезда к земельному участку или ликвидацию разрушений, повреждений дорожного покрытия существующего проезда от границ земельного участка до существующей улично-дорожной сети города Перми, а также наружное освещение подъезда.</w:t>
            </w:r>
            <w:r/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</w:pPr>
            <w:r>
              <w:rPr>
                <w:color w:val="auto"/>
                <w:sz w:val="24"/>
                <w:szCs w:val="24"/>
                <w14:ligatures w14:val="none"/>
              </w:rPr>
              <w:t xml:space="preserve">В соответствии с Федеральным законом от 08.11.2007 № 257-ФЗ «Об автомобильных дорогах и о дорожной деятельности в Российской Федера</w:t>
            </w:r>
            <w:r>
              <w:rPr>
                <w:color w:val="auto"/>
                <w:sz w:val="24"/>
                <w:szCs w:val="24"/>
                <w14:ligatures w14:val="none"/>
              </w:rPr>
              <w:t xml:space="preserve">ции и о внесении изменений в отдельные законодательные акты Российской Федерации», расходы на строительство, реконструкцию, капитальный ремонт, ремонт пересечений и примыканий, в том числе расходы </w:t>
              <w:br/>
              <w:t xml:space="preserve">на выполнение дополнительных работ, связанных </w:t>
              <w:br/>
              <w:t xml:space="preserve">с обеспечен</w:t>
            </w:r>
            <w:r>
              <w:rPr>
                <w:color w:val="auto"/>
                <w:sz w:val="24"/>
                <w:szCs w:val="24"/>
                <w14:ligatures w14:val="none"/>
              </w:rPr>
              <w:t xml:space="preserve">ием безопасности дорожного движения, водоотведения и исполнением других установленных техническими регламентами требований, несут лица, </w:t>
              <w:br/>
              <w:t xml:space="preserve">в интересах которых осуществляются строительство, реконструкция, капитальный ремонт, ремонт пересечений или примыканий.</w:t>
            </w:r>
            <w:r/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Департамента дорог и благоустройства администрации города Перми </w:t>
            </w:r>
            <w:r>
              <w:rPr>
                <w:color w:val="auto"/>
                <w:sz w:val="24"/>
                <w:szCs w:val="24"/>
              </w:rPr>
              <w:t xml:space="preserve"> от 28.04.2026 № 059-24-01-36/3-1261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/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  <w14:ligatures w14:val="none"/>
              </w:rPr>
              <w:t xml:space="preserve">Источники противопожарного водоснабжения (пожарный гидрант на сети водоснабжения) расположен по адресу: ул. Ленина, напротив дома № 9 на расстоянии 390 метров.</w:t>
            </w:r>
            <w:r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  <w14:ligatures w14:val="none"/>
              </w:rPr>
              <w:t xml:space="preserve">Информация о подразделениях пожарной охраны </w:t>
              <w:br/>
              <w:t xml:space="preserve">и времени их прибытия содержится в «Расписании</w:t>
            </w:r>
            <w:r>
              <w:rPr>
                <w:color w:val="auto"/>
                <w:sz w:val="24"/>
                <w:szCs w:val="24"/>
                <w14:ligatures w14:val="none"/>
              </w:rPr>
              <w:t xml:space="preserve"> выезда подразделений Пермского местного пожарно-спасательного гарнизона для тушения пожаров и проведения аварийно- спасательных работ на территории Пермского городского округа, Пермского муниципального района», утвержденном Главой города Перми 26.04.2024.</w:t>
            </w:r>
            <w:r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  <w14:ligatures w14:val="none"/>
              </w:rPr>
              <w:t xml:space="preserve">Подразделение пожарной охраны расположено по адресу: ул. Волховская, 37 (ПСЧ - 57 10 - ПСО). Помещения для аварийно-спасательных служб и (или) аварийно-спасательных формирований на указанной территории отсутствуют.</w:t>
            </w:r>
            <w:r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  <w14:ligatures w14:val="none"/>
              </w:rPr>
              <w:t xml:space="preserve">Объекты общественной безопасности, отнесенные </w:t>
              <w:br/>
              <w:t xml:space="preserve">к объектам полиции (участковые пункты полиции) </w:t>
              <w:br/>
              <w:t xml:space="preserve">в данном микрорайоне (Голованово) отсутствуют.</w:t>
            </w:r>
            <w:r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  <w14:ligatures w14:val="none"/>
              </w:rPr>
              <w:t xml:space="preserve">Ближайший участковый пункт расположен по адресу: г. Пермь, ул. Бенгальская, д. 6, (Орджоникидзевский район). В настоящее время в указанном микрорайоне строительство (приобретение) участковых пунктов полиции не планируется.</w:t>
            </w:r>
            <w:r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  <w14:ligatures w14:val="none"/>
              </w:rPr>
              <w:t xml:space="preserve">На указанной территории оконечные устройства системы оповещения населения города Перми отсутствуют. Для обеспечения покрытия запланированной территории системой оповещения населения необходимо предусматривать раз</w:t>
            </w:r>
            <w:r>
              <w:rPr>
                <w:color w:val="auto"/>
                <w:sz w:val="24"/>
                <w:szCs w:val="24"/>
                <w14:ligatures w14:val="none"/>
              </w:rPr>
              <w:t xml:space="preserve">мещение сиренно-речевых узлов согласно пунктам 6.38, 6.39 СП 165.1325800.2014 «Свод правил. Инженерно-технические мероприятия по гражданской обороне. Актуализированная редакция СНиП 2.01.51-90», утвержденные Приказом Минстроя России от 12.11.2014 № 705/пр.</w:t>
            </w:r>
            <w:r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Департамента общественной безопасности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24.04.2026 № 059-10-01-27/3-608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b w:val="0"/>
                <w:bCs w:val="0"/>
                <w:color w:val="auto"/>
                <w:spacing w:val="-6"/>
                <w:sz w:val="24"/>
                <w:szCs w:val="24"/>
              </w:rPr>
              <w:t xml:space="preserve">Н</w:t>
            </w:r>
            <w:r>
              <w:rPr>
                <w:b w:val="0"/>
                <w:bCs w:val="0"/>
                <w:color w:val="auto"/>
                <w:spacing w:val="-6"/>
                <w:sz w:val="24"/>
                <w:szCs w:val="24"/>
              </w:rPr>
              <w:t xml:space="preserve">а период до 2028 года на территории, где расположен Участок, схемами водоснабжения и водоотведения города Перми, утвержденными постановлением администрации города Перми от 28.12.2018 № 1085, не предусмотрено строительство сетей водоснабжения.</w:t>
            </w:r>
            <w:r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 w:val="0"/>
                <w:color w:val="auto"/>
                <w:spacing w:val="-6"/>
                <w:sz w:val="24"/>
                <w:szCs w:val="24"/>
              </w:rPr>
              <w:t xml:space="preserve">департамента жилищно-коммунального хозяйства администрации города Перми</w:t>
            </w:r>
            <w:r>
              <w:rPr>
                <w:b w:val="0"/>
                <w:bCs w:val="0"/>
                <w:color w:val="auto"/>
                <w:spacing w:val="-6"/>
                <w:sz w:val="24"/>
                <w:szCs w:val="24"/>
              </w:rPr>
              <w:t xml:space="preserve"> от 30.04.2026 № 059-04-17/3-364-ри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0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numPr>
                <w:ilvl w:val="0"/>
                <w:numId w:val="2"/>
              </w:numPr>
              <w:ind w:left="510" w:right="113" w:hanging="283"/>
              <w:jc w:val="left"/>
              <w:spacing w:before="0" w:after="0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 xml:space="preserve">допустимые параметры разрешенного строительства объекта капитального строительства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ind w:firstLine="312"/>
              <w:jc w:val="both"/>
              <w:rPr>
                <w:color w:val="000000" w:themeColor="text1"/>
                <w:sz w:val="24"/>
                <w:szCs w:val="24"/>
                <w:highlight w:val="none"/>
                <w:u w:val="none"/>
              </w:rPr>
            </w:pPr>
            <w:r>
              <w:rPr>
                <w:color w:val="000000" w:themeColor="text1"/>
                <w:sz w:val="24"/>
                <w:szCs w:val="24"/>
                <w:u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  <w:u w:val="none"/>
              </w:rPr>
            </w:r>
          </w:p>
          <w:p>
            <w:pPr>
              <w:pStyle w:val="648"/>
              <w:ind w:firstLine="312"/>
              <w:jc w:val="both"/>
              <w:rPr>
                <w:color w:val="000000" w:themeColor="text1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val="clear" w:color="auto" w:fill="ffffff"/>
              </w:rPr>
              <w:t xml:space="preserve"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 xml:space="preserve">www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  <w:lang w:val="en-US"/>
              </w:rPr>
              <w:t xml:space="preserve">torgi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  <w:lang w:val="en-US"/>
              </w:rPr>
              <w:t xml:space="preserve">gov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  <w:lang w:val="en-US"/>
              </w:rPr>
              <w:t xml:space="preserve">ru</w:t>
            </w:r>
            <w:r>
              <w:rPr>
                <w:szCs w:val="24"/>
                <w:shd w:val="clear" w:color="auto" w:fill="ffffff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8" w:tooltip="http://www.gorodperm.ru/" w:history="1">
              <w:r>
                <w:rPr>
                  <w:rStyle w:val="731"/>
                  <w:color w:val="000000" w:themeColor="text1"/>
                  <w:szCs w:val="24"/>
                  <w:u w:val="none"/>
                </w:rPr>
                <w:t xml:space="preserve">www.gorodperm.ru</w:t>
              </w:r>
            </w:hyperlink>
            <w:r>
              <w:rPr>
                <w:color w:val="000000" w:themeColor="text1"/>
                <w:szCs w:val="24"/>
                <w:u w:val="none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  <w:highlight w:val="none"/>
                <w:u w:val="none"/>
              </w:rPr>
            </w:r>
          </w:p>
          <w:p>
            <w:pPr>
              <w:pStyle w:val="648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 xml:space="preserve">в соответствии с пунктом 4.5 СП 55.13330.2016 Свода Правил. Дома жилые одноквартирные. СНиП 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color w:val="auto"/>
                <w:sz w:val="24"/>
                <w:szCs w:val="24"/>
              </w:rPr>
              <w:t xml:space="preserve">, переднюю.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, общей комнаты в доме с числом комнат две и более - 16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, спальни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); кухни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; кухонной зоны </w:t>
              <w:br/>
              <w:t xml:space="preserve">в кухне-столовой - 6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В домах с одной комнатой допускается проектировать кухни или кухни-ниши площадью не менее 5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Согласно пункту 6.2 СП 55.13330.2016 высота </w:t>
              <w:br/>
              <w:t xml:space="preserve">(от пола до потолка) комн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ат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 xml:space="preserve">антресолей должна составлять не менее 2,1 м,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 xml:space="preserve">а высота пути эвакуации -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2,2 м.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color w:val="auto"/>
                <w:sz w:val="24"/>
                <w:szCs w:val="24"/>
              </w:rPr>
              <w:br/>
            </w:r>
            <w:r>
              <w:rPr>
                <w:color w:val="auto"/>
                <w:sz w:val="24"/>
                <w:szCs w:val="24"/>
                <w:lang w:val="en-US"/>
              </w:rPr>
              <w:t xml:space="preserve">с наклонными ограждающими конструкциями или </w:t>
              <w:br/>
              <w:t xml:space="preserve">в мансардном этаже, допускается уменьшение высоты помещений (от пола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до потолка), относительно нормируемой на площади, не превышающей 50%.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Согласно  ГПЗУ: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минимальный отступ от границ Участка до места допустимого размещения зданий, строений </w:t>
              <w:br/>
              <w:t xml:space="preserve">(за исключением гр</w:t>
            </w:r>
            <w:r>
              <w:rPr>
                <w:color w:val="auto"/>
                <w:sz w:val="24"/>
                <w:szCs w:val="24"/>
              </w:rPr>
              <w:t xml:space="preserve">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границ смежных земельных участков при блокированной жилой застройке) – 3 м;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tabs>
                <w:tab w:val="clear" w:pos="708" w:leader="none"/>
                <w:tab w:val="right" w:pos="6000" w:leader="none"/>
              </w:tabs>
              <w:rPr>
                <w:rFonts w:ascii="Times New Roman" w:hAnsi="Times New Roman"/>
                <w:color w:val="auto"/>
                <w:sz w:val="24"/>
                <w:highlight w:val="white"/>
              </w:rPr>
            </w:pPr>
            <w:r>
              <w:rPr>
                <w:color w:val="auto"/>
                <w:sz w:val="24"/>
              </w:rPr>
              <w:t xml:space="preserve">м</w:t>
            </w:r>
            <w:r>
              <w:rPr>
                <w:color w:val="auto"/>
                <w:sz w:val="24"/>
                <w:highlight w:val="white"/>
              </w:rPr>
              <w:t xml:space="preserve">аксимальный выступ за красную линию нависающих частей здания наземных уровней, выступающих из плоскости наружной стены фасада здан</w:t>
            </w:r>
            <w:r>
              <w:rPr>
                <w:color w:val="auto"/>
                <w:sz w:val="24"/>
                <w:highlight w:val="white"/>
              </w:rPr>
              <w:t xml:space="preserve">ия на высоте не менее 4,5 м над территорией общего пользования, составляет не более 1,2 м от красной линии. В случаях, когда линия регулирования застройки отличается от красной линии, указанный выступ может быть произведен за линию регулирования застройки;</w:t>
            </w:r>
            <w:r>
              <w:rPr>
                <w:rFonts w:ascii="Times New Roman" w:hAnsi="Times New Roman"/>
                <w:color w:val="auto"/>
                <w:sz w:val="24"/>
                <w:highlight w:val="whit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– 40%.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Согласно документации по планировке территории, утвержденной постановлением администрации города Перми от 22.12.2017 № 1178, предельная высота жилой застройки до 10,5 м.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Победителю аукциона (единственному участнику) рекомендовано обратиться в уполномоченный орган </w:t>
              <w:br/>
              <w:t xml:space="preserve">с уведомлением о планируемом строительстве жилого дома.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numPr>
                <w:ilvl w:val="0"/>
                <w:numId w:val="2"/>
              </w:numPr>
              <w:ind w:left="410" w:right="23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  <w:r>
              <w:rPr>
                <w:sz w:val="24"/>
                <w:szCs w:val="24"/>
                <w:highlight w:val="none"/>
                <w:u w:val="none"/>
              </w:rPr>
            </w:r>
          </w:p>
          <w:p>
            <w:pPr>
              <w:pStyle w:val="648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t xml:space="preserve">В </w:t>
            </w:r>
            <w:r>
              <w:rPr>
                <w:shd w:val="clear" w:color="auto" w:fill="ffffff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 xml:space="preserve">www</w:t>
            </w:r>
            <w:r>
              <w:t xml:space="preserve">.</w:t>
            </w:r>
            <w:r>
              <w:rPr>
                <w:lang w:val="en-US"/>
              </w:rPr>
              <w:t xml:space="preserve">torgi</w:t>
            </w:r>
            <w:r>
              <w:t xml:space="preserve">.</w:t>
            </w:r>
            <w:r>
              <w:rPr>
                <w:lang w:val="en-US"/>
              </w:rPr>
              <w:t xml:space="preserve">gov</w:t>
            </w:r>
            <w:r>
              <w:t xml:space="preserve">.</w:t>
            </w:r>
            <w:r>
              <w:rPr>
                <w:lang w:val="en-US"/>
              </w:rPr>
              <w:t xml:space="preserve">ru</w:t>
            </w:r>
            <w:r>
              <w:rPr>
                <w:shd w:val="clear" w:color="auto" w:fill="ffffff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19" w:tooltip="http://www.gorodperm.ru/" w:history="1">
              <w:r>
                <w:rPr>
                  <w:rStyle w:val="731"/>
                  <w:color w:val="000000" w:themeColor="text1"/>
                  <w:u w:val="none"/>
                </w:rPr>
                <w:t xml:space="preserve">www.gorodperm.ru</w:t>
              </w:r>
            </w:hyperlink>
            <w:r>
              <w:rPr>
                <w:color w:val="000000" w:themeColor="text1"/>
                <w:u w:val="none"/>
              </w:rPr>
              <w:t xml:space="preserve">.</w:t>
            </w:r>
            <w:r>
              <w:rPr>
                <w:sz w:val="24"/>
                <w:szCs w:val="24"/>
                <w:highlight w:val="none"/>
                <w:u w:val="none"/>
              </w:rPr>
            </w:r>
          </w:p>
          <w:p>
            <w:pPr>
              <w:pStyle w:val="648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О </w:t>
            </w:r>
            <w:r>
              <w:rPr>
                <w:color w:val="auto"/>
                <w:sz w:val="24"/>
                <w:szCs w:val="24"/>
              </w:rPr>
              <w:t xml:space="preserve">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с предполагаемой максимальной мощностью 15 кВт сообщает следующее.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Порядок технологического присоединения к электрическим сетям регламентирован Правилами технологического присоединения энергопринимающих устройств потребителей электрической эне</w:t>
            </w:r>
            <w:r>
              <w:rPr>
                <w:color w:val="auto"/>
                <w:sz w:val="24"/>
                <w:szCs w:val="24"/>
              </w:rPr>
              <w:t xml:space="preserve">ргии, объектов по производству электрической энергии, а также объектов электросетевого хозяйства, принадлежащих сетевым организациям и иным лица, к электрическим сетям, утвержденными постановлением Правительства РФ от 27.12.2004 № 861 (далее – Правила ТП).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В си</w:t>
            </w:r>
            <w:r>
              <w:rPr>
                <w:color w:val="auto"/>
                <w:sz w:val="24"/>
                <w:szCs w:val="24"/>
              </w:rPr>
              <w:t xml:space="preserve">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Согласно пунктам 15, 25, 25.1 Правил ТП технические услов</w:t>
            </w:r>
            <w:r>
              <w:rPr>
                <w:color w:val="auto"/>
                <w:sz w:val="24"/>
                <w:szCs w:val="24"/>
              </w:rPr>
              <w:t xml:space="preserve">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</w:t>
            </w:r>
            <w:r>
              <w:rPr>
                <w:color w:val="auto"/>
                <w:sz w:val="24"/>
                <w:szCs w:val="24"/>
              </w:rPr>
              <w:t xml:space="preserve">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Для получения технических условий и заключения договора на технологическое присоединении необходимо напр</w:t>
            </w:r>
            <w:r>
              <w:rPr>
                <w:color w:val="auto"/>
                <w:sz w:val="24"/>
                <w:szCs w:val="24"/>
              </w:rPr>
              <w:t xml:space="preserve">авить в адрес филиала ПАО «Россети Урал» - «Пермэнерго» соответствующую заявку с указанием сведений и приложением необходимых документов в соответствии с Правилами ТП через единый федеральный портал электросетевых услуг группы компаний «Россети» на сайте: </w:t>
            </w:r>
            <w:hyperlink r:id="rId20" w:tooltip="https://" w:history="1">
              <w:r>
                <w:rPr>
                  <w:rStyle w:val="731"/>
                  <w:color w:val="auto"/>
                  <w:sz w:val="24"/>
                  <w:szCs w:val="24"/>
                </w:rPr>
                <w:t xml:space="preserve">https://</w:t>
              </w:r>
            </w:hyperlink>
            <w:r>
              <w:rPr>
                <w:color w:val="auto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</w:t>
            </w:r>
            <w:r>
              <w:rPr>
                <w:color w:val="auto"/>
                <w:sz w:val="24"/>
                <w:szCs w:val="24"/>
              </w:rPr>
              <w:t xml:space="preserve">ала «Россети Урал» - «Пермэнерго» по адресу: г. Пермь, ул. Камчатовская, д. 26, а также почтовым отправлением по адресу: 314016, г. Пермь, ул. Камчатовская, 26. По дополнительным вопросам телефон контакт-центра: 8-800-220-0-220 (круглосуточно и бесплатно).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При подготовке ГПЗУ необходимо предусмотреть коридоры для строительства кабельных линий и место для размещения трансформаторных подстанций.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color w:val="auto"/>
                <w:sz w:val="24"/>
                <w:szCs w:val="24"/>
              </w:rPr>
              <w:t xml:space="preserve">Филиала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ПАО «Россети Урал» - «Пермэнерго» Пермские </w:t>
            </w:r>
            <w:r>
              <w:rPr>
                <w:b/>
                <w:color w:val="auto"/>
                <w:sz w:val="24"/>
                <w:szCs w:val="24"/>
              </w:rPr>
              <w:t xml:space="preserve">городские электрические сети»</w:t>
            </w:r>
            <w:r>
              <w:rPr>
                <w:color w:val="auto"/>
                <w:sz w:val="24"/>
                <w:szCs w:val="24"/>
              </w:rPr>
              <w:t xml:space="preserve"> от 05.05.2026 № ПЭ/ПГЭС/01/22/6465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Участок находится вне зоны теплоснабжения ПАО «Т Плюс».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Для запроса информации о возможности подключения земельного участка рекомендуется обратиться к собственникам близлежащих тепловых сетей/источников теплоснабжения или рассмотреть возможность альтернативного источника теплоснабжения.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  <w:highlight w:val="white"/>
              </w:rPr>
              <w:t xml:space="preserve">ПАО «Т Плюс»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от 27.04.2026 № 51000-32-01650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</w:t>
            </w:r>
            <w:r>
              <w:rPr>
                <w:color w:val="000000" w:themeColor="text1"/>
                <w:sz w:val="24"/>
                <w:szCs w:val="24"/>
              </w:rPr>
              <w:t xml:space="preserve">ехническая возможность подключения к сетям теплоснабжения отсутствует. Рекомендовано рассмотреть альтернативный источник теплоснабжения – газ, электричество, дрова, пеллеты.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Департамента жилищно-коммунального хозяйства администрации города Перми</w:t>
            </w:r>
            <w:r>
              <w:rPr>
                <w:color w:val="000000" w:themeColor="text1"/>
                <w:sz w:val="24"/>
                <w:szCs w:val="24"/>
              </w:rPr>
              <w:t xml:space="preserve"> от 22.05.2026 № 059-04-25/3-88-ри).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</w:t>
            </w:r>
            <w:r>
              <w:rPr>
                <w:color w:val="000000" w:themeColor="text1"/>
                <w:sz w:val="24"/>
                <w:szCs w:val="24"/>
              </w:rPr>
              <w:t xml:space="preserve">ехническая возможность подключения объекта капитального строительства с предполагаемой максимальной нагрузкой 8 куб.м/час к существующим сетям газораспределения имеется.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Для рассмотрения вопроса о предоставлении технических условий на подключение (технологическое присоединение) необходимо направит</w:t>
            </w:r>
            <w:r>
              <w:rPr>
                <w:color w:val="000000" w:themeColor="text1"/>
                <w:sz w:val="24"/>
                <w:szCs w:val="24"/>
              </w:rPr>
              <w:t xml:space="preserve">ь запрос с приложением необходимых документов и сведений на электронную почту post@pf.ugaz.ru, либо почтовым отправлением по адресу: г. Пермь, ул. Уральская, 104, через Единый центр предоставления услуг по адресу: г. Пермь, ул. Уральская, д. 104, каб. 101.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границах участка могут расп</w:t>
            </w:r>
            <w:r>
              <w:rPr>
                <w:color w:val="000000" w:themeColor="text1"/>
                <w:sz w:val="24"/>
                <w:szCs w:val="24"/>
              </w:rPr>
              <w:t xml:space="preserve">олагаться газораспределительные сети (сети ЭХЗ), находящиеся как в собственности АО»Газпром газораспределение Пермь», так и в собственности третьих лиц. Для определения местоположения газораспределительных сетей на интересуемом Участке необходимо направить</w:t>
            </w:r>
            <w:r>
              <w:rPr>
                <w:color w:val="000000" w:themeColor="text1"/>
                <w:sz w:val="24"/>
                <w:szCs w:val="24"/>
              </w:rPr>
              <w:t xml:space="preserve"> в адрес Филиала г. Пермь АО «Газпромраспределение Пермь» инженерно-топографический план на бумажном носителе, выполненный в масштабе 1:500, в координатах г. Перми, на котором отображены рельеф местности, объекты ситуации и границы интересующей территории.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АО «Газпром газораспределение Пермь» </w:t>
            </w:r>
            <w:r>
              <w:rPr>
                <w:color w:val="000000" w:themeColor="text1"/>
                <w:sz w:val="24"/>
                <w:szCs w:val="24"/>
              </w:rPr>
              <w:t xml:space="preserve">от 21.05.2026 № ПФ-3760).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О</w:t>
            </w:r>
            <w:r>
              <w:rPr>
                <w:color w:val="auto"/>
                <w:sz w:val="24"/>
                <w:szCs w:val="24"/>
              </w:rPr>
              <w:t xml:space="preserve"> наличии технической возможности для подключения сетей водоснабжения и водоотведения с предполагаемой величиной нагрузки 1,0 м3/сут. сообщается следующее.</w:t>
            </w:r>
            <w:r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Ближайшей сетью водоснабжения, эксплуатируемой ООО «Новогор - Прикамье» является водопровод, Д - 100 мм по ул. Клубный переулок, ориентировочно на расстоянии - 185 м.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Ближайшей точкой присоединения водоотведения, эксплуатируемой ООО «Новогор - Прикамье», является сеть канализации Д-150 мм в районе жилого дома </w:t>
              <w:br/>
              <w:t xml:space="preserve">по ул. Водозаборная, 3,  ориентировочно на расстоянии-3,1 км.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В границах Участка отсутствуют централизованные сети канализации, эксплуатируемые ООО «Новогор -Прикамье».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При проектировании может быть применен альтернативный способ водоснабжения без подключения к централизованной системе водоснабжения (от скважины)  и альтернативный способ канализования, без подключения к цен</w:t>
            </w:r>
            <w:r>
              <w:rPr>
                <w:color w:val="auto"/>
                <w:sz w:val="24"/>
                <w:szCs w:val="24"/>
              </w:rPr>
              <w:t xml:space="preserve">трализованной системе канализации г. Перми (отвод стоков на локальные очистные сооружения, канализование объекта в выгребную яму с последующим вывозом стоков спец. машинами), который должен соответствовать всем нормативным требованиям Российской Федерации.</w:t>
            </w:r>
            <w:r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Ввиду отсутствия данных о посадке проектируемых объектов, длины технологических разрывов до сетей водоснабжения и водоотведения указаны ориентировочно.</w:t>
            </w:r>
            <w:r>
              <w:rPr>
                <w:rFonts w:ascii="Times New Roman" w:hAnsi="Times New Roman"/>
                <w:color w:val="auto"/>
                <w:sz w:val="24"/>
                <w:szCs w:val="24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:lang w:val="ru-RU" w:eastAsia="ru-RU" w:bidi="ru-RU"/>
                <w14:ligatures w14:val="none"/>
              </w:rPr>
            </w:pPr>
            <w:r>
              <w:rPr>
                <w:color w:val="auto"/>
                <w:sz w:val="24"/>
                <w:szCs w:val="24"/>
                <w:lang w:val="ru-RU" w:eastAsia="ru-RU" w:bidi="ru-RU"/>
              </w:rPr>
              <w:t xml:space="preserve">ООО «НОВОГОР - Прикамье» не располагает сведениями о наличии сетей 3-х лиц в границах Участка.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:lang w:val="ru-RU" w:eastAsia="ru-RU" w:bidi="ru-RU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ООО «НОВОГОР -Прикамье» </w:t>
            </w:r>
            <w:r>
              <w:rPr>
                <w:b w:val="0"/>
                <w:bCs w:val="0"/>
                <w:color w:val="auto"/>
                <w:sz w:val="24"/>
                <w:szCs w:val="24"/>
              </w:rPr>
              <w:t xml:space="preserve">29.</w:t>
            </w:r>
            <w:r>
              <w:rPr>
                <w:color w:val="auto"/>
                <w:sz w:val="24"/>
                <w:szCs w:val="24"/>
              </w:rPr>
              <w:t xml:space="preserve">04.2026 № 110-6108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 xml:space="preserve">Т</w:t>
            </w:r>
            <w:r>
              <w:rPr>
                <w:b w:val="0"/>
                <w:bCs w:val="0"/>
                <w:color w:val="auto"/>
                <w:sz w:val="24"/>
                <w:szCs w:val="24"/>
              </w:rPr>
              <w:t xml:space="preserve">ехнологическое присоединение к сетям связи ПАО «Ростелеком» может быть произведено к узлу ВОЛС (г. Пермь, ул. Бенгальская, д. 14а). Максимальную нагрузку в точке подключения (технологического присоединения) определить на стадии проектирования.</w:t>
            </w:r>
            <w:r/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 xml:space="preserve">Для подключения (технологического присоединения) вышеуказанного объекта к сетям электросвязи </w:t>
              <w:br/>
              <w:t xml:space="preserve">ПАО «Ростелеком» необход</w:t>
            </w:r>
            <w:r>
              <w:rPr>
                <w:b w:val="0"/>
                <w:bCs w:val="0"/>
                <w:color w:val="auto"/>
                <w:sz w:val="24"/>
                <w:szCs w:val="24"/>
              </w:rPr>
              <w:t xml:space="preserve">им запрос правообладателя земельного участка на выдачу технических условий подключения или заявка о заключении договора </w:t>
              <w:br/>
              <w:t xml:space="preserve">о подключении в порядке, определенном действующим законодательством. Срок действия технических условий составляет 3 года со дня выдачи.</w:t>
            </w:r>
            <w:r/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 xml:space="preserve">В случае, если в течение 1 года со дня выдачи технических условий заявителем не будет п</w:t>
            </w:r>
            <w:r>
              <w:rPr>
                <w:b w:val="0"/>
                <w:bCs w:val="0"/>
                <w:color w:val="auto"/>
                <w:sz w:val="24"/>
                <w:szCs w:val="24"/>
              </w:rPr>
              <w:t xml:space="preserve">одана заявка о подключении, срок действия технических условий прекращается («Правила подключения (технологического присоединения) объектов капитального строительства к сетям электросвязи», утвержденные постановлением Правительства РФ от 01.07.2022 № 1196).</w:t>
            </w:r>
            <w:r/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 xml:space="preserve">Для получения технических условий на подключение к сетям связи ПАО «Ростелеком» необходимо обратиться в Отдел продаж и обслуживания по адресу: г. Пермь, ул. Крупской, 2, тел.: (342) 235-57-34 или направить запрос на perm-mail@ural.rt.ru.</w:t>
            </w:r>
            <w:r/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ПАО «Ростелеком» </w:t>
            </w:r>
            <w:r>
              <w:rPr>
                <w:b w:val="0"/>
                <w:bCs w:val="0"/>
                <w:color w:val="auto"/>
                <w:sz w:val="24"/>
                <w:szCs w:val="24"/>
              </w:rPr>
              <w:t xml:space="preserve">от 27.04.2026 № 01/05/67293/26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(размер ежегодной арендной платы)</w:t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ind w:right="0"/>
            </w:pPr>
            <w:r>
              <w:rPr>
                <w:b w:val="0"/>
                <w:bCs w:val="0"/>
                <w:sz w:val="24"/>
                <w:szCs w:val="24"/>
                <w:shd w:val="clear" w:color="auto" w:fill="auto"/>
              </w:rPr>
              <w:t xml:space="preserve">По условиям пункта 4.3 проекта договора аренды земельного участка, приобретаемого на торгах в форме аукциона, для строительства (Приложение 1</w:t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</w:t>
            </w:r>
            <w:r>
              <w:rPr>
                <w:b w:val="0"/>
                <w:bCs w:val="0"/>
                <w:sz w:val="24"/>
                <w:szCs w:val="24"/>
                <w:shd w:val="clear" w:color="auto" w:fill="auto"/>
              </w:rPr>
              <w:t xml:space="preserve">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val="clear" w:color="auto" w:fill="auto"/>
              </w:rPr>
              <w:t xml:space="preserve">за 1 год </w:t>
            </w:r>
            <w:r>
              <w:rPr>
                <w:b w:val="0"/>
                <w:bCs w:val="0"/>
                <w:sz w:val="24"/>
                <w:szCs w:val="24"/>
                <w:shd w:val="clear" w:color="auto" w:fill="auto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 xml:space="preserve">в проекте договора аренды земельного участка (Приложение 1</w:t>
              <w:br/>
              <w:t xml:space="preserve">к настоящему извещению)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123 500 </w:t>
            </w:r>
            <w:r>
              <w:rPr>
                <w:sz w:val="24"/>
                <w:szCs w:val="24"/>
              </w:rPr>
              <w:t xml:space="preserve">руб.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val="clear" w:color="auto" w:fill="auto"/>
              </w:rPr>
              <w:t xml:space="preserve">предмета аукциона)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6 175 </w:t>
            </w:r>
            <w:r>
              <w:rPr>
                <w:sz w:val="24"/>
                <w:szCs w:val="24"/>
              </w:rPr>
              <w:t xml:space="preserve">руб.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ind w:left="113" w:right="113" w:firstLine="0"/>
              <w:jc w:val="left"/>
              <w:spacing w:before="0" w:after="0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заявки на участие в аукционе</w:t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на участие в электронном аукционе 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Фед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ерации (копии документов, удостоверяющих личность заявителя (для граждан); надлежащим образом заверенный перевод на русский язык документов </w:t>
              <w:br/>
              <w:t xml:space="preserve">о государственной регистрации юридического лица </w:t>
              <w:br/>
              <w:t xml:space="preserve">в соответствии с законодательством иностранного государства </w:t>
              <w:br/>
              <w:t xml:space="preserve">в слу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  <w:r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каждый лот представляется отдельный пакет документов.</w:t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auto"/>
              </w:rPr>
              <w:t xml:space="preserve"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  <w:r>
              <w:rPr>
                <w:b/>
                <w:sz w:val="24"/>
                <w:szCs w:val="24"/>
              </w:rPr>
            </w:r>
          </w:p>
          <w:p>
            <w:pPr>
              <w:pStyle w:val="742"/>
              <w:jc w:val="both"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blPrEx/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val="clear" w:color="auto" w:fill="auto"/>
              </w:rPr>
              <w:t xml:space="preserve">предмета аукциона)</w:t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auto"/>
                <w:lang w:val="ru-RU" w:eastAsia="ru-RU" w:bidi="ar-SA"/>
              </w:rPr>
              <w:t xml:space="preserve">61 750 </w:t>
            </w:r>
            <w:r>
              <w:rPr>
                <w:sz w:val="24"/>
                <w:szCs w:val="24"/>
              </w:rPr>
              <w:t xml:space="preserve">руб.</w:t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3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аренды земельного участка</w:t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лет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3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ind w:left="113" w:right="113" w:firstLine="0"/>
              <w:jc w:val="left"/>
              <w:spacing w:before="0" w:after="0"/>
              <w:widowControl/>
            </w:pPr>
            <w:r>
              <w:rPr>
                <w:shd w:val="clear" w:color="auto" w:fill="auto"/>
              </w:rPr>
              <w:t xml:space="preserve">Дата </w:t>
            </w:r>
            <w:r>
              <w:rPr>
                <w:b w:val="0"/>
                <w:shd w:val="clear" w:color="auto" w:fill="auto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0"/>
                <w:shd w:val="clear" w:color="auto" w:fill="auto"/>
                <w:lang w:val="en-US" w:eastAsia="en-US"/>
              </w:rPr>
              <w:t xml:space="preserve">сайтах www.torgi.gov.ru, www.gorodperm.ru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27.03.2026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8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1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torgi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gov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gorodperm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ind w:left="0" w:right="-4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 xml:space="preserve">на местности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 xml:space="preserve">самостоятельно в любое время с даты опубликования настоящего извещения.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48"/>
        <w:ind w:left="1134" w:firstLine="0"/>
        <w:jc w:val="left"/>
        <w:spacing w:line="240" w:lineRule="exact"/>
        <w:rPr>
          <w:rFonts w:ascii="Times New Roman" w:hAnsi="Times New Roman" w:cs="Times New Roman"/>
        </w:rPr>
      </w:pPr>
      <w:r>
        <w:rPr>
          <w:rFonts w:cs="Times New Roman"/>
        </w:rPr>
      </w:r>
      <w:r>
        <w:rPr>
          <w:rFonts w:ascii="Times New Roman" w:hAnsi="Times New Roman" w:cs="Times New Roman"/>
        </w:rPr>
      </w:r>
    </w:p>
    <w:p>
      <w:pPr>
        <w:pStyle w:val="648"/>
        <w:ind w:left="1134" w:firstLine="0"/>
        <w:jc w:val="left"/>
        <w:spacing w:line="240" w:lineRule="exact"/>
        <w:rPr>
          <w:rFonts w:ascii="Times New Roman" w:hAnsi="Times New Roman" w:cs="Times New Roman"/>
        </w:rPr>
      </w:pPr>
      <w:r>
        <w:rPr>
          <w:rFonts w:cs="Times New Roman"/>
        </w:rPr>
      </w:r>
      <w:r>
        <w:rPr>
          <w:rFonts w:ascii="Times New Roman" w:hAnsi="Times New Roman" w:cs="Times New Roman"/>
        </w:rPr>
      </w:r>
    </w:p>
    <w:p>
      <w:pPr>
        <w:pStyle w:val="768"/>
        <w:ind w:left="1134" w:hanging="1134"/>
        <w:jc w:val="left"/>
        <w:spacing w:line="240" w:lineRule="exact"/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Лот № </w:t>
      </w: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2</w:t>
      </w:r>
      <w:r/>
    </w:p>
    <w:tbl>
      <w:tblPr>
        <w:tblW w:w="10485" w:type="dxa"/>
        <w:tblInd w:w="-47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67"/>
        <w:gridCol w:w="3054"/>
        <w:gridCol w:w="6864"/>
      </w:tblGrid>
      <w:tr>
        <w:tblPrEx/>
        <w:trPr>
          <w:trHeight w:val="8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органа местного самоуправления, принявшего решение </w:t>
              <w:br/>
              <w:t xml:space="preserve">о проведении аукциона,</w:t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реквизиты указанного </w:t>
              <w:br/>
              <w:t xml:space="preserve">решения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города Перми, распоряжение начальника </w:t>
              <w:br/>
              <w:t xml:space="preserve">департамента земельных отношений администрации город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а Перми 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val="clear" w:color="auto" w:fill="auto"/>
                <w:lang w:val="ru-RU" w:eastAsia="zh-CN" w:bidi="ar-SA"/>
              </w:rPr>
              <w:t xml:space="preserve">от 15 апреля 2026 г. № 21-01-03-2468 «О проведении аукциона </w:t>
            </w:r>
            <w:r>
              <w:rPr>
                <w:rFonts w:eastAsia="Droid Sans Fallback" w:cs="Lohit Devanagari"/>
                <w:color w:val="000000"/>
                <w:sz w:val="24"/>
                <w:szCs w:val="28"/>
                <w:shd w:val="clear" w:color="auto" w:fill="auto"/>
                <w:lang w:val="ru-RU" w:eastAsia="zh-CN" w:bidi="ar-SA"/>
              </w:rPr>
              <w:t xml:space="preserve">на право заключения договора аренды земельного участка в Орджоникидзевском районе города Перми»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аукциона </w:t>
              <w:br/>
              <w:t xml:space="preserve">на право заключения </w:t>
              <w:br/>
              <w:t xml:space="preserve">договора аренды земельного участка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pStyle w:val="6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numPr>
                <w:ilvl w:val="0"/>
                <w:numId w:val="2"/>
              </w:numPr>
              <w:ind w:left="419" w:right="-263" w:hanging="2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местоположение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tabs>
                <w:tab w:val="clear" w:pos="708" w:leader="none"/>
                <w:tab w:val="left" w:pos="8256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Российская Федерация, Пермский край, городской округ Пермский, город Пермь, улица Северная, з/у 15б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numPr>
                <w:ilvl w:val="0"/>
                <w:numId w:val="2"/>
              </w:numPr>
              <w:ind w:left="419" w:right="-263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площадь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561 кв. м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numPr>
                <w:ilvl w:val="0"/>
                <w:numId w:val="2"/>
              </w:numPr>
              <w:ind w:left="419" w:right="-263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кадастровый номер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59:01:3610007:213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numPr>
                <w:ilvl w:val="0"/>
                <w:numId w:val="2"/>
              </w:numPr>
              <w:ind w:left="419" w:right="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права на земельный участок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муниципальная собственность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numPr>
                <w:ilvl w:val="0"/>
                <w:numId w:val="2"/>
              </w:numPr>
              <w:ind w:left="419" w:right="0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вид разрешенного использования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для индивидуального жилищного строительства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numPr>
                <w:ilvl w:val="0"/>
                <w:numId w:val="2"/>
              </w:numPr>
              <w:ind w:left="419" w:right="-263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 </w:t>
              <w:br/>
              <w:t xml:space="preserve">категории земель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земли населенных пунктов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7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numPr>
                <w:ilvl w:val="0"/>
                <w:numId w:val="2"/>
              </w:numPr>
              <w:ind w:left="419" w:right="-263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принадлежность к определенной территориальной зоне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ind w:right="-2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Ж-5 «Зона индивидуальной усадебной жилой застройки»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numPr>
                <w:ilvl w:val="0"/>
                <w:numId w:val="3"/>
              </w:numPr>
              <w:ind w:left="419" w:right="-263" w:hanging="2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ограничение прав</w:t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ind w:left="419"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Ограничения прав подробно описаны:</w:t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ind w:firstLine="3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выписке из Единого государственного реестра недвижимости об объекте недвижимости от 28.05.2026г.             № КУВИ-001/2026-72816835 (далее – ЕГРН);</w:t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ind w:firstLine="311"/>
              <w:jc w:val="both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в градостроительном плане земельного участка</w:t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648"/>
              <w:jc w:val="both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от 24.02</w:t>
            </w: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.2026 № РФ-59-2-03-0-00-2026-0358-0 </w:t>
            </w:r>
            <w:r>
              <w:rPr>
                <w:sz w:val="24"/>
                <w:szCs w:val="24"/>
                <w:shd w:val="clear" w:color="auto" w:fill="auto"/>
              </w:rPr>
              <w:t xml:space="preserve">(далее – ГПЗУ).</w:t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648"/>
              <w:jc w:val="both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(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auto"/>
              </w:rPr>
              <w:t xml:space="preserve">Приложение 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auto"/>
              </w:rPr>
              <w:t xml:space="preserve">4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auto"/>
              </w:rPr>
              <w:t xml:space="preserve"> к настоящему извещению)</w:t>
            </w:r>
            <w:r>
              <w:rPr>
                <w:sz w:val="24"/>
                <w:szCs w:val="24"/>
                <w:shd w:val="clear" w:color="auto" w:fill="auto"/>
              </w:rPr>
              <w:t xml:space="preserve">.</w:t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Состояние рельефа земельного участка – уклон. На обследуемом земельном участке произрастают многолетние лиственные и хвойные деревья. Объекты капитального/некапитального строительства отсутствуют.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Близлежащие пожарные гидранты: Пермский край, </w:t>
              <w:br/>
              <w:t xml:space="preserve">г. Пермь, Орджоникидзевский район, ул. Ленина (Голованово) между жилыми домами 10 и 12, ул. Зелёная, в непосредственной близости расположен водный объект р. Васильевка.</w:t>
            </w:r>
            <w:r>
              <w:rPr>
                <w:color w:val="000000" w:themeColor="text1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администрации Орджоникидзевского района города Перми</w:t>
            </w:r>
            <w:r>
              <w:rPr>
                <w:color w:val="000000" w:themeColor="text1"/>
                <w:sz w:val="24"/>
                <w:szCs w:val="24"/>
              </w:rPr>
              <w:t xml:space="preserve"> от 14.04.2026 № 059-37-01-32/3-2142, в акте обследования земельного участка от 14.04.2026 № 34).</w:t>
            </w:r>
            <w:r>
              <w:rPr>
                <w:color w:val="000000" w:themeColor="text1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В соответствии со сведениями ЕГРН объекты капитального/некапитального строительства в границах Участка отсутствуют.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Согласно сведениям, содержащимся в ЕГРН, ГПЗУ </w:t>
              <w:br/>
              <w:t xml:space="preserve">и справке по градостроительным условиям участка </w:t>
              <w:br/>
              <w:t xml:space="preserve">от 29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.05.2026 № 681618</w:t>
            </w:r>
            <w:r>
              <w:rPr>
                <w:color w:val="auto"/>
                <w:sz w:val="24"/>
                <w:szCs w:val="24"/>
              </w:rPr>
              <w:t xml:space="preserve"> Участок расположен в границах зон с особыми условиями использования территории: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зона санитарной охраны источников водоснабжения </w:t>
              <w:br/>
              <w:t xml:space="preserve">и водопроводов питьевого назначения «Зона санитарной охраны Чусовского узла водозаборов (II пояс)», реестровый номер 59:00-6.649;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 xml:space="preserve">зона санитарной охраны источников водоснабжения </w:t>
              <w:br/>
              <w:t xml:space="preserve">и водопроводов питьевого назначения «Зона санитарной охраны Чусовского узла водозаборов (III пояс)», реестровый номер 59:00-6.648;</w:t>
            </w:r>
            <w:r>
              <w:rPr>
                <w:color w:val="auto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зона охраны природных объектов «Часть водоохранной зоны Камского водохранилища», реестровый ноер 59:01-6.1326;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зона охраны природных объектов «Часть прибрежной защитной полосы Камского водохранилища», реестровый номер 59:01-6.4321.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 xml:space="preserve">Необходимо соблюдать ограничения, установленные ст. 65 Водного кодекса Российской Федерации </w:t>
              <w:br/>
              <w:t xml:space="preserve">от 03.06.2026 г № 74-ФЗ;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 xml:space="preserve">частично площадью 1 кв.м, охранная зона Строительство участка ВЛ 0,4 кВ от ближайшей опоры ВЛ 0,4 кВ от ТП - 4103, установка оборудования учета э/э на опоре ВЛ 0,</w:t>
            </w:r>
            <w:r>
              <w:rPr>
                <w:color w:val="auto"/>
                <w:sz w:val="24"/>
                <w:szCs w:val="24"/>
              </w:rPr>
              <w:t xml:space="preserve">4 кВ для электроснабжения малоэтажной жилой застройки по адресу: Пермский край, г. Пермь, Орджоникидзевский район, северо-западнее района очистных сооружений Чусовского водозабора (кад. номер зем. участка 59:01:5610027:236), реестровый номер 59:01-6.12485;</w:t>
            </w:r>
            <w:r>
              <w:rPr>
                <w:color w:val="auto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Проектирование и строительство вести в соответствии: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с постановлением Главного государственного санитарного врача РФ от 14.03.2002 № 10 «О введении </w:t>
              <w:br/>
              <w:t xml:space="preserve">в действие Санитарных правил и норм «Зоны санитарной охраны источников водоснабжения и водопроводов питьевого назначения. СанПиН 2.1.4.1110-02»/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Во 2, 3 поясах не допускается:</w:t>
            </w: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в т.ч. применение удобрений и ядохимикатов;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Мероприятия по второму и третьему поясам: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3.2.2.1.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3.2.2.2. 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 - эпидемиологического надзора.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3.2.2.3. Запрещение закачки отработанных вод в подземные горизонты, подземного складирования твердых отходов и разработки недр земли.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3.2.2.4. Запрещение размещения складов горюче - 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</w:t>
            </w:r>
            <w:r>
              <w:rPr>
                <w:rFonts w:ascii="Times New Roman" w:hAnsi="Times New Roman"/>
                <w:color w:val="auto"/>
                <w:highlight w:val="white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highlight w:val="white"/>
                <w14:ligatures w14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с Приказом Камского бассейнового водного управления Федерального агентства водных ресурсов от 07.07.2014 № 163 «Об установлении границ водоохранных зон и прибрежных защитных полос Камского водохранилища».</w:t>
            </w:r>
            <w:r>
              <w:rPr>
                <w:rFonts w:ascii="Times New Roman" w:hAnsi="Times New Roman"/>
                <w:color w:val="auto"/>
                <w:highlight w:val="white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auto"/>
              </w:rPr>
            </w:pPr>
            <w:r>
              <w:t xml:space="preserve">с п</w:t>
            </w:r>
            <w:r>
              <w:rPr>
                <w:highlight w:val="white"/>
              </w:rPr>
              <w:t xml:space="preserve">остановлением Правительства Российской Федерации от 24.02.2009 № 160 «О порядке установления</w:t>
            </w:r>
            <w:r>
              <w:t xml:space="preserve"> </w:t>
            </w:r>
            <w:r>
              <w:rPr>
                <w:highlight w:val="white"/>
              </w:rPr>
              <w:t xml:space="preserve">охранных зон объектов электросетевого хозяйства и особых условий использования земельных участков,</w:t>
            </w:r>
            <w:r>
              <w:t xml:space="preserve"> </w:t>
            </w:r>
            <w:r>
              <w:rPr>
                <w:highlight w:val="white"/>
              </w:rPr>
              <w:t xml:space="preserve">расположенных в границах таких зон»</w:t>
            </w:r>
            <w:r>
              <w:t xml:space="preserve">.</w:t>
            </w:r>
            <w:r>
              <w:rPr>
                <w:color w:val="auto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На Участке произрастает 281 дерево породы «ель», «береза», «ива», «клен».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highlight w:val="white"/>
              </w:rPr>
              <w:t xml:space="preserve">Средняя стоимость в ценах 2025 года одного дерева лиственной породы от 25 тыс. руб., а хвойной – от 30 тыс. руб.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pacing w:val="0"/>
                <w14:ligatures w14:val="none"/>
              </w:rPr>
            </w:pPr>
            <w:r>
              <w:rPr>
                <w:rFonts w:eastAsia="Times New Roman" w:cs="Times New Roman"/>
                <w:color w:val="auto"/>
                <w:spacing w:val="0"/>
                <w:sz w:val="24"/>
              </w:rPr>
              <w:t xml:space="preserve">Победителю аукциона необходимо соблюдать условия строительства, перечисленные в </w:t>
            </w:r>
            <w:r>
              <w:rPr>
                <w:rFonts w:eastAsia="Times New Roman" w:cs="Times New Roman"/>
                <w:color w:val="auto"/>
                <w:spacing w:val="0"/>
                <w:sz w:val="24"/>
                <w:szCs w:val="24"/>
              </w:rPr>
              <w:t xml:space="preserve">перечне мероприятий </w:t>
              <w:br/>
              <w:t xml:space="preserve">по охране окружающей среды от 20.02.2026 № 38.</w:t>
            </w:r>
            <w:r>
              <w:rPr>
                <w:rFonts w:ascii="Times New Roman" w:hAnsi="Times New Roman" w:eastAsia="Times New Roman" w:cs="Times New Roman"/>
                <w:color w:val="auto"/>
                <w:spacing w:val="0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Управления по экологии и природопользованию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20.02.2026 № 059-33-01-10/3-98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Муниципальной программой «Дорожная деятельность и благоустройство города Перми», утвержденной постановлением администрации города Перми от 18.10.2024 № 966 </w:t>
              <w:br/>
              <w:t xml:space="preserve">«Об утверждении муниципальной программы «Дорожная деятельность и благоустройство города Перми»,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 бюджетом города Перми на период 2025-2029 годы мероприятия по строительству, реконструкции, капитал</w:t>
            </w:r>
            <w:r>
              <w:rPr>
                <w:color w:val="auto"/>
                <w:sz w:val="24"/>
                <w:szCs w:val="24"/>
              </w:rPr>
              <w:t xml:space="preserve">ьному ремонту улично-дорожной сети на рассматриваемой терр</w:t>
            </w:r>
            <w:r>
              <w:rPr>
                <w:color w:val="auto"/>
                <w:sz w:val="24"/>
                <w:szCs w:val="24"/>
                <w:highlight w:val="white"/>
              </w:rPr>
              <w:t xml:space="preserve">итории не предусмотрены.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beforeAutospacing="0" w:after="0" w:afterAutospacing="0" w:line="240" w:lineRule="auto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</w:rPr>
              <w:t xml:space="preserve">Для примыкания Участка к улично-дорожной сети города Перми необходимо выполнить условия, указанные в письме.</w:t>
            </w:r>
            <w:r>
              <w:rPr>
                <w:color w:val="auto"/>
              </w:rPr>
            </w:r>
          </w:p>
          <w:p>
            <w:pPr>
              <w:pStyle w:val="648"/>
              <w:ind w:left="0" w:right="0" w:firstLine="283"/>
              <w:jc w:val="both"/>
              <w:spacing w:before="0" w:beforeAutospacing="0" w:after="0" w:afterAutospacing="0" w:line="240" w:lineRule="auto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</w:rPr>
              <w:t xml:space="preserve">Также направлена информация о соблюдении Правил благо</w:t>
            </w:r>
            <w:r>
              <w:rPr>
                <w:rFonts w:eastAsia="Times New Roman" w:cs="Times New Roman"/>
                <w:color w:val="auto"/>
                <w:sz w:val="24"/>
              </w:rPr>
              <w:t xml:space="preserve">устройства территории города Перми, утвержденных решением Пермской городской Думы от 15.12.2020 № 277 «Об утверждении Правил благоустройства территории города Перми», при строительстве объектов недвижимости на земельных участках, предоставленных на торгах.</w:t>
            </w:r>
            <w:r>
              <w:rPr>
                <w:color w:val="auto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 xml:space="preserve">В соответствии с Федеральным Законом от 08.11.2007 </w:t>
              <w:br/>
              <w:t xml:space="preserve">№ 257-ФЗ «Об автомобильных дорогах и о дорожной деятельности в Российской Федера</w:t>
            </w:r>
            <w:r>
              <w:rPr>
                <w:color w:val="auto"/>
                <w:sz w:val="24"/>
                <w:szCs w:val="24"/>
              </w:rPr>
              <w:t xml:space="preserve">ции и о внесении изменений в отдельные законодательные акты Российской Федерации», расходы на строительство, реконструкцию, капитальный ремонт, ремонт пересечений и примыканий, в том числе расходы на выполнение дополнительных работ, связанных </w:t>
              <w:br/>
              <w:t xml:space="preserve">с обеспечени</w:t>
            </w:r>
            <w:r>
              <w:rPr>
                <w:color w:val="auto"/>
                <w:sz w:val="24"/>
                <w:szCs w:val="24"/>
              </w:rPr>
              <w:t xml:space="preserve">ем безопасности дорожного движения, водоотведения и исполнением других установленных техническими регламентами требований, несут лица, </w:t>
              <w:br/>
              <w:t xml:space="preserve">в интересах которых осуществляются строительство, реконструкция, капитальный ремонт, ремонт пересечений </w:t>
              <w:br/>
              <w:t xml:space="preserve">или примыканий.</w:t>
            </w:r>
            <w:r>
              <w:rPr>
                <w:color w:val="auto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департамент дорог и благоустройства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03.02.2026 № 059-24-01-36/3-267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Источники противопожарного водоснабжения (далее - ИПВ) на указанной территории отсутствуют.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Информация о подразделениях пожарной охраны </w:t>
              <w:br/>
              <w:t xml:space="preserve">и времени их прибытия содержится в «Расписании выезда подразделений Пермского местного пожарно-спасательного гарнизона для тушения пожа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ров и проведения аварийно-спасательных работ на территории Пермского городского округа, Пермского муниципального района», утвержденном Главой города Перми 26.04.2024. Подразделение пожарной охраны расположено по адресу: ул. Волховская, 37 (ПСЧ-57 </w:t>
              <w:br/>
              <w:t xml:space="preserve">10-ПСО).</w:t>
            </w:r>
            <w:r>
              <w:rPr>
                <w:color w:val="auto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Помещения для аварийно-спасательных служб и (или) аварийно-спасательных формирований на указанной территории отсутствуют.</w:t>
            </w:r>
            <w:r>
              <w:rPr>
                <w:color w:val="auto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Объекты общественной безопасности, отнесенные к объектам полиции (участковые пункты полиции) в данном микрорайоне (Голованово)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отсутствуют. Ближайший участковый пункт расположен по адресу: г. Пермь, ул. Бенгальская, 6 (микрорайон Бумкомбинат, Орджоникидзевский район). В настоящее время в указанном микрорайоне строительство (приобретение) участковых пунктов полиции не планируется.</w:t>
            </w: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auto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На указанной территории оконечные устройства системы оповещения населения города Перми отсутствуют. Для обеспечения покрытия запланированной территории 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системой оповещения населения необходимо предусматривать размещение сиренно - речевых узлов согласно пунктам 6.38, 6.39 СП 165.1325800.2014 «Свод правил. Инженерно-технические мероприятия по гражданской обороне. Актуализированная редакция СНиП 2.01.51-90».</w:t>
            </w:r>
            <w:r>
              <w:rPr>
                <w:color w:val="auto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 xml:space="preserve">департамента общественной безопасности администрации города Перми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от 03.02.2026 № 059-10-01-27/3-139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 xml:space="preserve">Строительство сетей водоснабжения в мкр. Голованово Схемами не предусмотрено.</w:t>
            </w:r>
            <w:r>
              <w:rPr>
                <w:color w:val="auto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департамента жилищно-коммунального хозяйства администрации города Перми</w:t>
            </w:r>
            <w:r>
              <w:rPr>
                <w:color w:val="auto"/>
                <w:sz w:val="24"/>
                <w:szCs w:val="24"/>
              </w:rPr>
              <w:t xml:space="preserve"> от 03.02.2026 № 059-04-17/3-93-ри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0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numPr>
                <w:ilvl w:val="0"/>
                <w:numId w:val="2"/>
              </w:numPr>
              <w:ind w:left="510" w:right="113" w:hanging="283"/>
              <w:jc w:val="left"/>
              <w:spacing w:before="0" w:after="0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 и (или) минимально </w:t>
              <w:br/>
              <w:t xml:space="preserve">допустимые параметры разрешенного строительства объекта капитального строительства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ind w:firstLine="312"/>
              <w:jc w:val="both"/>
              <w:rPr>
                <w:color w:val="000000" w:themeColor="text1"/>
                <w:sz w:val="24"/>
                <w:szCs w:val="24"/>
                <w:highlight w:val="none"/>
                <w:u w:val="none"/>
              </w:rPr>
            </w:pPr>
            <w:r>
              <w:rPr>
                <w:color w:val="000000" w:themeColor="text1"/>
                <w:sz w:val="24"/>
                <w:szCs w:val="24"/>
                <w:u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  <w:u w:val="none"/>
              </w:rPr>
            </w:r>
          </w:p>
          <w:p>
            <w:pPr>
              <w:pStyle w:val="648"/>
              <w:ind w:firstLine="312"/>
              <w:jc w:val="both"/>
              <w:rPr>
                <w:color w:val="000000" w:themeColor="text1"/>
                <w:sz w:val="24"/>
                <w:szCs w:val="24"/>
                <w:highlight w:val="none"/>
                <w:u w:val="none"/>
              </w:rPr>
            </w:pPr>
            <w:r>
              <w:rPr>
                <w:szCs w:val="24"/>
              </w:rPr>
              <w:t xml:space="preserve">В </w:t>
            </w:r>
            <w:r>
              <w:rPr>
                <w:szCs w:val="24"/>
                <w:shd w:val="clear" w:color="auto" w:fill="ffffff"/>
              </w:rPr>
              <w:t xml:space="preserve">документации по земельному участку, размещенной</w:t>
              <w:br/>
              <w:t xml:space="preserve">с извещением о проведении аукциона в ГИС Торги </w:t>
            </w:r>
            <w:r>
              <w:rPr>
                <w:szCs w:val="24"/>
                <w:lang w:val="en-US"/>
              </w:rPr>
              <w:t xml:space="preserve">www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  <w:lang w:val="en-US"/>
              </w:rPr>
              <w:t xml:space="preserve">torgi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  <w:lang w:val="en-US"/>
              </w:rPr>
              <w:t xml:space="preserve">gov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  <w:lang w:val="en-US"/>
              </w:rPr>
              <w:t xml:space="preserve">ru</w:t>
            </w:r>
            <w:r>
              <w:rPr>
                <w:szCs w:val="24"/>
                <w:shd w:val="clear" w:color="auto" w:fill="ffffff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21" w:tooltip="http://www.gorodperm.ru/" w:history="1">
              <w:r>
                <w:rPr>
                  <w:rStyle w:val="731"/>
                  <w:color w:val="000000" w:themeColor="text1"/>
                  <w:szCs w:val="24"/>
                  <w:u w:val="none"/>
                </w:rPr>
                <w:t xml:space="preserve">www.gorodperm.ru</w:t>
              </w:r>
            </w:hyperlink>
            <w:r>
              <w:rPr>
                <w:color w:val="000000" w:themeColor="text1"/>
                <w:szCs w:val="24"/>
                <w:u w:val="none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  <w:highlight w:val="none"/>
                <w:u w:val="none"/>
              </w:rPr>
            </w:r>
          </w:p>
          <w:p>
            <w:pPr>
              <w:pStyle w:val="648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Проектирование и строительство необходимо вести </w:t>
              <w:br/>
              <w:t xml:space="preserve">в соответствии с пунктом 4.5 СП 55.13330.2016 Свода Правил. Дома жилые одноквартирные. СНиП 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</w:t>
            </w:r>
            <w:r>
              <w:rPr>
                <w:color w:val="auto"/>
                <w:sz w:val="24"/>
                <w:szCs w:val="24"/>
              </w:rPr>
              <w:t xml:space="preserve"> </w:t>
              <w:br/>
            </w:r>
            <w:r>
              <w:rPr>
                <w:color w:val="auto"/>
                <w:sz w:val="24"/>
                <w:szCs w:val="24"/>
                <w:lang w:val="en-US"/>
              </w:rPr>
              <w:t xml:space="preserve">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</w:t>
            </w:r>
            <w:r>
              <w:rPr>
                <w:color w:val="auto"/>
                <w:sz w:val="24"/>
                <w:szCs w:val="24"/>
              </w:rPr>
              <w:t xml:space="preserve">, переднюю.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, общей комнаты в доме с числом комнат две и более - 16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, спальни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(на двух человек - 10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); кухни - 8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; кухонной зоны </w:t>
              <w:br/>
              <w:t xml:space="preserve">в кухне-столовой - 6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В домах с одной комнатой допускается проектировать кухни или кухни-ниши площадью не менее 5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Площадь спальни и кухни в мансардном этаже (или этаже с наклонными ограждающими конструкциями) допускается не менее 7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при условии, что общая жилая комната имеет площадь не менее 16 м</w:t>
            </w:r>
            <w:r>
              <w:rPr>
                <w:color w:val="auto"/>
                <w:sz w:val="24"/>
                <w:szCs w:val="24"/>
                <w:vertAlign w:val="superscript"/>
                <w:lang w:val="en-US"/>
              </w:rPr>
              <w:t xml:space="preserve">2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Согласно пункту 6.2 СП 55.13330.2016 высота (от пола </w:t>
              <w:br/>
              <w:t xml:space="preserve">до потолка) комна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т и кухни (кухни-столовой) </w:t>
              <w:br/>
              <w:t xml:space="preserve">в климатических районах строительства IА, IБ, IГ, IД, определяемых по СП 131.13330, должна быть не менее </w:t>
              <w:br/>
              <w:t xml:space="preserve">2,7 м, а в других климатических районах строительства - не менее 2,5 м. Высота внутридомовых коридоров, холлов, передних,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 xml:space="preserve">антресолей должна составлять не менее 2,1 м,</w:t>
            </w:r>
            <w:r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2"/>
                <w:sz w:val="24"/>
                <w:szCs w:val="24"/>
                <w:lang w:val="en-US"/>
              </w:rPr>
              <w:t xml:space="preserve">а высота пути эвакуации -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 не менее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2,2 м.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 xml:space="preserve">В жилых комнатах и кухнях, расположенных в этажах </w:t>
            </w:r>
            <w:r>
              <w:rPr>
                <w:color w:val="auto"/>
                <w:sz w:val="24"/>
                <w:szCs w:val="24"/>
              </w:rPr>
              <w:br/>
            </w:r>
            <w:r>
              <w:rPr>
                <w:color w:val="auto"/>
                <w:sz w:val="24"/>
                <w:szCs w:val="24"/>
                <w:lang w:val="en-US"/>
              </w:rPr>
              <w:t xml:space="preserve">с наклонными ограждающими конструкциями или </w:t>
              <w:br/>
              <w:t xml:space="preserve">в мансардном этаже, допускается уменьшение высоты помещений (от пола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lang w:val="en-US"/>
              </w:rPr>
              <w:t xml:space="preserve">до потолка), относительно нормируемой на площади, не превышающей 50%.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Согласно ГПЗУ: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минимальный отступ от границ Участка до места допустимого размещения зданий, строений (за исключением гр</w:t>
            </w:r>
            <w:r>
              <w:rPr>
                <w:color w:val="auto"/>
                <w:sz w:val="24"/>
                <w:szCs w:val="24"/>
              </w:rPr>
              <w:t xml:space="preserve">аниц со стороны территории общего пользования, где отступ определяется с учетом красных линий и линий регулирования застройки, установленных проектом планировки территории, а также границ смежных земельных участков при блокированной жилой застройке) – 3 м;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tabs>
                <w:tab w:val="clear" w:pos="708" w:leader="none"/>
                <w:tab w:val="right" w:pos="6000" w:leader="none"/>
              </w:tabs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</w:rPr>
              <w:t xml:space="preserve">м</w:t>
            </w:r>
            <w:r>
              <w:rPr>
                <w:color w:val="auto"/>
                <w:sz w:val="24"/>
                <w:highlight w:val="white"/>
              </w:rPr>
              <w:t xml:space="preserve">аксимальный выступ за красную линию нависающих частей здания наземных уровней, выступающих </w:t>
              <w:br/>
              <w:t xml:space="preserve">из плоскости наружной стены фасада здания</w:t>
            </w:r>
            <w:r>
              <w:rPr>
                <w:color w:val="auto"/>
                <w:sz w:val="24"/>
                <w:highlight w:val="white"/>
              </w:rPr>
              <w:t xml:space="preserve"> на высоте </w:t>
              <w:br/>
              <w:t xml:space="preserve">не менее 4,5 м над территорией общего пользования, составляет не более 1,2 м от красной линии. </w:t>
              <w:br/>
              <w:t xml:space="preserve">В случаях, когда линия регулирования застройки отличается от красной линии, указанный выступ может быть произведен за линию регулирования застройки;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tabs>
                <w:tab w:val="clear" w:pos="708" w:leader="none"/>
                <w:tab w:val="right" w:pos="6000" w:leader="none"/>
              </w:tabs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color w:val="auto"/>
                <w:sz w:val="24"/>
                <w:szCs w:val="24"/>
              </w:rPr>
      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– 40%;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предельная высота зданий, строений – согласно документации по планировке территории, утвержденной постановлением администрации города Перми от 22.12.2017 № 1178, до 10,5 м.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</w:rPr>
              <w:t xml:space="preserve">Победителю аукциона (единственному участнику) рекомендовано обратиться в уполномоченный орган </w:t>
              <w:br/>
              <w:t xml:space="preserve">с уведомлением о планируемом строительстве жилого дома.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pStyle w:val="648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numPr>
                <w:ilvl w:val="0"/>
                <w:numId w:val="2"/>
              </w:numPr>
              <w:ind w:left="410" w:right="23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возможность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rPr>
                <w:sz w:val="24"/>
                <w:szCs w:val="24"/>
                <w:u w:val="none"/>
              </w:rPr>
            </w:r>
            <w:r>
              <w:rPr>
                <w:sz w:val="24"/>
                <w:szCs w:val="24"/>
                <w:highlight w:val="none"/>
                <w:u w:val="none"/>
              </w:rPr>
            </w:r>
          </w:p>
          <w:p>
            <w:pPr>
              <w:pStyle w:val="648"/>
              <w:ind w:firstLine="312"/>
              <w:jc w:val="both"/>
              <w:rPr>
                <w:sz w:val="24"/>
                <w:szCs w:val="24"/>
                <w:highlight w:val="none"/>
                <w:u w:val="none"/>
              </w:rPr>
            </w:pPr>
            <w:r>
              <w:t xml:space="preserve">В </w:t>
            </w:r>
            <w:r>
              <w:rPr>
                <w:shd w:val="clear" w:color="auto" w:fill="ffffff"/>
              </w:rPr>
              <w:t xml:space="preserve">документации по земельному участку, размещенной </w:t>
              <w:br/>
              <w:t xml:space="preserve">с извещением о проведении аукциона в ГИС Торги </w:t>
            </w:r>
            <w:r>
              <w:rPr>
                <w:lang w:val="en-US"/>
              </w:rPr>
              <w:t xml:space="preserve">www</w:t>
            </w:r>
            <w:r>
              <w:t xml:space="preserve">.</w:t>
            </w:r>
            <w:r>
              <w:rPr>
                <w:lang w:val="en-US"/>
              </w:rPr>
              <w:t xml:space="preserve">torgi</w:t>
            </w:r>
            <w:r>
              <w:t xml:space="preserve">.</w:t>
            </w:r>
            <w:r>
              <w:rPr>
                <w:lang w:val="en-US"/>
              </w:rPr>
              <w:t xml:space="preserve">gov</w:t>
            </w:r>
            <w:r>
              <w:t xml:space="preserve">.</w:t>
            </w:r>
            <w:r>
              <w:rPr>
                <w:lang w:val="en-US"/>
              </w:rPr>
              <w:t xml:space="preserve">ru</w:t>
            </w:r>
            <w:r>
              <w:rPr>
                <w:shd w:val="clear" w:color="auto" w:fill="ffffff"/>
              </w:rPr>
              <w:t xml:space="preserve">, на официальном сайте муниципального образования город Пермь в информационно-телекоммуникационной сети Интернет </w:t>
            </w:r>
            <w:hyperlink r:id="rId22" w:tooltip="http://www.gorodperm.ru/" w:history="1">
              <w:r>
                <w:rPr>
                  <w:rStyle w:val="731"/>
                  <w:color w:val="000000" w:themeColor="text1"/>
                  <w:u w:val="none"/>
                </w:rPr>
                <w:t xml:space="preserve">www.gorodperm.ru</w:t>
              </w:r>
            </w:hyperlink>
            <w:r>
              <w:rPr>
                <w:color w:val="000000" w:themeColor="text1"/>
                <w:u w:val="none"/>
              </w:rPr>
              <w:t xml:space="preserve">.</w:t>
            </w:r>
            <w:r>
              <w:rPr>
                <w:sz w:val="24"/>
                <w:szCs w:val="24"/>
                <w:highlight w:val="none"/>
                <w:u w:val="none"/>
              </w:rPr>
            </w:r>
          </w:p>
          <w:p>
            <w:pPr>
              <w:pStyle w:val="648"/>
              <w:ind w:firstLine="312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О наличии технической возможности технологического присоединения к электросетям филиала энергопринимающего устройства объекта капитального строительства с предполагаемой максимальной мощностью 15 кВт сообщает следующее.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В границах участка сети и охранные зоны ПАО «Россети Урал» отсутствуют.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Порядок технологического присоединения </w:t>
              <w:br/>
              <w:t xml:space="preserve">к электрическим сетям регламентирован Правилами технологического присоединения энергопринимающих устройств потребителей электрической энер</w:t>
            </w:r>
            <w:r>
              <w:rPr>
                <w:color w:val="auto"/>
                <w:sz w:val="24"/>
                <w:szCs w:val="24"/>
              </w:rPr>
              <w:t xml:space="preserve">гии, объектов по производству электрической энергии, а также объектов электросетевого хозяйства, принадлежащих сетевым организациям и иным лица, к электрическим сетям, утвержденными постановлением Правительства РФ </w:t>
              <w:br/>
              <w:t xml:space="preserve">от 27.12.2004 № 861 (далее – Правила ТП).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В си</w:t>
            </w:r>
            <w:r>
              <w:rPr>
                <w:color w:val="auto"/>
                <w:sz w:val="24"/>
                <w:szCs w:val="24"/>
              </w:rPr>
              <w:t xml:space="preserve">лу пункта 6 Правил ТП технологическое присоединение осуществляется на основании договора заключаемого между сетевой организацией и юридическим или физическим лицом. Перечень мероприятий по технологическому присоединению определяется в технических условиях.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Согласно пунктам 15, 25, 25.1 Правил ТП технические услов</w:t>
            </w:r>
            <w:r>
              <w:rPr>
                <w:color w:val="auto"/>
                <w:sz w:val="24"/>
                <w:szCs w:val="24"/>
              </w:rPr>
              <w:t xml:space="preserve">ия являются неотъемлемым приложением к соответствующему договору технологического присоединения и представляют собой техническое решение присоединения конкретного энергопринимающего устройства к сетям электросетевой организации, которое предусматривают точ</w:t>
            </w:r>
            <w:r>
              <w:rPr>
                <w:color w:val="auto"/>
                <w:sz w:val="24"/>
                <w:szCs w:val="24"/>
              </w:rPr>
              <w:t xml:space="preserve">ки присоединения, требования к усилению существующей сети, иные технические требования. Следовательно, технические условия для технологического присоединения предоставляются заявителю сетевой организацией вместе с договором о технологическом присоединении.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Для получения технических условий и заключения договора на технологическое присоединении необходимо напр</w:t>
            </w:r>
            <w:r>
              <w:rPr>
                <w:color w:val="auto"/>
                <w:sz w:val="24"/>
                <w:szCs w:val="24"/>
              </w:rPr>
              <w:t xml:space="preserve">авить в адрес филиала ПАО «Россети Урал» - «Пермэнерго» соответствующую заявку с указанием сведений и приложением необходимых документов в соответствии с Правилами ТП через единый федеральный портал электросетевых услуг группы компаний «Россети» на сайте: </w:t>
            </w:r>
            <w:hyperlink r:id="rId23" w:tooltip="https://" w:history="1">
              <w:r>
                <w:rPr>
                  <w:rStyle w:val="731"/>
                  <w:color w:val="auto"/>
                  <w:sz w:val="24"/>
                  <w:szCs w:val="24"/>
                </w:rPr>
                <w:t xml:space="preserve">https://</w:t>
              </w:r>
            </w:hyperlink>
            <w:r>
              <w:rPr>
                <w:color w:val="auto"/>
                <w:sz w:val="24"/>
                <w:szCs w:val="24"/>
              </w:rPr>
              <w:t xml:space="preserve"> портал-тп.рф, через Мобильное приложение ПАО «Россети» или при очном приеме в Центре обслуживания клиентов филиала «Россети» или рот очном приеме в Центре обслуживания клиентов фили</w:t>
            </w:r>
            <w:r>
              <w:rPr>
                <w:color w:val="auto"/>
                <w:sz w:val="24"/>
                <w:szCs w:val="24"/>
              </w:rPr>
              <w:t xml:space="preserve">ала «Россети Урал» - «Пермэнерго» по адресу: г. Пермь, ул. Камчатовская, д. 26, а также почтовым отправлением по адресу: 314016, г. Пермь, ул. Камчатовская, 26. По дополнительным вопросам телефон контакт-центра: 8-800-220-0-220 (круглосуточно и бесплатно).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При подготовке градостроительного плана земельного участка необходимо предусмотреть коридоры </w:t>
              <w:br/>
              <w:t xml:space="preserve">для строительства кабельных линий и место для размещения трансформаторных подстанций.</w:t>
            </w:r>
            <w:r>
              <w:rPr>
                <w:rFonts w:ascii="Times New Roman" w:hAnsi="Times New Roman"/>
                <w:strike/>
                <w:color w:val="auto"/>
                <w:sz w:val="24"/>
                <w:szCs w:val="24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color w:val="auto"/>
                <w:sz w:val="24"/>
                <w:szCs w:val="24"/>
              </w:rPr>
              <w:t xml:space="preserve">филиала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ПАО «Россети Урал» - «Пермэнерго» Пермские </w:t>
            </w:r>
            <w:r>
              <w:rPr>
                <w:b/>
                <w:color w:val="auto"/>
                <w:sz w:val="24"/>
                <w:szCs w:val="24"/>
              </w:rPr>
              <w:t xml:space="preserve">городские электрические сети» </w:t>
            </w:r>
            <w:r>
              <w:rPr>
                <w:color w:val="auto"/>
                <w:sz w:val="24"/>
                <w:szCs w:val="24"/>
              </w:rPr>
              <w:t xml:space="preserve">от 16.02.2026 № ПЭ/ПГЭС/01/01/2090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48"/>
              <w:ind w:firstLine="317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Участок расположен вне зоны теплоснабжения ПАО «Т Плюс».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</w:r>
          </w:p>
          <w:p>
            <w:pPr>
              <w:pStyle w:val="648"/>
              <w:ind w:firstLine="452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Для запроса информации о возможности подключения земельного участка рекомендуется обратиться к собственникам близлежащих тепловых сетей/источников теплоснабжения или рассмотреть возможность альтернативного источника теплоснабжения.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ПАО «Т Плюс»</w:t>
            </w:r>
            <w:r>
              <w:rPr>
                <w:color w:val="auto"/>
                <w:sz w:val="24"/>
                <w:szCs w:val="24"/>
              </w:rPr>
              <w:t xml:space="preserve"> от 06.02.2026 № 51000-32-00468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Техническая возможность подключения к сетям теплоснабжения отсутствует. Рекомендовано рассмотреть альтернативный источник теплоснабжения – газ, электричество, дрова, пеллеты.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департамента жилищно-коммунального хозяйства администрации города Перми </w:t>
            </w:r>
            <w:r>
              <w:rPr>
                <w:color w:val="auto"/>
                <w:sz w:val="24"/>
                <w:szCs w:val="24"/>
              </w:rPr>
              <w:t xml:space="preserve">от 02.04.2026 № 059-04-25/3-57-ри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Техническая возможность подключения объекта капитального строительства с предполагаемой максимальной нагрузкой 8 куб.м/час к существующим сетям газораспределения имеется.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Для рассмотрения вопроса о предоставлении технических условий на подключение (технологическое присоединение) необходимо направит</w:t>
            </w:r>
            <w:r>
              <w:rPr>
                <w:color w:val="auto"/>
                <w:sz w:val="24"/>
                <w:szCs w:val="24"/>
              </w:rPr>
              <w:t xml:space="preserve">ь запрос с приложением необходимых документов и сведений на электронную почту post@pf.ugaz.ru, либо почтовым отправлением по адресу: г. Пермь, ул. Уральская, 104, через Единый центр предоставления услуг по адресу: г. Пермь, ул. Уральская, д. 104, каб. 101.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АО «Газпром газораспределение Пермь» </w:t>
            </w:r>
            <w:r>
              <w:rPr>
                <w:color w:val="auto"/>
                <w:sz w:val="24"/>
                <w:szCs w:val="24"/>
              </w:rPr>
              <w:t xml:space="preserve">от 02.04.2026 № ПФ-2317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  <w:szCs w:val="24"/>
              </w:rPr>
              <w:t xml:space="preserve">О наличии технической возможности для подключения сетей водоснабжения и водоотведения с предполагаемой величиной нагрузки 1,0 м3/сут. сообщается следующее.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Ближайшей точкой подключения к сетям водоснабжения, эксплуатируемой ООО «НОВОГОР - Прикамье», является водопровод Д-63 мм по ул.Северная.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В связи с тем, что в месте расположения земельного участка отсутствуют сети канализации, может быть применен альтернативный способ канализования, без подключения к централизованной системе к</w:t>
            </w:r>
            <w:r>
              <w:rPr>
                <w:color w:val="auto"/>
                <w:sz w:val="24"/>
                <w:szCs w:val="24"/>
              </w:rPr>
              <w:t xml:space="preserve">анализации г. Перми (отвод стоков возможен на локальные очистные сооружения либо в выгребную яму, с последующим вывозом стоков спец. машинами), при этом состав канализационных стоков должен соответствовать всем нормативным требованиям Российской Федерации.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В границах вышеуказанного земельного участка отсутствуют сети водопровода и канализации, эксплуатируемые ООО «НОВОГОР-Прикамье».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color w:val="auto"/>
                <w:sz w:val="24"/>
                <w:szCs w:val="24"/>
              </w:rPr>
              <w:t xml:space="preserve">При этом обращаем Ваше внимание, что размещение </w:t>
            </w:r>
            <w:r>
              <w:rPr>
                <w:color w:val="auto"/>
                <w:sz w:val="24"/>
                <w:szCs w:val="24"/>
              </w:rPr>
              <w:t xml:space="preserve">объекта необходимо предусматривать строго за пределами охранных зон сетей водопровода и канализации в соответствии норм CП, в том числе в соответствии таблицы 12.5 CП 42.13330.2016 «Градостроительство планировка и настройка городских и сельских поселений».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color w:val="auto"/>
                <w:sz w:val="24"/>
                <w:szCs w:val="24"/>
              </w:rPr>
              <w:t xml:space="preserve">ООО «НОВОГОР - Прикамье» </w:t>
            </w:r>
            <w:r>
              <w:rPr>
                <w:color w:val="auto"/>
                <w:sz w:val="24"/>
                <w:szCs w:val="24"/>
              </w:rPr>
              <w:t xml:space="preserve">от 06.02.2026 № 110-1487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Технологическое присоединение к сетям связи ПАО «Ростелеком» может быть произведено к узлу ВОЛС (г. Пермь, ул. Бенгальская, 14А), максимальную нагрузку в точке подключения (технологического присоединения) необходимо определить на стадии проектирования.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</w:pP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В границах земельного участка сетей связи </w:t>
              <w:br/>
              <w:t xml:space="preserve">ПАО «Ростелеком» и их охранных зон нет.</w:t>
            </w:r>
            <w:r/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0"/>
                <w:bCs w:val="0"/>
                <w:color w:val="000000" w:themeColor="text1"/>
              </w:rPr>
              <w:t xml:space="preserve">Для получения технических условий на подключение </w:t>
              <w:br/>
              <w:t xml:space="preserve">к сетям связи необходимо обратиться в Отдел продаж </w:t>
              <w:br/>
              <w:t xml:space="preserve">и обслуживания по адресу: г. Пермь, ул. Крупской, 2, тел.:(342) 235-57-34 или направить запрос на </w:t>
            </w:r>
            <w:hyperlink r:id="rId24" w:tooltip="mailto:perm-mail@ural.rt.ru" w:history="1">
              <w:r>
                <w:rPr>
                  <w:rStyle w:val="731"/>
                  <w:b w:val="0"/>
                  <w:bCs w:val="0"/>
                  <w:color w:val="000000" w:themeColor="text1"/>
                </w:rPr>
                <w:t xml:space="preserve">perm-mail@ural.rt.ru</w:t>
              </w:r>
            </w:hyperlink>
            <w:r>
              <w:rPr>
                <w:b w:val="0"/>
                <w:bCs w:val="0"/>
                <w:color w:val="000000" w:themeColor="text1"/>
              </w:rPr>
              <w:t xml:space="preserve">.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(Аналогичная информация отражена в письме 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ПАО «Ростелеком» </w:t>
            </w:r>
            <w:r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от 04.02.2026 № 01/05/14305/26</w:t>
            </w:r>
            <w:r>
              <w:rPr>
                <w:color w:val="000000" w:themeColor="text1"/>
                <w:sz w:val="24"/>
                <w:szCs w:val="24"/>
              </w:rPr>
              <w:t xml:space="preserve">).</w:t>
            </w:r>
            <w:r>
              <w:rPr>
                <w:color w:val="000000" w:themeColor="text1"/>
              </w:rPr>
            </w:r>
          </w:p>
          <w:p>
            <w:pPr>
              <w:pStyle w:val="648"/>
              <w:ind w:left="0" w:right="0" w:firstLine="283"/>
              <w:jc w:val="both"/>
              <w:spacing w:before="0"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ind w:righ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(размер ежегодной арендной платы)</w:t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ind w:right="0"/>
            </w:pPr>
            <w:r>
              <w:rPr>
                <w:b w:val="0"/>
                <w:bCs w:val="0"/>
                <w:sz w:val="24"/>
                <w:szCs w:val="24"/>
                <w:shd w:val="clear" w:color="auto" w:fill="auto"/>
              </w:rPr>
              <w:t xml:space="preserve">По условиям пункта 4.3 проекта договора аренды земельного участка, приобретаемого на торгах в форме аукциона, для строительства (Приложение </w:t>
            </w:r>
            <w:r>
              <w:rPr>
                <w:b w:val="0"/>
                <w:bCs w:val="0"/>
                <w:sz w:val="24"/>
                <w:szCs w:val="24"/>
                <w:shd w:val="clear" w:color="auto" w:fill="auto"/>
              </w:rPr>
              <w:t xml:space="preserve">3</w:t>
            </w:r>
            <w:r>
              <w:rPr>
                <w:b w:val="0"/>
                <w:bCs w:val="0"/>
                <w:sz w:val="24"/>
                <w:szCs w:val="24"/>
                <w:shd w:val="clear" w:color="auto" w:fill="auto"/>
              </w:rPr>
              <w:br/>
              <w:t xml:space="preserve">к настоящему извещению), победитель аукциона, иное лицо, с которым договор заключается </w:t>
              <w:br/>
              <w:t xml:space="preserve">в соответствии </w:t>
            </w:r>
            <w:r>
              <w:rPr>
                <w:b w:val="0"/>
                <w:bCs w:val="0"/>
                <w:sz w:val="24"/>
                <w:szCs w:val="24"/>
                <w:shd w:val="clear" w:color="auto" w:fill="auto"/>
              </w:rPr>
              <w:t xml:space="preserve">с п.13, п.14, п. 20 или п. 25  ст. 39.12 Земельного Кодекса Российской Федерации (далее – ЗК РФ), обязан </w:t>
              <w:br/>
              <w:t xml:space="preserve">до подписания договора уплатить ежегодный размер арендной платы, указанный в п. 4.2 договора (за вычетом задатка, внесенного для участия в аукционе) </w:t>
              <w:br/>
            </w:r>
            <w:r>
              <w:rPr>
                <w:b/>
                <w:bCs/>
                <w:sz w:val="24"/>
                <w:szCs w:val="24"/>
                <w:shd w:val="clear" w:color="auto" w:fill="auto"/>
              </w:rPr>
              <w:t xml:space="preserve">за 1 год </w:t>
            </w:r>
            <w:r>
              <w:rPr>
                <w:b w:val="0"/>
                <w:bCs w:val="0"/>
                <w:sz w:val="24"/>
                <w:szCs w:val="24"/>
                <w:shd w:val="clear" w:color="auto" w:fill="auto"/>
              </w:rPr>
              <w:t xml:space="preserve">на счет департамента земельных отношений администрации города Перми, 614000, </w:t>
              <w:br/>
              <w:t xml:space="preserve">ул. Сибирская,15, </w:t>
              <w:br/>
              <w:t xml:space="preserve">тел. 212-61-90 (отдел договоров), реквизиты которого указаны </w:t>
              <w:br/>
              <w:t xml:space="preserve">в проекте договора аренды земельного участка (Приложение </w:t>
            </w:r>
            <w:r>
              <w:rPr>
                <w:b w:val="0"/>
                <w:bCs w:val="0"/>
                <w:sz w:val="24"/>
                <w:szCs w:val="24"/>
                <w:shd w:val="clear" w:color="auto" w:fill="auto"/>
              </w:rPr>
              <w:t xml:space="preserve">3</w:t>
            </w:r>
            <w:r>
              <w:rPr>
                <w:b w:val="0"/>
                <w:bCs w:val="0"/>
                <w:sz w:val="24"/>
                <w:szCs w:val="24"/>
                <w:shd w:val="clear" w:color="auto" w:fill="auto"/>
              </w:rPr>
              <w:br/>
              <w:t xml:space="preserve">к настоящему извещению)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141 400 руб.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«Шаг аукциона» (5% от начальной цены </w:t>
            </w:r>
            <w:r>
              <w:rPr>
                <w:sz w:val="24"/>
                <w:szCs w:val="24"/>
                <w:shd w:val="clear" w:color="auto" w:fill="auto"/>
              </w:rPr>
              <w:t xml:space="preserve">предмета аукциона)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7 070 руб.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ind w:left="113" w:right="113" w:firstLine="0"/>
              <w:jc w:val="left"/>
              <w:spacing w:before="0" w:after="0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заявки на участие в аукционе</w:t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Заявка на участие в электронном аукцио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не с указанием</w:t>
              <w:br/>
              <w:t xml:space="preserve">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2-4 пункта 1, пункте 1.1 статьи 39.12 Земельного кодекса Российской 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Федерации (копии документов, удостоверяющих личность заявителя (для граждан); надлежащим образом заверенный перевод на русский язык документов</w:t>
              <w:br/>
              <w:t xml:space="preserve">о государственной регистрации юридического лица</w:t>
              <w:br/>
              <w:t xml:space="preserve">в соответствии с законодательством иностранного государства в слу</w:t>
            </w:r>
            <w:r>
              <w:rPr>
                <w:rFonts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  <w:t xml:space="preserve">чае, если заявителем является иностранное юридическое лицо; документы, подтверждающие внесение задатка).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  <w:r>
              <w:rPr>
                <w:rFonts w:ascii="Times New Roman" w:hAnsi="Times New Roman" w:eastAsia="Droid Sans Fallback" w:cs="Lohit Devanagari"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каждый лот представляется отдельный пакет документов.</w:t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auto"/>
              </w:rPr>
              <w:t xml:space="preserve">Решение о проведении аукциона принято в соответствии со статьей 39.18 Земельного кодекса Российской Федерации, участниками аукциона могут являться только граждане.</w:t>
            </w:r>
            <w:r>
              <w:rPr>
                <w:b/>
                <w:sz w:val="24"/>
                <w:szCs w:val="24"/>
              </w:rPr>
            </w:r>
          </w:p>
          <w:p>
            <w:pPr>
              <w:pStyle w:val="742"/>
              <w:jc w:val="both"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blPrEx/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задатка (50% от начальной цены </w:t>
            </w:r>
            <w:r>
              <w:rPr>
                <w:sz w:val="24"/>
                <w:szCs w:val="24"/>
                <w:shd w:val="clear" w:color="auto" w:fill="auto"/>
              </w:rPr>
              <w:t xml:space="preserve">предмета аукциона)</w:t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70 700 руб.</w:t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3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аренды земельного участка</w:t>
            </w:r>
            <w:r>
              <w:rPr>
                <w:sz w:val="24"/>
                <w:szCs w:val="24"/>
              </w:rPr>
            </w:r>
          </w:p>
          <w:p>
            <w:pPr>
              <w:pStyle w:val="648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лет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3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ind w:left="113" w:right="113" w:firstLine="0"/>
              <w:jc w:val="left"/>
              <w:spacing w:before="0" w:after="0"/>
              <w:widowControl/>
            </w:pPr>
            <w:r>
              <w:rPr>
                <w:shd w:val="clear" w:color="auto" w:fill="auto"/>
              </w:rPr>
              <w:t xml:space="preserve">Дата </w:t>
            </w:r>
            <w:r>
              <w:rPr>
                <w:b w:val="0"/>
                <w:shd w:val="clear" w:color="auto" w:fill="auto"/>
              </w:rPr>
              <w:t xml:space="preserve">размещения извещения в соответствии с пп. 1 п. 1 ст. 39.18 Земельного кодекса Российской Федерации на  </w:t>
            </w:r>
            <w:r>
              <w:rPr>
                <w:b w:val="0"/>
                <w:shd w:val="clear" w:color="auto" w:fill="auto"/>
                <w:lang w:val="en-US" w:eastAsia="en-US"/>
              </w:rPr>
              <w:t xml:space="preserve">сайтах www.torgi.gov.ru, www.gorodperm.ru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23.01.2026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8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ind w:right="-2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договора аренды земельного участка, приобретаемого на торгах в форме аукциона, для строительства, является Приложением 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 к настоящему извещению и размещен на сайтах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torgi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gov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 xml:space="preserve">www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gorodperm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  <w:lang w:val="en-US"/>
              </w:rPr>
              <w:t xml:space="preserve">ru</w:t>
            </w:r>
            <w:r>
              <w:rPr>
                <w:sz w:val="24"/>
                <w:szCs w:val="24"/>
              </w:rPr>
              <w:t xml:space="preserve"> (раздел Деятельность/ муниципальная собственность/ Торговая площадка/Вид торгов Продажа и аренда земельных участков).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6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54" w:type="dxa"/>
            <w:textDirection w:val="lrTb"/>
            <w:noWrap w:val="false"/>
          </w:tcPr>
          <w:p>
            <w:pPr>
              <w:pStyle w:val="648"/>
              <w:ind w:left="0" w:right="-4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осмотра земельного участка </w:t>
              <w:br/>
              <w:t xml:space="preserve">на местности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4" w:type="dxa"/>
            <w:textDirection w:val="lrTb"/>
            <w:noWrap w:val="false"/>
          </w:tcPr>
          <w:p>
            <w:pPr>
              <w:pStyle w:val="64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земельного участка производится заявителем </w:t>
              <w:br/>
              <w:t xml:space="preserve">самостоятельно в любое время с даты опубликования настоящего извещения.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48"/>
        <w:ind w:left="1134" w:firstLine="0"/>
        <w:jc w:val="left"/>
        <w:spacing w:line="240" w:lineRule="exact"/>
        <w:rPr>
          <w:rFonts w:ascii="Times New Roman" w:hAnsi="Times New Roman" w:cs="Times New Roman"/>
        </w:rPr>
      </w:pPr>
      <w:r>
        <w:rPr>
          <w:rFonts w:cs="Times New Roman"/>
        </w:rPr>
      </w:r>
      <w:r>
        <w:rPr>
          <w:rFonts w:ascii="Times New Roman" w:hAnsi="Times New Roman" w:cs="Times New Roman"/>
        </w:rPr>
      </w:r>
    </w:p>
    <w:p>
      <w:pPr>
        <w:pStyle w:val="768"/>
        <w:ind w:left="1134" w:hanging="1134"/>
        <w:jc w:val="left"/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48"/>
        <w:contextualSpacing/>
        <w:ind w:left="0"/>
        <w:jc w:val="center"/>
        <w:spacing w:before="0" w:after="0"/>
        <w:widowControl w:val="off"/>
        <w:rPr>
          <w:rFonts w:eastAsia="Courier New"/>
          <w:b/>
          <w:bCs/>
          <w:highlight w:val="none"/>
          <w:lang w:bidi="ru-RU"/>
        </w:rPr>
      </w:pPr>
      <w:r>
        <w:rPr>
          <w:rFonts w:eastAsia="Courier New"/>
          <w:b/>
          <w:lang w:bidi="ru-RU"/>
        </w:rPr>
        <w:t xml:space="preserve">Сроки, время подачи заявок, рассмотрения заявок, проведения аукциона</w:t>
      </w:r>
      <w:r>
        <w:rPr>
          <w:rFonts w:eastAsia="Courier New"/>
          <w:b/>
          <w:bCs/>
          <w:highlight w:val="none"/>
          <w:lang w:bidi="ru-RU"/>
        </w:rPr>
      </w:r>
    </w:p>
    <w:p>
      <w:pPr>
        <w:pStyle w:val="648"/>
        <w:contextualSpacing/>
        <w:ind w:left="567"/>
        <w:jc w:val="center"/>
        <w:spacing w:before="0" w:after="0"/>
        <w:widowControl w:val="off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</w:p>
    <w:p>
      <w:pPr>
        <w:pStyle w:val="648"/>
        <w:ind w:left="-567" w:right="0" w:firstLine="687"/>
        <w:jc w:val="both"/>
        <w:widowControl w:val="off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 xml:space="preserve">Дата и время начала срока подачи заявок на участие в аукционе – 28.07.2026</w:t>
      </w:r>
      <w:r>
        <w:rPr>
          <w:rFonts w:eastAsia="Courier New"/>
          <w:lang w:bidi="ru-RU"/>
        </w:rPr>
        <w:t xml:space="preserve"> в 9:00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 xml:space="preserve">по местному времени (7:00 МСК).</w:t>
      </w:r>
      <w:r>
        <w:rPr>
          <w:rFonts w:eastAsia="Courier New"/>
          <w:lang w:bidi="ru-RU"/>
        </w:rPr>
      </w:r>
    </w:p>
    <w:p>
      <w:pPr>
        <w:pStyle w:val="648"/>
        <w:ind w:left="-567" w:firstLine="709"/>
        <w:jc w:val="both"/>
        <w:widowControl w:val="off"/>
        <w:rPr>
          <w:rFonts w:eastAsia="Courier New"/>
          <w:lang w:bidi="ru-RU"/>
        </w:rPr>
      </w:pPr>
      <w:r>
        <w:rPr>
          <w:rFonts w:eastAsia="Courier New"/>
          <w:lang w:bidi="ru-RU"/>
        </w:rPr>
      </w:r>
      <w:r>
        <w:rPr>
          <w:rFonts w:eastAsia="Courier New"/>
          <w:lang w:bidi="ru-RU"/>
        </w:rPr>
      </w:r>
    </w:p>
    <w:p>
      <w:pPr>
        <w:pStyle w:val="648"/>
        <w:ind w:left="-567" w:firstLine="709"/>
        <w:jc w:val="both"/>
        <w:widowControl w:val="off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  <w:t xml:space="preserve">Дата и время окончания срока подачи заявок на участие в аукционе – 25.08.2026</w:t>
      </w:r>
      <w:r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br w:type="textWrapping" w:clear="all"/>
      </w:r>
      <w:r>
        <w:rPr>
          <w:rFonts w:eastAsia="Courier New"/>
          <w:lang w:bidi="ru-RU"/>
        </w:rPr>
        <w:t xml:space="preserve">в 18:00 по местному времени (16:00 МСК). </w:t>
      </w:r>
      <w:r>
        <w:rPr>
          <w:rFonts w:eastAsia="Courier New"/>
          <w:b/>
          <w:lang w:bidi="ru-RU"/>
        </w:rPr>
      </w:r>
    </w:p>
    <w:p>
      <w:pPr>
        <w:pStyle w:val="648"/>
        <w:ind w:left="-567" w:firstLine="709"/>
        <w:jc w:val="both"/>
        <w:widowControl w:val="off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</w:p>
    <w:p>
      <w:pPr>
        <w:pStyle w:val="648"/>
        <w:ind w:left="-567" w:firstLine="709"/>
        <w:jc w:val="both"/>
        <w:widowControl w:val="off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 xml:space="preserve">Дата окончания срока рассмотрения заявок на участие в аукционе (определение участников аукциона)</w:t>
      </w:r>
      <w:r>
        <w:rPr>
          <w:rFonts w:eastAsia="Courier New"/>
          <w:lang w:bidi="ru-RU"/>
        </w:rPr>
        <w:t xml:space="preserve"> –</w:t>
      </w:r>
      <w:r>
        <w:rPr>
          <w:rFonts w:eastAsia="Courier New"/>
          <w:b/>
          <w:bCs/>
          <w:lang w:bidi="ru-RU"/>
        </w:rPr>
        <w:t xml:space="preserve"> 26.08.2026. </w:t>
      </w:r>
      <w:r>
        <w:rPr>
          <w:rFonts w:eastAsia="Courier New"/>
          <w:lang w:bidi="ru-RU"/>
        </w:rPr>
      </w:r>
    </w:p>
    <w:p>
      <w:pPr>
        <w:pStyle w:val="648"/>
        <w:ind w:left="-567" w:firstLine="709"/>
        <w:jc w:val="both"/>
        <w:widowControl w:val="off"/>
        <w:rPr>
          <w:rFonts w:eastAsia="Courier New"/>
          <w:b/>
          <w:bCs/>
          <w:lang w:bidi="ru-RU"/>
        </w:rPr>
      </w:pPr>
      <w:r>
        <w:rPr>
          <w:rFonts w:eastAsia="Courier New"/>
          <w:b/>
          <w:bCs/>
          <w:lang w:bidi="ru-RU"/>
        </w:rPr>
      </w:r>
      <w:r>
        <w:rPr>
          <w:rFonts w:eastAsia="Courier New"/>
          <w:b/>
          <w:bCs/>
          <w:lang w:bidi="ru-RU"/>
        </w:rPr>
      </w:r>
    </w:p>
    <w:p>
      <w:pPr>
        <w:pStyle w:val="648"/>
        <w:ind w:left="-567" w:firstLine="709"/>
        <w:jc w:val="both"/>
        <w:widowControl w:val="off"/>
        <w:rPr>
          <w:rFonts w:eastAsia="Courier New"/>
          <w:b/>
          <w:lang w:bidi="ru-RU"/>
        </w:rPr>
      </w:pPr>
      <w:r>
        <w:rPr>
          <w:rFonts w:eastAsia="Courier New"/>
          <w:b/>
          <w:bCs/>
          <w:lang w:bidi="ru-RU"/>
        </w:rPr>
        <w:t xml:space="preserve">Дата проведения аукциона (дата и время начала приема предложений </w:t>
      </w:r>
      <w:r>
        <w:rPr>
          <w:rFonts w:eastAsia="Courier New"/>
          <w:b/>
          <w:bCs/>
          <w:lang w:bidi="ru-RU"/>
        </w:rPr>
        <w:br w:type="textWrapping" w:clear="all"/>
      </w:r>
      <w:r>
        <w:rPr>
          <w:rFonts w:eastAsia="Courier New"/>
          <w:b/>
          <w:bCs/>
          <w:lang w:bidi="ru-RU"/>
        </w:rPr>
        <w:t xml:space="preserve">от участников аукциона) – 27.08</w:t>
      </w:r>
      <w:r>
        <w:rPr>
          <w:rFonts w:eastAsia="Courier New"/>
          <w:b/>
          <w:lang w:bidi="ru-RU"/>
        </w:rPr>
        <w:t xml:space="preserve">.2026</w:t>
      </w:r>
      <w:r>
        <w:rPr>
          <w:rFonts w:eastAsia="Courier New"/>
          <w:lang w:bidi="ru-RU"/>
        </w:rPr>
        <w:t xml:space="preserve"> в 09:00 по местному времени (07:00 МСК). </w:t>
      </w:r>
      <w:r>
        <w:rPr>
          <w:rFonts w:eastAsia="Courier New"/>
          <w:b/>
          <w:lang w:bidi="ru-RU"/>
        </w:rPr>
      </w:r>
    </w:p>
    <w:p>
      <w:pPr>
        <w:pStyle w:val="648"/>
        <w:ind w:left="-567" w:firstLine="709"/>
        <w:jc w:val="both"/>
        <w:widowControl w:val="off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</w:r>
      <w:r>
        <w:rPr>
          <w:rFonts w:eastAsia="Courier New"/>
          <w:b/>
          <w:lang w:bidi="ru-RU"/>
        </w:rPr>
      </w:r>
    </w:p>
    <w:p>
      <w:pPr>
        <w:pStyle w:val="648"/>
        <w:ind w:left="-567" w:firstLine="709"/>
        <w:jc w:val="both"/>
        <w:widowControl w:val="off"/>
        <w:rPr>
          <w:highlight w:val="none"/>
        </w:rPr>
      </w:pPr>
      <w:r>
        <w:rPr>
          <w:b/>
        </w:rPr>
        <w:t xml:space="preserve">Место подачи (приема) заявок и место проведения аукциона:</w:t>
      </w:r>
      <w:r>
        <w:t xml:space="preserve"> электронная </w:t>
        <w:br/>
        <w:t xml:space="preserve">площадка – 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  <w:r>
        <w:rPr>
          <w:highlight w:val="none"/>
        </w:rPr>
      </w:r>
    </w:p>
    <w:p>
      <w:pPr>
        <w:pStyle w:val="648"/>
        <w:jc w:val="both"/>
        <w:widowControl w:val="off"/>
      </w:pPr>
      <w:r/>
      <w:r/>
    </w:p>
    <w:p>
      <w:pPr>
        <w:pStyle w:val="648"/>
        <w:ind w:left="-567" w:firstLine="709"/>
        <w:jc w:val="center"/>
        <w:widowControl w:val="off"/>
        <w:rPr>
          <w:b/>
        </w:rPr>
      </w:pPr>
      <w:r>
        <w:rPr>
          <w:b/>
        </w:rPr>
        <w:t xml:space="preserve">Плата оператору электронной площадки за участие в электронном аукционе</w:t>
      </w:r>
      <w:r>
        <w:rPr>
          <w:b/>
        </w:rPr>
      </w:r>
    </w:p>
    <w:p>
      <w:pPr>
        <w:pStyle w:val="648"/>
        <w:ind w:left="-567" w:firstLine="709"/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48"/>
        <w:ind w:left="-567" w:firstLine="709"/>
        <w:jc w:val="both"/>
        <w:widowControl w:val="off"/>
      </w:pPr>
      <w:r>
        <w:t xml:space="preserve">В соответствии с постановлением Правительства Российской Федерации от 10 мая 2018 г. </w:t>
      </w:r>
      <w:r>
        <w:br w:type="textWrapping" w:clear="all"/>
      </w:r>
      <w:r>
        <w:t xml:space="preserve">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</w:t>
      </w:r>
      <w:r>
        <w:t xml:space="preserve">роцедуры и установления ее предельных размеров» оператор электронной площадки вправе взимать плату с победителя аукциона или иного лица, с которыми в соответствии с пунктами 13, 14, 20 и 25 статьи 39.12 Земельного кодекса Российской Федерации заключается д</w:t>
      </w:r>
      <w:r>
        <w:t xml:space="preserve">оговор купли-продажи земельного участка, находящегося в государственной или муниципальной собственности, либо договор аренды такого участка, в размере 1% начальной цены предмета аукциона, но не более 5 тыс. рублей без учета налога на добавленную стоимость.</w:t>
      </w:r>
      <w:r/>
    </w:p>
    <w:p>
      <w:pPr>
        <w:pStyle w:val="648"/>
        <w:ind w:left="-567" w:firstLine="709"/>
        <w:jc w:val="both"/>
        <w:widowControl w:val="off"/>
      </w:pPr>
      <w:r>
        <w:t xml:space="preserve">По информации оператора электронной площадки АО «Сбербанк-АСТ» в настоящее время взимание платы не установлено.</w:t>
      </w:r>
      <w:r/>
    </w:p>
    <w:p>
      <w:pPr>
        <w:pStyle w:val="648"/>
        <w:ind w:left="-567" w:firstLine="709"/>
        <w:jc w:val="both"/>
        <w:widowControl w:val="off"/>
      </w:pPr>
      <w:r/>
      <w:r/>
    </w:p>
    <w:p>
      <w:pPr>
        <w:pStyle w:val="648"/>
        <w:contextualSpacing/>
        <w:ind w:left="502"/>
        <w:jc w:val="center"/>
        <w:spacing w:before="0" w:after="0"/>
        <w:widowControl w:val="off"/>
        <w:rPr>
          <w:b/>
          <w:bCs/>
          <w:lang w:bidi="ru-RU"/>
        </w:rPr>
      </w:pPr>
      <w:r>
        <w:rPr>
          <w:b/>
          <w:bCs/>
          <w:lang w:bidi="ru-RU"/>
        </w:rPr>
        <w:t xml:space="preserve">Размер задатка для участия в аукционе, порядок его внесения и возврата, реквизиты счета для перечисления задатка</w:t>
      </w:r>
      <w:r>
        <w:rPr>
          <w:b/>
          <w:bCs/>
          <w:lang w:bidi="ru-RU"/>
        </w:rPr>
      </w:r>
    </w:p>
    <w:p>
      <w:pPr>
        <w:pStyle w:val="648"/>
        <w:contextualSpacing/>
        <w:ind w:left="502"/>
        <w:jc w:val="center"/>
        <w:spacing w:before="0" w:after="0"/>
        <w:widowControl w:val="off"/>
        <w:rPr>
          <w:b/>
          <w:bCs/>
          <w:lang w:bidi="ru-RU"/>
        </w:rPr>
      </w:pPr>
      <w:r>
        <w:rPr>
          <w:b/>
          <w:bCs/>
          <w:lang w:bidi="ru-RU"/>
        </w:rPr>
      </w:r>
      <w:r>
        <w:rPr>
          <w:b/>
          <w:bCs/>
          <w:lang w:bidi="ru-RU"/>
        </w:rPr>
      </w:r>
    </w:p>
    <w:p>
      <w:pPr>
        <w:pStyle w:val="648"/>
        <w:contextualSpacing/>
        <w:ind w:left="-567" w:firstLine="567"/>
        <w:jc w:val="both"/>
        <w:spacing w:before="0" w:after="0"/>
        <w:widowControl w:val="off"/>
        <w:rPr>
          <w:bCs/>
          <w:lang w:bidi="ru-RU"/>
        </w:rPr>
      </w:pPr>
      <w:r>
        <w:rPr>
          <w:bCs/>
          <w:lang w:bidi="ru-RU"/>
        </w:rPr>
        <w:t xml:space="preserve">Заявители, зарегистриров</w:t>
      </w:r>
      <w:r>
        <w:rPr>
          <w:bCs/>
          <w:lang w:bidi="ru-RU"/>
        </w:rPr>
        <w:t xml:space="preserve">анные на электронной площадке в установленном порядке, </w:t>
        <w:br/>
        <w:t xml:space="preserve">до подачи заявки на участие в аукционе (далее – заявка), осуществляют перечисление суммы задатка на участие в аукционе на банковские реквизиты Оператора, размещенные в открытой части торговой секции. </w:t>
      </w:r>
      <w:r>
        <w:rPr>
          <w:bCs/>
          <w:lang w:bidi="ru-RU"/>
        </w:rPr>
      </w:r>
    </w:p>
    <w:p>
      <w:pPr>
        <w:pStyle w:val="648"/>
        <w:contextualSpacing/>
        <w:ind w:left="-567" w:firstLine="567"/>
        <w:jc w:val="both"/>
        <w:spacing w:before="0" w:after="0"/>
        <w:widowControl w:val="off"/>
        <w:rPr>
          <w:bCs/>
          <w:lang w:bidi="ru-RU"/>
        </w:rPr>
      </w:pPr>
      <w:r>
        <w:rPr>
          <w:bCs/>
          <w:lang w:bidi="ru-RU"/>
        </w:rPr>
        <w:t xml:space="preserve">В момент подачи заявки Оператор проверяет наличие денежной суммы в размере задатка </w:t>
      </w:r>
      <w:r>
        <w:rPr>
          <w:bCs/>
          <w:lang w:bidi="ru-RU"/>
        </w:rPr>
        <w:br w:type="textWrapping" w:clear="all"/>
      </w:r>
      <w:r>
        <w:rPr>
          <w:bCs/>
          <w:lang w:bidi="ru-RU"/>
        </w:rPr>
        <w:t xml:space="preserve">на лицевом счете заявителя и осуществляет блокирование необходимой денежной суммы.</w:t>
      </w:r>
      <w:r>
        <w:rPr>
          <w:bCs/>
          <w:lang w:bidi="ru-RU"/>
        </w:rPr>
      </w:r>
    </w:p>
    <w:p>
      <w:pPr>
        <w:pStyle w:val="648"/>
        <w:contextualSpacing/>
        <w:ind w:left="-567" w:firstLine="567"/>
        <w:jc w:val="both"/>
        <w:spacing w:before="0" w:after="0"/>
        <w:widowControl w:val="off"/>
        <w:rPr>
          <w:bCs/>
          <w:lang w:bidi="ru-RU"/>
        </w:rPr>
      </w:pPr>
      <w:r>
        <w:rPr>
          <w:bCs/>
          <w:lang w:bidi="ru-RU"/>
        </w:rPr>
        <w:t xml:space="preserve">Представление документов, подтверждающих внесение задатка, признается заключением соглашения о задатке (п.2 ст. 39.12 Земельного кодекса Российской Федерации).</w:t>
      </w:r>
      <w:r>
        <w:rPr>
          <w:bCs/>
          <w:lang w:bidi="ru-RU"/>
        </w:rPr>
      </w:r>
    </w:p>
    <w:p>
      <w:pPr>
        <w:pStyle w:val="648"/>
        <w:contextualSpacing/>
        <w:ind w:left="-567" w:firstLine="567"/>
        <w:jc w:val="both"/>
        <w:spacing w:before="0" w:after="0"/>
        <w:widowControl w:val="off"/>
        <w:rPr>
          <w:bCs/>
          <w:lang w:bidi="ru-RU"/>
        </w:rPr>
      </w:pPr>
      <w:r>
        <w:rPr>
          <w:bCs/>
          <w:lang w:bidi="ru-RU"/>
        </w:rPr>
        <w:t xml:space="preserve">Сумма задатка для участия в аукционе определяется в размере 50 процентов от начальной цены предмета аукциона. Размер задатка в извещении о проведении аукциона указан по каждому лоту.</w:t>
      </w:r>
      <w:r>
        <w:rPr>
          <w:bCs/>
          <w:lang w:bidi="ru-RU"/>
        </w:rPr>
      </w:r>
    </w:p>
    <w:p>
      <w:pPr>
        <w:pStyle w:val="648"/>
        <w:contextualSpacing/>
        <w:ind w:left="-567" w:firstLine="567"/>
        <w:jc w:val="both"/>
        <w:spacing w:before="0" w:after="0"/>
        <w:widowControl w:val="off"/>
        <w:rPr>
          <w:b/>
          <w:bCs/>
          <w:lang w:bidi="ru-RU"/>
        </w:rPr>
      </w:pPr>
      <w:r>
        <w:rPr>
          <w:bCs/>
          <w:lang w:bidi="ru-RU"/>
        </w:rPr>
        <w:t xml:space="preserve">Перечисление задатка для участия в аукционе и возврат задатка осуществляются с учетом особенностей, установленных регламентом электронной площадки. </w:t>
      </w:r>
      <w:r>
        <w:rPr>
          <w:b/>
          <w:bCs/>
          <w:lang w:bidi="ru-RU"/>
        </w:rPr>
      </w:r>
    </w:p>
    <w:p>
      <w:pPr>
        <w:pStyle w:val="648"/>
        <w:ind w:left="-567" w:firstLine="567"/>
        <w:jc w:val="both"/>
        <w:widowControl w:val="off"/>
        <w:rPr>
          <w:rFonts w:eastAsia="Calibri"/>
          <w:bCs/>
          <w:lang w:eastAsia="en-US"/>
        </w:rPr>
      </w:pPr>
      <w:r>
        <w:rPr>
          <w:b/>
          <w:bCs/>
          <w:lang w:bidi="ru-RU"/>
        </w:rPr>
        <w:t xml:space="preserve">Задаток перечисляется на реквизиты Оператора электронной площадки (</w:t>
      </w:r>
      <w:hyperlink r:id="rId25" w:tooltip="http://utp.sberbank-ast.ru/AP/Notice/653/Requisites" w:history="1">
        <w:r>
          <w:rPr>
            <w:rStyle w:val="731"/>
            <w:b/>
            <w:bCs/>
            <w:lang w:bidi="ru-RU"/>
          </w:rPr>
          <w:t xml:space="preserve">http://utp.sberbank-ast.ru/AP/Notice/653/Requisites</w:t>
        </w:r>
      </w:hyperlink>
      <w:r>
        <w:rPr>
          <w:b/>
          <w:bCs/>
          <w:lang w:bidi="ru-RU"/>
        </w:rPr>
        <w:t xml:space="preserve">).</w:t>
      </w:r>
      <w:r>
        <w:rPr>
          <w:rFonts w:eastAsia="Calibri"/>
          <w:bCs/>
          <w:lang w:eastAsia="en-US"/>
        </w:rPr>
      </w:r>
    </w:p>
    <w:p>
      <w:pPr>
        <w:pStyle w:val="648"/>
        <w:spacing w:line="240" w:lineRule="exac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Получатель: АО «Сбербанк-АСТ»</w:t>
      </w:r>
      <w:r>
        <w:rPr>
          <w:rFonts w:eastAsia="Calibri"/>
          <w:bCs/>
          <w:lang w:eastAsia="en-US"/>
        </w:rPr>
      </w:r>
    </w:p>
    <w:p>
      <w:pPr>
        <w:pStyle w:val="648"/>
        <w:spacing w:line="240" w:lineRule="exac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ИНН: 7707308480, КПП: 770401001, </w:t>
      </w:r>
      <w:r>
        <w:rPr>
          <w:rFonts w:eastAsia="Calibri"/>
          <w:bCs/>
          <w:lang w:eastAsia="en-US"/>
        </w:rPr>
      </w:r>
    </w:p>
    <w:p>
      <w:pPr>
        <w:pStyle w:val="648"/>
        <w:spacing w:line="240" w:lineRule="exact"/>
      </w:pPr>
      <w:r>
        <w:rPr>
          <w:rFonts w:eastAsia="Calibri"/>
          <w:bCs/>
          <w:lang w:eastAsia="en-US"/>
        </w:rPr>
        <w:t xml:space="preserve">Банк получателя: ПАО «СБЕРБАНК РОССИИ» Г. МОСКВА</w:t>
      </w:r>
      <w:r/>
    </w:p>
    <w:p>
      <w:pPr>
        <w:pStyle w:val="648"/>
        <w:spacing w:line="240" w:lineRule="exact"/>
        <w:rPr>
          <w:rFonts w:eastAsia="Calibri"/>
          <w:bCs/>
          <w:lang w:eastAsia="en-US"/>
        </w:rPr>
      </w:pPr>
      <w:r>
        <w:t xml:space="preserve">Расчетный счет: </w:t>
      </w:r>
      <w:r>
        <w:rPr>
          <w:rFonts w:eastAsia="Calibri"/>
          <w:bCs/>
          <w:lang w:eastAsia="en-US"/>
        </w:rPr>
        <w:t xml:space="preserve">40702810300020038047</w:t>
      </w:r>
      <w:r>
        <w:rPr>
          <w:rFonts w:eastAsia="Calibri"/>
          <w:bCs/>
          <w:lang w:eastAsia="en-US"/>
        </w:rPr>
      </w:r>
    </w:p>
    <w:p>
      <w:pPr>
        <w:pStyle w:val="648"/>
        <w:spacing w:line="240" w:lineRule="exac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БИК: 044525225</w:t>
      </w:r>
      <w:r>
        <w:rPr>
          <w:rFonts w:eastAsia="Calibri"/>
          <w:bCs/>
          <w:lang w:eastAsia="en-US"/>
        </w:rPr>
      </w:r>
    </w:p>
    <w:p>
      <w:pPr>
        <w:pStyle w:val="648"/>
        <w:spacing w:line="240" w:lineRule="exact"/>
        <w:rPr>
          <w:bCs/>
          <w:lang w:bidi="ru-RU"/>
        </w:rPr>
      </w:pPr>
      <w:r>
        <w:rPr>
          <w:rFonts w:eastAsia="Calibri"/>
          <w:bCs/>
          <w:lang w:eastAsia="en-US"/>
        </w:rPr>
        <w:t xml:space="preserve">Корреспондентский счет: 30101810400000000225</w:t>
      </w:r>
      <w:r>
        <w:rPr>
          <w:bCs/>
          <w:lang w:bidi="ru-RU"/>
        </w:rPr>
      </w:r>
    </w:p>
    <w:p>
      <w:pPr>
        <w:pStyle w:val="648"/>
        <w:ind w:left="-567" w:firstLine="567"/>
        <w:jc w:val="both"/>
        <w:widowControl w:val="off"/>
        <w:rPr>
          <w:b/>
        </w:rPr>
      </w:pPr>
      <w:r>
        <w:rPr>
          <w:bCs/>
          <w:lang w:bidi="ru-RU"/>
        </w:rPr>
        <w:t xml:space="preserve">В платёжном поручении в части «Назначение платежа» необходимо указать: Задаток по лоту  № ___, ИНН плательщика. НДС не облагается.</w:t>
      </w:r>
      <w:r>
        <w:rPr>
          <w:b/>
        </w:rPr>
      </w:r>
    </w:p>
    <w:p>
      <w:pPr>
        <w:pStyle w:val="648"/>
        <w:ind w:left="-567" w:firstLine="567"/>
        <w:jc w:val="both"/>
        <w:widowControl w:val="off"/>
        <w:rPr>
          <w:bCs/>
          <w:lang w:bidi="ru-RU"/>
        </w:rPr>
      </w:pPr>
      <w:r>
        <w:rPr>
          <w:b/>
        </w:rPr>
        <w:t xml:space="preserve">Срок внесения задатка, т.е. поступления суммы задатка на счет </w:t>
      </w:r>
      <w:r>
        <w:rPr>
          <w:rFonts w:eastAsia="Calibri"/>
          <w:b/>
        </w:rPr>
        <w:t xml:space="preserve">Оператора</w:t>
      </w:r>
      <w:r>
        <w:rPr>
          <w:b/>
        </w:rPr>
        <w:t xml:space="preserve">: </w:t>
      </w:r>
      <w:r>
        <w:rPr>
          <w:b/>
        </w:rPr>
        <w:br w:type="textWrapping" w:clear="all"/>
      </w:r>
      <w:r>
        <w:rPr>
          <w:b w:val="0"/>
          <w:bCs w:val="0"/>
          <w:lang w:bidi="ru-RU"/>
        </w:rPr>
        <w:t xml:space="preserve">c 28.07.2026 по 25.08.2026.</w:t>
      </w:r>
      <w:r>
        <w:rPr>
          <w:bCs/>
          <w:lang w:bidi="ru-RU"/>
        </w:rPr>
      </w:r>
    </w:p>
    <w:p>
      <w:pPr>
        <w:pStyle w:val="648"/>
        <w:ind w:left="-567" w:firstLine="709"/>
        <w:jc w:val="both"/>
        <w:widowControl w:val="off"/>
        <w:rPr>
          <w:bCs/>
          <w:lang w:bidi="ru-RU"/>
        </w:rPr>
      </w:pPr>
      <w:r>
        <w:rPr>
          <w:bCs/>
          <w:lang w:bidi="ru-RU"/>
        </w:rPr>
      </w:r>
      <w:r>
        <w:rPr>
          <w:bCs/>
          <w:lang w:bidi="ru-RU"/>
        </w:rPr>
      </w:r>
    </w:p>
    <w:p>
      <w:pPr>
        <w:pStyle w:val="648"/>
        <w:ind w:left="-567" w:firstLine="709"/>
        <w:jc w:val="center"/>
        <w:widowControl w:val="off"/>
        <w:rPr>
          <w:b/>
          <w:lang w:bidi="ru-RU"/>
        </w:rPr>
      </w:pPr>
      <w:r>
        <w:rPr>
          <w:b/>
          <w:lang w:bidi="ru-RU"/>
        </w:rPr>
        <w:t xml:space="preserve">Порядок возврата задатка:</w:t>
      </w:r>
      <w:r>
        <w:rPr>
          <w:b/>
          <w:lang w:bidi="ru-RU"/>
        </w:rPr>
      </w:r>
    </w:p>
    <w:p>
      <w:pPr>
        <w:pStyle w:val="648"/>
        <w:ind w:left="-567" w:firstLine="709"/>
        <w:jc w:val="both"/>
        <w:widowControl w:val="off"/>
        <w:rPr>
          <w:b/>
          <w:lang w:bidi="ru-RU"/>
        </w:rPr>
      </w:pPr>
      <w:r>
        <w:rPr>
          <w:b/>
          <w:lang w:bidi="ru-RU"/>
        </w:rPr>
      </w:r>
      <w:r>
        <w:rPr>
          <w:b/>
          <w:lang w:bidi="ru-RU"/>
        </w:rPr>
      </w:r>
    </w:p>
    <w:p>
      <w:pPr>
        <w:pStyle w:val="648"/>
        <w:contextualSpacing/>
        <w:ind w:left="-567" w:firstLine="567"/>
        <w:jc w:val="both"/>
        <w:spacing w:before="0" w:after="0"/>
        <w:widowControl w:val="off"/>
        <w:rPr>
          <w:lang w:bidi="ru-RU"/>
        </w:rPr>
      </w:pPr>
      <w:r>
        <w:rPr>
          <w:bCs/>
          <w:lang w:bidi="ru-RU"/>
        </w:rPr>
        <w:t xml:space="preserve">Задаток возвращается лицам, участвовавшим в аукционе, но не победившим в нем, в течение трех ра</w:t>
      </w:r>
      <w:r>
        <w:rPr>
          <w:bCs/>
          <w:shd w:val="clear" w:color="auto" w:fill="auto"/>
          <w:lang w:bidi="ru-RU"/>
        </w:rPr>
        <w:t xml:space="preserve">бочих дней со дня подписания протокола о результатах аукциона, </w:t>
      </w:r>
      <w:r>
        <w:rPr>
          <w:b w:val="0"/>
          <w:bCs/>
          <w:shd w:val="clear" w:color="auto" w:fill="auto"/>
          <w:lang w:bidi="ru-RU"/>
        </w:rPr>
        <w:t xml:space="preserve">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  <w:r>
        <w:rPr>
          <w:lang w:bidi="ru-RU"/>
        </w:rPr>
      </w:r>
    </w:p>
    <w:p>
      <w:pPr>
        <w:pStyle w:val="648"/>
        <w:contextualSpacing/>
        <w:ind w:left="-567" w:firstLine="567"/>
        <w:jc w:val="both"/>
        <w:spacing w:before="0" w:after="0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  <w:lang w:bidi="ru-RU"/>
        </w:rPr>
        <w:t xml:space="preserve">Заявителю, не допущенному к участию в аукционе, внесенный им задаток возвращается </w:t>
      </w:r>
      <w:r>
        <w:rPr>
          <w:shd w:val="clear" w:color="auto" w:fill="auto"/>
          <w:lang w:bidi="ru-RU"/>
        </w:rPr>
        <w:br w:type="textWrapping" w:clear="all"/>
      </w:r>
      <w:r>
        <w:rPr>
          <w:shd w:val="clear" w:color="auto" w:fill="auto"/>
          <w:lang w:bidi="ru-RU"/>
        </w:rPr>
        <w:t xml:space="preserve">в течение трех рабочих дней со дня оформления протокола рассмотрения заявок на участие </w:t>
        <w:br/>
        <w:t xml:space="preserve">в аукционе. 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  <w:lang w:bidi="ru-RU"/>
        </w:rPr>
        <w:t xml:space="preserve">Оператор прекращает блокирование в отношении денежных средств участников аукциона, заблокированных в размере задатко</w:t>
      </w:r>
      <w:r>
        <w:rPr>
          <w:shd w:val="clear" w:color="auto" w:fill="auto"/>
          <w:lang w:bidi="ru-RU"/>
        </w:rPr>
        <w:t xml:space="preserve">в на их лицевых счетах на электронной площадке после публикации протокола о результатах аукциона, за исключением единственного заявителя, признанного участником аукциона, победителя аукциона, единственного принявшего участие </w:t>
        <w:br/>
        <w:t xml:space="preserve">в аукционе участника, а также </w:t>
      </w:r>
      <w:r>
        <w:rPr>
          <w:b w:val="0"/>
          <w:shd w:val="clear" w:color="auto" w:fill="auto"/>
          <w:lang w:bidi="ru-RU"/>
        </w:rPr>
        <w:t xml:space="preserve">участника аукциона, который сделал предпоследнее предложение </w:t>
        <w:br/>
        <w:t xml:space="preserve">о цене предмета аукциона.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  <w:lang w:bidi="ru-RU"/>
        </w:rPr>
        <w:t xml:space="preserve">Организатор аукциона посредством штатного интерфейса торговой секции </w:t>
      </w:r>
      <w:r>
        <w:rPr>
          <w:shd w:val="clear" w:color="auto" w:fill="auto"/>
          <w:lang w:bidi="ru-RU"/>
        </w:rPr>
        <w:br w:type="textWrapping" w:clear="all"/>
      </w:r>
      <w:r>
        <w:rPr>
          <w:shd w:val="clear" w:color="auto" w:fill="auto"/>
          <w:lang w:bidi="ru-RU"/>
        </w:rPr>
        <w:t xml:space="preserve">в установленные сроки формирует поручение Оператору: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  <w:lang w:bidi="ru-RU"/>
        </w:rPr>
        <w:t xml:space="preserve">- о</w:t>
      </w:r>
      <w:r>
        <w:rPr>
          <w:shd w:val="clear" w:color="auto" w:fill="auto"/>
          <w:lang w:bidi="ru-RU"/>
        </w:rPr>
        <w:t xml:space="preserve"> перечислении задатка единственного заявителя, признанного участником аукциона, победителя аукциона или единственного принявшего участие в аукционе участника после формирования протокола о результатах аукциона на указанные в поручении банковские реквизиты;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пунктами 13, 14, 20 или 25 ст. 39.12 Земельного кодекса Российской </w:t>
      </w:r>
      <w:r>
        <w:rPr>
          <w:bCs/>
          <w:shd w:val="clear" w:color="auto" w:fill="auto"/>
          <w:lang w:bidi="ru-RU"/>
        </w:rPr>
        <w:t xml:space="preserve">Федерации, засчитываются  в счет арендной платы за него.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указанного договора, не возвращаются. </w:t>
      </w:r>
      <w:r>
        <w:rPr>
          <w:highlight w:val="none"/>
          <w:shd w:val="clear" w:color="auto" w:fill="auto"/>
        </w:rPr>
      </w:r>
    </w:p>
    <w:p>
      <w:pPr>
        <w:pStyle w:val="648"/>
        <w:jc w:val="both"/>
        <w:spacing w:line="276" w:lineRule="auto"/>
        <w:widowControl w:val="off"/>
        <w:rPr>
          <w:bCs/>
          <w:highlight w:val="none"/>
          <w:shd w:val="clear" w:color="auto" w:fill="auto"/>
          <w:lang w:bidi="ru-RU"/>
        </w:rPr>
      </w:pPr>
      <w:r>
        <w:rPr>
          <w:bCs/>
          <w:shd w:val="clear" w:color="auto" w:fill="auto"/>
          <w:lang w:bidi="ru-RU"/>
        </w:rPr>
      </w:r>
      <w:r>
        <w:rPr>
          <w:bCs/>
          <w:highlight w:val="none"/>
          <w:shd w:val="clear" w:color="auto" w:fill="auto"/>
          <w:lang w:bidi="ru-RU"/>
        </w:rPr>
      </w:r>
    </w:p>
    <w:p>
      <w:pPr>
        <w:pStyle w:val="648"/>
        <w:jc w:val="center"/>
        <w:widowControl w:val="off"/>
        <w:rPr>
          <w:highlight w:val="none"/>
          <w:shd w:val="clear" w:color="auto" w:fill="auto"/>
        </w:rPr>
      </w:pPr>
      <w:r>
        <w:rPr>
          <w:b/>
          <w:shd w:val="clear" w:color="auto" w:fill="auto"/>
        </w:rPr>
        <w:t xml:space="preserve">Организатор аукциона вправе:</w:t>
      </w:r>
      <w:r>
        <w:rPr>
          <w:highlight w:val="none"/>
          <w:shd w:val="clear" w:color="auto" w:fill="auto"/>
        </w:rPr>
      </w:r>
    </w:p>
    <w:p>
      <w:pPr>
        <w:pStyle w:val="648"/>
        <w:jc w:val="center"/>
        <w:widowControl w:val="off"/>
        <w:rPr>
          <w:rFonts w:eastAsia="Courier New"/>
          <w:highlight w:val="none"/>
          <w:shd w:val="clear" w:color="auto" w:fill="auto"/>
          <w:lang w:bidi="ru-RU"/>
        </w:rPr>
      </w:pPr>
      <w:r>
        <w:rPr>
          <w:rFonts w:eastAsia="Courier New"/>
          <w:shd w:val="clear" w:color="auto" w:fill="auto"/>
          <w:lang w:bidi="ru-RU"/>
        </w:rPr>
      </w:r>
      <w:r>
        <w:rPr>
          <w:rFonts w:eastAsia="Courier New"/>
          <w:highlight w:val="none"/>
          <w:shd w:val="clear" w:color="auto" w:fill="auto"/>
          <w:lang w:bidi="ru-RU"/>
        </w:rPr>
      </w:r>
    </w:p>
    <w:p>
      <w:pPr>
        <w:pStyle w:val="742"/>
        <w:ind w:left="-567" w:firstLine="709"/>
        <w:jc w:val="both"/>
        <w:widowControl w:val="off"/>
        <w:rPr>
          <w:highlight w:val="none"/>
          <w:shd w:val="clear" w:color="auto" w:fill="auto"/>
        </w:rPr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Не позднее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 чем за один рабочий день до даты окончания приема заявок на участие в аукционе 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быть продлен таким образом, чтобы со дня размещения в порядке, установленном п. 19 ст. 39.11 Земельного кодекса Российской Федерации, изменений в извещение о проведении аукциона до дня проведения аукциона такой срок составлял не менее десяти рабочих дней. </w:t>
      </w:r>
      <w:r>
        <w:rPr>
          <w:rFonts w:eastAsia="Droid Sans Fallback" w:cs="Lohit Devanagari"/>
          <w:b w:val="0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Информация о внесении изменений в извещение </w:t>
        <w:br/>
        <w:t xml:space="preserve">о проведении аукциона размещается на официальных сайтах </w:t>
      </w:r>
      <w:r>
        <w:rPr>
          <w:rFonts w:eastAsia="Droid Sans Fallback" w:cs="Lohit Devanagari"/>
          <w:b w:val="0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www.torgi.gov.ru,  www.gorodperm.ru.</w:t>
      </w:r>
      <w:r>
        <w:rPr>
          <w:highlight w:val="none"/>
          <w:shd w:val="clear" w:color="auto" w:fill="auto"/>
        </w:rPr>
      </w:r>
    </w:p>
    <w:p>
      <w:pPr>
        <w:pStyle w:val="742"/>
        <w:ind w:left="-567" w:firstLine="709"/>
        <w:jc w:val="both"/>
        <w:widowControl w:val="off"/>
        <w:rPr>
          <w:highlight w:val="none"/>
          <w:shd w:val="clear" w:color="auto" w:fill="auto"/>
        </w:rPr>
      </w:pPr>
      <w:r>
        <w:rPr>
          <w:rFonts w:eastAsia="Droid Sans Fallback" w:cs="Lohit Devanagari"/>
          <w:b w:val="0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В случае, если за один рабочий день до даты окончания приема заявок на участие в аукционе не поступило ни од</w:t>
      </w:r>
      <w:r>
        <w:rPr>
          <w:rFonts w:eastAsia="Droid Sans Fallback" w:cs="Lohit Devanagari"/>
          <w:b w:val="0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ной заявки, организатор аукциона до момента окончания срока подачи заявок </w:t>
        <w:br/>
        <w:t xml:space="preserve">на участие в аукционе может принять решение о продлении срока подачи заявок в соответствии </w:t>
        <w:br/>
        <w:t xml:space="preserve">с правилами, предусмотренными п. 22.1  ст. 39.11 Земельного кодекса Российской Федерации.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widowControl w:val="off"/>
      </w:pPr>
      <w:r>
        <w:rPr>
          <w:shd w:val="clear" w:color="auto" w:fill="auto"/>
        </w:rPr>
        <w:t xml:space="preserve">В соответствии с п. 4 ст. 448 Гражданского кодекса Российской Федерации отказаться </w:t>
      </w:r>
      <w:r>
        <w:br w:type="textWrapping" w:clear="all"/>
      </w:r>
      <w:r>
        <w:t xml:space="preserve">от проведения аукциона в любое время, но не позднее чем за три дня до наступления даты </w:t>
      </w:r>
      <w:r>
        <w:br w:type="textWrapping" w:clear="all"/>
      </w:r>
      <w:r>
        <w:t xml:space="preserve">его проведения, указанной в извещении </w:t>
      </w:r>
      <w:r>
        <w:rPr>
          <w:shd w:val="clear" w:color="auto" w:fill="auto"/>
        </w:rPr>
        <w:t xml:space="preserve">о проведении аукциона. </w:t>
      </w:r>
      <w:r/>
    </w:p>
    <w:p>
      <w:pPr>
        <w:pStyle w:val="648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48"/>
        <w:jc w:val="center"/>
        <w:widowControl w:val="off"/>
        <w:rPr>
          <w:highlight w:val="none"/>
          <w:shd w:val="clear" w:color="auto" w:fill="auto"/>
        </w:rPr>
      </w:pPr>
      <w:r>
        <w:rPr>
          <w:b/>
          <w:shd w:val="clear" w:color="auto" w:fill="auto"/>
        </w:rPr>
        <w:t xml:space="preserve">Организатор аукциона обязан:  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Принять решение об отказе в проведении аукциона в случае выявления обстоятельств, предусмотренных п. 8 ст. 39.11 Земельного кодекса Российской Федерации. 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Извещение об отказе в проведении аукциона размещается организатором аукциона </w:t>
        <w:br/>
        <w:t xml:space="preserve">на официальных сайтах  </w:t>
      </w:r>
      <w:r>
        <w:rPr>
          <w:rFonts w:eastAsia="Droid Sans Fallback" w:cs="Lohit Devanagari"/>
          <w:b w:val="0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www.torgi.gov.ru,  www.gorodperm.ru </w:t>
      </w:r>
      <w:r>
        <w:rPr>
          <w:shd w:val="clear" w:color="auto" w:fill="auto"/>
        </w:rPr>
        <w:t xml:space="preserve"> и на электронной площадке в течение трех дней со дня принятия данного решения.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В течение трех дней со дня принятия решения об отказе в проведении аукциона участники аукциона извещаются об отказе в проведении аукциона, внесенные задатки возвращаются его участникам.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В случае отказа от проведения аукциона организатором (в т. ч. одного или нескольких лотов) Оператор в течение одного часа прекращает блокирование денежных средств участников аукциона </w:t>
        <w:br/>
        <w:t xml:space="preserve">в размере задатка на их лицевых счетах на электронной площадке.</w:t>
      </w:r>
      <w:r>
        <w:rPr>
          <w:highlight w:val="none"/>
          <w:shd w:val="clear" w:color="auto" w:fill="auto"/>
        </w:rPr>
      </w:r>
    </w:p>
    <w:p>
      <w:pPr>
        <w:pStyle w:val="648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48"/>
        <w:ind w:left="502"/>
        <w:jc w:val="center"/>
        <w:widowControl w:val="off"/>
        <w:rPr>
          <w:highlight w:val="none"/>
          <w:shd w:val="clear" w:color="auto" w:fill="auto"/>
        </w:rPr>
      </w:pPr>
      <w:r>
        <w:rPr>
          <w:rFonts w:eastAsia="Courier New"/>
          <w:b/>
          <w:shd w:val="clear" w:color="auto" w:fill="auto"/>
          <w:lang w:bidi="ru-RU"/>
        </w:rPr>
        <w:t xml:space="preserve">Порядок регистрации на электронной площадке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709"/>
        <w:jc w:val="both"/>
        <w:widowControl w:val="off"/>
        <w:rPr>
          <w:rFonts w:eastAsia="Courier New"/>
          <w:b/>
          <w:bCs/>
          <w:highlight w:val="none"/>
          <w:shd w:val="clear" w:color="auto" w:fill="auto"/>
          <w:lang w:bidi="ru-RU"/>
        </w:rPr>
      </w:pPr>
      <w:r>
        <w:rPr>
          <w:rFonts w:eastAsia="Courier New"/>
          <w:b/>
          <w:bCs/>
          <w:shd w:val="clear" w:color="auto" w:fill="auto"/>
          <w:lang w:bidi="ru-RU"/>
        </w:rPr>
      </w:r>
      <w:r>
        <w:rPr>
          <w:rFonts w:eastAsia="Courier New"/>
          <w:b/>
          <w:bCs/>
          <w:highlight w:val="none"/>
          <w:shd w:val="clear" w:color="auto" w:fill="auto"/>
          <w:lang w:bidi="ru-RU"/>
        </w:rPr>
      </w:r>
    </w:p>
    <w:p>
      <w:pPr>
        <w:pStyle w:val="648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Для обеспечения доступа к участию в аукционе заявителю необходимо пройти процедуру регистрации на электронной площадке. Регистрации на электронной площадке подлежат лица, ранее не зарегистрированные на электронной площадке.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Регистрация на электронной площадке проводится в соответствии с регламентом электронной площадки.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Дата и время регистрации участников аукциона на участие в аукционе на электронной площадке на сайте в сети Интернет: c 28.07.2026 по 25.08.2026 с 9.00 до 18.00 по местному времени (7:00 – 16:00 МСК). </w:t>
      </w:r>
      <w:r>
        <w:rPr>
          <w:highlight w:val="none"/>
          <w:shd w:val="clear" w:color="auto" w:fill="auto"/>
        </w:rPr>
      </w:r>
    </w:p>
    <w:p>
      <w:pPr>
        <w:pStyle w:val="779"/>
        <w:jc w:val="center"/>
        <w:rPr>
          <w:highlight w:val="none"/>
        </w:rPr>
      </w:pPr>
      <w:r/>
      <w:r>
        <w:rPr>
          <w:highlight w:val="none"/>
        </w:rPr>
      </w:r>
    </w:p>
    <w:p>
      <w:pPr>
        <w:pStyle w:val="779"/>
        <w:jc w:val="center"/>
        <w:rPr>
          <w:b/>
          <w:bCs/>
          <w:color w:val="000000"/>
          <w:highlight w:val="none"/>
          <w:shd w:val="clear" w:color="auto" w:fill="auto"/>
        </w:rPr>
      </w:pPr>
      <w:r>
        <w:rPr>
          <w:b/>
          <w:color w:val="000000"/>
          <w:shd w:val="clear" w:color="auto" w:fill="auto"/>
        </w:rPr>
        <w:t xml:space="preserve">Разъяснение положений извещения о проведении аукциона</w:t>
      </w:r>
      <w:r>
        <w:rPr>
          <w:b/>
          <w:bCs/>
          <w:color w:val="000000"/>
          <w:highlight w:val="none"/>
          <w:shd w:val="clear" w:color="auto" w:fill="auto"/>
        </w:rPr>
      </w:r>
    </w:p>
    <w:p>
      <w:pPr>
        <w:pStyle w:val="746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На этапе приема заявок любое заинтересованное лицо вправе не позднее 10 календарных дней до окончания срока по</w:t>
      </w:r>
      <w:r>
        <w:rPr>
          <w:bCs/>
          <w:shd w:val="clear" w:color="auto" w:fill="auto"/>
          <w:lang w:bidi="ru-RU"/>
        </w:rPr>
        <w:t xml:space="preserve">дачи заявок направить Организатору аукциона запрос о разъяснениях положений извещения о проведении аукциона посредством функционала электронной площадки. Запросы о разъяснении положений извещения, полученные после вышеуказанного срока, </w:t>
        <w:br/>
        <w:t xml:space="preserve">не рассматриваются.</w:t>
      </w:r>
      <w:r>
        <w:rPr>
          <w:highlight w:val="none"/>
          <w:shd w:val="clear" w:color="auto" w:fill="auto"/>
        </w:rPr>
      </w:r>
    </w:p>
    <w:p>
      <w:pPr>
        <w:pStyle w:val="746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bCs/>
          <w:shd w:val="clear" w:color="auto" w:fill="auto"/>
          <w:lang w:bidi="ru-RU"/>
        </w:rPr>
        <w:t xml:space="preserve">Ответ на запрос о разъяснении положений извещения должен быть подготовлен в течение трех рабочих дней со дня поступления указанного запроса.  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709"/>
        <w:jc w:val="both"/>
        <w:spacing w:line="276" w:lineRule="auto"/>
        <w:widowControl w:val="off"/>
        <w:rPr>
          <w:bCs/>
          <w:highlight w:val="none"/>
          <w:shd w:val="clear" w:color="auto" w:fill="auto"/>
          <w:lang w:bidi="ru-RU"/>
        </w:rPr>
      </w:pPr>
      <w:r>
        <w:rPr>
          <w:bCs/>
          <w:shd w:val="clear" w:color="auto" w:fill="auto"/>
          <w:lang w:bidi="ru-RU"/>
        </w:rPr>
      </w:r>
      <w:r>
        <w:rPr>
          <w:bCs/>
          <w:highlight w:val="none"/>
          <w:shd w:val="clear" w:color="auto" w:fill="auto"/>
          <w:lang w:bidi="ru-RU"/>
        </w:rPr>
      </w:r>
    </w:p>
    <w:p>
      <w:pPr>
        <w:pStyle w:val="648"/>
        <w:numPr>
          <w:ilvl w:val="0"/>
          <w:numId w:val="0"/>
        </w:numPr>
        <w:ind w:left="0" w:firstLine="0"/>
        <w:jc w:val="center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/>
          <w:bCs/>
          <w:shd w:val="clear" w:color="auto" w:fill="auto"/>
        </w:rPr>
        <w:t xml:space="preserve">Требования к содержанию и составу заявки на участие в аукционе</w:t>
      </w:r>
      <w:r>
        <w:rPr>
          <w:highlight w:val="none"/>
          <w:shd w:val="clear" w:color="auto" w:fill="auto"/>
        </w:rPr>
      </w:r>
    </w:p>
    <w:p>
      <w:pPr>
        <w:pStyle w:val="648"/>
        <w:numPr>
          <w:ilvl w:val="0"/>
          <w:numId w:val="0"/>
        </w:numPr>
        <w:ind w:left="0" w:firstLine="0"/>
        <w:jc w:val="center"/>
        <w:tabs>
          <w:tab w:val="clear" w:pos="708" w:leader="none"/>
          <w:tab w:val="center" w:pos="5076" w:leader="none"/>
        </w:tabs>
        <w:rPr>
          <w:b/>
          <w:bCs/>
          <w:highlight w:val="none"/>
          <w:shd w:val="clear" w:color="auto" w:fill="auto"/>
        </w:rPr>
        <w:outlineLvl w:val="0"/>
      </w:pPr>
      <w:r>
        <w:rPr>
          <w:b/>
          <w:bCs/>
          <w:shd w:val="clear" w:color="auto" w:fill="auto"/>
        </w:rPr>
      </w:r>
      <w:r>
        <w:rPr>
          <w:b/>
          <w:bCs/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rFonts w:eastAsia="Courier New"/>
          <w:shd w:val="clear" w:color="auto" w:fill="auto"/>
          <w:lang w:bidi="ru-RU"/>
        </w:rPr>
        <w:t xml:space="preserve">Для участия в аукционе заявители представляют в установленный в извещении </w:t>
      </w:r>
      <w:r>
        <w:rPr>
          <w:rFonts w:eastAsia="Courier New"/>
          <w:shd w:val="clear" w:color="auto" w:fill="auto"/>
          <w:lang w:bidi="ru-RU"/>
        </w:rPr>
        <w:br w:type="textWrapping" w:clear="all"/>
      </w:r>
      <w:r>
        <w:rPr>
          <w:rFonts w:eastAsia="Courier New"/>
          <w:shd w:val="clear" w:color="auto" w:fill="auto"/>
          <w:lang w:bidi="ru-RU"/>
        </w:rPr>
        <w:t xml:space="preserve">о проведении аукциона срок следующие документы:</w:t>
      </w:r>
      <w:r>
        <w:rPr>
          <w:highlight w:val="none"/>
          <w:shd w:val="clear" w:color="auto" w:fill="auto"/>
        </w:rPr>
      </w:r>
    </w:p>
    <w:p>
      <w:pPr>
        <w:pStyle w:val="648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1) копии документов, удостоверяющих личность заявителя (для граждан), всех страниц;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2) надлежащим образом заверенный перевод на русский язык документов </w:t>
      </w:r>
      <w:r>
        <w:rPr>
          <w:rFonts w:eastAsia="Calibri"/>
          <w:shd w:val="clear" w:color="auto" w:fill="auto"/>
        </w:rPr>
        <w:br w:type="textWrapping" w:clear="all"/>
      </w:r>
      <w:r>
        <w:rPr>
          <w:rFonts w:eastAsia="Calibri"/>
          <w:shd w:val="clear" w:color="auto" w:fill="auto"/>
        </w:rPr>
        <w:t xml:space="preserve">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  <w:r>
        <w:rPr>
          <w:highlight w:val="none"/>
          <w:shd w:val="clear" w:color="auto" w:fill="auto"/>
        </w:rPr>
      </w:r>
    </w:p>
    <w:p>
      <w:pPr>
        <w:pStyle w:val="648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3) документы, подтверждающие внесение задатка.</w:t>
      </w:r>
      <w:r>
        <w:rPr>
          <w:highlight w:val="none"/>
          <w:shd w:val="clear" w:color="auto" w:fill="auto"/>
        </w:rPr>
      </w:r>
    </w:p>
    <w:p>
      <w:pPr>
        <w:pStyle w:val="648"/>
        <w:jc w:val="both"/>
        <w:rPr>
          <w:rFonts w:eastAsia="Calibri"/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</w:r>
      <w:r>
        <w:rPr>
          <w:rFonts w:eastAsia="Calibri"/>
          <w:highlight w:val="none"/>
          <w:shd w:val="clear" w:color="auto" w:fill="auto"/>
        </w:rPr>
      </w:r>
    </w:p>
    <w:p>
      <w:pPr>
        <w:pStyle w:val="648"/>
        <w:ind w:firstLine="708"/>
        <w:jc w:val="center"/>
        <w:rPr>
          <w:highlight w:val="none"/>
          <w:shd w:val="clear" w:color="auto" w:fill="auto"/>
        </w:rPr>
      </w:pPr>
      <w:r>
        <w:rPr>
          <w:b/>
          <w:shd w:val="clear" w:color="auto" w:fill="auto"/>
        </w:rPr>
        <w:t xml:space="preserve">Инструкция по заполнению и подаче заявки, порядок приема заявки</w:t>
      </w:r>
      <w:r>
        <w:rPr>
          <w:highlight w:val="none"/>
          <w:shd w:val="clear" w:color="auto" w:fill="auto"/>
        </w:rPr>
      </w:r>
    </w:p>
    <w:p>
      <w:pPr>
        <w:pStyle w:val="648"/>
        <w:ind w:firstLine="708"/>
        <w:jc w:val="center"/>
        <w:rPr>
          <w:b/>
          <w:highlight w:val="none"/>
          <w:shd w:val="clear" w:color="auto" w:fill="auto"/>
        </w:rPr>
      </w:pPr>
      <w:r>
        <w:rPr>
          <w:b/>
          <w:shd w:val="clear" w:color="auto" w:fill="auto"/>
        </w:rPr>
      </w:r>
      <w:r>
        <w:rPr>
          <w:b/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Заявка на участие в электронном аукционе с указанием банк</w:t>
      </w:r>
      <w:r>
        <w:rPr>
          <w:shd w:val="clear" w:color="auto" w:fill="auto"/>
        </w:rPr>
        <w:t xml:space="preserve">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2 - 4 пункта 1, пункте 1.1 статьи 39.12 Земельного кодекса Российской Федерации (копии </w:t>
      </w:r>
      <w:r>
        <w:rPr>
          <w:b w:val="0"/>
          <w:shd w:val="clear" w:color="auto" w:fill="auto"/>
        </w:rPr>
        <w:t xml:space="preserve">документов, удостоверяющих личность заявителя (для граждан); </w:t>
      </w:r>
      <w:r>
        <w:rPr>
          <w:b w:val="0"/>
        </w:rPr>
        <w:t xml:space="preserve">надлежащим образом заверенн</w:t>
      </w:r>
      <w:r>
        <w:rPr>
          <w:b w:val="0"/>
        </w:rPr>
        <w:t xml:space="preserve">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документы, подтверждающие внесение задатка). 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</w:rPr>
      </w:pPr>
      <w:r>
        <w:rPr>
          <w:sz w:val="24"/>
          <w:szCs w:val="24"/>
        </w:rPr>
        <w:t xml:space="preserve">На каждый лот представляется отдельный пакет документов.</w:t>
      </w:r>
      <w:r>
        <w:rPr>
          <w:highlight w:val="none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Заполнение заявки осуществляется в соответствии с порядком, определенным регламентом электронной площадки АО «Сбербанк-АСТ».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Все документы и сведения, связанные с получением регистрации на универсальной торговой пла</w:t>
      </w:r>
      <w:r>
        <w:rPr>
          <w:shd w:val="clear" w:color="auto" w:fill="auto"/>
        </w:rPr>
        <w:t xml:space="preserve">тформе и проведением закупок/продаж, направляются заявителями, пользователями, оператором электронной площадки либо размещаются ими на универсальной торговой платформе в форме электронных документов (п. 10.1.1. Регламента Универсальной торговой платформы).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Пользователи принимают, что в случае наличия требований к формату и содержанию электронного документа, в системе используются электронные документы установленного формата (п. 10.2.3.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 Регламента Универсальной торговой платформы).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Заявка подается в виде электронного документа, подписанного электронной подписью заявителя (п. 3.2.2. Регламента торговой секции).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Заявитель заполняет электронную форму заявки, при</w:t>
      </w:r>
      <w:r>
        <w:rPr>
          <w:shd w:val="clear" w:color="auto" w:fill="auto"/>
        </w:rPr>
        <w:t xml:space="preserve">кладывает предусмотренные извещением </w:t>
        <w:br/>
        <w:t xml:space="preserve">о проведении аукциона файлы документов (при необходимости). Документы и сведения </w:t>
        <w:br/>
        <w:t xml:space="preserve">из регистрационных данн</w:t>
      </w:r>
      <w:r>
        <w:rPr>
          <w:shd w:val="clear" w:color="auto" w:fill="auto"/>
        </w:rPr>
        <w:t xml:space="preserve">ых заявителя на универсальной торговой платформе, актуальные на дату </w:t>
        <w:br/>
        <w:t xml:space="preserve">и время окончания приема заявок, направляются оператором электронной площадки вместе с заявкой организатору аукциона после окончания приема заявок (п. 3.2.3. Регламента торговой секции).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Подача заявки осуществляется заявителем, зарегистрированным в торговой секции, </w:t>
      </w:r>
      <w:r>
        <w:rPr>
          <w:shd w:val="clear" w:color="auto" w:fill="auto"/>
        </w:rPr>
        <w:br w:type="textWrapping" w:clear="all"/>
      </w:r>
      <w:r>
        <w:rPr>
          <w:shd w:val="clear" w:color="auto" w:fill="auto"/>
        </w:rPr>
        <w:t xml:space="preserve">из личного кабинета посредством штатного интерфейса отдельно по каждому лоту в сроки, установленные в извещении о проведении аукциона.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Заявитель вправе подать заявку в любое время с момента размещения извещения </w:t>
      </w:r>
      <w:r>
        <w:rPr>
          <w:shd w:val="clear" w:color="auto" w:fill="auto"/>
        </w:rPr>
        <w:br w:type="textWrapping" w:clear="all"/>
      </w:r>
      <w:r>
        <w:rPr>
          <w:shd w:val="clear" w:color="auto" w:fill="auto"/>
        </w:rPr>
        <w:t xml:space="preserve">о проведении аукциона до предусмотренных указанным извещением даты и времени окончания срока подачи заявок.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Один заявитель вправе подать только одну заявку на участие в аукционе в отношении каждого лота.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Заявка на участие в аукционе, поступившая по истечении срока приема заявок, возвращается заявителю в день ее поступления.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Участие в аукционе возможно при наличии на лицевом счете заявителя денежных средств </w:t>
      </w:r>
      <w:r>
        <w:rPr>
          <w:shd w:val="clear" w:color="auto" w:fill="auto"/>
        </w:rPr>
        <w:br w:type="textWrapping" w:clear="all"/>
      </w:r>
      <w:r>
        <w:rPr>
          <w:shd w:val="clear" w:color="auto" w:fill="auto"/>
        </w:rPr>
        <w:t xml:space="preserve">в размере не менее чем размер задатка на участие в аукционе, предусмотренный извещением </w:t>
      </w:r>
      <w:r>
        <w:rPr>
          <w:shd w:val="clear" w:color="auto" w:fill="auto"/>
        </w:rPr>
        <w:br w:type="textWrapping" w:clear="all"/>
      </w:r>
      <w:r>
        <w:rPr>
          <w:shd w:val="clear" w:color="auto" w:fill="auto"/>
        </w:rPr>
        <w:t xml:space="preserve">о проведении аукциона.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Все документы, входящие в состав заявки, должны иметь четко читаемый текст.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Заявка предоставляется организатору аукциона через Оператора.</w:t>
      </w:r>
      <w:r>
        <w:rPr>
          <w:highlight w:val="none"/>
          <w:shd w:val="clear" w:color="auto" w:fill="auto"/>
        </w:rPr>
      </w:r>
    </w:p>
    <w:p>
      <w:pPr>
        <w:pStyle w:val="648"/>
        <w:numPr>
          <w:ilvl w:val="0"/>
          <w:numId w:val="0"/>
        </w:numPr>
        <w:ind w:left="0" w:firstLine="0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Заявка не может быть принята Оператором в случае:</w:t>
      </w:r>
      <w:r>
        <w:rPr>
          <w:highlight w:val="none"/>
          <w:shd w:val="clear" w:color="auto" w:fill="auto"/>
        </w:rPr>
      </w:r>
    </w:p>
    <w:p>
      <w:pPr>
        <w:pStyle w:val="648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а) отсутствия на лицевом счете заявителя достаточной суммы денежных средств </w:t>
      </w:r>
      <w:r>
        <w:rPr>
          <w:bCs/>
          <w:shd w:val="clear" w:color="auto" w:fill="auto"/>
        </w:rPr>
        <w:br w:type="textWrapping" w:clear="all"/>
      </w:r>
      <w:r>
        <w:rPr>
          <w:bCs/>
          <w:shd w:val="clear" w:color="auto" w:fill="auto"/>
        </w:rPr>
        <w:t xml:space="preserve">в размере задатка;</w:t>
      </w:r>
      <w:r>
        <w:rPr>
          <w:highlight w:val="none"/>
          <w:shd w:val="clear" w:color="auto" w:fill="auto"/>
        </w:rPr>
      </w:r>
    </w:p>
    <w:p>
      <w:pPr>
        <w:pStyle w:val="648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б) подачи заявителем второй заявки на участие в отношении одного и того же лота при условии, что поданная ранее заявка таким заявителем не отозвана;</w:t>
      </w:r>
      <w:r>
        <w:rPr>
          <w:highlight w:val="none"/>
          <w:shd w:val="clear" w:color="auto" w:fill="auto"/>
        </w:rPr>
      </w:r>
    </w:p>
    <w:p>
      <w:pPr>
        <w:pStyle w:val="648"/>
        <w:numPr>
          <w:ilvl w:val="0"/>
          <w:numId w:val="0"/>
        </w:numPr>
        <w:ind w:left="0" w:firstLine="0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в) подачи заявки по истечении установленного срока подачи заявок;</w:t>
      </w:r>
      <w:r>
        <w:rPr>
          <w:highlight w:val="none"/>
          <w:shd w:val="clear" w:color="auto" w:fill="auto"/>
        </w:rPr>
      </w:r>
    </w:p>
    <w:p>
      <w:pPr>
        <w:pStyle w:val="648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г) некорректного заполнения формы заявки, в том числе незаполнения полей, являющихся обязательными для заполнения.</w:t>
      </w:r>
      <w:r>
        <w:rPr>
          <w:highlight w:val="none"/>
          <w:shd w:val="clear" w:color="auto" w:fill="auto"/>
        </w:rPr>
      </w:r>
    </w:p>
    <w:p>
      <w:pPr>
        <w:pStyle w:val="648"/>
        <w:numPr>
          <w:ilvl w:val="0"/>
          <w:numId w:val="0"/>
        </w:numPr>
        <w:ind w:left="-567" w:firstLine="567"/>
        <w:jc w:val="both"/>
        <w:tabs>
          <w:tab w:val="center" w:pos="284" w:leader="none"/>
          <w:tab w:val="clear" w:pos="708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Заявителям, признанным участниками аукциона, и зая</w:t>
      </w:r>
      <w:r>
        <w:rPr>
          <w:bCs/>
          <w:shd w:val="clear" w:color="auto" w:fill="auto"/>
        </w:rPr>
        <w:t xml:space="preserve">вителям, не допущенным к участию </w:t>
        <w:br/>
        <w:t xml:space="preserve">в аукционе, оператор электронной площадки направляет в электронной форме уведомления </w:t>
        <w:br/>
        <w:t xml:space="preserve">о принятых в отношении их решениях не позднее дня, следующего после дня подписания протокола рассмотрения заявок на участие в аукционе. </w:t>
      </w:r>
      <w:r>
        <w:rPr>
          <w:highlight w:val="none"/>
          <w:shd w:val="clear" w:color="auto" w:fill="auto"/>
        </w:rPr>
      </w:r>
    </w:p>
    <w:p>
      <w:pPr>
        <w:pStyle w:val="648"/>
        <w:numPr>
          <w:ilvl w:val="0"/>
          <w:numId w:val="0"/>
        </w:numPr>
        <w:ind w:left="-567" w:firstLine="567"/>
        <w:jc w:val="both"/>
        <w:spacing w:line="276" w:lineRule="auto"/>
        <w:tabs>
          <w:tab w:val="center" w:pos="284" w:leader="none"/>
          <w:tab w:val="clear" w:pos="708" w:leader="none"/>
        </w:tabs>
        <w:rPr>
          <w:bCs/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</w:r>
      <w:r>
        <w:rPr>
          <w:bCs/>
          <w:highlight w:val="none"/>
          <w:shd w:val="clear" w:color="auto" w:fill="auto"/>
        </w:rPr>
      </w:r>
    </w:p>
    <w:p>
      <w:pPr>
        <w:pStyle w:val="648"/>
        <w:ind w:left="502"/>
        <w:jc w:val="center"/>
        <w:widowControl w:val="off"/>
        <w:rPr>
          <w:highlight w:val="none"/>
          <w:shd w:val="clear" w:color="auto" w:fill="auto"/>
        </w:rPr>
      </w:pPr>
      <w:r>
        <w:rPr>
          <w:b/>
          <w:bCs/>
          <w:shd w:val="clear" w:color="auto" w:fill="auto"/>
          <w:lang w:bidi="ru-RU"/>
        </w:rPr>
        <w:t xml:space="preserve">Порядок и срок изменения, отзыва заявки на участие в аукционе</w:t>
      </w:r>
      <w:r>
        <w:rPr>
          <w:highlight w:val="none"/>
          <w:shd w:val="clear" w:color="auto" w:fill="auto"/>
        </w:rPr>
      </w:r>
    </w:p>
    <w:p>
      <w:pPr>
        <w:pStyle w:val="648"/>
        <w:ind w:left="502"/>
        <w:widowControl w:val="off"/>
        <w:rPr>
          <w:b/>
          <w:bCs/>
          <w:highlight w:val="none"/>
          <w:shd w:val="clear" w:color="auto" w:fill="auto"/>
          <w:lang w:bidi="ru-RU"/>
        </w:rPr>
      </w:pPr>
      <w:r>
        <w:rPr>
          <w:b/>
          <w:bCs/>
          <w:shd w:val="clear" w:color="auto" w:fill="auto"/>
          <w:lang w:bidi="ru-RU"/>
        </w:rPr>
      </w:r>
      <w:r>
        <w:rPr>
          <w:b/>
          <w:bCs/>
          <w:highlight w:val="none"/>
          <w:shd w:val="clear" w:color="auto" w:fill="auto"/>
          <w:lang w:bidi="ru-RU"/>
        </w:rPr>
      </w:r>
    </w:p>
    <w:p>
      <w:pPr>
        <w:pStyle w:val="648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Заявитель имеет право отозвать принятую организатором аукциона заявку на участие </w:t>
      </w:r>
      <w:r>
        <w:rPr>
          <w:shd w:val="clear" w:color="auto" w:fill="auto"/>
        </w:rPr>
        <w:br w:type="textWrapping" w:clear="all"/>
      </w:r>
      <w:r>
        <w:rPr>
          <w:shd w:val="clear" w:color="auto" w:fill="auto"/>
        </w:rPr>
        <w:t xml:space="preserve">в аукционе до дня окончания срока приема заявок, путем направлен</w:t>
      </w:r>
      <w:r>
        <w:rPr>
          <w:shd w:val="clear" w:color="auto" w:fill="auto"/>
        </w:rPr>
        <w:t xml:space="preserve">ия уведомления об отзыве заявки на электронную площадку. В случае отзыва заявки в установленном порядке, уведомление об отзыве заявки поступает в «личный кабинет» организатора аукциона, о чем заявителю направляется соответствующее уведомление. Заявителю вн</w:t>
      </w:r>
      <w:r>
        <w:rPr>
          <w:shd w:val="clear" w:color="auto" w:fill="auto"/>
        </w:rPr>
        <w:t xml:space="preserve">есенный им задаток возвращается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 </w:t>
      </w:r>
      <w:r>
        <w:rPr>
          <w:highlight w:val="none"/>
          <w:shd w:val="clear" w:color="auto" w:fill="auto"/>
        </w:rPr>
      </w:r>
    </w:p>
    <w:p>
      <w:pPr>
        <w:pStyle w:val="648"/>
        <w:jc w:val="center"/>
        <w:rPr>
          <w:highlight w:val="none"/>
          <w:shd w:val="clear" w:color="auto" w:fill="auto"/>
        </w:rPr>
      </w:pPr>
      <w:r>
        <w:rPr>
          <w:b/>
          <w:bCs/>
          <w:shd w:val="clear" w:color="auto" w:fill="auto"/>
        </w:rPr>
        <w:t xml:space="preserve">Определение участников аукциона</w:t>
      </w:r>
      <w:r>
        <w:rPr>
          <w:highlight w:val="none"/>
          <w:shd w:val="clear" w:color="auto" w:fill="auto"/>
        </w:rPr>
      </w:r>
    </w:p>
    <w:p>
      <w:pPr>
        <w:pStyle w:val="648"/>
        <w:jc w:val="center"/>
        <w:rPr>
          <w:b/>
          <w:bCs/>
          <w:highlight w:val="none"/>
          <w:shd w:val="clear" w:color="auto" w:fill="auto"/>
        </w:rPr>
      </w:pPr>
      <w:r>
        <w:rPr>
          <w:b/>
          <w:bCs/>
          <w:shd w:val="clear" w:color="auto" w:fill="auto"/>
        </w:rPr>
      </w:r>
      <w:r>
        <w:rPr>
          <w:b/>
          <w:bCs/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bCs/>
          <w:shd w:val="clear" w:color="auto" w:fill="auto"/>
        </w:rPr>
        <w:t xml:space="preserve">По результатам рассмотрения заявок комиссия принимает решение о допуске заявителей </w:t>
      </w:r>
      <w:r>
        <w:rPr>
          <w:bCs/>
          <w:shd w:val="clear" w:color="auto" w:fill="auto"/>
        </w:rPr>
        <w:br w:type="textWrapping" w:clear="all"/>
      </w:r>
      <w:r>
        <w:rPr>
          <w:bCs/>
          <w:shd w:val="clear" w:color="auto" w:fill="auto"/>
        </w:rPr>
        <w:t xml:space="preserve">к участию в аукционе или об отказе в допуске к участию в аукционе.</w:t>
      </w:r>
      <w:r>
        <w:rPr>
          <w:highlight w:val="none"/>
          <w:shd w:val="clear" w:color="auto" w:fill="auto"/>
        </w:rPr>
      </w:r>
    </w:p>
    <w:p>
      <w:pPr>
        <w:pStyle w:val="648"/>
        <w:jc w:val="both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Заявитель не допускается к участию в аукционе в следующих случаях: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z w:val="20"/>
          <w:shd w:val="clear" w:color="auto" w:fill="auto"/>
        </w:rPr>
        <w:t xml:space="preserve">1) </w:t>
      </w:r>
      <w:r>
        <w:rPr>
          <w:shd w:val="clear" w:color="auto" w:fill="auto"/>
        </w:rPr>
        <w:t xml:space="preserve">непредставление необходимых для участия в аукционе документов или представление недостоверных сведений;</w:t>
      </w:r>
      <w:r>
        <w:rPr>
          <w:highlight w:val="none"/>
          <w:shd w:val="clear" w:color="auto" w:fill="auto"/>
        </w:rPr>
      </w:r>
    </w:p>
    <w:p>
      <w:pPr>
        <w:pStyle w:val="648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2) непоступление задатка на дату рассмотрения заявок на участие в аукционе;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3) подача заяв</w:t>
      </w:r>
      <w:r>
        <w:rPr>
          <w:shd w:val="clear" w:color="auto" w:fill="auto"/>
        </w:rPr>
        <w:t xml:space="preserve">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</w:t>
        <w:br/>
        <w:t xml:space="preserve">в аренду;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4) наличие свед</w:t>
      </w:r>
      <w:r>
        <w:rPr>
          <w:shd w:val="clear" w:color="auto" w:fill="auto"/>
        </w:rPr>
        <w:t xml:space="preserve">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В день при</w:t>
      </w:r>
      <w:r>
        <w:rPr>
          <w:shd w:val="clear" w:color="auto" w:fill="auto"/>
        </w:rPr>
        <w:t xml:space="preserve">знания заявителей участниками аукциона, указанный в извещении </w:t>
        <w:br/>
        <w:t xml:space="preserve">о проведении аукциона, оператор через «личный кабинет» организатора торгов обеспечивает доступ организатора торгов к поданным  заявителями заявкам и документам, а также к журналу приема заявок.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Заявитель приобретает статус участника аукциона с момента подписания протокола рассмотрения заявок.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shd w:val="clear" w:color="auto" w:fill="auto"/>
        </w:rPr>
        <w:t xml:space="preserve">Не позднее следующего рабочего дня п</w:t>
      </w:r>
      <w:r>
        <w:rPr>
          <w:shd w:val="clear" w:color="auto" w:fill="auto"/>
        </w:rPr>
        <w:t xml:space="preserve">осле дня подписания протокола рассмотрения заявок, всем заявителям оператором электронной площадки направляется в личные кабинеты уведомления </w:t>
        <w:br/>
        <w:t xml:space="preserve">о признании их участниками аукциона или об отказе в признании участниками аукциона с указанием оснований отказа. </w:t>
      </w:r>
      <w:r>
        <w:rPr>
          <w:highlight w:val="none"/>
          <w:shd w:val="clear" w:color="auto" w:fill="auto"/>
        </w:rPr>
      </w:r>
    </w:p>
    <w:p>
      <w:pPr>
        <w:pStyle w:val="742"/>
        <w:ind w:left="-567" w:firstLine="567"/>
        <w:jc w:val="both"/>
        <w:widowControl w:val="off"/>
        <w:rPr>
          <w:highlight w:val="none"/>
          <w:shd w:val="clear" w:color="auto" w:fill="auto"/>
        </w:rPr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В случае, если по окончании срока подачи заявок на участие в аукционе не подано ни одной заявки на участие в аукционе, подана только одна 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заявка на участие в аукционе либо по результатам рассмотрения заявок на участие в аукционе принято решение об отказе в допуске к участию </w:t>
        <w:br/>
        <w:t xml:space="preserve">в аукционе всех заявителей или о допуске к участию в аукционе и признании участником аукциона только одного заявителя,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 аукцион признается несостоявшимся. При признании аукциона несостоявшимся в протокол рассмотрения заявок на участие в аукционе, включается информация </w:t>
        <w:br/>
        <w:t xml:space="preserve">об основании признания аукциона несостоявшимся и сведения, указанные в подпункте 4 пункта 15  ст. 39.12 З</w:t>
      </w:r>
      <w:r>
        <w:rPr>
          <w:rFonts w:eastAsia="Droid Sans Fallback" w:cs="Lohit Devanagari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емельного кодекса Российской Федерации</w:t>
      </w: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, в отношении лиц, указанных в пунктах 13 и 14 ст. 39.12 З</w:t>
      </w:r>
      <w:r>
        <w:rPr>
          <w:rFonts w:eastAsia="Droid Sans Fallback" w:cs="Lohit Devanagari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емельного кодекса Российской Федерации.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widowControl w:val="off"/>
        <w:rPr>
          <w:rFonts w:ascii="Times New Roman" w:hAnsi="Times New Roman" w:eastAsia="Droid Sans Fallback" w:cs="Lohit Devanagari"/>
          <w:color w:val="auto"/>
          <w:sz w:val="24"/>
          <w:szCs w:val="24"/>
          <w:highlight w:val="none"/>
          <w:shd w:val="clear" w:color="auto" w:fill="auto"/>
          <w:lang w:val="ru-RU" w:eastAsia="zh-CN" w:bidi="ar-SA"/>
        </w:rPr>
      </w:pPr>
      <w:r>
        <w:rPr>
          <w:rFonts w:eastAsia="Droid Sans Fallback" w:cs="Lohit Devanagari"/>
          <w:color w:val="000000"/>
          <w:sz w:val="24"/>
          <w:szCs w:val="24"/>
          <w:shd w:val="clear" w:color="auto" w:fill="auto"/>
          <w:lang w:val="ru-RU" w:eastAsia="zh-CN" w:bidi="ar-SA"/>
        </w:rPr>
      </w:r>
      <w:r>
        <w:rPr>
          <w:rFonts w:ascii="Times New Roman" w:hAnsi="Times New Roman" w:eastAsia="Droid Sans Fallback" w:cs="Lohit Devanagari"/>
          <w:color w:val="auto"/>
          <w:sz w:val="24"/>
          <w:szCs w:val="24"/>
          <w:highlight w:val="none"/>
          <w:shd w:val="clear" w:color="auto" w:fill="auto"/>
          <w:lang w:val="ru-RU" w:eastAsia="zh-CN" w:bidi="ar-SA"/>
        </w:rPr>
      </w:r>
    </w:p>
    <w:p>
      <w:pPr>
        <w:pStyle w:val="648"/>
        <w:jc w:val="center"/>
        <w:rPr>
          <w:b/>
          <w:bCs/>
          <w:highlight w:val="none"/>
          <w:shd w:val="clear" w:color="auto" w:fill="auto"/>
        </w:rPr>
      </w:pPr>
      <w:r>
        <w:rPr>
          <w:b/>
          <w:bCs/>
          <w:shd w:val="clear" w:color="auto" w:fill="auto"/>
        </w:rPr>
        <w:t xml:space="preserve">Порядок проведения аукциона</w:t>
      </w:r>
      <w:r>
        <w:rPr>
          <w:b/>
          <w:bCs/>
          <w:highlight w:val="none"/>
          <w:shd w:val="clear" w:color="auto" w:fill="auto"/>
        </w:rPr>
      </w:r>
    </w:p>
    <w:p>
      <w:pPr>
        <w:pStyle w:val="648"/>
        <w:ind w:left="502"/>
        <w:jc w:val="center"/>
        <w:widowControl w:val="off"/>
        <w:rPr>
          <w:rFonts w:eastAsia="Courier New"/>
          <w:b/>
          <w:bCs/>
          <w:highlight w:val="none"/>
          <w:shd w:val="clear" w:color="auto" w:fill="auto"/>
          <w:lang w:bidi="ru-RU"/>
        </w:rPr>
      </w:pPr>
      <w:r>
        <w:rPr>
          <w:rFonts w:eastAsia="Courier New"/>
          <w:b/>
          <w:bCs/>
          <w:shd w:val="clear" w:color="auto" w:fill="auto"/>
          <w:lang w:bidi="ru-RU"/>
        </w:rPr>
      </w:r>
      <w:r>
        <w:rPr>
          <w:rFonts w:eastAsia="Courier New"/>
          <w:b/>
          <w:bCs/>
          <w:highlight w:val="none"/>
          <w:shd w:val="clear" w:color="auto" w:fill="auto"/>
          <w:lang w:bidi="ru-RU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Торговая сессия проводится путем последовательного повышения участниками аукциона начальной цены аукциона на величину, равную величине «шага аукциона».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«Шаг аукциона» устанавливается Организатором аукциона в фиксированной сумме, составляющей </w:t>
      </w:r>
      <w:r>
        <w:rPr>
          <w:rFonts w:eastAsia="Droid Sans Fallback" w:cs="Lohit Devanagari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5% от начальной цены предмета аукциона</w:t>
      </w:r>
      <w:r>
        <w:rPr>
          <w:rFonts w:eastAsia="Calibri"/>
          <w:shd w:val="clear" w:color="auto" w:fill="auto"/>
        </w:rPr>
        <w:t xml:space="preserve">, и не изменяется в течение всего времени подачи предложений о цене.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В ходе проведения аукциона участники аукциона подают предложения о цене предмета аукциона в соответствии со следующими требованиями: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1) предложение о цене предмета аукциона увеличивает текущее максимальное предложение </w:t>
      </w:r>
      <w:r>
        <w:rPr>
          <w:rFonts w:eastAsia="Calibri"/>
          <w:shd w:val="clear" w:color="auto" w:fill="auto"/>
        </w:rPr>
        <w:br w:type="textWrapping" w:clear="all"/>
      </w:r>
      <w:r>
        <w:rPr>
          <w:rFonts w:eastAsia="Calibri"/>
          <w:shd w:val="clear" w:color="auto" w:fill="auto"/>
        </w:rPr>
        <w:t xml:space="preserve">о цене предмета аукциона на величину «шага аукциона»;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Время для подачи предложений о цене аукциона определяется в следующем порядке: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Время ожидания предложения участника аукциона о цене предмета аукциона составляет </w:t>
      </w:r>
      <w:r>
        <w:rPr>
          <w:rFonts w:eastAsia="Calibri"/>
          <w:shd w:val="clear" w:color="auto" w:fill="auto"/>
        </w:rPr>
        <w:br w:type="textWrapping" w:clear="all"/>
      </w:r>
      <w:r>
        <w:rPr>
          <w:rFonts w:eastAsia="Calibri"/>
          <w:shd w:val="clear" w:color="auto" w:fill="auto"/>
        </w:rPr>
        <w:t xml:space="preserve">10 (десять) минут. При поступлении предложения участн</w:t>
      </w:r>
      <w:r>
        <w:rPr>
          <w:rFonts w:eastAsia="Calibri"/>
          <w:shd w:val="clear" w:color="auto" w:fill="auto"/>
        </w:rPr>
        <w:t xml:space="preserve">ика аукциона </w:t>
        <w:br/>
        <w:t xml:space="preserve">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аукцион завершается.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Срок для подачи предложений о цене обновляется автоматически после улучшения текущего предложения о цене. Время срока подачи предложений </w:t>
      </w:r>
      <w:r>
        <w:rPr>
          <w:rFonts w:eastAsia="Calibri"/>
          <w:shd w:val="clear" w:color="auto" w:fill="auto"/>
        </w:rPr>
        <w:t xml:space="preserve">отсчитывается с момента подачи последнего (лучшего) предложения (или с начала подачи предложений о цене), отображается в закрытой части электронной площадки как расчетное время окончания торгов, а так же как время, оставшееся до окончания торгов в минутах.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В ходе проведения подачи предложений о цене аукциона Оператор программными средствами электронной площадки обеспечивает отклонение предложения о цене аукциона </w:t>
      </w:r>
      <w:r>
        <w:rPr>
          <w:rFonts w:eastAsia="Calibri"/>
          <w:shd w:val="clear" w:color="auto" w:fill="auto"/>
        </w:rPr>
        <w:br w:type="textWrapping" w:clear="all"/>
      </w:r>
      <w:r>
        <w:rPr>
          <w:rFonts w:eastAsia="Calibri"/>
          <w:shd w:val="clear" w:color="auto" w:fill="auto"/>
        </w:rPr>
        <w:t xml:space="preserve">в момент его поступления и соответствующее уведомление участника аукциона, в случаях, если: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- предложение о цене аукциона предоставлено до начала или по истечении установленного времени для подачи предложений о цене аукциона;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- представленное предложение о цене аукциона ниже начальной цены;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- представленное предложение о цене аукциона равно нулю;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- представленное предложение о цене аукциона не соответствует увеличению текущей цены на величину «шага аукциона»;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- предыдущее представленное данным участником аукциона предложение о цене аукциона является лучшим текущим предложением о цене;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- представленное участником аукциона предложение о цене аукциона меньше ранее представленных предложений.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Победителем аукциона признается участник аукциона, предложивший наибольшую цену </w:t>
      </w:r>
      <w:r>
        <w:rPr>
          <w:rFonts w:eastAsia="Calibri"/>
          <w:shd w:val="clear" w:color="auto" w:fill="auto"/>
        </w:rPr>
        <w:br w:type="textWrapping" w:clear="all"/>
      </w:r>
      <w:r>
        <w:rPr>
          <w:rFonts w:eastAsia="Calibri"/>
          <w:shd w:val="clear" w:color="auto" w:fill="auto"/>
        </w:rPr>
        <w:t xml:space="preserve">за земельный участок или наибольший размер ежегодной арендной платы за земельный участок.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  <w:t xml:space="preserve">Протокол проведения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аукциона.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rFonts w:eastAsia="Calibri"/>
          <w:highlight w:val="none"/>
          <w:shd w:val="clear" w:color="auto" w:fill="auto"/>
        </w:rPr>
      </w:pPr>
      <w:r>
        <w:rPr>
          <w:rFonts w:eastAsia="Calibri"/>
          <w:shd w:val="clear" w:color="auto" w:fill="auto"/>
        </w:rPr>
      </w:r>
      <w:r>
        <w:rPr>
          <w:rFonts w:eastAsia="Calibri"/>
          <w:highlight w:val="none"/>
          <w:shd w:val="clear" w:color="auto" w:fill="auto"/>
        </w:rPr>
      </w:r>
    </w:p>
    <w:p>
      <w:pPr>
        <w:pStyle w:val="648"/>
        <w:numPr>
          <w:ilvl w:val="0"/>
          <w:numId w:val="0"/>
        </w:numPr>
        <w:ind w:left="0" w:firstLine="0"/>
        <w:jc w:val="center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/>
          <w:bCs/>
          <w:shd w:val="clear" w:color="auto" w:fill="auto"/>
        </w:rPr>
        <w:t xml:space="preserve">Порядок и срок заключения договора</w:t>
      </w:r>
      <w:r>
        <w:rPr>
          <w:b/>
          <w:bCs/>
          <w:shd w:val="clear" w:color="auto" w:fill="auto"/>
        </w:rPr>
        <w:br w:type="textWrapping" w:clear="all"/>
      </w:r>
      <w:r>
        <w:rPr>
          <w:highlight w:val="none"/>
          <w:shd w:val="clear" w:color="auto" w:fill="auto"/>
        </w:rPr>
      </w:r>
    </w:p>
    <w:p>
      <w:pPr>
        <w:pStyle w:val="648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По результатам проведения аукциона не допускается заключение договора аренды земельного участка ранее чем через десять дней со дня размещения протокола рассмотрения заявок на участие </w:t>
        <w:br/>
        <w:t xml:space="preserve">в аукционе в случае, ес</w:t>
      </w:r>
      <w:r>
        <w:rPr>
          <w:rFonts w:eastAsia="Droid Sans Fallback" w:cs="Lohit Devanagari"/>
          <w:bCs/>
          <w:color w:val="000000"/>
          <w:sz w:val="24"/>
          <w:szCs w:val="24"/>
          <w:shd w:val="clear" w:color="auto" w:fill="auto"/>
          <w:lang w:val="ru-RU" w:eastAsia="zh-CN" w:bidi="ar-SA"/>
        </w:rPr>
        <w:t xml:space="preserve">ли аукцион признан несостоявшимся, либо протокола о результатах аукциона на официальных сайтах www.torgi.gov.ru,  www.gorodperm.ru.</w:t>
      </w:r>
      <w:r>
        <w:rPr>
          <w:highlight w:val="none"/>
          <w:shd w:val="clear" w:color="auto" w:fill="auto"/>
        </w:rPr>
      </w:r>
    </w:p>
    <w:p>
      <w:pPr>
        <w:pStyle w:val="648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Департамент земельных отношений администрации города Перми обязан в течение пяти дней со дня истечения срока, предусмотренного пунктом 11 статьи 39.13 Земельного кодекса Российской Федерации,</w:t>
      </w:r>
      <w:r>
        <w:rPr>
          <w:bCs/>
          <w:shd w:val="clear" w:color="auto" w:fill="auto"/>
        </w:rPr>
        <w:t xml:space="preserve"> направить победителю аукциона или иным лицам, с которыми в соответствии</w:t>
        <w:br/>
        <w:t xml:space="preserve">с пунктами 13, 14, 20 и 25 статьи 39.12 Земельного кодекса Российской Федерации заключается  договор аренды земельного участка, подписанный проект договора  аренды земельного участка.</w:t>
      </w:r>
      <w:r>
        <w:rPr>
          <w:highlight w:val="none"/>
          <w:shd w:val="clear" w:color="auto" w:fill="auto"/>
        </w:rPr>
      </w:r>
    </w:p>
    <w:p>
      <w:pPr>
        <w:pStyle w:val="648"/>
        <w:numPr>
          <w:ilvl w:val="0"/>
          <w:numId w:val="0"/>
        </w:numPr>
        <w:ind w:left="-567" w:firstLine="567"/>
        <w:jc w:val="both"/>
        <w:tabs>
          <w:tab w:val="clear" w:pos="708" w:leader="none"/>
          <w:tab w:val="center" w:pos="5076" w:leader="none"/>
        </w:tabs>
        <w:rPr>
          <w:highlight w:val="none"/>
          <w:shd w:val="clear" w:color="auto" w:fill="auto"/>
        </w:rPr>
        <w:outlineLvl w:val="0"/>
      </w:pPr>
      <w:r>
        <w:rPr>
          <w:bCs/>
          <w:shd w:val="clear" w:color="auto" w:fill="auto"/>
        </w:rPr>
        <w:t xml:space="preserve">По результатам проведения аукциона договор аренды земельного участка заключается</w:t>
        <w:br/>
        <w:t xml:space="preserve">в электронной форме и подписывается усиленной квалифицированной электронной подписью сторон такого договора.</w:t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bCs/>
          <w:shd w:val="clear" w:color="auto" w:fill="auto"/>
        </w:rPr>
        <w:t xml:space="preserve">Проекты договоров являются частью извещения и представлены в Приложениях 1, 3</w:t>
        <w:br/>
        <w:t xml:space="preserve">к настоящему извещению.</w:t>
        <w:tab/>
      </w:r>
      <w:r>
        <w:rPr>
          <w:highlight w:val="none"/>
          <w:shd w:val="clear" w:color="auto" w:fill="auto"/>
        </w:rPr>
      </w:r>
    </w:p>
    <w:p>
      <w:pPr>
        <w:pStyle w:val="648"/>
        <w:ind w:left="-567" w:firstLine="567"/>
        <w:jc w:val="both"/>
        <w:rPr>
          <w:highlight w:val="none"/>
          <w:shd w:val="clear" w:color="auto" w:fill="auto"/>
        </w:rPr>
      </w:pPr>
      <w:r>
        <w:rPr>
          <w:bCs/>
          <w:shd w:val="clear" w:color="auto" w:fill="auto"/>
        </w:rPr>
        <w:t xml:space="preserve">Если договор аренды земельного участка </w:t>
      </w:r>
      <w:r>
        <w:rPr>
          <w:b w:val="0"/>
          <w:bCs/>
          <w:shd w:val="clear" w:color="auto" w:fill="auto"/>
        </w:rPr>
        <w:t xml:space="preserve">в течение десяти рабочих дней со дня направления победителю аукциона проекта указанного договора не был им подписан и представлен в департамент земельных отношений администрации</w:t>
      </w:r>
      <w:r>
        <w:rPr>
          <w:b w:val="0"/>
          <w:bCs/>
          <w:shd w:val="clear" w:color="auto" w:fill="auto"/>
        </w:rPr>
        <w:t xml:space="preserve"> города Перми, департамент земельных отношений администрации города Перми направляет указанный договор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  <w:r>
        <w:rPr>
          <w:highlight w:val="none"/>
          <w:shd w:val="clear" w:color="auto" w:fill="auto"/>
        </w:rPr>
      </w:r>
    </w:p>
    <w:p>
      <w:pPr>
        <w:pStyle w:val="648"/>
        <w:numPr>
          <w:ilvl w:val="0"/>
          <w:numId w:val="0"/>
        </w:numPr>
        <w:ind w:left="-567" w:firstLine="567"/>
        <w:jc w:val="both"/>
        <w:tabs>
          <w:tab w:val="center" w:pos="567" w:leader="none"/>
          <w:tab w:val="clear" w:pos="708" w:leader="none"/>
        </w:tabs>
        <w:rPr>
          <w:highlight w:val="none"/>
          <w:shd w:val="clear" w:color="auto" w:fill="auto"/>
        </w:rPr>
        <w:outlineLvl w:val="0"/>
      </w:pPr>
      <w:r>
        <w:rPr>
          <w:rFonts w:eastAsia="Courier New"/>
          <w:shd w:val="clear" w:color="auto" w:fill="auto"/>
          <w:lang w:bidi="ru-RU"/>
        </w:rPr>
        <w:t xml:space="preserve">Сведения о победителях аукционов, уклонившихся от заключения договора  аренды земельного участка, являющегося предмето</w:t>
      </w:r>
      <w:r>
        <w:rPr>
          <w:rFonts w:eastAsia="Courier New"/>
          <w:shd w:val="clear" w:color="auto" w:fill="auto"/>
          <w:lang w:bidi="ru-RU"/>
        </w:rPr>
        <w:t xml:space="preserve">м аукциона, и об иных лицах, с которыми указанный договор заключается в соответствии с пунктом 13, 14, 20 или 25 ст. 39.12 Земельного кодекса Российской Федерации и которые уклонились от заключения, включаются в реестр недобросовестных участников аукциона.</w:t>
      </w:r>
      <w:r>
        <w:rPr>
          <w:highlight w:val="none"/>
          <w:shd w:val="clear" w:color="auto" w:fill="auto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420" w:right="567" w:bottom="1134" w:left="1418" w:header="363" w:footer="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alibri">
    <w:panose1 w:val="020F0502020204030204"/>
  </w:font>
  <w:font w:name="Verdana">
    <w:panose1 w:val="020B0604030504040204"/>
  </w:font>
  <w:font w:name="Tahoma">
    <w:panose1 w:val="020B0604030504040204"/>
  </w:font>
  <w:font w:name="Open Sans">
    <w:panose1 w:val="020B0606030504020204"/>
  </w:font>
  <w:font w:name="Calibri Light">
    <w:panose1 w:val="020F0502020204030204"/>
  </w:font>
  <w:font w:name="Symbol">
    <w:panose1 w:val="05010000000000000000"/>
  </w:font>
  <w:font w:name="Arial">
    <w:panose1 w:val="020B0604020202020204"/>
  </w:font>
  <w:font w:name="Droid Sans Fallback">
    <w:panose1 w:val="020B0502000000000001"/>
  </w:font>
  <w:font w:name="OpenSymbol">
    <w:panose1 w:val="05010000000000000000"/>
  </w:font>
  <w:font w:name="Courier New">
    <w:panose1 w:val="02070309020205020404"/>
  </w:font>
  <w:font w:name="Lohit Devanagari">
    <w:panose1 w:val="020B0600000000000000"/>
  </w:font>
  <w:font w:name="Consultant">
    <w:panose1 w:val="02000603000000000000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7"/>
      <w:rPr>
        <w:sz w:val="20"/>
        <w:szCs w:val="28"/>
      </w:rPr>
    </w:pPr>
    <w:r>
      <w:rPr>
        <w:sz w:val="20"/>
        <w:szCs w:val="28"/>
      </w:rPr>
      <w:fldChar w:fldCharType="begin"/>
    </w:r>
    <w:r>
      <w:rPr>
        <w:sz w:val="20"/>
        <w:szCs w:val="28"/>
      </w:rPr>
      <w:instrText xml:space="preserve"> PAGE </w:instrText>
    </w:r>
    <w:r>
      <w:rPr>
        <w:sz w:val="20"/>
        <w:szCs w:val="28"/>
      </w:rPr>
      <w:fldChar w:fldCharType="separate"/>
    </w:r>
    <w:r>
      <w:rPr>
        <w:sz w:val="20"/>
        <w:szCs w:val="28"/>
      </w:rPr>
      <w:t xml:space="preserve">26</w:t>
    </w:r>
    <w:r>
      <w:rPr>
        <w:sz w:val="20"/>
        <w:szCs w:val="28"/>
      </w:rPr>
      <w:fldChar w:fldCharType="end"/>
    </w:r>
    <w:r>
      <w:rPr>
        <w:sz w:val="20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4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pStyle w:val="65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  <w:color w:val="000000"/>
        <w:sz w:val="24"/>
        <w:szCs w:val="24"/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  <w:color w:val="000000"/>
        <w:sz w:val="24"/>
        <w:szCs w:val="24"/>
        <w:u w:val="none"/>
        <w:lang w:val="ru-RU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  <w:sz w:val="24"/>
        <w:szCs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  <w:sz w:val="24"/>
        <w:szCs w:val="24"/>
        <w:lang w:val="ru-RU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  <w:lang w:bidi="ru-RU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  <w:lang w:eastAsia="en-U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  <w:bCs/>
        <w:lang w:eastAsia="en-US" w:bidi="ru-RU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  <w:b/>
        <w:bCs/>
        <w:lang w:bidi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8" w:default="1">
    <w:name w:val="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4"/>
      <w:szCs w:val="24"/>
      <w:lang w:val="ru-RU" w:eastAsia="zh-CN" w:bidi="ar-SA"/>
    </w:rPr>
  </w:style>
  <w:style w:type="paragraph" w:styleId="649">
    <w:name w:val="Heading 1"/>
    <w:basedOn w:val="648"/>
    <w:qFormat/>
    <w:pPr>
      <w:numPr>
        <w:ilvl w:val="0"/>
        <w:numId w:val="1"/>
      </w:numPr>
      <w:jc w:val="center"/>
      <w:keepNext/>
      <w:outlineLvl w:val="0"/>
    </w:pPr>
    <w:rPr>
      <w:b/>
      <w:sz w:val="28"/>
      <w:szCs w:val="20"/>
    </w:rPr>
  </w:style>
  <w:style w:type="paragraph" w:styleId="650">
    <w:name w:val="Heading 2"/>
    <w:basedOn w:val="64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1">
    <w:name w:val="Heading 3"/>
    <w:basedOn w:val="64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2">
    <w:name w:val="Heading 4"/>
    <w:basedOn w:val="64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3">
    <w:name w:val="Heading 5"/>
    <w:basedOn w:val="64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54">
    <w:name w:val="Heading 6"/>
    <w:basedOn w:val="648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655">
    <w:name w:val="Heading 7"/>
    <w:basedOn w:val="64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56">
    <w:name w:val="Heading 8"/>
    <w:basedOn w:val="64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57">
    <w:name w:val="Heading 9"/>
    <w:basedOn w:val="64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8">
    <w:name w:val="Heading 1 Char"/>
    <w:basedOn w:val="675"/>
    <w:uiPriority w:val="9"/>
    <w:qFormat/>
    <w:rPr>
      <w:rFonts w:ascii="Arial" w:hAnsi="Arial" w:eastAsia="Arial" w:cs="Arial"/>
      <w:sz w:val="40"/>
      <w:szCs w:val="40"/>
    </w:rPr>
  </w:style>
  <w:style w:type="character" w:styleId="659">
    <w:name w:val="Heading 2 Char"/>
    <w:basedOn w:val="675"/>
    <w:uiPriority w:val="9"/>
    <w:qFormat/>
    <w:rPr>
      <w:rFonts w:ascii="Arial" w:hAnsi="Arial" w:eastAsia="Arial" w:cs="Arial"/>
      <w:sz w:val="34"/>
    </w:rPr>
  </w:style>
  <w:style w:type="character" w:styleId="660">
    <w:name w:val="Heading 3 Char"/>
    <w:basedOn w:val="675"/>
    <w:uiPriority w:val="9"/>
    <w:qFormat/>
    <w:rPr>
      <w:rFonts w:ascii="Arial" w:hAnsi="Arial" w:eastAsia="Arial" w:cs="Arial"/>
      <w:sz w:val="30"/>
      <w:szCs w:val="30"/>
    </w:rPr>
  </w:style>
  <w:style w:type="character" w:styleId="661">
    <w:name w:val="Heading 4 Char"/>
    <w:basedOn w:val="675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62">
    <w:name w:val="Heading 5 Char"/>
    <w:basedOn w:val="675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63">
    <w:name w:val="Heading 6 Char"/>
    <w:basedOn w:val="675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64">
    <w:name w:val="Heading 7 Char"/>
    <w:basedOn w:val="675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65">
    <w:name w:val="Heading 8 Char"/>
    <w:basedOn w:val="675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66">
    <w:name w:val="Heading 9 Char"/>
    <w:basedOn w:val="675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67">
    <w:name w:val="Title Char"/>
    <w:basedOn w:val="675"/>
    <w:uiPriority w:val="10"/>
    <w:qFormat/>
    <w:rPr>
      <w:sz w:val="48"/>
      <w:szCs w:val="48"/>
    </w:rPr>
  </w:style>
  <w:style w:type="character" w:styleId="668">
    <w:name w:val="Subtitle Char"/>
    <w:basedOn w:val="675"/>
    <w:uiPriority w:val="11"/>
    <w:qFormat/>
    <w:rPr>
      <w:sz w:val="24"/>
      <w:szCs w:val="24"/>
    </w:rPr>
  </w:style>
  <w:style w:type="character" w:styleId="669">
    <w:name w:val="Quote Char"/>
    <w:uiPriority w:val="29"/>
    <w:qFormat/>
    <w:rPr>
      <w:i/>
    </w:rPr>
  </w:style>
  <w:style w:type="character" w:styleId="670">
    <w:name w:val="Intense Quote Char"/>
    <w:uiPriority w:val="30"/>
    <w:qFormat/>
    <w:rPr>
      <w:i/>
    </w:rPr>
  </w:style>
  <w:style w:type="character" w:styleId="671">
    <w:name w:val="Header Char"/>
    <w:basedOn w:val="675"/>
    <w:uiPriority w:val="99"/>
    <w:qFormat/>
  </w:style>
  <w:style w:type="character" w:styleId="672">
    <w:name w:val="Caption Char"/>
    <w:uiPriority w:val="99"/>
    <w:qFormat/>
  </w:style>
  <w:style w:type="character" w:styleId="673">
    <w:name w:val="Footnote Text Char"/>
    <w:uiPriority w:val="99"/>
    <w:qFormat/>
    <w:rPr>
      <w:sz w:val="18"/>
    </w:rPr>
  </w:style>
  <w:style w:type="character" w:styleId="674">
    <w:name w:val="Endnote Text Char"/>
    <w:uiPriority w:val="99"/>
    <w:qFormat/>
    <w:rPr>
      <w:sz w:val="20"/>
    </w:rPr>
  </w:style>
  <w:style w:type="character" w:styleId="675" w:default="1">
    <w:name w:val="Default Paragraph Font"/>
    <w:uiPriority w:val="1"/>
    <w:semiHidden/>
    <w:unhideWhenUsed/>
    <w:qFormat/>
  </w:style>
  <w:style w:type="character" w:styleId="676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677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678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679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80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81" w:customStyle="1">
    <w:name w:val="Заголовок 6 Знак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82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83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84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85" w:customStyle="1">
    <w:name w:val="Заголовок Знак1"/>
    <w:uiPriority w:val="10"/>
    <w:qFormat/>
    <w:rPr>
      <w:sz w:val="48"/>
      <w:szCs w:val="48"/>
    </w:rPr>
  </w:style>
  <w:style w:type="character" w:styleId="686" w:customStyle="1">
    <w:name w:val="Подзаголовок Знак"/>
    <w:uiPriority w:val="11"/>
    <w:qFormat/>
    <w:rPr>
      <w:sz w:val="24"/>
      <w:szCs w:val="24"/>
    </w:rPr>
  </w:style>
  <w:style w:type="character" w:styleId="687" w:customStyle="1">
    <w:name w:val="Цитата 2 Знак"/>
    <w:uiPriority w:val="29"/>
    <w:qFormat/>
    <w:rPr>
      <w:i/>
    </w:rPr>
  </w:style>
  <w:style w:type="character" w:styleId="688" w:customStyle="1">
    <w:name w:val="Выделенная цитата Знак"/>
    <w:uiPriority w:val="30"/>
    <w:qFormat/>
    <w:rPr>
      <w:i/>
    </w:rPr>
  </w:style>
  <w:style w:type="character" w:styleId="689" w:customStyle="1">
    <w:name w:val="Верхний колонтитул Знак1"/>
    <w:uiPriority w:val="99"/>
    <w:qFormat/>
  </w:style>
  <w:style w:type="character" w:styleId="690" w:customStyle="1">
    <w:name w:val="Footer Char"/>
    <w:uiPriority w:val="99"/>
    <w:qFormat/>
  </w:style>
  <w:style w:type="character" w:styleId="691" w:customStyle="1">
    <w:name w:val="Нижний колонтитул Знак1"/>
    <w:uiPriority w:val="99"/>
    <w:qFormat/>
  </w:style>
  <w:style w:type="character" w:styleId="692" w:customStyle="1">
    <w:name w:val="Текст сноски Знак"/>
    <w:uiPriority w:val="99"/>
    <w:qFormat/>
    <w:rPr>
      <w:sz w:val="18"/>
    </w:rPr>
  </w:style>
  <w:style w:type="character" w:styleId="693">
    <w:name w:val="Символ сноски"/>
    <w:uiPriority w:val="99"/>
    <w:unhideWhenUsed/>
    <w:qFormat/>
    <w:rPr>
      <w:vertAlign w:val="superscript"/>
    </w:rPr>
  </w:style>
  <w:style w:type="character" w:styleId="694">
    <w:name w:val="footnote reference"/>
    <w:rPr>
      <w:vertAlign w:val="superscript"/>
    </w:rPr>
  </w:style>
  <w:style w:type="character" w:styleId="695" w:customStyle="1">
    <w:name w:val="Текст концевой сноски Знак"/>
    <w:uiPriority w:val="99"/>
    <w:qFormat/>
    <w:rPr>
      <w:sz w:val="20"/>
    </w:rPr>
  </w:style>
  <w:style w:type="character" w:styleId="69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97">
    <w:name w:val="endnote reference"/>
    <w:rPr>
      <w:vertAlign w:val="superscript"/>
    </w:rPr>
  </w:style>
  <w:style w:type="character" w:styleId="698" w:customStyle="1">
    <w:name w:val="WW8Num2z0"/>
    <w:qFormat/>
    <w:rPr>
      <w:rFonts w:ascii="Symbol" w:hAnsi="Symbol" w:cs="Symbol"/>
    </w:rPr>
  </w:style>
  <w:style w:type="character" w:styleId="699" w:customStyle="1">
    <w:name w:val="WW8Num3z0"/>
    <w:qFormat/>
  </w:style>
  <w:style w:type="character" w:styleId="700" w:customStyle="1">
    <w:name w:val="WW8Num4z0"/>
    <w:qFormat/>
  </w:style>
  <w:style w:type="character" w:styleId="701" w:customStyle="1">
    <w:name w:val="WW8Num5z0"/>
    <w:qFormat/>
    <w:rPr>
      <w:sz w:val="16"/>
      <w:szCs w:val="16"/>
    </w:rPr>
  </w:style>
  <w:style w:type="character" w:styleId="702" w:customStyle="1">
    <w:name w:val="WW8Num6z0"/>
    <w:qFormat/>
  </w:style>
  <w:style w:type="character" w:styleId="703" w:customStyle="1">
    <w:name w:val="WW8Num7z0"/>
    <w:qFormat/>
  </w:style>
  <w:style w:type="character" w:styleId="704" w:customStyle="1">
    <w:name w:val="WW8Num8z0"/>
    <w:qFormat/>
  </w:style>
  <w:style w:type="character" w:styleId="705" w:customStyle="1">
    <w:name w:val="WW8Num9z0"/>
    <w:qFormat/>
  </w:style>
  <w:style w:type="character" w:styleId="706" w:customStyle="1">
    <w:name w:val="WW8Num10z0"/>
    <w:qFormat/>
  </w:style>
  <w:style w:type="character" w:styleId="707" w:customStyle="1">
    <w:name w:val="WW8Num11z0"/>
    <w:qFormat/>
  </w:style>
  <w:style w:type="character" w:styleId="708" w:customStyle="1">
    <w:name w:val="WW8Num12z0"/>
    <w:qFormat/>
  </w:style>
  <w:style w:type="character" w:styleId="709" w:customStyle="1">
    <w:name w:val="WW8Num13z0"/>
    <w:qFormat/>
  </w:style>
  <w:style w:type="character" w:styleId="710" w:customStyle="1">
    <w:name w:val="WW8Num14z0"/>
    <w:qFormat/>
  </w:style>
  <w:style w:type="character" w:styleId="711" w:customStyle="1">
    <w:name w:val="WW8Num15z0"/>
    <w:qFormat/>
  </w:style>
  <w:style w:type="character" w:styleId="712" w:customStyle="1">
    <w:name w:val="WW8Num18z0"/>
    <w:qFormat/>
  </w:style>
  <w:style w:type="character" w:styleId="713" w:customStyle="1">
    <w:name w:val="WW8Num19z0"/>
    <w:qFormat/>
  </w:style>
  <w:style w:type="character" w:styleId="714" w:customStyle="1">
    <w:name w:val="WW8Num20z0"/>
    <w:qFormat/>
  </w:style>
  <w:style w:type="character" w:styleId="715" w:customStyle="1">
    <w:name w:val="WW8Num21z0"/>
    <w:qFormat/>
  </w:style>
  <w:style w:type="character" w:styleId="716" w:customStyle="1">
    <w:name w:val="WW8Num22z0"/>
    <w:qFormat/>
  </w:style>
  <w:style w:type="character" w:styleId="717" w:customStyle="1">
    <w:name w:val="WW8Num23z0"/>
    <w:qFormat/>
  </w:style>
  <w:style w:type="character" w:styleId="718" w:customStyle="1">
    <w:name w:val="WW8Num25z0"/>
    <w:qFormat/>
  </w:style>
  <w:style w:type="character" w:styleId="719" w:customStyle="1">
    <w:name w:val="WW8Num26z0"/>
    <w:qFormat/>
  </w:style>
  <w:style w:type="character" w:styleId="720" w:customStyle="1">
    <w:name w:val="WW8Num27z0"/>
    <w:qFormat/>
  </w:style>
  <w:style w:type="character" w:styleId="721" w:customStyle="1">
    <w:name w:val="WW8Num29z0"/>
    <w:qFormat/>
    <w:rPr>
      <w:rFonts w:ascii="Symbol" w:hAnsi="Symbol" w:cs="Symbol"/>
    </w:rPr>
  </w:style>
  <w:style w:type="character" w:styleId="722" w:customStyle="1">
    <w:name w:val="WW8Num30z0"/>
    <w:qFormat/>
  </w:style>
  <w:style w:type="character" w:styleId="723" w:customStyle="1">
    <w:name w:val="WW8Num31z0"/>
    <w:qFormat/>
  </w:style>
  <w:style w:type="character" w:styleId="724" w:customStyle="1">
    <w:name w:val="WW8Num32z0"/>
    <w:qFormat/>
  </w:style>
  <w:style w:type="character" w:styleId="725" w:customStyle="1">
    <w:name w:val="WW8Num33z0"/>
    <w:qFormat/>
  </w:style>
  <w:style w:type="character" w:styleId="726" w:customStyle="1">
    <w:name w:val="WW8Num34z0"/>
    <w:qFormat/>
  </w:style>
  <w:style w:type="character" w:styleId="727">
    <w:name w:val="page number"/>
    <w:basedOn w:val="675"/>
    <w:qFormat/>
  </w:style>
  <w:style w:type="character" w:styleId="728" w:customStyle="1">
    <w:name w:val="Текст Знак"/>
    <w:qFormat/>
    <w:rPr>
      <w:rFonts w:ascii="Courier New" w:hAnsi="Courier New" w:cs="Courier New"/>
    </w:rPr>
  </w:style>
  <w:style w:type="character" w:styleId="729" w:customStyle="1">
    <w:name w:val="Верхний колонтитул Знак"/>
    <w:qFormat/>
    <w:rPr>
      <w:sz w:val="16"/>
      <w:lang w:val="ru-RU" w:bidi="ar-SA"/>
    </w:rPr>
  </w:style>
  <w:style w:type="character" w:styleId="730" w:customStyle="1">
    <w:name w:val="Основной текст с отступом 3 Знак"/>
    <w:qFormat/>
    <w:rPr>
      <w:sz w:val="16"/>
      <w:szCs w:val="16"/>
    </w:rPr>
  </w:style>
  <w:style w:type="character" w:styleId="731">
    <w:name w:val="Hyperlink"/>
    <w:rPr>
      <w:color w:val="0563c1"/>
      <w:u w:val="single"/>
    </w:rPr>
  </w:style>
  <w:style w:type="character" w:styleId="732" w:customStyle="1">
    <w:name w:val="Абзац списка Знак"/>
    <w:qFormat/>
    <w:rPr>
      <w:sz w:val="24"/>
      <w:szCs w:val="24"/>
    </w:rPr>
  </w:style>
  <w:style w:type="character" w:styleId="733" w:customStyle="1">
    <w:name w:val="Заголовок 6 Знак"/>
    <w:qFormat/>
    <w:rPr>
      <w:b/>
      <w:bCs/>
      <w:sz w:val="22"/>
      <w:szCs w:val="22"/>
    </w:rPr>
  </w:style>
  <w:style w:type="character" w:styleId="734" w:customStyle="1">
    <w:name w:val="Название Знак"/>
    <w:qFormat/>
    <w:rPr>
      <w:sz w:val="28"/>
      <w:lang w:val="ru-RU" w:bidi="ar-SA"/>
    </w:rPr>
  </w:style>
  <w:style w:type="character" w:styleId="735" w:customStyle="1">
    <w:name w:val="Заголовок Знак"/>
    <w:qFormat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736" w:customStyle="1">
    <w:name w:val="Нижний колонтитул Знак"/>
    <w:qFormat/>
  </w:style>
  <w:style w:type="character" w:styleId="737">
    <w:name w:val="FollowedHyperlink"/>
    <w:rPr>
      <w:color w:val="954f72"/>
      <w:u w:val="single"/>
    </w:rPr>
  </w:style>
  <w:style w:type="character" w:styleId="738" w:customStyle="1">
    <w:name w:val="Гиперссылка"/>
    <w:qFormat/>
    <w:rPr>
      <w:color w:val="0000ff"/>
      <w:u w:val="single"/>
    </w:rPr>
  </w:style>
  <w:style w:type="character" w:styleId="739">
    <w:name w:val="Символ нумерации"/>
    <w:qFormat/>
  </w:style>
  <w:style w:type="character" w:styleId="740">
    <w:name w:val="Маркеры"/>
    <w:qFormat/>
    <w:rPr>
      <w:rFonts w:ascii="OpenSymbol" w:hAnsi="OpenSymbol" w:eastAsia="OpenSymbol" w:cs="OpenSymbol"/>
    </w:rPr>
  </w:style>
  <w:style w:type="paragraph" w:styleId="741">
    <w:name w:val="Заголовок"/>
    <w:basedOn w:val="648"/>
    <w:next w:val="742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742">
    <w:name w:val="Body Text"/>
    <w:basedOn w:val="648"/>
    <w:pPr>
      <w:jc w:val="right"/>
    </w:pPr>
    <w:rPr>
      <w:sz w:val="28"/>
    </w:rPr>
  </w:style>
  <w:style w:type="paragraph" w:styleId="743">
    <w:name w:val="List"/>
    <w:basedOn w:val="742"/>
    <w:rPr>
      <w:rFonts w:cs="Lohit Devanagari"/>
    </w:rPr>
  </w:style>
  <w:style w:type="paragraph" w:styleId="744">
    <w:name w:val="Caption"/>
    <w:basedOn w:val="648"/>
    <w:qFormat/>
    <w:pPr>
      <w:spacing w:before="120" w:after="120"/>
      <w:suppressLineNumbers/>
    </w:pPr>
    <w:rPr>
      <w:rFonts w:cs="Lohit Devanagari"/>
      <w:i/>
      <w:iCs/>
    </w:rPr>
  </w:style>
  <w:style w:type="paragraph" w:styleId="745">
    <w:name w:val="Указатель"/>
    <w:basedOn w:val="648"/>
    <w:qFormat/>
    <w:pPr>
      <w:suppressLineNumbers/>
    </w:pPr>
    <w:rPr>
      <w:rFonts w:cs="Lohit Devanagari"/>
    </w:rPr>
  </w:style>
  <w:style w:type="paragraph" w:styleId="746">
    <w:name w:val="List Paragraph"/>
    <w:basedOn w:val="648"/>
    <w:qFormat/>
    <w:pPr>
      <w:ind w:left="708"/>
    </w:pPr>
  </w:style>
  <w:style w:type="paragraph" w:styleId="747">
    <w:name w:val="No Spacing"/>
    <w:uiPriority w:val="1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ru-RU" w:bidi="ar-SA"/>
    </w:rPr>
  </w:style>
  <w:style w:type="paragraph" w:styleId="748">
    <w:name w:val="Title"/>
    <w:basedOn w:val="648"/>
    <w:qFormat/>
    <w:pPr>
      <w:jc w:val="center"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749">
    <w:name w:val="Subtitle"/>
    <w:basedOn w:val="648"/>
    <w:uiPriority w:val="11"/>
    <w:qFormat/>
    <w:pPr>
      <w:spacing w:before="200" w:after="200"/>
    </w:pPr>
  </w:style>
  <w:style w:type="paragraph" w:styleId="750">
    <w:name w:val="Quote"/>
    <w:basedOn w:val="648"/>
    <w:uiPriority w:val="29"/>
    <w:qFormat/>
    <w:pPr>
      <w:ind w:left="720" w:right="720"/>
    </w:pPr>
    <w:rPr>
      <w:i/>
    </w:rPr>
  </w:style>
  <w:style w:type="paragraph" w:styleId="751">
    <w:name w:val="Intense Quote"/>
    <w:basedOn w:val="64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52">
    <w:name w:val="footnote text"/>
    <w:basedOn w:val="648"/>
    <w:uiPriority w:val="99"/>
    <w:semiHidden/>
    <w:unhideWhenUsed/>
    <w:pPr>
      <w:spacing w:before="0" w:after="40"/>
    </w:pPr>
    <w:rPr>
      <w:sz w:val="18"/>
    </w:rPr>
  </w:style>
  <w:style w:type="paragraph" w:styleId="753">
    <w:name w:val="endnote text"/>
    <w:basedOn w:val="648"/>
    <w:uiPriority w:val="99"/>
    <w:semiHidden/>
    <w:unhideWhenUsed/>
    <w:rPr>
      <w:sz w:val="20"/>
    </w:rPr>
  </w:style>
  <w:style w:type="paragraph" w:styleId="754">
    <w:name w:val="toc 1"/>
    <w:basedOn w:val="648"/>
    <w:uiPriority w:val="39"/>
    <w:unhideWhenUsed/>
    <w:pPr>
      <w:spacing w:before="0" w:after="57"/>
    </w:pPr>
  </w:style>
  <w:style w:type="paragraph" w:styleId="755">
    <w:name w:val="toc 2"/>
    <w:basedOn w:val="648"/>
    <w:uiPriority w:val="39"/>
    <w:unhideWhenUsed/>
    <w:pPr>
      <w:ind w:left="283"/>
      <w:spacing w:before="0" w:after="57"/>
    </w:pPr>
  </w:style>
  <w:style w:type="paragraph" w:styleId="756">
    <w:name w:val="toc 3"/>
    <w:basedOn w:val="648"/>
    <w:uiPriority w:val="39"/>
    <w:unhideWhenUsed/>
    <w:pPr>
      <w:ind w:left="567"/>
      <w:spacing w:before="0" w:after="57"/>
    </w:pPr>
  </w:style>
  <w:style w:type="paragraph" w:styleId="757">
    <w:name w:val="toc 4"/>
    <w:basedOn w:val="648"/>
    <w:uiPriority w:val="39"/>
    <w:unhideWhenUsed/>
    <w:pPr>
      <w:ind w:left="850"/>
      <w:spacing w:before="0" w:after="57"/>
    </w:pPr>
  </w:style>
  <w:style w:type="paragraph" w:styleId="758">
    <w:name w:val="toc 5"/>
    <w:basedOn w:val="648"/>
    <w:uiPriority w:val="39"/>
    <w:unhideWhenUsed/>
    <w:pPr>
      <w:ind w:left="1134"/>
      <w:spacing w:before="0" w:after="57"/>
    </w:pPr>
  </w:style>
  <w:style w:type="paragraph" w:styleId="759">
    <w:name w:val="toc 6"/>
    <w:basedOn w:val="648"/>
    <w:uiPriority w:val="39"/>
    <w:unhideWhenUsed/>
    <w:pPr>
      <w:ind w:left="1417"/>
      <w:spacing w:before="0" w:after="57"/>
    </w:pPr>
  </w:style>
  <w:style w:type="paragraph" w:styleId="760">
    <w:name w:val="toc 7"/>
    <w:basedOn w:val="648"/>
    <w:uiPriority w:val="39"/>
    <w:unhideWhenUsed/>
    <w:pPr>
      <w:ind w:left="1701"/>
      <w:spacing w:before="0" w:after="57"/>
    </w:pPr>
  </w:style>
  <w:style w:type="paragraph" w:styleId="761">
    <w:name w:val="toc 8"/>
    <w:basedOn w:val="648"/>
    <w:uiPriority w:val="39"/>
    <w:unhideWhenUsed/>
    <w:pPr>
      <w:ind w:left="1984"/>
      <w:spacing w:before="0" w:after="57"/>
    </w:pPr>
  </w:style>
  <w:style w:type="paragraph" w:styleId="762">
    <w:name w:val="toc 9"/>
    <w:basedOn w:val="648"/>
    <w:uiPriority w:val="39"/>
    <w:unhideWhenUsed/>
    <w:pPr>
      <w:ind w:left="2268"/>
      <w:spacing w:before="0" w:after="57"/>
    </w:pPr>
  </w:style>
  <w:style w:type="paragraph" w:styleId="763">
    <w:name w:val="Index Heading"/>
    <w:basedOn w:val="741"/>
  </w:style>
  <w:style w:type="paragraph" w:styleId="764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ru-RU" w:bidi="ar-SA"/>
    </w:rPr>
  </w:style>
  <w:style w:type="paragraph" w:styleId="765">
    <w:name w:val="table of figures"/>
    <w:basedOn w:val="648"/>
    <w:uiPriority w:val="99"/>
    <w:unhideWhenUsed/>
  </w:style>
  <w:style w:type="paragraph" w:styleId="766">
    <w:name w:val="index heading1"/>
    <w:basedOn w:val="648"/>
    <w:qFormat/>
    <w:pPr>
      <w:suppressLineNumbers/>
    </w:pPr>
    <w:rPr>
      <w:rFonts w:cs="Lohit Devanagari"/>
    </w:rPr>
  </w:style>
  <w:style w:type="paragraph" w:styleId="767" w:customStyle="1">
    <w:name w:val="Caption1"/>
    <w:basedOn w:val="648"/>
    <w:qFormat/>
    <w:pPr>
      <w:spacing w:before="120" w:after="120"/>
      <w:suppressLineNumbers/>
    </w:pPr>
    <w:rPr>
      <w:rFonts w:cs="Lohit Devanagari"/>
      <w:i/>
      <w:iCs/>
    </w:rPr>
  </w:style>
  <w:style w:type="paragraph" w:styleId="768">
    <w:name w:val="Plain Text"/>
    <w:basedOn w:val="648"/>
    <w:qFormat/>
    <w:rPr>
      <w:rFonts w:ascii="Courier New" w:hAnsi="Courier New" w:cs="Courier New"/>
      <w:sz w:val="20"/>
      <w:szCs w:val="20"/>
      <w:lang w:val="en-US"/>
    </w:rPr>
  </w:style>
  <w:style w:type="paragraph" w:styleId="769" w:customStyle="1">
    <w:name w:val="ConsNormal"/>
    <w:qFormat/>
    <w:pPr>
      <w:ind w:firstLine="720"/>
      <w:jc w:val="left"/>
      <w:spacing w:before="0" w:after="0"/>
      <w:widowControl/>
    </w:pPr>
    <w:rPr>
      <w:rFonts w:ascii="Consultant" w:hAnsi="Consultant" w:eastAsia="Droid Sans Fallback" w:cs="Consultant"/>
      <w:color w:val="auto"/>
      <w:sz w:val="20"/>
      <w:szCs w:val="20"/>
      <w:lang w:val="ru-RU" w:eastAsia="zh-CN" w:bidi="ar-SA"/>
    </w:rPr>
  </w:style>
  <w:style w:type="paragraph" w:styleId="770">
    <w:name w:val="Body Text 2"/>
    <w:basedOn w:val="648"/>
    <w:qFormat/>
    <w:pPr>
      <w:spacing w:before="0" w:after="120" w:line="480" w:lineRule="auto"/>
    </w:pPr>
  </w:style>
  <w:style w:type="paragraph" w:styleId="771">
    <w:name w:val="Body Text 3"/>
    <w:basedOn w:val="648"/>
    <w:qFormat/>
    <w:pPr>
      <w:spacing w:before="0" w:after="120"/>
    </w:pPr>
    <w:rPr>
      <w:sz w:val="16"/>
      <w:szCs w:val="16"/>
    </w:rPr>
  </w:style>
  <w:style w:type="paragraph" w:styleId="772" w:customStyle="1">
    <w:name w:val="Колонтитул"/>
    <w:basedOn w:val="648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773">
    <w:name w:val="Footer"/>
    <w:basedOn w:val="648"/>
    <w:pPr>
      <w:tabs>
        <w:tab w:val="clear" w:pos="708" w:leader="none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774">
    <w:name w:val="Balloon Text"/>
    <w:basedOn w:val="648"/>
    <w:qFormat/>
    <w:rPr>
      <w:rFonts w:ascii="Tahoma" w:hAnsi="Tahoma" w:cs="Tahoma"/>
      <w:sz w:val="16"/>
      <w:szCs w:val="16"/>
    </w:rPr>
  </w:style>
  <w:style w:type="paragraph" w:styleId="775" w:customStyle="1">
    <w:name w:val="Знак Знак Знак Знак Знак Знак Знак Знак Знак Знак Знак Знак"/>
    <w:basedOn w:val="648"/>
    <w:qFormat/>
    <w:rPr>
      <w:rFonts w:ascii="Verdana" w:hAnsi="Verdana" w:cs="Verdana"/>
      <w:sz w:val="20"/>
      <w:szCs w:val="20"/>
      <w:lang w:val="en-US"/>
    </w:rPr>
  </w:style>
  <w:style w:type="paragraph" w:styleId="776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Calibri" w:cs="Lohit Devanagari"/>
      <w:color w:val="auto"/>
      <w:sz w:val="20"/>
      <w:szCs w:val="20"/>
      <w:lang w:val="ru-RU" w:eastAsia="zh-CN" w:bidi="ar-SA"/>
    </w:rPr>
  </w:style>
  <w:style w:type="paragraph" w:styleId="777">
    <w:name w:val="Header"/>
    <w:pPr>
      <w:jc w:val="center"/>
      <w:spacing w:before="0" w:after="0"/>
      <w:widowControl/>
      <w:tabs>
        <w:tab w:val="clear" w:pos="708" w:leader="none"/>
        <w:tab w:val="center" w:pos="4153" w:leader="none"/>
        <w:tab w:val="right" w:pos="8306" w:leader="none"/>
      </w:tabs>
    </w:pPr>
    <w:rPr>
      <w:rFonts w:ascii="Times New Roman" w:hAnsi="Times New Roman" w:eastAsia="Droid Sans Fallback" w:cs="Lohit Devanagari"/>
      <w:color w:val="auto"/>
      <w:sz w:val="16"/>
      <w:szCs w:val="20"/>
      <w:lang w:val="ru-RU" w:eastAsia="zh-CN" w:bidi="ar-SA"/>
    </w:rPr>
  </w:style>
  <w:style w:type="paragraph" w:styleId="778">
    <w:name w:val="Body Text Indent 3"/>
    <w:basedOn w:val="648"/>
    <w:qFormat/>
    <w:pPr>
      <w:ind w:left="283"/>
      <w:spacing w:before="0" w:after="120"/>
    </w:pPr>
    <w:rPr>
      <w:sz w:val="16"/>
      <w:szCs w:val="16"/>
      <w:lang w:val="en-US"/>
    </w:rPr>
  </w:style>
  <w:style w:type="paragraph" w:styleId="779">
    <w:name w:val="Normal (Web)"/>
    <w:basedOn w:val="648"/>
    <w:qFormat/>
    <w:pPr>
      <w:spacing w:before="280" w:after="280"/>
    </w:pPr>
  </w:style>
  <w:style w:type="paragraph" w:styleId="780" w:customStyle="1">
    <w:name w:val="Default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000000"/>
      <w:sz w:val="24"/>
      <w:szCs w:val="24"/>
      <w:lang w:val="ru-RU" w:eastAsia="zh-CN" w:bidi="ar-SA"/>
    </w:rPr>
  </w:style>
  <w:style w:type="paragraph" w:styleId="781" w:customStyle="1">
    <w:name w:val="Содержимое таблицы"/>
    <w:basedOn w:val="648"/>
    <w:qFormat/>
    <w:pPr>
      <w:widowControl w:val="off"/>
      <w:suppressLineNumbers/>
    </w:pPr>
  </w:style>
  <w:style w:type="paragraph" w:styleId="782" w:customStyle="1">
    <w:name w:val="Заголовок таблицы"/>
    <w:basedOn w:val="781"/>
    <w:qFormat/>
    <w:pPr>
      <w:jc w:val="center"/>
    </w:pPr>
    <w:rPr>
      <w:b/>
      <w:bCs/>
    </w:rPr>
  </w:style>
  <w:style w:type="paragraph" w:styleId="783">
    <w:name w:val="Times New Roman"/>
    <w:qFormat/>
    <w:pPr>
      <w:ind w:left="0" w:right="0" w:firstLine="311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u w:val="none"/>
      <w:vertAlign w:val="baseline"/>
      <w:lang w:val="ru-RU" w:eastAsia="ru-RU" w:bidi="ar-SA"/>
      <w14:ligatures w14:val="none"/>
    </w:rPr>
  </w:style>
  <w:style w:type="numbering" w:styleId="784" w:default="1">
    <w:name w:val="No List"/>
    <w:uiPriority w:val="99"/>
    <w:semiHidden/>
    <w:unhideWhenUsed/>
    <w:qFormat/>
  </w:style>
  <w:style w:type="table" w:styleId="785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6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7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88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89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790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791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2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9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9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9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9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9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9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99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14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ce6f1" w:themeFill="accent1" w:themeFillTint="32"/>
      </w:tcPr>
    </w:tblStylePr>
    <w:tblStylePr w:type="band1Vert">
      <w:rPr>
        <w:sz w:val="22"/>
      </w:rPr>
      <w:tcPr>
        <w:shd w:val="clear" w:color="ffffff" w:fill="dce6f1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815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816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817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818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819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820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2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2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2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27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2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3e70a3" w:themeColor="accent1" w:themeTint="80" w:themeShade="95"/>
        <w:sz w:val="22"/>
      </w:rPr>
    </w:tblStylePr>
  </w:style>
  <w:style w:type="table" w:styleId="82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3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5c702f" w:themeColor="accent3" w:themeTint="FE" w:themeShade="95"/>
        <w:sz w:val="22"/>
      </w:rPr>
    </w:tblStylePr>
  </w:style>
  <w:style w:type="table" w:styleId="83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3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83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834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49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50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51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52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53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54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55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6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7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8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9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0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1cd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1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9bf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2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3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4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5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6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7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8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9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6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7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7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8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8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8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83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8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88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8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88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8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88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890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91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892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893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894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895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896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897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98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899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00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01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902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903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904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05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6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07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08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09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10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1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yperlink" Target="http://www.torgi.gov.ru/" TargetMode="External"/><Relationship Id="rId12" Type="http://schemas.openxmlformats.org/officeDocument/2006/relationships/hyperlink" Target="http://www.gorodperm.ru/" TargetMode="External"/><Relationship Id="rId13" Type="http://schemas.openxmlformats.org/officeDocument/2006/relationships/hyperlink" Target="http://utp.sberbank-ast.ru/" TargetMode="External"/><Relationship Id="rId14" Type="http://schemas.openxmlformats.org/officeDocument/2006/relationships/hyperlink" Target="http://utp.sberbank-ast.ru/" TargetMode="External"/><Relationship Id="rId15" Type="http://schemas.openxmlformats.org/officeDocument/2006/relationships/hyperlink" Target="https://utp.sberbank-ast.ru/Main/Notice/988/Reglament" TargetMode="External"/><Relationship Id="rId16" Type="http://schemas.openxmlformats.org/officeDocument/2006/relationships/hyperlink" Target="https://utp.sberbank-ast.ru/AP/Notice/1027/Instructions" TargetMode="External"/><Relationship Id="rId17" Type="http://schemas.openxmlformats.org/officeDocument/2006/relationships/hyperlink" Target="https://utp.sberbank-ast.ru/AP/Notice/652/Instructions" TargetMode="External"/><Relationship Id="rId18" Type="http://schemas.openxmlformats.org/officeDocument/2006/relationships/hyperlink" Target="http://www.gorodperm.ru/" TargetMode="External"/><Relationship Id="rId19" Type="http://schemas.openxmlformats.org/officeDocument/2006/relationships/hyperlink" Target="http://www.gorodperm.ru/" TargetMode="External"/><Relationship Id="rId20" Type="http://schemas.openxmlformats.org/officeDocument/2006/relationships/hyperlink" Target="https://" TargetMode="External"/><Relationship Id="rId21" Type="http://schemas.openxmlformats.org/officeDocument/2006/relationships/hyperlink" Target="http://www.gorodperm.ru/" TargetMode="External"/><Relationship Id="rId22" Type="http://schemas.openxmlformats.org/officeDocument/2006/relationships/hyperlink" Target="http://www.gorodperm.ru/" TargetMode="External"/><Relationship Id="rId23" Type="http://schemas.openxmlformats.org/officeDocument/2006/relationships/hyperlink" Target="https://" TargetMode="External"/><Relationship Id="rId24" Type="http://schemas.openxmlformats.org/officeDocument/2006/relationships/hyperlink" Target="mailto:perm-mail@ural.rt.ru" TargetMode="External"/><Relationship Id="rId25" Type="http://schemas.openxmlformats.org/officeDocument/2006/relationships/hyperlink" Target="http://utp.sberbank-ast.ru/AP/Notice/653/Requisite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имущественных отношений администрации города Перми</dc:title>
  <dc:subject/>
  <dc:creator>Tatyannikova</dc:creator>
  <dc:description/>
  <dc:language>ru-RU</dc:language>
  <cp:lastModifiedBy>chetina-yui</cp:lastModifiedBy>
  <cp:revision>482</cp:revision>
  <dcterms:created xsi:type="dcterms:W3CDTF">2023-10-30T09:15:00Z</dcterms:created>
  <dcterms:modified xsi:type="dcterms:W3CDTF">2026-07-27T10:01:13Z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