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284" w:firstLine="0"/>
        <w:jc w:val="right"/>
        <w:outlineLvl w:val="0"/>
        <w:rPr>
          <w:rFonts w:ascii="Tahoma" w:hAnsi="Tahoma" w:eastAsia="Times New Roman" w:cs="Tahoma"/>
          <w:sz w:val="20"/>
          <w:szCs w:val="20"/>
        </w:rPr>
      </w:pPr>
      <w:r>
        <w:rPr>
          <w:rFonts w:ascii="Tahoma" w:hAnsi="Tahoma" w:eastAsia="Times New Roman" w:cs="Tahoma"/>
          <w:sz w:val="20"/>
          <w:szCs w:val="20"/>
          <w:lang w:eastAsia="ru-RU"/>
        </w:rPr>
      </w:r>
      <w:r>
        <w:rPr>
          <w:sz w:val="20"/>
          <w:szCs w:val="20"/>
        </w:rPr>
        <w:t xml:space="preserve">id 81235</w:t>
      </w:r>
      <w:r>
        <w:rPr>
          <w:rFonts w:ascii="Tahoma" w:hAnsi="Tahoma" w:eastAsia="Times New Roman" w:cs="Tahoma"/>
          <w:sz w:val="20"/>
          <w:szCs w:val="20"/>
        </w:rPr>
      </w:r>
      <w:r>
        <w:rPr>
          <w:rFonts w:ascii="Tahoma" w:hAnsi="Tahoma" w:eastAsia="Times New Roman" w:cs="Tahoma"/>
          <w:sz w:val="20"/>
          <w:szCs w:val="20"/>
        </w:rPr>
      </w:r>
    </w:p>
    <w:p>
      <w:pPr>
        <w:ind w:left="284" w:firstLine="0"/>
        <w:jc w:val="right"/>
        <w:outlineLvl w:val="0"/>
        <w:rPr>
          <w:rFonts w:ascii="Tahoma" w:hAnsi="Tahoma" w:eastAsia="Times New Roman" w:cs="Tahoma"/>
          <w:sz w:val="16"/>
          <w:szCs w:val="16"/>
          <w:lang w:eastAsia="ru-RU"/>
        </w:rPr>
      </w:pPr>
      <w:r>
        <w:rPr>
          <w:rFonts w:ascii="Tahoma" w:hAnsi="Tahoma" w:eastAsia="Times New Roman" w:cs="Tahoma"/>
          <w:sz w:val="16"/>
          <w:szCs w:val="16"/>
          <w:lang w:eastAsia="ru-RU"/>
        </w:rPr>
      </w:r>
      <w:r>
        <w:rPr>
          <w:rFonts w:ascii="Tahoma" w:hAnsi="Tahoma" w:eastAsia="Times New Roman" w:cs="Tahoma"/>
          <w:sz w:val="16"/>
          <w:szCs w:val="16"/>
          <w:lang w:eastAsia="ru-RU"/>
        </w:rPr>
      </w:r>
      <w:r>
        <w:rPr>
          <w:rFonts w:ascii="Tahoma" w:hAnsi="Tahoma" w:eastAsia="Times New Roman" w:cs="Tahoma"/>
          <w:sz w:val="16"/>
          <w:szCs w:val="16"/>
          <w:lang w:eastAsia="ru-RU"/>
        </w:rPr>
      </w:r>
    </w:p>
    <w:p>
      <w:pPr>
        <w:widowControl w:val="off"/>
        <w:ind w:firstLine="0"/>
        <w:jc w:val="center"/>
        <w:rPr>
          <w:rFonts w:eastAsia="Times New Roman"/>
          <w:b/>
          <w:sz w:val="24"/>
          <w:szCs w:val="24"/>
          <w:lang w:eastAsia="ru-RU"/>
        </w:rPr>
      </w:pPr>
      <w:bookmarkStart w:id="1" w:name="Par612"/>
      <w:bookmarkEnd w:id="1"/>
      <w:r>
        <w:rPr>
          <w:rFonts w:eastAsia="Times New Roman"/>
          <w:b/>
          <w:sz w:val="24"/>
          <w:szCs w:val="24"/>
          <w:lang w:eastAsia="ru-RU"/>
        </w:rPr>
        <w:t xml:space="preserve">ДОГОВОР </w:t>
      </w:r>
      <w:r>
        <w:rPr>
          <w:rFonts w:eastAsia="Times New Roman"/>
          <w:b/>
          <w:sz w:val="24"/>
          <w:szCs w:val="24"/>
          <w:lang w:eastAsia="ru-RU"/>
        </w:rPr>
        <w:t xml:space="preserve">№</w:t>
      </w:r>
      <w:r>
        <w:rPr>
          <w:rFonts w:eastAsia="Times New Roman"/>
          <w:b/>
          <w:sz w:val="24"/>
          <w:szCs w:val="24"/>
          <w:lang w:eastAsia="ru-RU"/>
        </w:rPr>
        <w:t xml:space="preserve"> </w:t>
      </w:r>
      <w:r>
        <w:rPr>
          <w:rFonts w:eastAsia="Times New Roman"/>
          <w:b/>
          <w:sz w:val="24"/>
          <w:szCs w:val="24"/>
          <w:u w:val="single"/>
          <w:lang w:eastAsia="ru-RU"/>
        </w:rPr>
        <w:t xml:space="preserve"> </w:t>
      </w:r>
      <w:r>
        <w:rPr>
          <w:rFonts w:eastAsia="Times New Roman"/>
          <w:b/>
          <w:sz w:val="24"/>
          <w:szCs w:val="24"/>
          <w:u w:val="single"/>
          <w:lang w:eastAsia="ru-RU"/>
        </w:rPr>
        <w:t xml:space="preserve">______</w:t>
      </w:r>
      <w:r>
        <w:rPr>
          <w:rFonts w:eastAsia="Times New Roman"/>
          <w:b/>
          <w:sz w:val="24"/>
          <w:szCs w:val="24"/>
          <w:lang w:eastAsia="ru-RU"/>
        </w:rPr>
        <w:tab/>
      </w:r>
      <w:r>
        <w:rPr>
          <w:rFonts w:eastAsia="Times New Roman"/>
          <w:b/>
          <w:sz w:val="24"/>
          <w:szCs w:val="24"/>
          <w:lang w:eastAsia="ru-RU"/>
        </w:rPr>
      </w:r>
      <w:r>
        <w:rPr>
          <w:rFonts w:eastAsia="Times New Roman"/>
          <w:b/>
          <w:sz w:val="24"/>
          <w:szCs w:val="24"/>
          <w:lang w:eastAsia="ru-RU"/>
        </w:rPr>
      </w:r>
    </w:p>
    <w:p>
      <w:pPr>
        <w:ind w:firstLine="0"/>
        <w:jc w:val="center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 xml:space="preserve">купли-продажи земельного участка</w:t>
      </w:r>
      <w:r>
        <w:rPr>
          <w:rFonts w:eastAsia="Times New Roman"/>
          <w:b/>
          <w:sz w:val="24"/>
          <w:szCs w:val="24"/>
          <w:lang w:eastAsia="ru-RU"/>
        </w:rPr>
        <w:t xml:space="preserve">, приобретаемого </w:t>
      </w:r>
      <w:r>
        <w:rPr>
          <w:rFonts w:eastAsia="Times New Roman"/>
          <w:b/>
          <w:sz w:val="24"/>
          <w:szCs w:val="24"/>
          <w:lang w:eastAsia="ru-RU"/>
        </w:rPr>
        <w:br/>
      </w:r>
      <w:r>
        <w:rPr>
          <w:rFonts w:eastAsia="Times New Roman"/>
          <w:b/>
          <w:sz w:val="24"/>
          <w:szCs w:val="24"/>
          <w:lang w:eastAsia="ru-RU"/>
        </w:rPr>
        <w:t xml:space="preserve">на торгах в форме аукциона</w:t>
      </w:r>
      <w:r>
        <w:rPr>
          <w:rFonts w:eastAsia="Times New Roman"/>
          <w:b/>
          <w:sz w:val="24"/>
          <w:szCs w:val="24"/>
          <w:lang w:eastAsia="ru-RU"/>
        </w:rPr>
      </w:r>
      <w:r>
        <w:rPr>
          <w:rFonts w:eastAsia="Times New Roman"/>
          <w:b/>
          <w:sz w:val="24"/>
          <w:szCs w:val="24"/>
          <w:lang w:eastAsia="ru-RU"/>
        </w:rPr>
      </w:r>
    </w:p>
    <w:p/>
    <w:p/>
    <w:p>
      <w:pPr>
        <w:tabs>
          <w:tab w:val="left" w:pos="9214" w:leader="none"/>
          <w:tab w:val="left" w:pos="10065" w:leader="none"/>
        </w:tabs>
        <w:ind w:firstLine="567"/>
        <w:jc w:val="left"/>
        <w:rPr>
          <w:rFonts w:eastAsia="Times New Roman"/>
          <w:bCs/>
          <w:sz w:val="24"/>
          <w:szCs w:val="24"/>
          <w:u w:val="single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 xml:space="preserve">г. Пермь                                                                      </w:t>
      </w:r>
      <w:r>
        <w:rPr>
          <w:rFonts w:eastAsia="Times New Roman"/>
          <w:bCs/>
          <w:sz w:val="24"/>
          <w:szCs w:val="24"/>
          <w:lang w:eastAsia="ru-RU"/>
        </w:rPr>
        <w:t xml:space="preserve">           </w:t>
      </w:r>
      <w:r>
        <w:rPr>
          <w:rFonts w:eastAsia="Times New Roman"/>
          <w:bCs/>
          <w:sz w:val="24"/>
          <w:szCs w:val="24"/>
          <w:lang w:eastAsia="ru-RU"/>
        </w:rPr>
        <w:t xml:space="preserve">             «    » __________ 202</w:t>
      </w:r>
      <w:r>
        <w:rPr>
          <w:rFonts w:eastAsia="Times New Roman"/>
          <w:bCs/>
          <w:sz w:val="24"/>
          <w:szCs w:val="24"/>
          <w:lang w:eastAsia="ru-RU"/>
        </w:rPr>
        <w:t xml:space="preserve">6 г.</w:t>
      </w:r>
      <w:r>
        <w:rPr>
          <w:rFonts w:eastAsia="Times New Roman"/>
          <w:bCs/>
          <w:sz w:val="24"/>
          <w:szCs w:val="24"/>
          <w:u w:val="single"/>
          <w:lang w:eastAsia="ru-RU"/>
        </w:rPr>
      </w:r>
      <w:r>
        <w:rPr>
          <w:rFonts w:eastAsia="Times New Roman"/>
          <w:bCs/>
          <w:sz w:val="24"/>
          <w:szCs w:val="24"/>
          <w:u w:val="single"/>
          <w:lang w:eastAsia="ru-RU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Департамент земельных отношений администрации города Перми, именуемый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в дальнейшем Продавец, </w:t>
      </w:r>
      <w:r>
        <w:rPr>
          <w:sz w:val="24"/>
          <w:szCs w:val="24"/>
        </w:rPr>
        <w:t xml:space="preserve">в лице _______________, действующего на основании ___________</w:t>
      </w:r>
      <w:r>
        <w:rPr>
          <w:sz w:val="24"/>
          <w:szCs w:val="24"/>
        </w:rPr>
        <w:t xml:space="preserve"> с одной стороны, и ___________________, именуемы</w:t>
      </w:r>
      <w:r>
        <w:rPr>
          <w:sz w:val="24"/>
          <w:szCs w:val="24"/>
        </w:rPr>
        <w:t xml:space="preserve">й(</w:t>
      </w:r>
      <w:r>
        <w:rPr>
          <w:sz w:val="24"/>
          <w:szCs w:val="24"/>
        </w:rPr>
        <w:t xml:space="preserve">ая</w:t>
      </w:r>
      <w:r>
        <w:rPr>
          <w:sz w:val="24"/>
          <w:szCs w:val="24"/>
        </w:rPr>
        <w:t xml:space="preserve">) в дальнейшем Покупатель, </w:t>
      </w:r>
      <w:r>
        <w:rPr>
          <w:sz w:val="24"/>
          <w:szCs w:val="24"/>
        </w:rPr>
        <w:t xml:space="preserve">с другой стороны, </w:t>
      </w:r>
      <w:r>
        <w:rPr>
          <w:sz w:val="24"/>
          <w:szCs w:val="24"/>
        </w:rPr>
        <w:t xml:space="preserve">совместно именуемые </w:t>
      </w:r>
      <w:r>
        <w:rPr>
          <w:sz w:val="24"/>
          <w:szCs w:val="24"/>
        </w:rPr>
        <w:t xml:space="preserve">«</w:t>
      </w:r>
      <w:r>
        <w:rPr>
          <w:sz w:val="24"/>
          <w:szCs w:val="24"/>
        </w:rPr>
        <w:t xml:space="preserve">Стороны</w:t>
      </w:r>
      <w:r>
        <w:rPr>
          <w:sz w:val="24"/>
          <w:szCs w:val="24"/>
        </w:rPr>
        <w:t xml:space="preserve">»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на основании протокола ___________________ от _________ по лоту </w:t>
      </w:r>
      <w:r>
        <w:rPr>
          <w:sz w:val="24"/>
          <w:szCs w:val="24"/>
        </w:rPr>
        <w:t xml:space="preserve">№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______ (далее - протокол), </w:t>
      </w:r>
      <w:r>
        <w:rPr>
          <w:sz w:val="24"/>
          <w:szCs w:val="24"/>
        </w:rPr>
        <w:t xml:space="preserve">заключили настоящий договор о следующем.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jc w:val="center"/>
        <w:rPr>
          <w:b/>
          <w:bCs/>
          <w:sz w:val="24"/>
          <w:szCs w:val="24"/>
          <w:highlight w:val="none"/>
        </w:rPr>
      </w:pPr>
      <w:r>
        <w:rPr>
          <w:b/>
          <w:sz w:val="24"/>
          <w:szCs w:val="24"/>
          <w:lang w:val="en-US"/>
        </w:rPr>
        <w:t xml:space="preserve">I</w:t>
      </w:r>
      <w:r>
        <w:rPr>
          <w:b/>
          <w:sz w:val="24"/>
          <w:szCs w:val="24"/>
        </w:rPr>
        <w:t xml:space="preserve">. Предмет договора</w:t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1.1. Во исполнение протокола Продавец обязуется передать в собственность Покупателю </w:t>
      </w:r>
      <w:r>
        <w:rPr>
          <w:b/>
          <w:sz w:val="24"/>
          <w:szCs w:val="24"/>
        </w:rPr>
        <w:t xml:space="preserve">земельный участок площадью 597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кв</w:t>
      </w:r>
      <w:r>
        <w:rPr>
          <w:b/>
          <w:sz w:val="24"/>
          <w:szCs w:val="24"/>
        </w:rPr>
        <w:t xml:space="preserve">.м</w:t>
      </w:r>
      <w:r>
        <w:rPr>
          <w:sz w:val="24"/>
          <w:szCs w:val="24"/>
        </w:rPr>
        <w:t xml:space="preserve">. с кадастровым номером </w:t>
      </w:r>
      <w:r>
        <w:rPr>
          <w:b/>
          <w:sz w:val="24"/>
          <w:szCs w:val="24"/>
        </w:rPr>
        <w:t xml:space="preserve">59:01:1810025:156 </w:t>
      </w:r>
      <w:r>
        <w:rPr>
          <w:sz w:val="24"/>
          <w:szCs w:val="24"/>
        </w:rPr>
        <w:t xml:space="preserve">за счет земель населенных пунктов, расположенный по адресу: </w:t>
      </w:r>
      <w:r>
        <w:rPr>
          <w:b/>
          <w:sz w:val="24"/>
          <w:szCs w:val="24"/>
        </w:rPr>
        <w:t xml:space="preserve">Российская Федерация, Пермский </w:t>
      </w:r>
      <w:r>
        <w:rPr>
          <w:b/>
          <w:sz w:val="24"/>
          <w:szCs w:val="24"/>
        </w:rPr>
        <w:t xml:space="preserve">край</w:t>
      </w:r>
      <w:r>
        <w:rPr>
          <w:b/>
          <w:sz w:val="24"/>
          <w:szCs w:val="24"/>
        </w:rPr>
        <w:t xml:space="preserve">, городской округ Пермский, город Пермь, улица Бузулукская, з/у 30а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(далее - земельный участок),</w:t>
      </w:r>
      <w:r>
        <w:rPr>
          <w:sz w:val="24"/>
          <w:szCs w:val="24"/>
        </w:rPr>
        <w:t xml:space="preserve"> предназначенный </w:t>
      </w:r>
      <w:r>
        <w:rPr>
          <w:b/>
          <w:sz w:val="24"/>
          <w:szCs w:val="24"/>
        </w:rPr>
        <w:t xml:space="preserve">для индивидуального жилищного строительства</w:t>
      </w:r>
      <w:r>
        <w:rPr>
          <w:sz w:val="24"/>
          <w:szCs w:val="24"/>
        </w:rPr>
        <w:t xml:space="preserve">, а Покупатель обязуется принять</w:t>
      </w:r>
      <w:r>
        <w:rPr>
          <w:sz w:val="24"/>
          <w:szCs w:val="24"/>
        </w:rPr>
        <w:t xml:space="preserve"> и оплатить указанное имущество.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t xml:space="preserve">Земельный участок расположен в зоне с особым условием использования территории -  приаэродромная территория аэродрома аэ</w:t>
      </w:r>
      <w:r>
        <w:rPr>
          <w:sz w:val="24"/>
          <w:szCs w:val="24"/>
        </w:rPr>
        <w:t xml:space="preserve">ропорта Большое Савино.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20"/>
        <w:contextualSpacing/>
        <w:rPr>
          <w:sz w:val="24"/>
          <w:szCs w:val="24"/>
        </w:rPr>
      </w:pPr>
      <w:bookmarkStart w:id="2" w:name="_GoBack"/>
      <w:bookmarkEnd w:id="2"/>
      <w:r>
        <w:rPr>
          <w:sz w:val="24"/>
          <w:szCs w:val="24"/>
        </w:rPr>
        <w:t xml:space="preserve">1.2. Р</w:t>
      </w:r>
      <w:r>
        <w:rPr>
          <w:sz w:val="24"/>
          <w:szCs w:val="24"/>
        </w:rPr>
        <w:t xml:space="preserve">азрешенно</w:t>
      </w:r>
      <w:r>
        <w:rPr>
          <w:sz w:val="24"/>
          <w:szCs w:val="24"/>
        </w:rPr>
        <w:t xml:space="preserve">е</w:t>
      </w:r>
      <w:r>
        <w:rPr>
          <w:sz w:val="24"/>
          <w:szCs w:val="24"/>
        </w:rPr>
        <w:t xml:space="preserve"> использовани</w:t>
      </w:r>
      <w:r>
        <w:rPr>
          <w:sz w:val="24"/>
          <w:szCs w:val="24"/>
        </w:rPr>
        <w:t xml:space="preserve">е - </w:t>
      </w:r>
      <w:r>
        <w:rPr>
          <w:rFonts w:eastAsia="Times New Roman"/>
          <w:b/>
          <w:sz w:val="24"/>
          <w:szCs w:val="24"/>
          <w:lang w:eastAsia="ru-RU"/>
        </w:rPr>
        <w:t xml:space="preserve">для индивидуального жилищного строительства</w:t>
      </w:r>
      <w:r>
        <w:rPr>
          <w:b/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jc w:val="center"/>
        <w:rPr>
          <w:b/>
          <w:bCs/>
          <w:sz w:val="24"/>
          <w:szCs w:val="24"/>
          <w:highlight w:val="none"/>
        </w:rPr>
      </w:pPr>
      <w:r>
        <w:rPr>
          <w:b/>
          <w:sz w:val="24"/>
          <w:szCs w:val="24"/>
          <w:lang w:val="en-US"/>
        </w:rPr>
        <w:t xml:space="preserve">II</w:t>
      </w:r>
      <w:r>
        <w:rPr>
          <w:b/>
          <w:sz w:val="24"/>
          <w:szCs w:val="24"/>
        </w:rPr>
        <w:t xml:space="preserve">. Стоимость сделки и порядок оп</w:t>
      </w:r>
      <w:r>
        <w:rPr>
          <w:b/>
          <w:sz w:val="24"/>
          <w:szCs w:val="24"/>
        </w:rPr>
        <w:t xml:space="preserve">латы</w:t>
      </w:r>
      <w:bookmarkStart w:id="3" w:name="Par635"/>
      <w:bookmarkEnd w:id="3"/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2.1. Цена земельного участка составляет </w:t>
      </w:r>
      <w:bookmarkStart w:id="4" w:name="Par637"/>
      <w:bookmarkEnd w:id="4"/>
      <w:r>
        <w:rPr>
          <w:b/>
          <w:sz w:val="24"/>
          <w:szCs w:val="24"/>
        </w:rPr>
        <w:t xml:space="preserve">___________________</w:t>
      </w:r>
      <w:r>
        <w:rPr>
          <w:b/>
          <w:sz w:val="24"/>
          <w:szCs w:val="24"/>
        </w:rPr>
        <w:t xml:space="preserve">  рублей </w:t>
      </w:r>
      <w:r>
        <w:rPr>
          <w:b/>
          <w:sz w:val="24"/>
          <w:szCs w:val="24"/>
        </w:rPr>
        <w:t xml:space="preserve">(</w:t>
      </w:r>
      <w:r>
        <w:rPr>
          <w:b/>
          <w:sz w:val="24"/>
          <w:szCs w:val="24"/>
        </w:rPr>
        <w:t xml:space="preserve">________________________________________________________________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рублей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___</w:t>
      </w:r>
      <w:r>
        <w:rPr>
          <w:b/>
          <w:sz w:val="24"/>
          <w:szCs w:val="24"/>
        </w:rPr>
        <w:t xml:space="preserve"> копеек).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2.2. Покупатель перечисляет денежные средства, определенные в пункте 2.1 настоящего договора, в порядке, установленном разделом </w:t>
      </w:r>
      <w:r>
        <w:rPr>
          <w:sz w:val="24"/>
          <w:szCs w:val="24"/>
        </w:rPr>
        <w:t xml:space="preserve">4</w:t>
      </w:r>
      <w:r>
        <w:rPr>
          <w:sz w:val="24"/>
          <w:szCs w:val="24"/>
        </w:rPr>
        <w:t xml:space="preserve"> настоящего договора.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2.3. Сумма задатка, внесенная Покупателем для участия в аукционе, засчитывается </w:t>
      </w:r>
      <w:r>
        <w:rPr>
          <w:sz w:val="24"/>
          <w:szCs w:val="24"/>
        </w:rPr>
        <w:br/>
        <w:t xml:space="preserve">в оплату приобретаемого земельного участка.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rPr>
          <w:b/>
          <w:bCs/>
          <w:sz w:val="24"/>
          <w:szCs w:val="24"/>
          <w:highlight w:val="none"/>
        </w:rPr>
      </w:pPr>
      <w:r>
        <w:rPr>
          <w:b/>
          <w:sz w:val="24"/>
          <w:szCs w:val="24"/>
          <w:lang w:val="en-US"/>
        </w:rPr>
        <w:t xml:space="preserve">III</w:t>
      </w:r>
      <w:r>
        <w:rPr>
          <w:b/>
          <w:sz w:val="24"/>
          <w:szCs w:val="24"/>
        </w:rPr>
        <w:t xml:space="preserve">. Обязанности сторон</w:t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3.1. Продавец обязуется передать земельный участок свободным от любых прав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и претензий третьих лиц, о которых в момент заключения договора Продавец знал или должен был знать, по акту приема-передачи земельного участка.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3.2. Покупатель обязуется: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3.2.1. </w:t>
      </w:r>
      <w:r>
        <w:rPr>
          <w:sz w:val="24"/>
          <w:szCs w:val="24"/>
        </w:rPr>
        <w:t xml:space="preserve">оплатить стоимость земельного</w:t>
      </w:r>
      <w:r>
        <w:rPr>
          <w:sz w:val="24"/>
          <w:szCs w:val="24"/>
        </w:rPr>
        <w:t xml:space="preserve"> участка в соответствии с требованиями, содержащимися в разделе </w:t>
      </w:r>
      <w:r>
        <w:rPr>
          <w:sz w:val="24"/>
          <w:szCs w:val="24"/>
        </w:rPr>
        <w:t xml:space="preserve">2</w:t>
      </w:r>
      <w:r>
        <w:rPr>
          <w:sz w:val="24"/>
          <w:szCs w:val="24"/>
        </w:rPr>
        <w:t xml:space="preserve"> настоящего договора;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3.2.2. принять земельный участок в собственность по акту приема-передачи;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3.2.3. производить мероприятия в целях охраны земельного участка, в том числе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по сохранению почв и их плодородия, по защите земель от негативных (вредных) </w:t>
      </w:r>
      <w:r>
        <w:rPr>
          <w:sz w:val="24"/>
          <w:szCs w:val="24"/>
        </w:rPr>
        <w:t xml:space="preserve">воздействий, результате которых происходит загрязнение, истощение, деградация, порча, уничтожение земельного участка и почв, по ликвидации загрязнения земельного участка;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3.2.4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соблюдать требования, предусмотренные Земельным кодексом Российской Федерации, федеральными законами.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0"/>
        <w:jc w:val="left"/>
        <w:rPr>
          <w:b/>
          <w:bCs/>
          <w:sz w:val="24"/>
          <w:szCs w:val="24"/>
          <w:highlight w:val="none"/>
        </w:rPr>
      </w:pPr>
      <w:r>
        <w:rPr>
          <w:b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jc w:val="center"/>
        <w:rPr>
          <w:b/>
          <w:bCs/>
          <w:sz w:val="24"/>
          <w:szCs w:val="24"/>
          <w:highlight w:val="none"/>
        </w:rPr>
      </w:pPr>
      <w:r>
        <w:rPr>
          <w:b/>
          <w:sz w:val="24"/>
          <w:szCs w:val="24"/>
          <w:lang w:val="en-US"/>
        </w:rPr>
        <w:t xml:space="preserve">IV</w:t>
      </w:r>
      <w:r>
        <w:rPr>
          <w:b/>
          <w:sz w:val="24"/>
          <w:szCs w:val="24"/>
        </w:rPr>
        <w:t xml:space="preserve">. П</w:t>
      </w:r>
      <w:r>
        <w:rPr>
          <w:b/>
          <w:sz w:val="24"/>
          <w:szCs w:val="24"/>
        </w:rPr>
        <w:t xml:space="preserve">орядок заключения договора</w:t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4.1. Покупатель в течение 15 дней со дня размещения протокола перечисляет денежные средства, определенные в пункте 2.1 настоя</w:t>
      </w:r>
      <w:r>
        <w:rPr>
          <w:sz w:val="24"/>
          <w:szCs w:val="24"/>
        </w:rPr>
        <w:t xml:space="preserve">щего договора, на счет Продавца.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827"/>
        <w:suppressLineNumbers w:val="0"/>
        <w:spacing w:before="0" w:after="0" w:line="240" w:lineRule="auto"/>
        <w:ind w:firstLine="708"/>
        <w:contextualSpacing w:val="0"/>
        <w:jc w:val="left"/>
        <w:rPr>
          <w:rFonts w:ascii="Times New Roman" w:hAnsi="Times New Roman" w:cs="Times New Roman"/>
          <w:b/>
          <w:bCs/>
          <w:i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Реквизиты платежа:</w:t>
      </w:r>
      <w:r>
        <w:rPr>
          <w:rFonts w:ascii="Times New Roman" w:hAnsi="Times New Roman" w:cs="Times New Roman"/>
          <w:b/>
          <w:bCs/>
          <w:i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iCs/>
          <w:sz w:val="24"/>
          <w:szCs w:val="24"/>
          <w:highlight w:val="none"/>
        </w:rPr>
      </w:r>
    </w:p>
    <w:p>
      <w:pPr>
        <w:suppressLineNumbers w:val="0"/>
        <w:spacing w:before="0" w:after="0" w:line="240" w:lineRule="auto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Получатель:</w:t>
      </w:r>
      <w:r>
        <w:rPr>
          <w:rFonts w:ascii="Times New Roman" w:hAnsi="Times New Roman" w:cs="Times New Roman"/>
          <w:sz w:val="24"/>
          <w:szCs w:val="24"/>
        </w:rPr>
        <w:t xml:space="preserve"> УФК по Пермскому краю (департамент земельных отношений администрации города Перми);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uppressLineNumbers w:val="0"/>
        <w:spacing w:before="0" w:after="0" w:line="240" w:lineRule="auto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ИНН</w:t>
      </w:r>
      <w:r>
        <w:rPr>
          <w:rFonts w:ascii="Times New Roman" w:hAnsi="Times New Roman" w:cs="Times New Roman"/>
          <w:sz w:val="24"/>
          <w:szCs w:val="24"/>
        </w:rPr>
        <w:t xml:space="preserve"> 5902293379; 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БИК</w:t>
      </w:r>
      <w:r>
        <w:rPr>
          <w:rFonts w:ascii="Times New Roman" w:hAnsi="Times New Roman" w:cs="Times New Roman"/>
          <w:sz w:val="24"/>
          <w:szCs w:val="24"/>
        </w:rPr>
        <w:t xml:space="preserve"> 015773997; 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КПП</w:t>
      </w:r>
      <w:r>
        <w:rPr>
          <w:rFonts w:ascii="Times New Roman" w:hAnsi="Times New Roman" w:cs="Times New Roman"/>
          <w:sz w:val="24"/>
          <w:szCs w:val="24"/>
        </w:rPr>
        <w:t xml:space="preserve"> 590201001;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счета УФК по Пермскому краю (ЕКС) 03100643000000015600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ОКЦ № 3 УГУ Банка России//УФК по Пермскому краю г. Пермь;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Для погашения платежей: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КБК 99211406012040000430</w:t>
      </w:r>
      <w:r>
        <w:rPr>
          <w:sz w:val="24"/>
          <w:szCs w:val="24"/>
        </w:rPr>
        <w:t xml:space="preserve"> Доходы от продажи земельных участков, государственная собственность на которые не разграничена и которые расположены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в границах городских округов.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4.2. Продавец в течение 5 дней со дня истечения 10-дневного срока со дня размещения протокола направляет Покупателю подписанный проект договора.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4.3. После подписания Покупателем проекта договора Продавец в течение 5 дней направляет Покупателю подписанный акт приема-передачи земельного участка.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4.4. В случае отсутствия оплаты в размере, предусмотренном пунктом 2.1 настоящего договора, акт приема-передачи земельного участка не направляется Покупателю для подписания, договор считается незаключенным.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В случае нарушения срока, установленного в пункте 4.1 настоящего договора, Покупатель уплачивает Продавцу неустойку в размере 0,03 % от суммы, указанной в пункте 2.1 настоящего договора, за каждый день просрочки.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  <w:highlight w:val="none"/>
        </w:rPr>
      </w:pPr>
      <w:r>
        <w:rPr>
          <w:sz w:val="24"/>
          <w:szCs w:val="24"/>
        </w:rPr>
        <w:t xml:space="preserve">4.5. Продавец в течение 5 рабочих дней с момента подписания акта приема-передачи земельного участка направляет договор в установленном законом порядке для осуществления государственной регистрации права.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rPr>
          <w:sz w:val="24"/>
          <w:szCs w:val="24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rPr>
          <w:b/>
          <w:bCs/>
          <w:sz w:val="24"/>
          <w:szCs w:val="24"/>
          <w:highlight w:val="none"/>
        </w:rPr>
      </w:pPr>
      <w:r>
        <w:rPr>
          <w:b/>
          <w:sz w:val="24"/>
          <w:szCs w:val="24"/>
          <w:lang w:val="en-US"/>
        </w:rPr>
        <w:t xml:space="preserve">V</w:t>
      </w:r>
      <w:r>
        <w:rPr>
          <w:b/>
          <w:sz w:val="24"/>
          <w:szCs w:val="24"/>
        </w:rPr>
        <w:t xml:space="preserve">. Срок действия договора</w:t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Настоящий договор считается заключенным с момента подписания Сторонами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и действует до полного выполнения Сторонами своих обязательств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rPr>
          <w:b/>
          <w:bCs/>
          <w:sz w:val="24"/>
          <w:szCs w:val="24"/>
          <w:highlight w:val="none"/>
        </w:rPr>
      </w:pPr>
      <w:bookmarkStart w:id="5" w:name="Par683"/>
      <w:bookmarkEnd w:id="5"/>
      <w:r>
        <w:rPr>
          <w:b/>
          <w:sz w:val="24"/>
          <w:szCs w:val="24"/>
          <w:lang w:val="en-US"/>
        </w:rPr>
        <w:t xml:space="preserve">VI</w:t>
      </w:r>
      <w:r>
        <w:rPr>
          <w:b/>
          <w:sz w:val="24"/>
          <w:szCs w:val="24"/>
        </w:rPr>
        <w:t xml:space="preserve">. Ответственность сторон</w:t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Стороны несут ответственность за ненадлежащее выполнение условий договора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в соответствии с действующим законодательством.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rPr>
          <w:b/>
          <w:bCs/>
          <w:sz w:val="24"/>
          <w:szCs w:val="24"/>
          <w:highlight w:val="none"/>
        </w:rPr>
      </w:pPr>
      <w:bookmarkStart w:id="6" w:name="Par694"/>
      <w:bookmarkStart w:id="7" w:name="Par699"/>
      <w:bookmarkEnd w:id="6"/>
      <w:bookmarkEnd w:id="7"/>
      <w:r>
        <w:rPr>
          <w:b/>
          <w:sz w:val="24"/>
          <w:szCs w:val="24"/>
          <w:lang w:val="en-US"/>
        </w:rPr>
        <w:t xml:space="preserve">VII</w:t>
      </w:r>
      <w:r>
        <w:rPr>
          <w:b/>
          <w:sz w:val="24"/>
          <w:szCs w:val="24"/>
        </w:rPr>
        <w:t xml:space="preserve">. Заключ</w:t>
      </w:r>
      <w:r>
        <w:rPr>
          <w:b/>
          <w:sz w:val="24"/>
          <w:szCs w:val="24"/>
        </w:rPr>
        <w:t xml:space="preserve">ительные положения</w:t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7.1. Спор, возникающий из настоящего договора или в связи с ним, подлежит рассмотрению в Арбитражном суде Пермского края или в суде общей юрисдикции, расположенном на территории города Перми.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Стороны извещаются о рассмотрении дела любым способом, в том числе посредством отправки электронных сообщений, смс-сообщений, по реквизитам сторон, указанным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в настоящем договоре.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7.2. Споры по настоящему договору могут быть переданы на разрешение суда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по истечении 15 календарных дней со дня направления претензии (требования).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7.3. Все уведомления и сообщения направляются сторонами в письменной форме,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а также в электронной форме по телекоммуникационным каналам связи.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7.4. Во всем остальном, что не предусмотрено настоящим договором, стороны руководствуются действующим законодательством.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7.5. Настоящий договор заключается в электронной форме и подписывается усиленной квалифицированной электронной подписью каждой из Сторон.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Стороны признают настоящий договор, подписанный с использованием усиленной квалифицированной электронной подписи, электронным документом, равнозначным документу на бумажном носителе, подписанным собственноручной подписью Сторон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по договору.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Неотъемлемой частью настоящего договора является </w:t>
      </w:r>
      <w:r>
        <w:rPr>
          <w:sz w:val="24"/>
          <w:szCs w:val="24"/>
        </w:rPr>
        <w:t xml:space="preserve">акт приема-передачи земельного участка.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Оплата за земельный участок в сумме, указанной в </w:t>
      </w:r>
      <w:r>
        <w:rPr>
          <w:sz w:val="24"/>
          <w:szCs w:val="24"/>
        </w:rPr>
        <w:t xml:space="preserve">пункте 2.1 настоящего договора,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произведена полностью. Реквизиты документ</w:t>
      </w:r>
      <w:r>
        <w:rPr>
          <w:sz w:val="24"/>
          <w:szCs w:val="24"/>
        </w:rPr>
        <w:t xml:space="preserve">а(</w:t>
      </w:r>
      <w:r>
        <w:rPr>
          <w:sz w:val="24"/>
          <w:szCs w:val="24"/>
        </w:rPr>
        <w:t xml:space="preserve">ов</w:t>
      </w:r>
      <w:r>
        <w:rPr>
          <w:sz w:val="24"/>
          <w:szCs w:val="24"/>
        </w:rPr>
        <w:t xml:space="preserve">), подтверждающего(их)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перечисление денежных сре</w:t>
      </w:r>
      <w:r>
        <w:rPr>
          <w:sz w:val="24"/>
          <w:szCs w:val="24"/>
        </w:rPr>
        <w:t xml:space="preserve">дств </w:t>
      </w:r>
      <w:r>
        <w:rPr>
          <w:sz w:val="24"/>
          <w:szCs w:val="24"/>
        </w:rPr>
        <w:t xml:space="preserve">п</w:t>
      </w:r>
      <w:r>
        <w:rPr>
          <w:sz w:val="24"/>
          <w:szCs w:val="24"/>
        </w:rPr>
        <w:t xml:space="preserve">р</w:t>
      </w:r>
      <w:r>
        <w:rPr>
          <w:sz w:val="24"/>
          <w:szCs w:val="24"/>
        </w:rPr>
        <w:t xml:space="preserve">одавцу___________</w:t>
      </w:r>
      <w:r>
        <w:rPr>
          <w:sz w:val="24"/>
          <w:szCs w:val="24"/>
        </w:rPr>
        <w:t xml:space="preserve">_________________</w:t>
      </w:r>
      <w:r>
        <w:rPr>
          <w:sz w:val="24"/>
          <w:szCs w:val="24"/>
        </w:rPr>
        <w:t xml:space="preserve">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</w:t>
      </w:r>
      <w:r>
        <w:rPr>
          <w:sz w:val="24"/>
          <w:szCs w:val="24"/>
        </w:rPr>
        <w:t xml:space="preserve">______________________________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(наименование, дата, номер)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827"/>
        <w:jc w:val="both"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jc w:val="left"/>
        <w:rPr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XI. Адреса, реквизиты и подписи сторон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</w:rPr>
      </w:r>
    </w:p>
    <w:tbl>
      <w:tblPr>
        <w:tblStyle w:val="1819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4537"/>
        <w:gridCol w:w="5101"/>
      </w:tblGrid>
      <w:tr>
        <w:trPr>
          <w:gridAfter w:val="1"/>
        </w:trPr>
        <w:tblPrEx/>
        <w:tc>
          <w:tcPr>
            <w:tcW w:w="4537" w:type="dxa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top"/>
          </w:tcPr>
          <w:p>
            <w:pPr>
              <w:ind w:firstLine="0"/>
            </w:pPr>
          </w:p>
        </w:tc>
      </w:tr>
      <w:tr>
        <w:trPr/>
        <w:tblPrEx/>
        <w:tc>
          <w:tcPr>
            <w:tcW w:w="4537" w:type="dxa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top"/>
          </w:tcPr>
          <w:p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Продавец: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101" w:type="dxa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top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0" w:after="0" w:line="288" w:lineRule="atLeast"/>
              <w:ind w:left="0" w:right="0" w:firstLine="0"/>
              <w:jc w:val="left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Покупатель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/>
        <w:tblPrEx/>
        <w:tc>
          <w:tcPr>
            <w:tcW w:w="4537" w:type="dxa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top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0" w:after="0" w:line="288" w:lineRule="atLeast"/>
              <w:ind w:left="0" w:right="0" w:firstLine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Департамент земельных отношений администрации города Перми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0" w:after="0" w:line="288" w:lineRule="atLeast"/>
              <w:ind w:left="0" w:right="0" w:firstLine="0"/>
              <w:jc w:val="left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614000, г. Пермь, ул. Сибирская, 15,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0" w:after="0" w:line="288" w:lineRule="atLeast"/>
              <w:ind w:left="0" w:right="0" w:firstLine="0"/>
              <w:jc w:val="left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тел.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212-61-90, 212-28-92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0" w:after="0" w:line="288" w:lineRule="atLeast"/>
              <w:ind w:left="0" w:right="0" w:firstLine="0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5101" w:type="dxa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center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0" w:after="0" w:line="288" w:lineRule="atLeast"/>
              <w:ind w:left="0" w:right="0" w:firstLine="0"/>
              <w:jc w:val="left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____________________________________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0" w:after="0" w:line="288" w:lineRule="atLeast"/>
              <w:ind w:left="0" w:right="0" w:firstLine="0"/>
              <w:jc w:val="left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____________________________________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0" w:after="0"/>
              <w:ind w:left="0" w:right="0" w:firstLine="0"/>
              <w:jc w:val="left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(ФИО, дата рождения)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/>
        <w:tblPrEx/>
        <w:tc>
          <w:tcPr>
            <w:tcW w:w="4537" w:type="dxa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top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0" w:after="0" w:line="288" w:lineRule="atLeast"/>
              <w:ind w:left="0" w:right="0" w:firstLine="0"/>
              <w:jc w:val="left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5101" w:type="dxa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top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0" w:after="0" w:line="288" w:lineRule="atLeast"/>
              <w:ind w:left="0" w:right="0" w:firstLine="0"/>
              <w:jc w:val="left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Адрес регистрации: ____________________________________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0" w:after="0" w:line="288" w:lineRule="atLeast"/>
              <w:ind w:left="0" w:right="0" w:firstLine="0"/>
              <w:jc w:val="left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адрес фактического проживания: ____________________________________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0" w:after="0" w:line="288" w:lineRule="atLeast"/>
              <w:ind w:left="0" w:right="0" w:firstLine="0"/>
              <w:jc w:val="left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паспорт гражданина Российской Федерации: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0" w:after="0" w:line="288" w:lineRule="atLeast"/>
              <w:ind w:left="0" w:right="0" w:firstLine="0"/>
              <w:jc w:val="left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___________________________________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0" w:after="0" w:line="288" w:lineRule="atLeast"/>
              <w:ind w:left="0" w:right="0" w:firstLine="0"/>
              <w:jc w:val="left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выдан: 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0" w:after="0" w:line="288" w:lineRule="atLeast"/>
              <w:ind w:left="0" w:right="0" w:firstLine="0"/>
              <w:jc w:val="left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дата выдачи: 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0" w:after="0" w:line="288" w:lineRule="atLeast"/>
              <w:ind w:left="0" w:right="0" w:firstLine="0"/>
              <w:jc w:val="left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электронная почта: 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0" w:after="0" w:line="288" w:lineRule="atLeast"/>
              <w:ind w:left="0" w:right="0" w:firstLine="0"/>
              <w:jc w:val="left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тел. ________________________________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0" w:after="0" w:line="288" w:lineRule="atLeast"/>
              <w:ind w:left="0" w:right="0" w:firstLine="0"/>
              <w:jc w:val="left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ИНН 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0" w:after="0" w:line="288" w:lineRule="atLeast"/>
              <w:ind w:left="0" w:right="0" w:firstLine="0"/>
              <w:jc w:val="left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СНИЛС 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/>
        <w:tblPrEx/>
        <w:tc>
          <w:tcPr>
            <w:tcW w:w="4537" w:type="dxa"/>
            <w:vMerge w:val="restart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top"/>
          </w:tcPr>
          <w:p/>
        </w:tc>
        <w:tc>
          <w:tcPr>
            <w:tcW w:w="5101" w:type="dxa"/>
            <w:vMerge w:val="restart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top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0" w:after="0" w:line="288" w:lineRule="atLeast"/>
              <w:ind w:left="0" w:right="0" w:firstLine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</w:tr>
    </w:tbl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88" w:lineRule="atLeast"/>
        <w:ind w:left="0" w:right="0" w:firstLine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 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88" w:lineRule="atLeast"/>
        <w:ind w:left="0" w:right="0" w:firstLine="54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Все извещения, повестки и сообщения, направленные по указанному в настоящем разделе почтовому адресу Арендатора, равно как и направленные в электронной форме по телекоммуникационным каналам связи, считаются законно врученными, ему известными.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88" w:lineRule="atLeast"/>
        <w:ind w:left="0" w:right="0" w:firstLine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 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1819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4537"/>
        <w:gridCol w:w="5101"/>
      </w:tblGrid>
      <w:tr>
        <w:trPr/>
        <w:tblPrEx/>
        <w:tc>
          <w:tcPr>
            <w:tcW w:w="4537" w:type="dxa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top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0" w:after="0" w:line="288" w:lineRule="atLeast"/>
              <w:ind w:left="0" w:right="0" w:firstLine="0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Продавец: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0" w:after="0" w:line="288" w:lineRule="atLeast"/>
              <w:ind w:left="0" w:right="0" w:firstLine="0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0" w:after="0"/>
              <w:ind w:left="0" w:right="0" w:firstLine="0"/>
              <w:jc w:val="left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М.П.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5101" w:type="dxa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top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0" w:after="0" w:line="288" w:lineRule="atLeast"/>
              <w:ind w:left="0" w:right="0" w:firstLine="0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Покупатель: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0" w:after="0" w:line="288" w:lineRule="atLeast"/>
              <w:ind w:left="0" w:right="0" w:firstLine="0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0" w:after="0"/>
              <w:ind w:left="0" w:righ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88" w:lineRule="atLeast"/>
        <w:ind w:left="0" w:right="0" w:firstLine="0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sectPr>
      <w:headerReference w:type="default" r:id="rId9"/>
      <w:headerReference w:type="even" r:id="rId10"/>
      <w:footnotePr/>
      <w:endnotePr/>
      <w:type w:val="nextPage"/>
      <w:pgSz w:w="11906" w:h="16838" w:orient="portrait"/>
      <w:pgMar w:top="426" w:right="1134" w:bottom="709" w:left="1134" w:header="709" w:footer="280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</w:endnote>
  <w:endnote w:type="continuationSeparator" w:id="0">
    <w:p>
      <w:r>
        <w:continuationSeparator/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</w:footnote>
  <w:footnote w:type="continuationSeparator" w:id="0">
    <w:p>
      <w:r>
        <w:continuationSeparator/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895230433"/>
      <w:docPartObj>
        <w:docPartGallery w:val="Page Numbers (Top of Page)"/>
        <w:docPartUnique w:val="true"/>
      </w:docPartObj>
      <w:rPr/>
    </w:sdtPr>
    <w:sdtContent>
      <w:p>
        <w:pPr>
          <w:pStyle w:val="1809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3</w:t>
        </w:r>
        <w:r>
          <w:fldChar w:fldCharType="end"/>
        </w:r>
      </w:p>
    </w:sdtContent>
  </w:sdt>
  <w:p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809"/>
    </w:pPr>
  </w:p>
  <w:p/>
  <w:p/>
  <w:p/>
  <w:p/>
  <w:p/>
  <w:p/>
  <w:p/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634">
    <w:name w:val="Heading 1"/>
    <w:basedOn w:val="1804"/>
    <w:next w:val="1804"/>
    <w:link w:val="1635"/>
    <w:uiPriority w:val="9"/>
    <w:qFormat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635">
    <w:name w:val="Heading 1 Char"/>
    <w:basedOn w:val="1806"/>
    <w:link w:val="1634"/>
    <w:uiPriority w:val="9"/>
    <w:rPr>
      <w:rFonts w:ascii="Arial" w:hAnsi="Arial" w:eastAsia="Arial" w:cs="Arial"/>
      <w:sz w:val="40"/>
      <w:szCs w:val="40"/>
    </w:rPr>
  </w:style>
  <w:style w:type="paragraph" w:styleId="1636">
    <w:name w:val="Heading 2"/>
    <w:basedOn w:val="1804"/>
    <w:next w:val="1804"/>
    <w:link w:val="1637"/>
    <w:uiPriority w:val="9"/>
    <w:unhideWhenUsed/>
    <w:qFormat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37">
    <w:name w:val="Heading 2 Char"/>
    <w:basedOn w:val="1806"/>
    <w:link w:val="1636"/>
    <w:uiPriority w:val="9"/>
    <w:rPr>
      <w:rFonts w:ascii="Arial" w:hAnsi="Arial" w:eastAsia="Arial" w:cs="Arial"/>
      <w:sz w:val="34"/>
    </w:rPr>
  </w:style>
  <w:style w:type="character" w:styleId="1638">
    <w:name w:val="Heading 3 Char"/>
    <w:basedOn w:val="1806"/>
    <w:link w:val="1805"/>
    <w:uiPriority w:val="9"/>
    <w:rPr>
      <w:rFonts w:ascii="Arial" w:hAnsi="Arial" w:eastAsia="Arial" w:cs="Arial"/>
      <w:sz w:val="30"/>
      <w:szCs w:val="30"/>
    </w:rPr>
  </w:style>
  <w:style w:type="paragraph" w:styleId="1639">
    <w:name w:val="Heading 4"/>
    <w:basedOn w:val="1804"/>
    <w:next w:val="1804"/>
    <w:link w:val="1640"/>
    <w:uiPriority w:val="9"/>
    <w:unhideWhenUsed/>
    <w:qFormat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640">
    <w:name w:val="Heading 4 Char"/>
    <w:basedOn w:val="1806"/>
    <w:link w:val="1639"/>
    <w:uiPriority w:val="9"/>
    <w:rPr>
      <w:rFonts w:ascii="Arial" w:hAnsi="Arial" w:eastAsia="Arial" w:cs="Arial"/>
      <w:b/>
      <w:bCs/>
      <w:sz w:val="26"/>
      <w:szCs w:val="26"/>
    </w:rPr>
  </w:style>
  <w:style w:type="paragraph" w:styleId="1641">
    <w:name w:val="Heading 5"/>
    <w:basedOn w:val="1804"/>
    <w:next w:val="1804"/>
    <w:link w:val="1642"/>
    <w:uiPriority w:val="9"/>
    <w:unhideWhenUsed/>
    <w:qFormat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1642">
    <w:name w:val="Heading 5 Char"/>
    <w:basedOn w:val="1806"/>
    <w:link w:val="1641"/>
    <w:uiPriority w:val="9"/>
    <w:rPr>
      <w:rFonts w:ascii="Arial" w:hAnsi="Arial" w:eastAsia="Arial" w:cs="Arial"/>
      <w:b/>
      <w:bCs/>
      <w:sz w:val="24"/>
      <w:szCs w:val="24"/>
    </w:rPr>
  </w:style>
  <w:style w:type="paragraph" w:styleId="1643">
    <w:name w:val="Heading 6"/>
    <w:basedOn w:val="1804"/>
    <w:next w:val="1804"/>
    <w:link w:val="1644"/>
    <w:uiPriority w:val="9"/>
    <w:unhideWhenUsed/>
    <w:qFormat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1644">
    <w:name w:val="Heading 6 Char"/>
    <w:basedOn w:val="1806"/>
    <w:link w:val="1643"/>
    <w:uiPriority w:val="9"/>
    <w:rPr>
      <w:rFonts w:ascii="Arial" w:hAnsi="Arial" w:eastAsia="Arial" w:cs="Arial"/>
      <w:b/>
      <w:bCs/>
      <w:sz w:val="22"/>
      <w:szCs w:val="22"/>
    </w:rPr>
  </w:style>
  <w:style w:type="paragraph" w:styleId="1645">
    <w:name w:val="Heading 7"/>
    <w:basedOn w:val="1804"/>
    <w:next w:val="1804"/>
    <w:link w:val="1646"/>
    <w:uiPriority w:val="9"/>
    <w:unhideWhenUsed/>
    <w:qFormat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1646">
    <w:name w:val="Heading 7 Char"/>
    <w:basedOn w:val="1806"/>
    <w:link w:val="164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1647">
    <w:name w:val="Heading 8"/>
    <w:basedOn w:val="1804"/>
    <w:next w:val="1804"/>
    <w:link w:val="1648"/>
    <w:uiPriority w:val="9"/>
    <w:unhideWhenUsed/>
    <w:qFormat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1648">
    <w:name w:val="Heading 8 Char"/>
    <w:basedOn w:val="1806"/>
    <w:link w:val="1647"/>
    <w:uiPriority w:val="9"/>
    <w:rPr>
      <w:rFonts w:ascii="Arial" w:hAnsi="Arial" w:eastAsia="Arial" w:cs="Arial"/>
      <w:i/>
      <w:iCs/>
      <w:sz w:val="22"/>
      <w:szCs w:val="22"/>
    </w:rPr>
  </w:style>
  <w:style w:type="paragraph" w:styleId="1649">
    <w:name w:val="Heading 9"/>
    <w:basedOn w:val="1804"/>
    <w:next w:val="1804"/>
    <w:link w:val="1650"/>
    <w:uiPriority w:val="9"/>
    <w:unhideWhenUsed/>
    <w:qFormat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1650">
    <w:name w:val="Heading 9 Char"/>
    <w:basedOn w:val="1806"/>
    <w:link w:val="1649"/>
    <w:uiPriority w:val="9"/>
    <w:rPr>
      <w:rFonts w:ascii="Arial" w:hAnsi="Arial" w:eastAsia="Arial" w:cs="Arial"/>
      <w:i/>
      <w:iCs/>
      <w:sz w:val="21"/>
      <w:szCs w:val="21"/>
    </w:rPr>
  </w:style>
  <w:style w:type="paragraph" w:styleId="1651">
    <w:name w:val="No Spacing"/>
    <w:uiPriority w:val="1"/>
    <w:qFormat/>
    <w:pPr>
      <w:spacing w:before="0" w:after="0" w:line="240" w:lineRule="auto"/>
    </w:pPr>
  </w:style>
  <w:style w:type="paragraph" w:styleId="1652">
    <w:name w:val="Title"/>
    <w:basedOn w:val="1804"/>
    <w:next w:val="1804"/>
    <w:link w:val="1653"/>
    <w:uiPriority w:val="10"/>
    <w:qFormat/>
    <w:pPr>
      <w:spacing w:before="300" w:after="200"/>
      <w:contextualSpacing/>
    </w:pPr>
    <w:rPr>
      <w:sz w:val="48"/>
      <w:szCs w:val="48"/>
    </w:rPr>
  </w:style>
  <w:style w:type="character" w:styleId="1653">
    <w:name w:val="Title Char"/>
    <w:basedOn w:val="1806"/>
    <w:link w:val="1652"/>
    <w:uiPriority w:val="10"/>
    <w:rPr>
      <w:sz w:val="48"/>
      <w:szCs w:val="48"/>
    </w:rPr>
  </w:style>
  <w:style w:type="paragraph" w:styleId="1654">
    <w:name w:val="Subtitle"/>
    <w:basedOn w:val="1804"/>
    <w:next w:val="1804"/>
    <w:link w:val="1655"/>
    <w:uiPriority w:val="11"/>
    <w:qFormat/>
    <w:pPr>
      <w:spacing w:before="200" w:after="200"/>
    </w:pPr>
    <w:rPr>
      <w:sz w:val="24"/>
      <w:szCs w:val="24"/>
    </w:rPr>
  </w:style>
  <w:style w:type="character" w:styleId="1655">
    <w:name w:val="Subtitle Char"/>
    <w:basedOn w:val="1806"/>
    <w:link w:val="1654"/>
    <w:uiPriority w:val="11"/>
    <w:rPr>
      <w:sz w:val="24"/>
      <w:szCs w:val="24"/>
    </w:rPr>
  </w:style>
  <w:style w:type="paragraph" w:styleId="1656">
    <w:name w:val="Quote"/>
    <w:basedOn w:val="1804"/>
    <w:next w:val="1804"/>
    <w:link w:val="1657"/>
    <w:uiPriority w:val="29"/>
    <w:qFormat/>
    <w:pPr>
      <w:ind w:left="720" w:right="720"/>
    </w:pPr>
    <w:rPr>
      <w:i/>
    </w:rPr>
  </w:style>
  <w:style w:type="character" w:styleId="1657">
    <w:name w:val="Quote Char"/>
    <w:link w:val="1656"/>
    <w:uiPriority w:val="29"/>
    <w:rPr>
      <w:i/>
    </w:rPr>
  </w:style>
  <w:style w:type="paragraph" w:styleId="1658">
    <w:name w:val="Intense Quote"/>
    <w:basedOn w:val="1804"/>
    <w:next w:val="1804"/>
    <w:link w:val="1659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styleId="1659">
    <w:name w:val="Intense Quote Char"/>
    <w:link w:val="1658"/>
    <w:uiPriority w:val="30"/>
    <w:rPr>
      <w:i/>
    </w:rPr>
  </w:style>
  <w:style w:type="character" w:styleId="1660">
    <w:name w:val="Header Char"/>
    <w:basedOn w:val="1806"/>
    <w:link w:val="1809"/>
    <w:uiPriority w:val="99"/>
  </w:style>
  <w:style w:type="character" w:styleId="1661">
    <w:name w:val="Footer Char"/>
    <w:basedOn w:val="1806"/>
    <w:link w:val="1811"/>
    <w:uiPriority w:val="99"/>
  </w:style>
  <w:style w:type="character" w:styleId="1662">
    <w:name w:val="Caption Char"/>
    <w:basedOn w:val="1825"/>
    <w:link w:val="1811"/>
    <w:uiPriority w:val="99"/>
  </w:style>
  <w:style w:type="table" w:styleId="1663">
    <w:name w:val="Table Grid Light"/>
    <w:basedOn w:val="180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664">
    <w:name w:val="Plain Table 1"/>
    <w:basedOn w:val="180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665">
    <w:name w:val="Plain Table 2"/>
    <w:basedOn w:val="180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666">
    <w:name w:val="Plain Table 3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1667">
    <w:name w:val="Plain Table 4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668">
    <w:name w:val="Plain Table 5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1669">
    <w:name w:val="Grid Table 1 Light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670">
    <w:name w:val="Grid Table 1 Light - Accent 1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671">
    <w:name w:val="Grid Table 1 Light - Accent 2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672">
    <w:name w:val="Grid Table 1 Light - Accent 3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673">
    <w:name w:val="Grid Table 1 Light - Accent 4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674">
    <w:name w:val="Grid Table 1 Light - Accent 5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675">
    <w:name w:val="Grid Table 1 Light - Accent 6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676">
    <w:name w:val="Grid Table 2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1677">
    <w:name w:val="Grid Table 2 - Accent 1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1678">
    <w:name w:val="Grid Table 2 - Accent 2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1679">
    <w:name w:val="Grid Table 2 - Accent 3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1680">
    <w:name w:val="Grid Table 2 - Accent 4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1681">
    <w:name w:val="Grid Table 2 - Accent 5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1682">
    <w:name w:val="Grid Table 2 - Accent 6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1683">
    <w:name w:val="Grid Table 3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1684">
    <w:name w:val="Grid Table 3 - Accent 1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1685">
    <w:name w:val="Grid Table 3 - Accent 2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1686">
    <w:name w:val="Grid Table 3 - Accent 3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1687">
    <w:name w:val="Grid Table 3 - Accent 4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1688">
    <w:name w:val="Grid Table 3 - Accent 5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1689">
    <w:name w:val="Grid Table 3 - Accent 6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1690">
    <w:name w:val="Grid Table 4"/>
    <w:basedOn w:val="180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1691">
    <w:name w:val="Grid Table 4 - Accent 1"/>
    <w:basedOn w:val="180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  <w:shd w:val="clear" w:color="ffffff" w:themeColor="accent1" w:themeTint="EA" w:fill="5d8dc2" w:themeFill="accent1" w:themeFillTint="E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1692">
    <w:name w:val="Grid Table 4 - Accent 2"/>
    <w:basedOn w:val="180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1693">
    <w:name w:val="Grid Table 4 - Accent 3"/>
    <w:basedOn w:val="180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  <w:shd w:val="clear" w:color="ffffff" w:themeColor="accent3" w:themeTint="FE" w:fill="9bba59" w:themeFill="accent3" w:themeFillTint="FE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1694">
    <w:name w:val="Grid Table 4 - Accent 4"/>
    <w:basedOn w:val="180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1695">
    <w:name w:val="Grid Table 4 - Accent 5"/>
    <w:basedOn w:val="180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1696">
    <w:name w:val="Grid Table 4 - Accent 6"/>
    <w:basedOn w:val="180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1697">
    <w:name w:val="Grid Table 5 Dark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text1" w:fill="000000" w:themeFill="text1"/>
      </w:tcPr>
    </w:tblStylePr>
  </w:style>
  <w:style w:type="table" w:styleId="1698">
    <w:name w:val="Grid Table 5 Dark- Accent 1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1" w:fill="4f81bd" w:themeFill="accent1"/>
      </w:tcPr>
    </w:tblStylePr>
  </w:style>
  <w:style w:type="table" w:styleId="1699">
    <w:name w:val="Grid Table 5 Dark - Accent 2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2" w:fill="c0504d" w:themeFill="accent2"/>
      </w:tcPr>
    </w:tblStylePr>
  </w:style>
  <w:style w:type="table" w:styleId="1700">
    <w:name w:val="Grid Table 5 Dark - Accent 3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3" w:fill="9bbb59" w:themeFill="accent3"/>
      </w:tcPr>
    </w:tblStylePr>
  </w:style>
  <w:style w:type="table" w:styleId="1701">
    <w:name w:val="Grid Table 5 Dark- Accent 4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4" w:fill="8064a2" w:themeFill="accent4"/>
      </w:tcPr>
    </w:tblStylePr>
  </w:style>
  <w:style w:type="table" w:styleId="1702">
    <w:name w:val="Grid Table 5 Dark - Accent 5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5" w:fill="4bacc6" w:themeFill="accent5"/>
      </w:tcPr>
    </w:tblStylePr>
  </w:style>
  <w:style w:type="table" w:styleId="1703">
    <w:name w:val="Grid Table 5 Dark - Accent 6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6" w:fill="f79646" w:themeFill="accent6"/>
      </w:tcPr>
    </w:tblStylePr>
  </w:style>
  <w:style w:type="table" w:styleId="1704">
    <w:name w:val="Grid Table 6 Colorful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1705">
    <w:name w:val="Grid Table 6 Colorful - Accent 1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1706">
    <w:name w:val="Grid Table 6 Colorful - Accent 2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1707">
    <w:name w:val="Grid Table 6 Colorful - Accent 3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1708">
    <w:name w:val="Grid Table 6 Colorful - Accent 4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1709">
    <w:name w:val="Grid Table 6 Colorful - Accent 5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1710">
    <w:name w:val="Grid Table 6 Colorful - Accent 6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1711">
    <w:name w:val="Grid Table 7 Colorful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  <w:shd w:val="clear" w:color="ffffff"/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1712">
    <w:name w:val="Grid Table 7 Colorful - Accent 1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  <w:shd w:val="clear" w:color="ffffff"/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1713">
    <w:name w:val="Grid Table 7 Colorful - Accent 2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1714">
    <w:name w:val="Grid Table 7 Colorful - Accent 3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  <w:shd w:val="clear" w:color="ffffff"/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1715">
    <w:name w:val="Grid Table 7 Colorful - Accent 4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1716">
    <w:name w:val="Grid Table 7 Colorful - Accent 5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  <w:shd w:val="clear" w:color="ffffff"/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1717">
    <w:name w:val="Grid Table 7 Colorful - Accent 6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  <w:shd w:val="clear" w:color="ffffff"/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1718">
    <w:name w:val="List Table 1 Light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19">
    <w:name w:val="List Table 1 Light - Accent 1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20">
    <w:name w:val="List Table 1 Light - Accent 2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21">
    <w:name w:val="List Table 1 Light - Accent 3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22">
    <w:name w:val="List Table 1 Light - Accent 4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23">
    <w:name w:val="List Table 1 Light - Accent 5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24">
    <w:name w:val="List Table 1 Light - Accent 6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25">
    <w:name w:val="List Table 2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726">
    <w:name w:val="List Table 2 - Accent 1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727">
    <w:name w:val="List Table 2 - Accent 2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728">
    <w:name w:val="List Table 2 - Accent 3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729">
    <w:name w:val="List Table 2 - Accent 4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730">
    <w:name w:val="List Table 2 - Accent 5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731">
    <w:name w:val="List Table 2 - Accent 6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732">
    <w:name w:val="List Table 3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733">
    <w:name w:val="List Table 3 - Accent 1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734">
    <w:name w:val="List Table 3 - Accent 2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735">
    <w:name w:val="List Table 3 - Accent 3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736">
    <w:name w:val="List Table 3 - Accent 4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737">
    <w:name w:val="List Table 3 - Accent 5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738">
    <w:name w:val="List Table 3 - Accent 6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739">
    <w:name w:val="List Table 4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740">
    <w:name w:val="List Table 4 - Accent 1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741">
    <w:name w:val="List Table 4 - Accent 2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742">
    <w:name w:val="List Table 4 - Accent 3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743">
    <w:name w:val="List Table 4 - Accent 4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744">
    <w:name w:val="List Table 4 - Accent 5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745">
    <w:name w:val="List Table 4 - Accent 6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746">
    <w:name w:val="List Table 5 Dark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text1" w:themeTint="80" w:sz="32" w:space="0"/>
          <w:bottom w:val="single" w:color="000000" w:themeColor="light1" w:sz="12" w:space="0"/>
        </w:tcBorders>
        <w:shd w:val="clear" w:color="ffffff" w:themeColor="text1" w:themeTint="80" w:fill="7f7f7f" w:themeFill="text1" w:themeFillTint="80"/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747">
    <w:name w:val="List Table 5 Dark - Accent 1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f81bd" w:themeFill="accent1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1" w:fill="4f81bd" w:themeFill="accent1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f81bd" w:themeFill="accent1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themeColor="accent1" w:fill="4f81bd" w:themeFill="accent1"/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748">
    <w:name w:val="List Table 5 Dark - Accent 2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2" w:themeTint="97" w:sz="32" w:space="0"/>
          <w:bottom w:val="single" w:color="000000" w:themeColor="light1" w:sz="12" w:space="0"/>
        </w:tcBorders>
        <w:shd w:val="clear" w:color="ffffff" w:themeColor="accent2" w:themeTint="97" w:fill="d99694" w:themeFill="accent2" w:themeFillTint="97"/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749">
    <w:name w:val="List Table 5 Dark - Accent 3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3" w:themeTint="98" w:sz="32" w:space="0"/>
          <w:bottom w:val="single" w:color="000000" w:themeColor="light1" w:sz="12" w:space="0"/>
        </w:tcBorders>
        <w:shd w:val="clear" w:color="ffffff" w:themeColor="accent3" w:themeTint="98" w:fill="c3d69b" w:themeFill="accent3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750">
    <w:name w:val="List Table 5 Dark - Accent 4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4" w:themeTint="9A" w:sz="32" w:space="0"/>
          <w:bottom w:val="single" w:color="000000" w:themeColor="light1" w:sz="12" w:space="0"/>
        </w:tcBorders>
        <w:shd w:val="clear" w:color="ffffff" w:themeColor="accent4" w:themeTint="9A" w:fill="b2a1c6" w:themeFill="accent4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751">
    <w:name w:val="List Table 5 Dark - Accent 5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5" w:themeTint="9A" w:sz="32" w:space="0"/>
          <w:bottom w:val="single" w:color="000000" w:themeColor="light1" w:sz="12" w:space="0"/>
        </w:tcBorders>
        <w:shd w:val="clear" w:color="ffffff" w:themeColor="accent5" w:themeTint="9A" w:fill="91cddc" w:themeFill="accent5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752">
    <w:name w:val="List Table 5 Dark - Accent 6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6" w:themeTint="98" w:sz="32" w:space="0"/>
          <w:bottom w:val="single" w:color="000000" w:themeColor="light1" w:sz="12" w:space="0"/>
        </w:tcBorders>
        <w:shd w:val="clear" w:color="ffffff" w:themeColor="accent6" w:themeTint="98" w:fill="f9bf90" w:themeFill="accent6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753">
    <w:name w:val="List Table 6 Colorful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754">
    <w:name w:val="List Table 6 Colorful - Accent 1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755">
    <w:name w:val="List Table 6 Colorful - Accent 2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756">
    <w:name w:val="List Table 6 Colorful - Accent 3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757">
    <w:name w:val="List Table 6 Colorful - Accent 4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758">
    <w:name w:val="List Table 6 Colorful - Accent 5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759">
    <w:name w:val="List Table 6 Colorful - Accent 6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760">
    <w:name w:val="List Table 7 Colorful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  <w:shd w:val="clear" w:color="ffffff"/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761">
    <w:name w:val="List Table 7 Colorful - Accent 1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762">
    <w:name w:val="List Table 7 Colorful - Accent 2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763">
    <w:name w:val="List Table 7 Colorful - Accent 3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  <w:shd w:val="clear" w:color="ffffff"/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764">
    <w:name w:val="List Table 7 Colorful - Accent 4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765">
    <w:name w:val="List Table 7 Colorful - Accent 5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  <w:shd w:val="clear" w:color="ffffff"/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766">
    <w:name w:val="List Table 7 Colorful - Accent 6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  <w:shd w:val="clear" w:color="ffffff"/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767">
    <w:name w:val="Lined - Accent"/>
    <w:basedOn w:val="18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768">
    <w:name w:val="Lined - Accent 1"/>
    <w:basedOn w:val="18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769">
    <w:name w:val="Lined - Accent 2"/>
    <w:basedOn w:val="18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770">
    <w:name w:val="Lined - Accent 3"/>
    <w:basedOn w:val="18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771">
    <w:name w:val="Lined - Accent 4"/>
    <w:basedOn w:val="18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772">
    <w:name w:val="Lined - Accent 5"/>
    <w:basedOn w:val="18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773">
    <w:name w:val="Lined - Accent 6"/>
    <w:basedOn w:val="18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774">
    <w:name w:val="Bordered &amp; Lined - Accent"/>
    <w:basedOn w:val="18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775">
    <w:name w:val="Bordered &amp; Lined - Accent 1"/>
    <w:basedOn w:val="18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776">
    <w:name w:val="Bordered &amp; Lined - Accent 2"/>
    <w:basedOn w:val="18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777">
    <w:name w:val="Bordered &amp; Lined - Accent 3"/>
    <w:basedOn w:val="18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778">
    <w:name w:val="Bordered &amp; Lined - Accent 4"/>
    <w:basedOn w:val="18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779">
    <w:name w:val="Bordered &amp; Lined - Accent 5"/>
    <w:basedOn w:val="18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780">
    <w:name w:val="Bordered &amp; Lined - Accent 6"/>
    <w:basedOn w:val="18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781">
    <w:name w:val="Bordered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782">
    <w:name w:val="Bordered - Accent 1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83">
    <w:name w:val="Bordered - Accent 2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84">
    <w:name w:val="Bordered - Accent 3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85">
    <w:name w:val="Bordered - Accent 4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86">
    <w:name w:val="Bordered - Accent 5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87">
    <w:name w:val="Bordered - Accent 6"/>
    <w:basedOn w:val="18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88">
    <w:name w:val="Hyperlink"/>
    <w:uiPriority w:val="99"/>
    <w:unhideWhenUsed/>
    <w:rPr>
      <w:color w:val="0000ff" w:themeColor="hyperlink"/>
      <w:u w:val="single"/>
    </w:rPr>
  </w:style>
  <w:style w:type="character" w:styleId="1789">
    <w:name w:val="Footnote Text Char"/>
    <w:link w:val="1815"/>
    <w:uiPriority w:val="99"/>
    <w:rPr>
      <w:sz w:val="18"/>
    </w:rPr>
  </w:style>
  <w:style w:type="paragraph" w:styleId="1790">
    <w:name w:val="endnote text"/>
    <w:basedOn w:val="1804"/>
    <w:link w:val="1791"/>
    <w:uiPriority w:val="99"/>
    <w:semiHidden/>
    <w:unhideWhenUsed/>
    <w:pPr>
      <w:spacing w:after="0" w:line="240" w:lineRule="auto"/>
    </w:pPr>
    <w:rPr>
      <w:sz w:val="20"/>
    </w:rPr>
  </w:style>
  <w:style w:type="character" w:styleId="1791">
    <w:name w:val="Endnote Text Char"/>
    <w:link w:val="1790"/>
    <w:uiPriority w:val="99"/>
    <w:rPr>
      <w:sz w:val="20"/>
    </w:rPr>
  </w:style>
  <w:style w:type="character" w:styleId="1792">
    <w:name w:val="endnote reference"/>
    <w:basedOn w:val="1806"/>
    <w:uiPriority w:val="99"/>
    <w:semiHidden/>
    <w:unhideWhenUsed/>
    <w:rPr>
      <w:vertAlign w:val="superscript"/>
    </w:rPr>
  </w:style>
  <w:style w:type="paragraph" w:styleId="1793">
    <w:name w:val="toc 1"/>
    <w:basedOn w:val="1804"/>
    <w:next w:val="1804"/>
    <w:uiPriority w:val="39"/>
    <w:unhideWhenUsed/>
    <w:pPr>
      <w:spacing w:after="57"/>
      <w:ind w:left="0" w:right="0" w:firstLine="0"/>
    </w:pPr>
  </w:style>
  <w:style w:type="paragraph" w:styleId="1794">
    <w:name w:val="toc 2"/>
    <w:basedOn w:val="1804"/>
    <w:next w:val="1804"/>
    <w:uiPriority w:val="39"/>
    <w:unhideWhenUsed/>
    <w:pPr>
      <w:spacing w:after="57"/>
      <w:ind w:left="283" w:right="0" w:firstLine="0"/>
    </w:pPr>
  </w:style>
  <w:style w:type="paragraph" w:styleId="1795">
    <w:name w:val="toc 3"/>
    <w:basedOn w:val="1804"/>
    <w:next w:val="1804"/>
    <w:uiPriority w:val="39"/>
    <w:unhideWhenUsed/>
    <w:pPr>
      <w:spacing w:after="57"/>
      <w:ind w:left="567" w:right="0" w:firstLine="0"/>
    </w:pPr>
  </w:style>
  <w:style w:type="paragraph" w:styleId="1796">
    <w:name w:val="toc 4"/>
    <w:basedOn w:val="1804"/>
    <w:next w:val="1804"/>
    <w:uiPriority w:val="39"/>
    <w:unhideWhenUsed/>
    <w:pPr>
      <w:spacing w:after="57"/>
      <w:ind w:left="850" w:right="0" w:firstLine="0"/>
    </w:pPr>
  </w:style>
  <w:style w:type="paragraph" w:styleId="1797">
    <w:name w:val="toc 5"/>
    <w:basedOn w:val="1804"/>
    <w:next w:val="1804"/>
    <w:uiPriority w:val="39"/>
    <w:unhideWhenUsed/>
    <w:pPr>
      <w:spacing w:after="57"/>
      <w:ind w:left="1134" w:right="0" w:firstLine="0"/>
    </w:pPr>
  </w:style>
  <w:style w:type="paragraph" w:styleId="1798">
    <w:name w:val="toc 6"/>
    <w:basedOn w:val="1804"/>
    <w:next w:val="1804"/>
    <w:uiPriority w:val="39"/>
    <w:unhideWhenUsed/>
    <w:pPr>
      <w:spacing w:after="57"/>
      <w:ind w:left="1417" w:right="0" w:firstLine="0"/>
    </w:pPr>
  </w:style>
  <w:style w:type="paragraph" w:styleId="1799">
    <w:name w:val="toc 7"/>
    <w:basedOn w:val="1804"/>
    <w:next w:val="1804"/>
    <w:uiPriority w:val="39"/>
    <w:unhideWhenUsed/>
    <w:pPr>
      <w:spacing w:after="57"/>
      <w:ind w:left="1701" w:right="0" w:firstLine="0"/>
    </w:pPr>
  </w:style>
  <w:style w:type="paragraph" w:styleId="1800">
    <w:name w:val="toc 8"/>
    <w:basedOn w:val="1804"/>
    <w:next w:val="1804"/>
    <w:uiPriority w:val="39"/>
    <w:unhideWhenUsed/>
    <w:pPr>
      <w:spacing w:after="57"/>
      <w:ind w:left="1984" w:right="0" w:firstLine="0"/>
    </w:pPr>
  </w:style>
  <w:style w:type="paragraph" w:styleId="1801">
    <w:name w:val="toc 9"/>
    <w:basedOn w:val="1804"/>
    <w:next w:val="1804"/>
    <w:uiPriority w:val="39"/>
    <w:unhideWhenUsed/>
    <w:pPr>
      <w:spacing w:after="57"/>
      <w:ind w:left="2268" w:right="0" w:firstLine="0"/>
    </w:pPr>
  </w:style>
  <w:style w:type="paragraph" w:styleId="1802">
    <w:name w:val="TOC Heading"/>
    <w:uiPriority w:val="39"/>
    <w:unhideWhenUsed/>
  </w:style>
  <w:style w:type="paragraph" w:styleId="1803">
    <w:name w:val="table of figures"/>
    <w:basedOn w:val="1804"/>
    <w:next w:val="1804"/>
    <w:uiPriority w:val="99"/>
    <w:unhideWhenUsed/>
    <w:pPr>
      <w:spacing w:after="0" w:afterAutospacing="0"/>
    </w:pPr>
  </w:style>
  <w:style w:type="paragraph" w:styleId="1804" w:default="1">
    <w:name w:val="Normal"/>
    <w:qFormat/>
    <w:pPr>
      <w:spacing w:after="0" w:line="240" w:lineRule="auto"/>
      <w:ind w:firstLine="708"/>
      <w:jc w:val="both"/>
    </w:pPr>
    <w:rPr>
      <w:rFonts w:ascii="Times New Roman" w:hAnsi="Times New Roman" w:cs="Times New Roman"/>
      <w:szCs w:val="20"/>
    </w:rPr>
  </w:style>
  <w:style w:type="paragraph" w:styleId="1805">
    <w:name w:val="Heading 3"/>
    <w:basedOn w:val="1804"/>
    <w:next w:val="1804"/>
    <w:link w:val="1820"/>
    <w:uiPriority w:val="99"/>
    <w:qFormat/>
    <w:pPr>
      <w:keepNext/>
      <w:ind w:firstLine="0"/>
      <w:jc w:val="center"/>
      <w:outlineLvl w:val="2"/>
    </w:pPr>
    <w:rPr>
      <w:b/>
      <w:bCs/>
      <w:szCs w:val="22"/>
    </w:rPr>
  </w:style>
  <w:style w:type="character" w:styleId="1806" w:default="1">
    <w:name w:val="Default Paragraph Font"/>
    <w:uiPriority w:val="1"/>
    <w:semiHidden/>
    <w:unhideWhenUsed/>
  </w:style>
  <w:style w:type="table" w:styleId="180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808" w:default="1">
    <w:name w:val="No List"/>
    <w:uiPriority w:val="99"/>
    <w:semiHidden/>
    <w:unhideWhenUsed/>
  </w:style>
  <w:style w:type="paragraph" w:styleId="1809">
    <w:name w:val="Header"/>
    <w:basedOn w:val="1804"/>
    <w:link w:val="1810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1810" w:customStyle="1">
    <w:name w:val="Верхний колонтитул Знак"/>
    <w:basedOn w:val="1806"/>
    <w:link w:val="1809"/>
    <w:uiPriority w:val="99"/>
    <w:rPr>
      <w:rFonts w:ascii="Times New Roman" w:hAnsi="Times New Roman" w:eastAsia="Times New Roman" w:cs="Times New Roman"/>
      <w:sz w:val="28"/>
      <w:szCs w:val="24"/>
      <w:lang w:eastAsia="ru-RU"/>
    </w:rPr>
  </w:style>
  <w:style w:type="paragraph" w:styleId="1811">
    <w:name w:val="Footer"/>
    <w:basedOn w:val="1804"/>
    <w:link w:val="1812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1812" w:customStyle="1">
    <w:name w:val="Нижний колонтитул Знак"/>
    <w:basedOn w:val="1806"/>
    <w:link w:val="1811"/>
    <w:uiPriority w:val="99"/>
    <w:rPr>
      <w:rFonts w:ascii="Times New Roman" w:hAnsi="Times New Roman" w:eastAsia="Times New Roman" w:cs="Times New Roman"/>
      <w:sz w:val="28"/>
      <w:szCs w:val="24"/>
      <w:lang w:eastAsia="ru-RU"/>
    </w:rPr>
  </w:style>
  <w:style w:type="paragraph" w:styleId="1813">
    <w:name w:val="Body Text Indent 2"/>
    <w:basedOn w:val="1804"/>
    <w:link w:val="1814"/>
    <w:uiPriority w:val="99"/>
    <w:unhideWhenUsed/>
    <w:pPr>
      <w:spacing w:after="120" w:line="480" w:lineRule="auto"/>
      <w:ind w:left="283" w:firstLine="0"/>
      <w:jc w:val="left"/>
    </w:pPr>
    <w:rPr>
      <w:sz w:val="24"/>
    </w:rPr>
  </w:style>
  <w:style w:type="character" w:styleId="1814" w:customStyle="1">
    <w:name w:val="Основной текст с отступом 2 Знак"/>
    <w:basedOn w:val="1806"/>
    <w:link w:val="1813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815">
    <w:name w:val="footnote text"/>
    <w:basedOn w:val="1804"/>
    <w:link w:val="1816"/>
    <w:uiPriority w:val="99"/>
    <w:unhideWhenUsed/>
    <w:pPr>
      <w:ind w:firstLine="0"/>
      <w:jc w:val="left"/>
    </w:pPr>
    <w:rPr>
      <w:rFonts w:asciiTheme="minorHAnsi" w:hAnsiTheme="minorHAnsi" w:cstheme="minorBidi"/>
      <w:sz w:val="20"/>
    </w:rPr>
  </w:style>
  <w:style w:type="character" w:styleId="1816" w:customStyle="1">
    <w:name w:val="Текст сноски Знак"/>
    <w:basedOn w:val="1806"/>
    <w:link w:val="1815"/>
    <w:uiPriority w:val="99"/>
    <w:rPr>
      <w:sz w:val="20"/>
      <w:szCs w:val="20"/>
    </w:rPr>
  </w:style>
  <w:style w:type="character" w:styleId="1817">
    <w:name w:val="footnote reference"/>
    <w:uiPriority w:val="99"/>
    <w:unhideWhenUsed/>
    <w:rPr>
      <w:vertAlign w:val="superscript"/>
    </w:rPr>
  </w:style>
  <w:style w:type="table" w:styleId="1818" w:customStyle="1">
    <w:name w:val="Сетка таблицы1"/>
    <w:basedOn w:val="1807"/>
    <w:next w:val="1819"/>
    <w:uiPriority w:val="59"/>
    <w:pPr>
      <w:spacing w:after="0" w:line="240" w:lineRule="auto"/>
    </w:pPr>
    <w:rPr>
      <w:rFonts w:ascii="Times New Roman" w:hAnsi="Times New Roman" w:eastAsia="Times New Roman" w:cs="Times New Roman"/>
      <w:lang w:eastAsia="ru-RU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819">
    <w:name w:val="Table Grid"/>
    <w:basedOn w:val="180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1820" w:customStyle="1">
    <w:name w:val="Заголовок 3 Знак"/>
    <w:basedOn w:val="1806"/>
    <w:link w:val="1805"/>
    <w:uiPriority w:val="99"/>
    <w:rPr>
      <w:rFonts w:ascii="Times New Roman" w:hAnsi="Times New Roman" w:eastAsia="Times New Roman" w:cs="Times New Roman"/>
      <w:b/>
      <w:bCs/>
      <w:lang w:eastAsia="ru-RU"/>
    </w:rPr>
  </w:style>
  <w:style w:type="paragraph" w:styleId="1821">
    <w:name w:val="Body Text 2"/>
    <w:basedOn w:val="1804"/>
    <w:link w:val="1822"/>
    <w:uiPriority w:val="99"/>
    <w:semiHidden/>
    <w:pPr>
      <w:spacing w:after="120" w:line="480" w:lineRule="auto"/>
      <w:ind w:firstLine="0"/>
    </w:pPr>
    <w:rPr>
      <w:sz w:val="24"/>
    </w:rPr>
  </w:style>
  <w:style w:type="character" w:styleId="1822" w:customStyle="1">
    <w:name w:val="Основной текст 2 Знак"/>
    <w:basedOn w:val="1806"/>
    <w:link w:val="1821"/>
    <w:uiPriority w:val="99"/>
    <w:semiHidden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823">
    <w:name w:val="Body Text"/>
    <w:basedOn w:val="1804"/>
    <w:link w:val="1824"/>
    <w:uiPriority w:val="99"/>
    <w:semiHidden/>
    <w:pPr>
      <w:spacing w:after="120" w:line="276" w:lineRule="auto"/>
      <w:ind w:firstLine="0"/>
    </w:pPr>
    <w:rPr>
      <w:sz w:val="24"/>
    </w:rPr>
  </w:style>
  <w:style w:type="character" w:styleId="1824" w:customStyle="1">
    <w:name w:val="Основной текст Знак"/>
    <w:basedOn w:val="1806"/>
    <w:link w:val="1823"/>
    <w:uiPriority w:val="99"/>
    <w:semiHidden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825">
    <w:name w:val="Caption"/>
    <w:basedOn w:val="1804"/>
    <w:next w:val="1804"/>
    <w:uiPriority w:val="99"/>
    <w:qFormat/>
    <w:pPr>
      <w:ind w:firstLine="0"/>
      <w:jc w:val="center"/>
    </w:pPr>
    <w:rPr>
      <w:b/>
      <w:bCs/>
      <w:szCs w:val="28"/>
    </w:rPr>
  </w:style>
  <w:style w:type="paragraph" w:styleId="1826">
    <w:name w:val="List Paragraph"/>
    <w:basedOn w:val="1804"/>
    <w:uiPriority w:val="34"/>
    <w:qFormat/>
    <w:pPr>
      <w:ind w:left="720"/>
      <w:contextualSpacing/>
    </w:pPr>
  </w:style>
  <w:style w:type="paragraph" w:styleId="1827" w:customStyle="1">
    <w:name w:val="ConsPlusNormal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1828">
    <w:name w:val="Balloon Text"/>
    <w:basedOn w:val="1804"/>
    <w:link w:val="1829"/>
    <w:uiPriority w:val="99"/>
    <w:semiHidden/>
    <w:unhideWhenUsed/>
    <w:rPr>
      <w:rFonts w:ascii="Tahoma" w:hAnsi="Tahoma" w:cs="Tahoma"/>
      <w:sz w:val="16"/>
      <w:szCs w:val="16"/>
    </w:rPr>
  </w:style>
  <w:style w:type="character" w:styleId="1829" w:customStyle="1">
    <w:name w:val="Текст выноски Знак"/>
    <w:basedOn w:val="1806"/>
    <w:link w:val="1828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character" w:styleId="1830" w:customStyle="1">
    <w:name w:val="Strong"/>
    <w:uiPriority w:val="22"/>
    <w:qFormat/>
    <w:rPr>
      <w:rFonts w:ascii="Times New Roman" w:hAnsi="Times New Roman" w:cs="Times New Roman"/>
      <w:b/>
      <w:bCs w:val="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769DA7-186E-4F5D-A695-B0BC58AE1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Company>HP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chetina-yui</cp:lastModifiedBy>
  <cp:revision>169</cp:revision>
  <dcterms:created xsi:type="dcterms:W3CDTF">2023-11-30T07:40:00Z</dcterms:created>
  <dcterms:modified xsi:type="dcterms:W3CDTF">2026-06-22T09:59:45Z</dcterms:modified>
</cp:coreProperties>
</file>