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0"/>
        <w:ind w:left="1134" w:right="-261" w:hanging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1"/>
        <w:numPr>
          <w:ilvl w:val="0"/>
          <w:numId w:val="0"/>
        </w:numPr>
        <w:ind w:left="0" w:firstLine="5670"/>
        <w:jc w:val="both"/>
        <w:spacing w:line="240" w:lineRule="exact"/>
        <w:tabs>
          <w:tab w:val="clear" w:pos="708" w:leader="none"/>
          <w:tab w:val="left" w:pos="4732" w:leader="none"/>
          <w:tab w:val="left" w:pos="5812" w:leader="none"/>
        </w:tabs>
        <w:outlineLvl w:val="5"/>
      </w:pPr>
      <w:r>
        <w:rPr>
          <w:bCs/>
          <w:sz w:val="28"/>
          <w:szCs w:val="28"/>
        </w:rPr>
        <w:t xml:space="preserve">Приложение 2</w:t>
      </w:r>
      <w:r/>
    </w:p>
    <w:p>
      <w:pPr>
        <w:pStyle w:val="691"/>
        <w:ind w:left="5664" w:firstLine="6"/>
        <w:spacing w:line="240" w:lineRule="exact"/>
        <w:tabs>
          <w:tab w:val="clear" w:pos="708" w:leader="none"/>
          <w:tab w:val="left" w:pos="4732" w:leader="none"/>
        </w:tabs>
      </w:pPr>
      <w:r>
        <w:rPr>
          <w:sz w:val="28"/>
          <w:szCs w:val="28"/>
        </w:rPr>
        <w:t xml:space="preserve">к приказу начальника департамента имущественных отношений</w:t>
      </w:r>
      <w:r/>
    </w:p>
    <w:p>
      <w:pPr>
        <w:pStyle w:val="691"/>
        <w:ind w:firstLine="5670"/>
        <w:spacing w:line="240" w:lineRule="exact"/>
        <w:tabs>
          <w:tab w:val="clear" w:pos="708" w:leader="none"/>
          <w:tab w:val="left" w:pos="4732" w:leader="none"/>
        </w:tabs>
      </w:pPr>
      <w:r>
        <w:rPr>
          <w:sz w:val="28"/>
          <w:szCs w:val="28"/>
        </w:rPr>
        <w:t xml:space="preserve">администрации города Перми</w:t>
      </w:r>
      <w:r/>
    </w:p>
    <w:p>
      <w:pPr>
        <w:pStyle w:val="691"/>
        <w:ind w:firstLine="5670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29.07.2026 № 059-19-01-11-122</w:t>
      </w:r>
      <w:r>
        <w:rPr>
          <w:sz w:val="28"/>
          <w:szCs w:val="28"/>
          <w:highlight w:val="none"/>
        </w:rPr>
      </w:r>
    </w:p>
    <w:p>
      <w:pPr>
        <w:ind w:firstLine="5670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0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0"/>
        <w:ind w:left="1134" w:hanging="1134"/>
        <w:jc w:val="center"/>
        <w:spacing w:line="240" w:lineRule="exact"/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Извещение о проведении 27.08.2026 электронных аукционов по продаже </w:t>
      </w:r>
      <w:r/>
    </w:p>
    <w:p>
      <w:pPr>
        <w:pStyle w:val="810"/>
        <w:ind w:left="1134" w:hanging="1134"/>
        <w:jc w:val="center"/>
        <w:spacing w:line="240" w:lineRule="exact"/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земельных участков</w:t>
      </w:r>
      <w:r/>
    </w:p>
    <w:p>
      <w:pPr>
        <w:pStyle w:val="81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ffffff"/>
        </w:rPr>
        <w:t xml:space="preserve">Электронные аукционы по продаже земельных участков (далее – аукционы) проводятся                                 в соответствии со статьями 39.11, 39.12, 39.13, 39.18 Земельного кодекса Российской Федерац</w:t>
      </w:r>
      <w:r>
        <w:rPr>
          <w:shd w:val="clear" w:color="auto" w:fill="ffffff"/>
        </w:rPr>
        <w:t xml:space="preserve">ии,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по проведению ау</w:t>
      </w:r>
      <w:r>
        <w:rPr>
          <w:shd w:val="clear" w:color="auto" w:fill="ffffff"/>
        </w:rPr>
        <w:t xml:space="preserve">кционов по продаже земельных участков, находящихся в муниципальной собственности города Перми,                           и участков, собственность на которые не разграничена, объектов незавершенного строительства, расположенных на земельных участках, наход</w:t>
      </w:r>
      <w:r>
        <w:rPr>
          <w:shd w:val="clear" w:color="auto" w:fill="ffffff"/>
        </w:rPr>
        <w:t xml:space="preserve">ящихся  в муниципальной собственности города Перми, и участках, собственность на которые  не разграничена, или на право заключения договоров аренды земельных участков, находящихся в муниципальной собственности города Перми,                                 </w:t>
      </w:r>
      <w:r>
        <w:rPr>
          <w:rFonts w:eastAsia="Droid Sans Fallback" w:cs="Lohit Devanagari"/>
          <w:color w:val="000000"/>
          <w:sz w:val="24"/>
          <w:szCs w:val="24"/>
          <w:shd w:val="clear" w:color="auto" w:fill="ffffff"/>
          <w:lang w:val="ru-RU" w:eastAsia="zh-CN" w:bidi="ar-SA"/>
        </w:rPr>
        <w:t xml:space="preserve">и участков, собственность на которые не разграничена» (далее – комиссия), регламентом работы электронной площадки АО «Сбербанк-АСТ», регламентом работы торговой секции </w:t>
        <w:br/>
        <w:t xml:space="preserve">АО «Сбербанк-АСТ».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outlineLvl w:val="0"/>
      </w:pPr>
      <w:r>
        <w:rPr>
          <w:b/>
          <w:bCs/>
        </w:rPr>
        <w:t xml:space="preserve">Орган, принявший решение о проведении аукционов: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774"/>
          <w:bCs/>
          <w:sz w:val="24"/>
          <w:szCs w:val="24"/>
          <w:lang w:val="en-US"/>
        </w:rPr>
        <w:t xml:space="preserve">dzo@perm.permkrai.ru.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outlineLvl w:val="0"/>
      </w:pPr>
      <w:r>
        <w:rPr>
          <w:b/>
          <w:bCs/>
        </w:rPr>
        <w:t xml:space="preserve">Организатор аукциона </w:t>
      </w:r>
      <w:r>
        <w:rPr>
          <w:bCs/>
        </w:rPr>
        <w:t xml:space="preserve"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 xml:space="preserve">депар</w:t>
      </w:r>
      <w:r>
        <w:rPr>
          <w:bCs/>
        </w:rPr>
        <w:t xml:space="preserve">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 xml:space="preserve">dio</w:t>
      </w:r>
      <w:r>
        <w:rPr>
          <w:sz w:val="24"/>
          <w:szCs w:val="24"/>
        </w:rPr>
        <w:t xml:space="preserve">@</w:t>
      </w:r>
      <w:r>
        <w:rPr>
          <w:sz w:val="24"/>
          <w:szCs w:val="24"/>
          <w:lang w:val="en-US"/>
        </w:rPr>
        <w:t xml:space="preserve">perm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permkrai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b/>
          <w:bCs/>
          <w:sz w:val="24"/>
          <w:szCs w:val="24"/>
        </w:rPr>
        <w:t xml:space="preserve">.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rPr>
          <w:sz w:val="24"/>
          <w:szCs w:val="24"/>
        </w:rPr>
        <w:outlineLvl w:val="0"/>
      </w:pPr>
      <w:r>
        <w:rPr>
          <w:b/>
          <w:bCs/>
        </w:rPr>
        <w:t xml:space="preserve">Реквизиты приказа об организации проведения аукционов: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29</w:t>
      </w:r>
      <w:r>
        <w:rPr>
          <w:bCs/>
          <w:sz w:val="24"/>
          <w:szCs w:val="24"/>
        </w:rPr>
        <w:t xml:space="preserve">.07.2026 № 059-19-01-11-122.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20"/>
        <w:numPr>
          <w:ilvl w:val="0"/>
          <w:numId w:val="0"/>
        </w:numPr>
        <w:ind w:left="-567" w:firstLine="567"/>
        <w:jc w:val="both"/>
        <w:spacing w:before="0" w:after="0"/>
        <w:outlineLvl w:val="0"/>
      </w:pPr>
      <w:r>
        <w:rPr>
          <w:sz w:val="24"/>
          <w:szCs w:val="24"/>
          <w:lang w:val="ru-RU"/>
        </w:rPr>
        <w:t xml:space="preserve">Извещение о проведение электронного аукциона размещается на официальном сайте Российской Федерации для размещения информации о проведении торгов </w:t>
      </w:r>
      <w:hyperlink r:id="rId11" w:tooltip="http://www.torgi.gov.ru/" w:history="1">
        <w:r>
          <w:rPr>
            <w:rStyle w:val="774"/>
            <w:color w:val="000000"/>
            <w:sz w:val="24"/>
            <w:szCs w:val="24"/>
            <w:u w:val="none"/>
          </w:rPr>
          <w:t xml:space="preserve">www</w:t>
        </w:r>
        <w:r>
          <w:rPr>
            <w:rStyle w:val="774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74"/>
            <w:color w:val="000000"/>
            <w:sz w:val="24"/>
            <w:szCs w:val="24"/>
            <w:u w:val="none"/>
          </w:rPr>
          <w:t xml:space="preserve">torgi</w:t>
        </w:r>
        <w:r>
          <w:rPr>
            <w:rStyle w:val="774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74"/>
            <w:color w:val="000000"/>
            <w:sz w:val="24"/>
            <w:szCs w:val="24"/>
            <w:u w:val="none"/>
          </w:rPr>
          <w:t xml:space="preserve">gov</w:t>
        </w:r>
        <w:r>
          <w:rPr>
            <w:rStyle w:val="774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74"/>
            <w:color w:val="000000"/>
            <w:sz w:val="24"/>
            <w:szCs w:val="24"/>
            <w:u w:val="none"/>
          </w:rPr>
          <w:t xml:space="preserve">ru</w:t>
        </w:r>
      </w:hyperlink>
      <w:r>
        <w:rPr>
          <w:color w:val="000000"/>
          <w:sz w:val="24"/>
          <w:szCs w:val="24"/>
          <w:u w:val="none"/>
        </w:rPr>
        <w:t xml:space="preserve"> (далее – ГИС Торги)</w:t>
      </w:r>
      <w:r>
        <w:rPr>
          <w:b/>
          <w:sz w:val="24"/>
          <w:szCs w:val="24"/>
          <w:lang w:val="ru-RU"/>
        </w:rPr>
        <w:t xml:space="preserve"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в информационно-телекоммуникационной сети «Интернет» </w:t>
      </w:r>
      <w:hyperlink r:id="rId12" w:tooltip="http://www.gorodperm.ru/" w:history="1">
        <w:r>
          <w:rPr>
            <w:rStyle w:val="774"/>
            <w:color w:val="000000"/>
            <w:sz w:val="24"/>
            <w:szCs w:val="24"/>
            <w:u w:val="none"/>
          </w:rPr>
          <w:t xml:space="preserve">www</w:t>
        </w:r>
        <w:r>
          <w:rPr>
            <w:rStyle w:val="774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74"/>
            <w:color w:val="000000"/>
            <w:sz w:val="24"/>
            <w:szCs w:val="24"/>
            <w:u w:val="none"/>
          </w:rPr>
          <w:t xml:space="preserve">gorodperm</w:t>
        </w:r>
        <w:r>
          <w:rPr>
            <w:rStyle w:val="774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74"/>
            <w:color w:val="000000"/>
            <w:sz w:val="24"/>
            <w:szCs w:val="24"/>
            <w:u w:val="none"/>
          </w:rPr>
          <w:t xml:space="preserve"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13" w:tooltip="http://utp.sberbank-ast.ru/" w:history="1">
        <w:r>
          <w:rPr>
            <w:rStyle w:val="774"/>
            <w:sz w:val="24"/>
            <w:szCs w:val="24"/>
          </w:rPr>
          <w:t xml:space="preserve">http</w:t>
        </w:r>
        <w:r>
          <w:rPr>
            <w:rStyle w:val="774"/>
            <w:sz w:val="24"/>
            <w:szCs w:val="24"/>
            <w:lang w:val="ru-RU"/>
          </w:rPr>
          <w:t xml:space="preserve">://</w:t>
        </w:r>
        <w:r>
          <w:rPr>
            <w:rStyle w:val="774"/>
            <w:sz w:val="24"/>
            <w:szCs w:val="24"/>
          </w:rPr>
          <w:t xml:space="preserve">utp</w:t>
        </w:r>
        <w:r>
          <w:rPr>
            <w:rStyle w:val="774"/>
            <w:sz w:val="24"/>
            <w:szCs w:val="24"/>
            <w:lang w:val="ru-RU"/>
          </w:rPr>
          <w:t xml:space="preserve">.</w:t>
        </w:r>
        <w:r>
          <w:rPr>
            <w:rStyle w:val="774"/>
            <w:sz w:val="24"/>
            <w:szCs w:val="24"/>
          </w:rPr>
          <w:t xml:space="preserve">sberbank</w:t>
        </w:r>
        <w:r>
          <w:rPr>
            <w:rStyle w:val="774"/>
            <w:sz w:val="24"/>
            <w:szCs w:val="24"/>
            <w:lang w:val="ru-RU"/>
          </w:rPr>
          <w:t xml:space="preserve">-</w:t>
        </w:r>
        <w:r>
          <w:rPr>
            <w:rStyle w:val="774"/>
            <w:sz w:val="24"/>
            <w:szCs w:val="24"/>
          </w:rPr>
          <w:t xml:space="preserve">ast</w:t>
        </w:r>
        <w:r>
          <w:rPr>
            <w:rStyle w:val="774"/>
            <w:sz w:val="24"/>
            <w:szCs w:val="24"/>
            <w:lang w:val="ru-RU"/>
          </w:rPr>
          <w:t xml:space="preserve">.</w:t>
        </w:r>
        <w:r>
          <w:rPr>
            <w:rStyle w:val="774"/>
            <w:sz w:val="24"/>
            <w:szCs w:val="24"/>
          </w:rPr>
          <w:t xml:space="preserve">ru</w:t>
        </w:r>
      </w:hyperlink>
      <w:r>
        <w:rPr>
          <w:bCs/>
          <w:sz w:val="24"/>
          <w:szCs w:val="24"/>
          <w:lang w:val="ru-RU" w:bidi="ru-RU"/>
        </w:rPr>
        <w:t xml:space="preserve">.</w:t>
      </w:r>
      <w:r/>
    </w:p>
    <w:p>
      <w:pPr>
        <w:pStyle w:val="691"/>
        <w:ind w:left="-567" w:firstLine="567"/>
        <w:jc w:val="both"/>
        <w:widowControl w:val="off"/>
      </w:pPr>
      <w:r>
        <w:rPr>
          <w:rFonts w:eastAsia="Courier New"/>
          <w:b/>
          <w:color w:val="000000"/>
          <w:lang w:bidi="ru-RU"/>
        </w:rPr>
        <w:t xml:space="preserve"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 xml:space="preserve">:</w:t>
      </w:r>
      <w:r>
        <w:rPr>
          <w:rFonts w:ascii="Courier New" w:hAnsi="Courier New" w:eastAsia="Courier New" w:cs="Courier New"/>
          <w:color w:val="000000"/>
          <w:lang w:bidi="ru-RU"/>
        </w:rPr>
        <w:t xml:space="preserve"> </w:t>
      </w:r>
      <w:hyperlink r:id="rId14" w:tooltip="http://utp.sberbank-ast.ru/" w:history="1">
        <w:r>
          <w:rPr>
            <w:rStyle w:val="774"/>
          </w:rPr>
          <w:t xml:space="preserve"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(далее – торговая секция). 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rFonts w:eastAsia="Courier New"/>
          <w:b/>
          <w:color w:val="000000"/>
          <w:lang w:eastAsia="en-US" w:bidi="ru-RU"/>
        </w:rPr>
        <w:t xml:space="preserve">Владелец электронной площадки</w:t>
      </w:r>
      <w:r>
        <w:rPr>
          <w:rFonts w:eastAsia="Courier New"/>
          <w:color w:val="000000"/>
          <w:lang w:eastAsia="en-US" w:bidi="ru-RU"/>
        </w:rPr>
        <w:t xml:space="preserve"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 xml:space="preserve">.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15" w:tooltip="https://utp.sberbank-ast.ru/Main/Notice/988/Reglament" w:history="1">
        <w:r>
          <w:rPr>
            <w:rStyle w:val="774"/>
            <w:rFonts w:eastAsia="Courier New"/>
            <w:lang w:bidi="ru-RU"/>
          </w:rPr>
          <w:t xml:space="preserve">https://utp.sberbank-ast.ru/Main/Notice/988/Reglament</w:t>
        </w:r>
      </w:hyperlink>
      <w:r>
        <w:rPr>
          <w:rFonts w:eastAsia="Courier New"/>
          <w:lang w:bidi="ru-RU"/>
        </w:rPr>
        <w:t xml:space="preserve">.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16" w:tooltip="https://utp.sberbank-ast.ru/AP/Notice/1027/Instructions" w:history="1">
        <w:r>
          <w:rPr>
            <w:rStyle w:val="774"/>
            <w:rFonts w:eastAsia="Calibri"/>
            <w:lang w:eastAsia="en-US"/>
          </w:rPr>
          <w:t xml:space="preserve">https://utp.sberbank-ast.ru/AP/Notice/1027/Instructions</w:t>
        </w:r>
      </w:hyperlink>
      <w:r>
        <w:rPr>
          <w:rFonts w:eastAsia="Calibri"/>
          <w:lang w:eastAsia="en-US"/>
        </w:rPr>
        <w:t xml:space="preserve">.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 xml:space="preserve">размещена по адресу:</w:t>
      </w:r>
      <w:r>
        <w:rPr>
          <w:rFonts w:ascii="Calibri" w:hAnsi="Calibri" w:eastAsia="Calibri" w:cs="Calibri"/>
          <w:sz w:val="22"/>
          <w:szCs w:val="22"/>
          <w:lang w:eastAsia="en-US"/>
        </w:rPr>
        <w:t xml:space="preserve"> </w:t>
      </w:r>
      <w:hyperlink r:id="rId17" w:tooltip="https://utp.sberbank-ast.ru/AP/Notice/652/Instructions" w:history="1">
        <w:r>
          <w:rPr>
            <w:rStyle w:val="774"/>
            <w:bCs/>
            <w:lang w:eastAsia="en-US" w:bidi="ru-RU"/>
          </w:rPr>
          <w:t xml:space="preserve">https://utp.sberbank-ast.ru/AP/Notice/652/Instructions</w:t>
        </w:r>
      </w:hyperlink>
      <w:r>
        <w:rPr>
          <w:bCs/>
          <w:lang w:eastAsia="en-US" w:bidi="ru-RU"/>
        </w:rPr>
        <w:t xml:space="preserve">.</w:t>
      </w:r>
      <w:r/>
    </w:p>
    <w:p>
      <w:pPr>
        <w:pStyle w:val="691"/>
        <w:ind w:left="-567" w:firstLine="567"/>
        <w:jc w:val="both"/>
        <w:widowControl w:val="off"/>
      </w:pPr>
      <w:r>
        <w:rPr>
          <w:b/>
          <w:bCs/>
        </w:rPr>
        <w:t xml:space="preserve">Орган, уполномоченный на заключение договоров купли-продажи земельных участков: </w:t>
      </w:r>
      <w:r>
        <w:rPr>
          <w:bCs/>
        </w:rPr>
        <w:t xml:space="preserve">департамент земельных отношений администрации города Перми, местонахождение: 614000,                       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774"/>
          <w:bCs/>
          <w:sz w:val="24"/>
          <w:szCs w:val="24"/>
          <w:lang w:val="en-US"/>
        </w:rPr>
        <w:t xml:space="preserve">dzo</w:t>
      </w:r>
      <w:r>
        <w:rPr>
          <w:rStyle w:val="774"/>
          <w:bCs/>
          <w:sz w:val="24"/>
          <w:szCs w:val="24"/>
        </w:rPr>
        <w:t xml:space="preserve">@</w:t>
      </w:r>
      <w:r>
        <w:rPr>
          <w:rStyle w:val="774"/>
          <w:bCs/>
          <w:sz w:val="24"/>
          <w:szCs w:val="24"/>
          <w:lang w:val="en-US"/>
        </w:rPr>
        <w:t xml:space="preserve">perm</w:t>
      </w:r>
      <w:r>
        <w:rPr>
          <w:rStyle w:val="774"/>
          <w:bCs/>
          <w:sz w:val="24"/>
          <w:szCs w:val="24"/>
        </w:rPr>
        <w:t xml:space="preserve">.</w:t>
      </w:r>
      <w:r>
        <w:rPr>
          <w:rStyle w:val="774"/>
          <w:bCs/>
          <w:sz w:val="24"/>
          <w:szCs w:val="24"/>
          <w:lang w:val="en-US"/>
        </w:rPr>
        <w:t xml:space="preserve">permkrai</w:t>
      </w:r>
      <w:r>
        <w:rPr>
          <w:rStyle w:val="774"/>
          <w:bCs/>
          <w:sz w:val="24"/>
          <w:szCs w:val="24"/>
        </w:rPr>
        <w:t xml:space="preserve">.</w:t>
      </w:r>
      <w:r>
        <w:rPr>
          <w:rStyle w:val="774"/>
          <w:bCs/>
          <w:sz w:val="24"/>
          <w:szCs w:val="24"/>
          <w:lang w:val="en-US"/>
        </w:rPr>
        <w:t xml:space="preserve">ru.</w:t>
      </w:r>
      <w:r/>
    </w:p>
    <w:p>
      <w:pPr>
        <w:pStyle w:val="691"/>
        <w:ind w:left="-567" w:firstLine="567"/>
        <w:jc w:val="both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10"/>
        <w:ind w:left="1134" w:hanging="1134"/>
        <w:jc w:val="center"/>
        <w:spacing w:line="240" w:lineRule="exact"/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Сведения о лотах (предметах аукционов)</w:t>
      </w:r>
      <w:r/>
    </w:p>
    <w:p>
      <w:pPr>
        <w:pStyle w:val="810"/>
        <w:ind w:left="1134" w:hanging="1134"/>
        <w:jc w:val="center"/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1"/>
        <w:ind w:right="-263"/>
        <w:tabs>
          <w:tab w:val="clear" w:pos="708" w:leader="none"/>
          <w:tab w:val="left" w:pos="5103" w:leader="none"/>
        </w:tabs>
        <w:rPr>
          <w:b/>
          <w:bCs/>
          <w:highlight w:val="none"/>
          <w:lang w:val="en-US"/>
        </w:rPr>
      </w:pPr>
      <w:r>
        <w:rPr>
          <w:b/>
          <w:lang w:val="en-US"/>
        </w:rPr>
        <w:t xml:space="preserve">Лот № 1</w:t>
      </w:r>
      <w:r>
        <w:rPr>
          <w:b/>
          <w:bCs/>
          <w:highlight w:val="none"/>
          <w:lang w:val="en-US"/>
        </w:rPr>
      </w:r>
      <w:r>
        <w:rPr>
          <w:b/>
          <w:bCs/>
          <w:highlight w:val="none"/>
          <w:lang w:val="en-US"/>
        </w:rPr>
      </w:r>
    </w:p>
    <w:tbl>
      <w:tblPr>
        <w:tblW w:w="10485" w:type="dxa"/>
        <w:tblInd w:w="-47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56"/>
        <w:gridCol w:w="3308"/>
        <w:gridCol w:w="6821"/>
      </w:tblGrid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right="0"/>
              <w:jc w:val="left"/>
              <w:spacing w:before="0" w:after="0" w:line="240" w:lineRule="auto"/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о проведении аукциона, реквизиты указанного решения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 xml:space="preserve">департамента земельных отношений администрации города Перми </w:t>
            </w:r>
            <w:r>
              <w:rPr>
                <w:sz w:val="24"/>
                <w:szCs w:val="28"/>
                <w:highlight w:val="white"/>
              </w:rPr>
              <w:t xml:space="preserve">от 08 мая 2026 г. № 21-01-03-3060 «О проведении аукциона по продаже земельного участка в Индустриальном районе города Перми»</w:t>
            </w:r>
            <w:r/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Предмет аукциона по продаже земельного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restart"/>
            <w:textDirection w:val="lrTb"/>
            <w:noWrap w:val="false"/>
          </w:tcPr>
          <w:p>
            <w:pPr>
              <w:pStyle w:val="6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3"/>
              </w:numPr>
              <w:ind w:left="720" w:right="-263" w:hanging="360"/>
              <w:jc w:val="both"/>
            </w:pPr>
            <w:r>
              <w:rPr>
                <w:sz w:val="24"/>
                <w:szCs w:val="24"/>
              </w:rPr>
              <w:t xml:space="preserve">местоположение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Российская Федерация, Пермский край, городской округ Пермский, город Пермь, улица 1-я Карьерная, з/у</w:t>
            </w:r>
            <w:r>
              <w:rPr>
                <w:sz w:val="24"/>
                <w:szCs w:val="24"/>
              </w:rPr>
              <w:t xml:space="preserve"> 71а</w:t>
            </w:r>
            <w:r/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3"/>
              </w:numPr>
              <w:ind w:left="720" w:right="-263" w:hanging="360"/>
            </w:pPr>
            <w:r>
              <w:rPr>
                <w:sz w:val="24"/>
                <w:szCs w:val="24"/>
              </w:rPr>
              <w:t xml:space="preserve">площадь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665</w:t>
            </w:r>
            <w:r>
              <w:rPr>
                <w:sz w:val="24"/>
                <w:szCs w:val="24"/>
              </w:rPr>
              <w:t xml:space="preserve"> кв. м</w:t>
            </w:r>
            <w:r/>
          </w:p>
        </w:tc>
      </w:tr>
      <w:tr>
        <w:tblPrEx/>
        <w:trPr>
          <w:trHeight w:val="1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3"/>
              </w:numPr>
              <w:ind w:left="720" w:right="-263" w:hanging="360"/>
            </w:pPr>
            <w:r>
              <w:rPr>
                <w:sz w:val="24"/>
                <w:szCs w:val="24"/>
              </w:rPr>
              <w:t xml:space="preserve">кадастровый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t xml:space="preserve">59:01:4413790:293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3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права на земельный участок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  <w:lang w:val="en-US"/>
              </w:rPr>
              <w:t xml:space="preserve">государственная собственность не разграничена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3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вид разрешенного использования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  <w:lang w:val="en-US"/>
              </w:rPr>
              <w:t xml:space="preserve">для индивидуального жилищного строительства</w:t>
            </w:r>
            <w:r/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3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 xml:space="preserve">категории земель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</w:rPr>
              <w:t xml:space="preserve">земли населенных пунктов</w:t>
            </w:r>
            <w:r/>
          </w:p>
        </w:tc>
      </w:tr>
      <w:tr>
        <w:tblPrEx/>
        <w:trPr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3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принадлежность к определенной  территориальной зоне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t xml:space="preserve">Ж-4 «Зона индивидуальной жилой застройки городского типа»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3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ограничение прав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Ограничения прав подробно описаны:</w:t>
            </w:r>
            <w:r/>
          </w:p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</w:t>
            </w:r>
            <w:r>
              <w:rPr>
                <w:sz w:val="24"/>
                <w:szCs w:val="24"/>
                <w:highlight w:val="white"/>
              </w:rPr>
              <w:t xml:space="preserve">от </w:t>
            </w:r>
            <w:r>
              <w:rPr>
                <w:sz w:val="24"/>
                <w:szCs w:val="24"/>
                <w:highlight w:val="white"/>
              </w:rPr>
              <w:t xml:space="preserve">19.05.2026г.                        № КУВИ-001/2026-67856869</w:t>
            </w:r>
            <w:r>
              <w:rPr>
                <w:sz w:val="24"/>
                <w:szCs w:val="24"/>
              </w:rPr>
              <w:t xml:space="preserve"> (далее - ЕГРН)</w:t>
            </w:r>
            <w:r>
              <w:rPr>
                <w:sz w:val="24"/>
                <w:szCs w:val="24"/>
                <w14:ligatures w14:val="none"/>
              </w:rPr>
              <w:t xml:space="preserve">;</w:t>
            </w:r>
            <w:r/>
          </w:p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в градостроительном плане земельного участка</w:t>
            </w:r>
            <w:r/>
          </w:p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от</w:t>
            </w:r>
            <w:r>
              <w:rPr>
                <w:sz w:val="24"/>
                <w:szCs w:val="24"/>
                <w:highlight w:val="white"/>
              </w:rPr>
              <w:t xml:space="preserve"> 13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.04.2026 № РФ-59-2-03-0-00-2026-0776-0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</w:rPr>
              <w:t xml:space="preserve">(далее – ГПЗУ) (приложение 2 к настоящему извещению).</w:t>
            </w:r>
            <w:r/>
          </w:p>
          <w:p>
            <w:pPr>
              <w:pStyle w:val="784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земельного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ж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еталлический забор по периметру, деревянная хозяйственная постройка                    и навал досок, доступ к земельному участку частично ограничен.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администрации Индустриального района </w:t>
            </w:r>
            <w:r>
              <w:rPr>
                <w:color w:val="000000" w:themeColor="text1"/>
                <w:sz w:val="24"/>
                <w:szCs w:val="24"/>
              </w:rPr>
              <w:t xml:space="preserve">от 09.04.2026                     №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059-16-01-21/2-203</w:t>
            </w:r>
            <w:r>
              <w:rPr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акте обследования земельного участка       от 09.04.2026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№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соответствии со сведениями ЕГРН капитальные/некапитальные строения отсутствуют.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соответствии с 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еодезической съемкой, выполненной                           в 2025 году,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ж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ны: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ж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ж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Согласно сведениям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содержащимся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ЕГРН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ПЗУ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справке по градостроительным условиям участка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680021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часток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расположен в границах зоны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собыми условиями использования территории: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приаэродромная территория аэродрома аэропорта Большое Савино, реестровый номер 59:32-6.55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  <w:t xml:space="preserve">охранная зона газопровода низкого давления»,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  <w:t xml:space="preserve">реестровый номер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  <w:t xml:space="preserve">59:01-6.1168.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Проектирование и строительст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 вести в соответствии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постановлением Правительства Российской Федераци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и от 11.03.2010 № 138 «Об утверждении Федеральных правил использования воздушного пространства Российской Федерации»: «Запрещается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размещать в полосах воздушных подходов на удалении </w:t>
              <w:br/>
              <w:t xml:space="preserve">до 30 км, а вне полос воздушных подходов – до 15 км </w:t>
              <w:br/>
              <w:t xml:space="preserve">от контрольной точки аэродрома объекты выбросов (размещения) отходов, животноводческие фермы, скотобойни и другие объ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кты,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способствующие привлечению и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ассовому скоплению птиц»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 постановлением Правительства Российской Федерации от 20.11.2000 № 878 «Об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утверждении Правил охраны газораспределительных сетей».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земельном 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частке произрастае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15 шт. деревьев породы: сосна - 2 шт., туя - 2 шт., яблоня - 2 шт., верба - 6 шт., клен - 3 шт., сирень - 3 шт.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редняя стоимость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в ценах 2026 года одного дерева лиственной породы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от 25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тыс. руб.,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 хвойной 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от 30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тыс. руб.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contextualSpacing w:val="0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 Победителю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аукциона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необходимо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 соблюдать условия строительства, перечисленные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</w:rPr>
              <w:t xml:space="preserve">перечне мероприятий по охране окружающей среды от 21.04.2026 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</w:rPr>
              <w:t xml:space="preserve"> 81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правления по экологии и природопользованию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 059-33-01-10/3-233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Муниципальной программой «Дорожная деятельность и благоустройство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города Перми», утвержденной постановлением администрации города Перми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18.10.2024 № 966,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на рассматриваемой территории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не предусмотрены.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Программой комплексного развития транспортной инфраструктуры города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Перми на 2025-2043 годы, утвержденной Решением Пермской городской Думы </w:t>
              <w:br/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16.12.2025 № 238, мероприятия по строительству, реконструкции, капитальному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ремонту улично-дорожной сети на рассматриваемых территориях 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предусмотрены.
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color w:val="000000" w:themeColor="text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Для примыкания Участка к улично-дорожной сети города Перми 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еобходимо выполнить условия, указанные в письме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color w:val="000000" w:themeColor="text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</w:t>
              <w:br/>
              <w:t xml:space="preserve">от 15.12.2020 № 277, при строительстве объектов недвижимости на земельных участках, предоставленных на торгах.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соответствии 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едеральн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Законом от 08.11.2007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257-ФЗ «Об автомобильных дорогах и о дорожной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деятельности в Российской Федерации и о внесении изменений в отдельные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законодательные акты Российской Федерации», расходы на строительство,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реконструкцию, капитальный ремонт, ремонт пересечений и примыканий,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том числе расходы на выполнение дополнительных работ, связанных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обеспечением безопасности дорожного движения, водоотведения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исполнением других установленных техническими регламентами требований,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несут лица, </w:t>
              <w:br/>
              <w:t xml:space="preserve">в интересах которых осуществляются строительство,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реконструкция, капитальный ремонт, ремонт пересечений </w:t>
              <w:br/>
              <w:t xml:space="preserve">или примыканий.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дорог и благоустройства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059-24-01-36/3-882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Ближайший источник противопожарного водоснабжения (пожарный гидрант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сети водоснабжения) расположен на расстоянии 90 метров по адресу: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Экскаваторная, 58б.
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Информация о подразделениях пожарной охраны и времени их прибытия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содержится в «Расписании выезда подразделений Пермского местного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пожарно-спасательного гарнизона для тушения пожаров и проведения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аварийно-спасательных работ на территории Пермского городского округа,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Пермского муниципального района», утвержденном Главой города Перми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26.04.2024. Подразделение пожарной охраны расположено по адресу: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Беляева, 29 (ПСЧ-2 10-ПСО).
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Помещения для аварийно-спасательных служб и (или) аварийно-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спасательных формирований на указанной территории отсутствуют.
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Объекты общественной безопасности, отнесенные </w:t>
              <w:br/>
              <w:t xml:space="preserve">к объектам полиции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(участковые пункты полиции) отсутствуют. Ближайший участковый пункт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полиции расположен по адресу: г. Пермь, ул. Экскаваторная, 57 (микрорайон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Андроновский Индустриальный район). </w:t>
              <w:br/>
              <w:t xml:space="preserve">В настоящее время в указанном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микрорайоне строительство (приобретение) участковых пунктов полиции 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планируется.
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информации, предоставленной Министерством территориальной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безопасности Пермского края (письмо </w:t>
              <w:br/>
              <w:t xml:space="preserve">от 07.10.2020 № 964с), рассматриваемый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попадает в зону возможного химического заражения в особый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период.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Указанный земельный участок находится в зоне действия системы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оповещения населения города Перми, установленной по ул. Милиционера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Власова, 4 - 1500 м.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общественной безопасности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059-10-01-27/3-464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период до 2028 года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территории,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где расположен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Участок,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строитель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тво сетей водоснабжения схемами </w:t>
              <w:br/>
              <w:t xml:space="preserve">не предусмотрено.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жилищно-коммунального хозяйства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059-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04-17/3-266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3"/>
              </w:numPr>
              <w:ind w:left="850" w:right="113" w:hanging="34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 xml:space="preserve">объекта капитального строительства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91"/>
              <w:ind w:firstLine="312"/>
              <w:jc w:val="both"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  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 xml:space="preserve">www.gorodperm.ru.</w:t>
            </w:r>
            <w:r/>
          </w:p>
          <w:p>
            <w:pPr>
              <w:pStyle w:val="784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 пунктом 4.5 СП 55.13330.2016 Свода Правил. Дома жилые одноквартирные. СНиП 31-02-2001, утвержденным и введенным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в действие Приказом Министерства строительства и жилищно-коммунального хозяйства Российской Федерации от 20.10.2016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№ 725/пр. Дом должен включать жилые комнаты – одну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или несколько (общую комнату или гостиную, спальню),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а также вспомогательные помещения: переднюю, кухню (в том числе кухню-столовую и (или) кухню-нишу), ванные комнаты и (или) душевые, туалет (у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борную) или совмещенный санузел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переднюю.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общей комнаты в доме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 числом комнат две и более - 16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спальни - 8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); кухни - 8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; кухонной зоны </w:t>
              <w:br/>
              <w:t xml:space="preserve">в кухне-столовой - 6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В домах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с одной комнатой допускается проектировать кухни или кухни-ниши площадью не менее 5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Площадь спальни и кухни в мансардном этаже (или этаже с наклонными ограждающими конструкциями) допускаетсяь не менее 7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антресолей должна составлять не менее 2,1 м,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а высота пути эвакуации 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2,2 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 xml:space="preserve">в мансардном этаже, допускается уменьшение высоты помещений (от пола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до потолка), относительно нормируемой на площади, не превышающей 50%.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Согласно градостроительному плану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Земельного участка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РФ-59-2-03-0-00-2026-0776-0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(далее – ГПЗУ)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минимальный отступ от границ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частка до места допустимого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размещения зданий, строений </w:t>
              <w:br/>
              <w:t xml:space="preserve">(за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исключением границ со стороны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территории общего пользования, где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отступ определяется с учетом красных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линий и линий регулирования застройки,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установленных проектом планировки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территории, а также границ смежных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земельных участков при блокированной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жилой застройке)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3 м;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tabs>
                <w:tab w:val="right" w:pos="600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none"/>
              </w:rPr>
              <w:t xml:space="preserve">м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аксимальный выступ за красную линию нависающих частей здания наземных уровней, выступающих </w:t>
              <w:br/>
              <w:t xml:space="preserve">из плоскости наружной стены фасада з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дания на высоте </w:t>
              <w:br/>
              <w:t xml:space="preserve">не менее 4,5 м 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над территорией общего пользования, составляет не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 более 1,2 м от красной линии. </w:t>
              <w:br/>
              <w:t xml:space="preserve">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tabs>
                <w:tab w:val="right" w:pos="600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максимальный процент застр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ойки в границах земельного участка, определяемый как отношение суммарной площади земельного участка, которая может 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ыть застроена, ко всей площади земельного участка – 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%.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Согласно документации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планировке территории,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утвержденной постановлением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администрации города Перми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22.12.2017 № 1178, параметры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возможной предельной высоты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жилой застройки до 10,5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уведомлением о планируемом строительстве жилого дома.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9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3"/>
              </w:numPr>
              <w:ind w:left="120" w:right="0" w:firstLine="125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firstLine="312"/>
              <w:jc w:val="both"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8" w:tooltip="http://www.gorodperm.ru/" w:history="1">
              <w:r>
                <w:rPr>
                  <w:rStyle w:val="774"/>
                  <w:color w:val="000000"/>
                  <w:sz w:val="24"/>
                  <w:szCs w:val="24"/>
                </w:rPr>
                <w:t xml:space="preserve">www.gorodperm.ru</w:t>
              </w:r>
            </w:hyperlink>
            <w:r>
              <w:rPr>
                <w:color w:val="000000"/>
                <w:sz w:val="24"/>
                <w:szCs w:val="24"/>
              </w:rPr>
              <w:t xml:space="preserve">.</w:t>
            </w:r>
            <w:r/>
          </w:p>
          <w:p>
            <w:pPr>
              <w:pStyle w:val="691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rFonts w:ascii="Times New Roman" w:hAnsi="Times New Roman"/>
                <w:sz w:val="24"/>
                <w:highlight w:val="white"/>
              </w:rPr>
            </w:r>
            <w:r>
              <w:rPr>
                <w:rFonts w:ascii="Times New Roman" w:hAnsi="Times New Roman"/>
                <w:sz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сообщает следующее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Порядок технологич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принадлежащих сетевым организациям и иным лица, к электрическим сетям, утвержденными постановл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Правительства РФ </w:t>
              <w:br/>
              <w:t xml:space="preserve">от 27.12.2004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861 (далее – Правила ТП).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си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ласно пунктам 15, 25, 25.1 Правил ТП технические условия являются неотъемлемым приложением </w:t>
              <w:br/>
              <w:t xml:space="preserve">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э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ией вместе с договором о технологическом присоединении.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получения технических условий и за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Правилами ТП через единый федеральный портал электрос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етевых услуг группы компаний «Россети» на сайте: </w:t>
            </w:r>
            <w:hyperlink r:id="rId19" w:tooltip="https://" w:history="1">
              <w:r>
                <w:rPr>
                  <w:rStyle w:val="774"/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https://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ла «Россети Урал»- «Пермэнерго» по адресу: г. Пермь, ул. Камчатовская, д. 26, а также почтовым отправлением по адресу: 314016, г. Пермь, ул. Камчатовская, 26. По дополнительным вопросам телефон контакт-центра: 8-800-220-0-220 (круглосуточно и бесплатно).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При подготовке ГПЗУ необходимо предусмотреть коридоры для строительства кабельных линий и место дл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размещения трансформаторных подстанций.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филиала </w:t>
              <w:br/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городские электрические сети»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.04.2026 № ПЭ/ПГЭС/01/22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/4713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Земельный участок находится вне зоны теплоснабжения ПАО «Т Плюс».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</w:t>
              <w:br/>
              <w:t xml:space="preserve">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ПАО «Т Плюс»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30.03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51000-32-01186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Техническая возможность подключения к сетям теплоснабжения отсутствует. Рекомендовано рассмотреть альтернативный источник теплоснабжения - газ, электричество, дрова, пеллеты.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059-04-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25/3-56-ри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рассмотрения вопроса о предоставлении технических условий на подключение (технологическое присоединение) необходимо направить</w:t>
            </w:r>
            <w:r>
              <w:rPr>
                <w:color w:val="000000" w:themeColor="text1"/>
                <w:sz w:val="24"/>
                <w:szCs w:val="24"/>
              </w:rPr>
              <w:t xml:space="preserve"> запрос с приложением необходимых документов и сведений на электронную почту post@pf.ugaz.ru, либо почтовым отправлением по адресу: г. Пермь, </w:t>
              <w:br/>
              <w:t xml:space="preserve">ул. Уральская, 104, через Единый центр предоставления услуг по адресу: г. Пермь, ул. Уральская, д. 104, каб. 101.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.04.2026 № ПФ-2262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наличии технической возможности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подключения сетей водоснабжения 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водоотведения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предполагаемой величиной 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агрузки 1,0 м3/сут. сообщается следующее.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Ближайшей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сетью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водоснабжения,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эксплуатируемой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«НОВОГОР 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Прикамье»,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является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водопровод,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 - 200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Карьерная,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расстояние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  <w:t xml:space="preserve">от земельного участка 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50 м. Ввиду отсутствия данных </w:t>
              <w:br/>
              <w:t xml:space="preserve">о посадке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объекта,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протяженность до водопровода Д-200 мм указана ориентировочно.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Ближайшей сетью водоотведения, эксплуатируемой </w:t>
              <w:br/>
              <w:t xml:space="preserve">ООО «НОВОГОР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Прикамье», является сеть канализации, </w:t>
              <w:br/>
              <w:t xml:space="preserve">Д-225 мм по ул.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1-я Карьерная,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расстояние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земельного участка 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200 м. Ввиду отсутствия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данных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посадке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объекта,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протяженность до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сетей канализации Д-225 мм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указана ориентировочно.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ООО «НОВОГОР - Прикамье»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эксплуатирует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только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ентрализованные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системы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водоснабжения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водоотведения,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вопросу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возможности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обеспечения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жилого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дома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холодным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водоснабжением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скважины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отвод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канализационных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локально,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предлагаем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обратиться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соответствующие организации, регулирующие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недропользование.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ООО «НОВОГОР - Прикамье» 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располагает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сведениями о наличии сетей 3-x лиц в границах вышеуказанного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участка.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получения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технических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нужно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обратиться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эксплуатирующую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Пермского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«ПЭСП»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адрес: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Пермь,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Космонавтов,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310/3,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тел.: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296-37-55;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диспетчерская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тел.: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296-30-07).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ООО «НОВОГОР-Прикамье»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 110-4382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период до 2028 года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территории,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где расположен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Участок,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строитель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тво сетей водоснабжения схемами </w:t>
              <w:br/>
              <w:t xml:space="preserve">не предусмотрено.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департамента жилищно-коммунального хозяйства администрации города Перми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059-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04-17/3-266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highlight w:val="none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Технологическое присоединение к сетям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связи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ПАО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«Ростелеком»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может быть произведено к узлу ВОЛС (г. Пермь, </w:t>
              <w:br/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ул. 2-я Красавинская, д.79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),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м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аксимальную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нагрузку </w:t>
              <w:br/>
              <w:t xml:space="preserve">в точке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подключения (технологического присоединения) необходимо определить на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стадии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проектирования.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highlight w:val="none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Для получения технических условий на подключение </w:t>
              <w:br/>
              <w:t xml:space="preserve">к сетям связи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необходимо обратиться в Отдел продаж </w:t>
              <w:br/>
              <w:t xml:space="preserve">и обслуживания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по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адресу: г. Пермь, ул. Крупской, 2, тел.:(342) 235-57-34 или направить запрос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на perm-mail@ural.rt.ru.</w:t>
            </w:r>
            <w:r>
              <w:rPr>
                <w:b w:val="0"/>
                <w:bCs w:val="0"/>
                <w:color w:val="000000" w:themeColor="text1"/>
              </w:rPr>
            </w:r>
            <w:r>
              <w:rPr>
                <w:b w:val="0"/>
                <w:bCs w:val="0"/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ПАО «Ростелеком»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06.04.2026 № 01/05/52662/26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57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Начальная цена предмета аукциона</w:t>
            </w:r>
            <w:r/>
          </w:p>
          <w:p>
            <w:pPr>
              <w:pStyle w:val="691"/>
              <w:ind w:left="113" w:right="57" w:firstLine="0"/>
              <w:jc w:val="left"/>
              <w:spacing w:before="0" w:after="0"/>
              <w:widowControl/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(рыночная стоимость земельного участка)</w:t>
            </w:r>
            <w:r/>
          </w:p>
          <w:p>
            <w:pPr>
              <w:pStyle w:val="691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0"/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</w:rPr>
              <w:t xml:space="preserve">По условиям пункта 4.1 проекта договора купли-продажи земельного участка, приобретаемого на торгах </w:t>
              <w:br/>
              <w:t xml:space="preserve">в форме аукциона (Приложение 1 к настоящему извещению), </w:t>
            </w:r>
            <w:r>
              <w:rPr>
                <w:sz w:val="24"/>
                <w:szCs w:val="24"/>
                <w:shd w:val="clear" w:color="auto" w:fill="auto"/>
              </w:rPr>
              <w:t xml:space="preserve">победитель аукциона, иное лицо, </w:t>
              <w:br/>
              <w:t xml:space="preserve">с которым договор заключается в соответствии </w:t>
              <w:br/>
              <w:t xml:space="preserve">с п.13, п.14, п. 20 или п. 25</w:t>
            </w:r>
            <w:r/>
          </w:p>
          <w:p>
            <w:pPr>
              <w:pStyle w:val="691"/>
            </w:pPr>
            <w:r>
              <w:rPr>
                <w:sz w:val="24"/>
                <w:szCs w:val="24"/>
                <w:shd w:val="clear" w:color="auto" w:fill="auto"/>
              </w:rPr>
              <w:t xml:space="preserve">ст. 39.12 Земельного Кодекса Российской Федерации (далее – ЗК РФ), обязан </w:t>
              <w:br/>
            </w:r>
            <w:r>
              <w:rPr>
                <w:b/>
                <w:sz w:val="24"/>
                <w:szCs w:val="24"/>
                <w:shd w:val="clear" w:color="auto" w:fill="auto"/>
              </w:rPr>
              <w:t xml:space="preserve">в течение 15 дней</w:t>
            </w:r>
            <w:r>
              <w:rPr>
                <w:sz w:val="24"/>
                <w:szCs w:val="24"/>
                <w:shd w:val="clear" w:color="auto" w:fill="auto"/>
              </w:rPr>
              <w:t xml:space="preserve"> со дня размещения  протокола </w:t>
              <w:br/>
              <w:t xml:space="preserve">о результатах аукциона, </w:t>
              <w:br/>
              <w:t xml:space="preserve">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val="clear" w:color="auto" w:fill="auto"/>
              </w:rPr>
              <w:t xml:space="preserve">перечислить денежные средства                              </w:t>
            </w:r>
            <w:r>
              <w:rPr>
                <w:sz w:val="24"/>
                <w:szCs w:val="24"/>
                <w:shd w:val="clear" w:color="auto" w:fill="auto"/>
              </w:rPr>
              <w:t xml:space="preserve">за земельный участок                        (за вычетом задатка, внесенного для участия</w:t>
            </w:r>
            <w:r/>
          </w:p>
          <w:p>
            <w:pPr>
              <w:pStyle w:val="691"/>
            </w:pPr>
            <w:r>
              <w:rPr>
                <w:sz w:val="24"/>
                <w:szCs w:val="24"/>
                <w:shd w:val="clear" w:color="auto" w:fill="auto"/>
              </w:rPr>
              <w:t xml:space="preserve">в</w:t>
            </w:r>
            <w:r>
              <w:rPr>
                <w:sz w:val="24"/>
                <w:szCs w:val="24"/>
                <w:shd w:val="clear" w:color="auto" w:fill="auto"/>
              </w:rPr>
              <w:t xml:space="preserve"> аукционе) на счет департамента земельных отношений администрации города Перми, 614015, ул. Сибирская,15, тел. 212-61-90 (отдел договоров), реквизиты которого указаны в проекте договора купли-продажи земельного участка (Приложение 1 к настоящему извещению)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</w:rPr>
              <w:t xml:space="preserve">3 773 900</w:t>
            </w:r>
            <w:r>
              <w:rPr>
                <w:sz w:val="24"/>
                <w:szCs w:val="24"/>
              </w:rPr>
              <w:t xml:space="preserve"> руб.</w:t>
            </w:r>
            <w:r/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«Шаг аукциона» (5% от начальной цены предмета аукциона)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</w:rPr>
              <w:t xml:space="preserve">188 695</w:t>
            </w:r>
            <w:r>
              <w:rPr>
                <w:sz w:val="24"/>
                <w:szCs w:val="24"/>
              </w:rPr>
              <w:t xml:space="preserve"> руб.</w:t>
            </w:r>
            <w:r/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Форма заявки на участие </w:t>
              <w:br/>
              <w:t xml:space="preserve">в аукционе</w:t>
            </w:r>
            <w:r/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     банковских реквизитов счета для возврата задатка направл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ждан); надлежащим образом заверенный перевод на русский язык документов                                      о государственной регистрации юридического лица                                   в соответствии с законодательством иностранного государства в слу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  <w:r/>
          </w:p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На каждый лот представляется отдельный пакет документов.</w:t>
            </w:r>
            <w:r/>
          </w:p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jc w:val="both"/>
            </w:pPr>
            <w:r>
              <w:rPr>
                <w:b/>
                <w:sz w:val="24"/>
                <w:szCs w:val="24"/>
              </w:rPr>
              <w:t xml:space="preserve">Решение о проведении аукциона принято в соответствии</w:t>
            </w:r>
            <w:r/>
          </w:p>
          <w:p>
            <w:pPr>
              <w:pStyle w:val="691"/>
              <w:jc w:val="both"/>
            </w:pPr>
            <w:r>
              <w:rPr>
                <w:b/>
                <w:sz w:val="24"/>
                <w:szCs w:val="24"/>
              </w:rPr>
              <w:t xml:space="preserve">со статьей 39.18 Земельного кодекса Российской Федерации, участниками аукциона могут являться только граждане.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Размер задатка (50% от начальной цены предмета аукциона)</w:t>
            </w:r>
            <w:r/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</w:rPr>
              <w:t xml:space="preserve">1 886 950</w:t>
            </w:r>
            <w:r>
              <w:rPr>
                <w:sz w:val="24"/>
                <w:szCs w:val="24"/>
              </w:rPr>
              <w:t xml:space="preserve"> руб.</w:t>
            </w:r>
            <w:r/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Дата </w:t>
            </w:r>
            <w:r>
              <w:rPr>
                <w:b w:val="0"/>
                <w:shd w:val="clear" w:color="auto" w:fill="auto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0"/>
                <w:sz w:val="24"/>
                <w:szCs w:val="24"/>
                <w:shd w:val="clear" w:color="auto" w:fill="auto"/>
                <w:lang w:val="en-US" w:eastAsia="en-US"/>
              </w:rPr>
              <w:t xml:space="preserve">сайтах www.torgi.gov.ru, www.gorodperm.ru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highlight w:val="white"/>
              </w:rPr>
              <w:t xml:space="preserve">05</w:t>
            </w:r>
            <w:r>
              <w:rPr>
                <w:sz w:val="24"/>
                <w:szCs w:val="24"/>
                <w:highlight w:val="white"/>
              </w:rPr>
              <w:t xml:space="preserve">.03.202</w:t>
            </w:r>
            <w:r>
              <w:rPr>
                <w:sz w:val="24"/>
                <w:szCs w:val="24"/>
                <w:highlight w:val="white"/>
              </w:rPr>
              <w:t xml:space="preserve">6</w:t>
            </w:r>
            <w:r/>
          </w:p>
        </w:tc>
      </w:tr>
      <w:tr>
        <w:tblPrEx/>
        <w:trPr>
          <w:trHeight w:val="1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Проект договора купли-продажи земельного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      приобретаемого на торгах в форме аукциона, является Приложением 1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 xml:space="preserve"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  <w:r/>
          </w:p>
        </w:tc>
      </w:tr>
      <w:tr>
        <w:tblPrEx/>
        <w:trPr>
          <w:trHeight w:val="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right="-263"/>
            </w:pPr>
            <w:r>
              <w:rPr>
                <w:sz w:val="24"/>
                <w:szCs w:val="24"/>
              </w:rPr>
              <w:t xml:space="preserve">Порядок осмотра земельного участка на местности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самостоятельно в любое время с даты опубликования настоящего извещения.</w:t>
            </w:r>
            <w:r/>
          </w:p>
        </w:tc>
      </w:tr>
    </w:tbl>
    <w:p>
      <w:pPr>
        <w:ind w:right="-263"/>
        <w:tabs>
          <w:tab w:val="clear" w:pos="708" w:leader="none"/>
          <w:tab w:val="left" w:pos="5103" w:leader="none"/>
        </w:tabs>
      </w:pPr>
      <w:r/>
      <w:r/>
    </w:p>
    <w:p>
      <w:pPr>
        <w:ind w:right="-263"/>
        <w:tabs>
          <w:tab w:val="clear" w:pos="708" w:leader="none"/>
          <w:tab w:val="left" w:pos="5103" w:leader="none"/>
        </w:tabs>
      </w:pPr>
      <w:r>
        <w:rPr>
          <w:b/>
          <w:lang w:val="en-US"/>
        </w:rPr>
        <w:t xml:space="preserve">Лот № 2</w:t>
      </w:r>
      <w:r/>
    </w:p>
    <w:tbl>
      <w:tblPr>
        <w:tblW w:w="10485" w:type="dxa"/>
        <w:tblInd w:w="-47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56"/>
        <w:gridCol w:w="3308"/>
        <w:gridCol w:w="6821"/>
      </w:tblGrid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right="0"/>
              <w:jc w:val="left"/>
              <w:spacing w:before="0" w:after="0" w:line="240" w:lineRule="auto"/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о проведении аукциона, реквизиты указанного решения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  <w:rPr>
                <w:highlight w:val="white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 xml:space="preserve">департамента земельных отношений администрации города Перми </w:t>
            </w:r>
            <w:r>
              <w:rPr>
                <w:sz w:val="24"/>
                <w:szCs w:val="28"/>
                <w:highlight w:val="white"/>
              </w:rPr>
              <w:t xml:space="preserve">от 17 декабря 2025 г. № 21-01-03-9876 «О проведении аукциона по продаже земельного участка в Кировском районе города Перми»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Предмет аукциона по продаже земельного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restart"/>
            <w:textDirection w:val="lrTb"/>
            <w:noWrap w:val="false"/>
          </w:tcPr>
          <w:p>
            <w:pPr>
              <w:pStyle w:val="6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-263" w:hanging="360"/>
              <w:jc w:val="both"/>
            </w:pPr>
            <w:r>
              <w:rPr>
                <w:sz w:val="24"/>
                <w:szCs w:val="24"/>
              </w:rPr>
              <w:t xml:space="preserve">местоположение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Российская Федерация, Пермский край, городской округ Пермский, город Пермь, улица Бузулукская, з/у</w:t>
            </w:r>
            <w:r>
              <w:rPr>
                <w:sz w:val="24"/>
                <w:szCs w:val="24"/>
              </w:rPr>
              <w:t xml:space="preserve">, 30а</w:t>
            </w:r>
            <w:r/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-263" w:hanging="360"/>
            </w:pPr>
            <w:r>
              <w:rPr>
                <w:sz w:val="24"/>
                <w:szCs w:val="24"/>
              </w:rPr>
              <w:t xml:space="preserve">площадь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597</w:t>
            </w:r>
            <w:r>
              <w:rPr>
                <w:sz w:val="24"/>
                <w:szCs w:val="24"/>
              </w:rPr>
              <w:t xml:space="preserve"> кв. м</w:t>
            </w:r>
            <w:r/>
          </w:p>
        </w:tc>
      </w:tr>
      <w:tr>
        <w:tblPrEx/>
        <w:trPr>
          <w:trHeight w:val="1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-263" w:hanging="360"/>
            </w:pPr>
            <w:r>
              <w:rPr>
                <w:sz w:val="24"/>
                <w:szCs w:val="24"/>
              </w:rPr>
              <w:t xml:space="preserve">кадастровый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t xml:space="preserve">59:01:1810025:156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права на земельный участок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  <w:lang w:val="en-US"/>
              </w:rPr>
              <w:t xml:space="preserve">государственная собственность не разграничена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вид разрешенного использования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  <w:lang w:val="en-US"/>
              </w:rPr>
              <w:t xml:space="preserve">для индивидуального жилищного строительства</w:t>
            </w:r>
            <w:r/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 xml:space="preserve">категории земель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</w:rPr>
              <w:t xml:space="preserve">земли населенных пунктов</w:t>
            </w:r>
            <w:r/>
          </w:p>
        </w:tc>
      </w:tr>
      <w:tr>
        <w:tblPrEx/>
        <w:trPr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принадлежность к определенной  территориальной зоне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t xml:space="preserve">Ж-5 «Зона индивидуальной усадебной жилой застройки»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ограничение прав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Ограничения прав подробно описаны:</w:t>
            </w:r>
            <w:r/>
          </w:p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</w:t>
            </w:r>
            <w:r>
              <w:rPr>
                <w:sz w:val="24"/>
                <w:szCs w:val="24"/>
                <w:highlight w:val="white"/>
              </w:rPr>
              <w:t xml:space="preserve">от </w:t>
            </w:r>
            <w:r>
              <w:rPr>
                <w:sz w:val="24"/>
                <w:szCs w:val="24"/>
                <w:highlight w:val="white"/>
              </w:rPr>
              <w:t xml:space="preserve">07.07.2026г.                       № КУВИ-001/2026-91241523</w:t>
            </w:r>
            <w:r>
              <w:rPr>
                <w:sz w:val="24"/>
                <w:szCs w:val="24"/>
              </w:rPr>
              <w:t xml:space="preserve"> (далее - ЕГРН)</w:t>
            </w:r>
            <w:r>
              <w:rPr>
                <w:sz w:val="24"/>
                <w:szCs w:val="24"/>
                <w14:ligatures w14:val="none"/>
              </w:rPr>
              <w:t xml:space="preserve">;</w:t>
            </w:r>
            <w:r/>
          </w:p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в градостроительном плане земельного участка</w:t>
            </w:r>
            <w:r/>
          </w:p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от</w:t>
            </w:r>
            <w:r>
              <w:rPr>
                <w:sz w:val="24"/>
                <w:szCs w:val="24"/>
                <w:highlight w:val="white"/>
              </w:rPr>
              <w:t xml:space="preserve"> 12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.11.2025 № РФ-59-2-03-0-00-2025-2741-0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</w:rPr>
              <w:t xml:space="preserve">(далее – ГПЗУ) (приложение 4 к настоящему извещению).</w:t>
            </w:r>
            <w:r/>
          </w:p>
          <w:p>
            <w:pPr>
              <w:pStyle w:val="784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Земельный участок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не огорожен, незаконно установленные объекты отсутствуют, на участке произрастают деревья, кустарники.</w:t>
            </w:r>
            <w:r/>
          </w:p>
          <w:p>
            <w:pPr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Близлежащий источник противопожарного водоснабжения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расположен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по адресу: г. Пермь, ул. Заборная, 43 (пожарный водоем).</w:t>
            </w:r>
            <w:r/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администрации Кировского района </w:t>
            </w:r>
            <w:r>
              <w:rPr>
                <w:color w:val="000000" w:themeColor="text1"/>
                <w:sz w:val="24"/>
                <w:szCs w:val="24"/>
              </w:rPr>
              <w:t xml:space="preserve">от 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.06.2026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  <w:br/>
              <w:t xml:space="preserve">№ 059-23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-01-25/3-239</w:t>
            </w:r>
            <w:r>
              <w:rPr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акте обследования земельного участка </w:t>
              <w:br/>
              <w:t xml:space="preserve">от 25.06.2026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№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б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/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н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соответствии с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копией планшета 1:500 (требуется корректура)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объекты капитального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/некапитального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строительства в границах Участка отсутствуют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В соответствии с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геодезической съемкой, выполненной </w:t>
              <w:br/>
              <w:t xml:space="preserve">в 2024 году,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Участок зарос кустарником и лиственными лесами.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91"/>
              <w:ind w:firstLine="311"/>
              <w:jc w:val="both"/>
              <w:spacing w:after="0" w:afterAutospacing="0" w:line="235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Согласно сведениям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содержащимся в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ЕГРН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ГПЗУ </w:t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справке по градостроительным условиям участка </w:t>
              <w:br/>
              <w:t xml:space="preserve">от 07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.07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.2026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686087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часток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расположен в границах зоны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особыми условиями использования территории: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приаэродромная территория аэродрома аэропорта Большое Савино, реестровый номер 59:32-6.553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Проектирование и строительство вести в соответствии: </w:t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с постановлением Правительства Российской Федерации </w:t>
              <w:br/>
              <w:t xml:space="preserve">от 11.03.2010 № 138 «Об утверждении Федеральных правил использования воздушного пространства Российской Федерации»: «Запрещается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размещать </w:t>
              <w:br/>
              <w:t xml:space="preserve">в полосах воздушных подходов на удалении до 30 км,</w:t>
              <w:br/>
              <w:t xml:space="preserve">а вне полос воздушных подходов – до 15 км </w:t>
              <w:br/>
              <w:t xml:space="preserve">от контрольной точки аэродрома объекты выбросов (размещения) отходов, животноводческие фермы, скотобойни и другие объ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кты,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способствующие привлечению и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ассовому скоплению птиц»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ind w:firstLine="34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земельном у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частке произраста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194 дерева: береза 597 шт., ель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597 шт.</w:t>
            </w:r>
            <w:r/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редняя стоимость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в ценах 2025 года одного дерева лиственной породы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от 25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тыс. руб.,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а хвойной –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от 30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тыс. руб.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contextualSpacing w:val="0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pacing w:val="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  <w:t xml:space="preserve">Победителю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  <w:t xml:space="preserve">аукциона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  <w:t xml:space="preserve">необходимо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  <w:t xml:space="preserve"> соблюдать условия строительства, перечисленные в 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</w:rPr>
              <w:t xml:space="preserve">перечне мероприятий по охране окружающей среды от 22.10.2025 №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</w:rPr>
              <w:t xml:space="preserve">379.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правления по экологии и природопользованию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22.10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.2025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№ 059-33-01-10/3-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97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Муниципальной программой «Дорожная деятельность </w:t>
              <w:br/>
              <w:t xml:space="preserve">и благоустройство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города Перми», утвержденной постановлением администрации города Перми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 18.10.2024 </w:t>
              <w:br/>
              <w:t xml:space="preserve">№ 966,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на рассматриваемой территории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не предусмотрены.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Дополнительно сообщаем, постан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овлением администрации города Перми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от 23.12.2016 № 1159, в отношении территории, включающей рассматриваемые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земельные участки, утверждены проект планировки территории и проект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межевания территории.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Проектом планировки территории предусмотрено установление красных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линий, обозначающих территории общего пользования (улицы, проезды), для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обеспечения доступа к земельным участкам, проектом межевания территории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сформирован земельный участок (№ 26 </w:t>
              <w:br/>
              <w:t xml:space="preserve">на чертеже межевания) с видом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разрешенного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использования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«территории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общего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пользования,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предназначенные </w:t>
              <w:br/>
              <w:t xml:space="preserve">для формирования земельных участков в целях размещения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линейных объектов инженерной и транспортной инфраструктуры».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Но фактически улица, проезд отсутствуют.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Таким образом, на сегодняшний день условия примыкания земельных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участков к улично-дорожной сети города Перми отсутствуют</w:t>
            </w:r>
            <w:r>
              <w:rPr>
                <w:b w:val="0"/>
                <w:bCs w:val="0"/>
                <w:color w:val="000000" w:themeColor="text1"/>
              </w:rPr>
              <w:t xml:space="preserve">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дорог и благоустройства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14.10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.2025 № 059-24-01-36/3-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3789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Источники противопожарного водоснабжения (далее - ИПВ) </w:t>
              <w:br/>
              <w:t xml:space="preserve">на указанной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территории отсутствуют. Ближайший ИПВ (пожарный водоем) расположен в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радиусе 795 метров </w:t>
              <w:br/>
              <w:t xml:space="preserve">по адресу: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ул. Грушевая/ул. Налимихинская.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Построен </w:t>
              <w:br/>
              <w:t xml:space="preserve">в 2017 году, находится в оперативном управлении администрации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Кировского района города Перми.</w:t>
            </w:r>
            <w:r/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Информация о подразделениях пожарной охраны </w:t>
              <w:br/>
              <w:t xml:space="preserve">и времени их прибытия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содержится в «Расписании выезда подразделений Пермского местного пожарно -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спасательного гарнизона для тушения пожаров </w:t>
              <w:br/>
              <w:t xml:space="preserve">и проведения аварийно -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спасательных работ на территории Пермского городского округа, Пермского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муниципального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района»,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утвержденном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Главой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города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Перми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26.04.2024.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Подразделение пожарной охраны расположено </w:t>
              <w:br/>
              <w:t xml:space="preserve">по адресу: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ул. Сысольская,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16 (ПСЧ-6 10-ПСО).</w:t>
            </w:r>
            <w:r/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Помещения для аварийно - спасательных служб и (или) аварийно -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спасательных формирований на указанной территории отсутствуют.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Объекты общественной безопасности, отнесенные </w:t>
              <w:br/>
              <w:t xml:space="preserve">к объектам полиции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(участковые пункты полиции) </w:t>
              <w:br/>
              <w:t xml:space="preserve">в данном микрорайоне (Налимиха) отсутствуют.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Ближайший участковый пункт расположен по адресу: г. Пермь,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ул. Судозаводская, д. 8 (микрорайон Нижняя Курья, Кировский район).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В настоящее время в указанном микрорайоне строительство (приобретение)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участковых пунктов полиции не планируется.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На указанных территориях оконечные устройства системы оповещения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населения города Перми отсутствуют. Для обеспечения покрытия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запланированной территории системой оповещения населения необходимо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предусматривать размещение сиренно-речевых узлов согласно пунктам 6.38, 6.39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СП 165.1325800.2014 «Свод правил. Инженерно-технические мероприятия по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гражданской обороне. Актуализированная редакция СНиП 2.01.51-90»,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утвержденные Приказом Минстроя России от 12.11.2014 № 705/пр.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По информации, предоставленной письмом Министерства территориальной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безопасности Пермского края от 07.10.2020 </w:t>
              <w:br/>
              <w:t xml:space="preserve">№ 964с, рассматриваемые территории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попадает в зону возможного химического заражения в особый период.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Иная информация, в части полномочий департамента общественной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безопасности администрации города Перми, отсутствует.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общественной безопасности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13.10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.2025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059-10-01-27/3-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2250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850" w:right="113" w:hanging="34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 xml:space="preserve">объекта капитального строительства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91"/>
              <w:ind w:firstLine="312"/>
              <w:jc w:val="both"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  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 xml:space="preserve">www.gorodperm.ru.</w:t>
            </w:r>
            <w:r/>
          </w:p>
          <w:p>
            <w:pPr>
              <w:pStyle w:val="784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 пунктом 4.5 СП 55.13330.2016 Свода Правил. Дома жилые одноквартирные. СНиП 31-02-2001, утвержденным и введенным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 действие Приказом Министерства строительства и жилищно-коммунального хозяйства Российской Федерации от 20.10.2016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№ 725/пр. Дом должен включать жилые комнаты – одну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или несколько (общую комнату или гостиную, спальню),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 также вспомогательные помещения: переднюю, кухню (в том числе кухню-столовую и (или) кухню-нишу), ванные комнаты и (или) душевые, туалет (у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борную) или совмещенный санузел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переднюю.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общей комнаты в доме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 числом комнат две и более - 16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спальни - 8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(на двух человек - 10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); кухни - 8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 xml:space="preserve">в кухне-столовой - 6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 домах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с одной комнатой допускается проектировать кухни или кухни-ниши площадью не менее 5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val="en-US"/>
              </w:rPr>
              <w:t xml:space="preserve">антресолей должна составлять не менее 2,1 м,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val="en-US"/>
              </w:rPr>
              <w:t xml:space="preserve">а высота пути эвакуации -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2,2 м.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 xml:space="preserve">в мансардном этаже, допускается уменьшение высоты помещений (от пола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до потолка), относительно нормируемой на площади, не превышающей 50%.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Согласно градостроительному плану Земельного участка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12.11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.2025 № РФ-59-2-03-0-00-2025-2741-0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(далее – ГПЗУ)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минимальный отступ от границ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частка до места допустимого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размещения зданий, строений </w:t>
              <w:br/>
              <w:t xml:space="preserve">(за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исключением границ со стороны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территории общего пользования, где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отступ определяется с учетом красных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линий и линий регулирования застройки,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установленных проектом планировки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территории, а также границ смежных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земельных участков при блокированной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жилой застройке)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– 3 м;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tabs>
                <w:tab w:val="right" w:pos="6000" w:leader="none"/>
              </w:tabs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highlight w:val="none"/>
              </w:rPr>
              <w:t xml:space="preserve">м</w:t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 xml:space="preserve">аксимальный выступ за красную линию нависающих частей здания наземных уровней, выступающих </w:t>
              <w:br/>
              <w:t xml:space="preserve">из плоскости наружной стены фасада з</w:t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 xml:space="preserve">дания на высоте </w:t>
              <w:br/>
              <w:t xml:space="preserve">не менее 4,5 м </w:t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 xml:space="preserve">над территорией общего пользования, составляет не</w:t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 xml:space="preserve"> более 1,2 м от красной линии. </w:t>
              <w:br/>
              <w:t xml:space="preserve">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максимальный процент застр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ойки в границах земельного участка, определяемый как отношение суммарной площади земельного участка, которая может б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ыть застроена, ко всей площади земельного участка – 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0%.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Согласно документации по планировке территории, утвержденной постановлением администрации города Перми от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23.12.2016 № 1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159, предельная высота жилой застройки – до 10,5 метров.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Победителю аукциона (единственному участнику) рекомендовано обратиться в уполномоченный орган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уведомлением о планируемом строительстве жилого дома.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6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120" w:right="0" w:firstLine="125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firstLine="312"/>
              <w:jc w:val="both"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0" w:tooltip="http://www.gorodperm.ru/" w:history="1">
              <w:r>
                <w:rPr>
                  <w:rStyle w:val="774"/>
                  <w:color w:val="000000"/>
                  <w:sz w:val="24"/>
                  <w:szCs w:val="24"/>
                </w:rPr>
                <w:t xml:space="preserve">www.gorodperm.ru</w:t>
              </w:r>
            </w:hyperlink>
            <w:r>
              <w:rPr>
                <w:color w:val="000000"/>
                <w:sz w:val="24"/>
                <w:szCs w:val="24"/>
              </w:rPr>
              <w:t xml:space="preserve">.</w:t>
            </w:r>
            <w:r/>
          </w:p>
          <w:p>
            <w:pPr>
              <w:pStyle w:val="691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rFonts w:ascii="Times New Roman" w:hAnsi="Times New Roman"/>
                <w:sz w:val="24"/>
                <w:highlight w:val="white"/>
              </w:rPr>
            </w:r>
            <w:r>
              <w:rPr>
                <w:rFonts w:ascii="Times New Roman" w:hAnsi="Times New Roman"/>
                <w:sz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сообщает следующее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Порядок технологич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принадлежащих сетевым организациям и иным лица, к электрическим сетям, утвержденными постановлением Правительства РФ </w:t>
              <w:br/>
              <w:t xml:space="preserve">от 27.12.2004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861 (далее – Правила ТП).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си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ласно пунктам 15, 25, 25.1 Правил ТП технические условия являются неотъемлемым приложением </w:t>
              <w:br/>
              <w:t xml:space="preserve">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э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ией вместе с договором о технологическом присоединении.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получения технических условий и за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Правилами ТП через единый федеральный портал электрос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етевых услуг группы компаний «Россети» на сайте: </w:t>
            </w:r>
            <w:hyperlink r:id="rId21" w:tooltip="https://" w:history="1">
              <w:r>
                <w:rPr>
                  <w:rStyle w:val="774"/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https://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«Россети Урал» - «Пермэнерго» </w:t>
              <w:br/>
              <w:t xml:space="preserve">по адресу: г. Пермь, ул. Камчатовская, д. 26, а также почтовым отправлением по адресу: 614016, г. Пермь, </w:t>
              <w:br/>
              <w:t xml:space="preserve">ул. Камчатовская, 26. По дополнительным вопросам телефон контакт-центра: 8-800-220-0-220 (круглосуточно и бесплатно).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При подготовке градостроительного плана земельного участка необходимо предусмотреть коридоры </w:t>
              <w:br/>
              <w:t xml:space="preserve">для строительства кабельных линий и место для размещения трансформаторных подстанций.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филиала </w:t>
              <w:br/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ПАО «Россети Урал» - «Пермэнерго»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18.12.2025 </w:t>
              <w:br/>
              <w:t xml:space="preserve">№ ПЭ/ПГЭС/01/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22/17020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Земельный у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часток расположен вне зоны теплоснабжения ПАО «Т Плюс».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к собственникам близлежащих тепловых сетей/источников теплоснабжения или рассмотреть возможность альтернативного источника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теплоснабжения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ПАО «Т Плюс»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 09.10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.2025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51000-32-03665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Техническая возможность подключения к сетям теплоснабжения отсутствует. Рекомендовано рассмотреть альтернативный источник теплоснабжения - газ, электричество, дрова, пеллеты.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.2025 № 059-23-01-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29/3-65-ри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Техническая возможность подключения объекта капитального строительства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с предполагаемой максимальной нагрузкой 8 куб.м/час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к существующим сетям газо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распределения имеется.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6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Для определения месторасположения газораспределительных сетей на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интересуемом земельном участке необходимо направить в адрес Филиала в г.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Пермь </w:t>
              <w:br/>
              <w:t xml:space="preserve">AO «Газпром газораспределение Пермь» инженерно - топографический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план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бумажном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носителе,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выполненный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масштабе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1:500,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координатах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г. Перми, на котором отображены рельеф местности, объекты ситуаци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и 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границы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интересующей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территории.</w:t>
            </w:r>
            <w:r>
              <w:rPr>
                <w:rFonts w:ascii="Times New Roman" w:hAnsi="Times New Roman"/>
                <w:color w:val="auto"/>
                <w:sz w:val="26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6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равлением по адресу: г. Пермь, </w:t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ул. Уральская, 104, через Единый центр пр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ед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оставления услуг по адресу: г. Пермь, ул. Уральская, д. 104,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каб. 101.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13.10.2025 № ПФ-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7410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наличии технической возможности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для подключения сетей водоснабжения и водоотведения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предполагаемой величиной н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агрузки 1,0 м3/сут. сообщается следующее.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Ближайшей сетью водоснабжения,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эксплуатируем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ой </w:t>
              <w:br/>
              <w:t xml:space="preserve">ООО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«Новогор - Прикамье» является водопровод, Д - 150 мм на пересечении ул. Рижская-ул. Солдатская </w:t>
              <w:br/>
              <w:t xml:space="preserve">на расстоянии -2,5 км.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В границах Участка отсутствуют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централизованные сети канализации,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эксплуатируемые ООО «Новогор - Прикамье»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Ближайшие сети водоотведения эксплуатируемые </w:t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ООО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«Новогор - Прикамье», располагаются в районе здания по ул. Вольская, 15 ориентировочно на расстоянии - 3,0 км.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проектировании может быть применен альтернативный способ водоснабжения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без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подключения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централизованной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системе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водоснабжения (от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скважины)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альтернативный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способ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канализования,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без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подключения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 цен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рализованной системе канализации г. Перми (отвод стоков на локальные очистные сооружения, канализование объекта </w:t>
              <w:br/>
              <w:t xml:space="preserve">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ООО «НОВОГОР - Прикамье» эксплуатирует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только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централизованные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системы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водоснабжения </w:t>
              <w:br/>
              <w:t xml:space="preserve">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водоотведения, по вопросу возможности обеспечения индивидуальног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жилого дома холодным водоснабжения от скважины и отвода канализационных стоков локально, предлагаем вам обра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титься в соответствующие организации, регулирующие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недропользование.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lang w:val="ru-RU" w:eastAsia="ru-RU" w:bidi="ru-RU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:lang w:val="ru-RU" w:eastAsia="ru-RU" w:bidi="ru-RU"/>
              </w:rPr>
              <w:t xml:space="preserve">Кроме того, ООО «НОВОГОР-Прикамье» </w:t>
              <w:br/>
              <w:t xml:space="preserve">не располагает сведениями о наличии сетей 3-х лиц </w:t>
              <w:br/>
              <w:t xml:space="preserve">в границах Участка.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:lang w:val="ru-RU" w:eastAsia="ru-RU" w:bidi="ru-RU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:lang w:val="ru-RU" w:eastAsia="ru-RU" w:bidi="ru-RU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ООО «НОВОГОР - Прикамье»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14.10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.2025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№ 110-15891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период до 2028 года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территории,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где расположен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Участок,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схемами не предусмотрено строительство сетей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водоснабжения и водоотведения в мкр.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Налимиха.</w:t>
            </w:r>
            <w:r/>
          </w:p>
          <w:p>
            <w:pPr>
              <w:pStyle w:val="691"/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Для определения технической возможности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подключения объекта капитального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строительства к сетям водоснабжения и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водоотведения необходимо обратиться </w:t>
              <w:br/>
              <w:t xml:space="preserve">к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гарантирующей организации для проведения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гидравлического расчета.</w:t>
            </w:r>
            <w:r/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Департамент жилищно-коммунального хозяйства администрации города Перми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14.10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.2025 № 059-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04-17/3-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985-ри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Технологическое присоединение к сетям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связи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ПАО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«Ростелеком»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может быть произведено к узлу ВОЛС (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г. Пермь,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ул. Заречная, 162А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),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м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аксимальную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нагрузку в точке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подключения (технологического присоединения) необходимо определить на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стадии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проектирования.</w:t>
            </w:r>
            <w:r/>
          </w:p>
          <w:p>
            <w:pPr>
              <w:ind w:left="0" w:right="0" w:firstLine="283"/>
              <w:jc w:val="both"/>
              <w:spacing w:after="0" w:line="240" w:lineRule="auto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Для подключения технологи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ч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еского присоединения </w:t>
              <w:br/>
              <w:t xml:space="preserve">к сетям электросвязи ПАО «Ростелеком» необходим запрос правообладателя земельного участка на выдачу технических условий подключения или заявки </w:t>
              <w:br/>
              <w:t xml:space="preserve">о заключении договора о подключении в порядке, определенном действующим законодательством.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Для получения технических условий на подключение </w:t>
              <w:br/>
              <w:t xml:space="preserve">к сетям связи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необходимо обратиться в Отдел продаж </w:t>
              <w:br/>
              <w:t xml:space="preserve">и обслуживания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по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адресу: г. Пермь, ул. Крупской, 2, тел.:(342) 235-57-34 или направить запрос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на perm-mail@ural.rt.ru.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ПАО «Ростелеком»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15.10.2025 № 01/05/152430/25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57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Начальная цена предмета аукциона</w:t>
            </w:r>
            <w:r/>
          </w:p>
          <w:p>
            <w:pPr>
              <w:pStyle w:val="691"/>
              <w:ind w:left="113" w:right="57" w:firstLine="0"/>
              <w:jc w:val="left"/>
              <w:spacing w:before="0" w:after="0"/>
              <w:widowControl/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(рыночная стоимость земельного участка)</w:t>
            </w:r>
            <w:r/>
          </w:p>
          <w:p>
            <w:pPr>
              <w:pStyle w:val="691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0"/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</w:rPr>
              <w:t xml:space="preserve">По условиям пункта 4.1 проекта договора купли-продажи земельного участка, приобретаемого на торгах </w:t>
              <w:br/>
              <w:t xml:space="preserve">в форме аукциона (Приложение 3 к настоящему извещению), </w:t>
            </w:r>
            <w:r>
              <w:rPr>
                <w:sz w:val="24"/>
                <w:szCs w:val="24"/>
                <w:shd w:val="clear" w:color="auto" w:fill="auto"/>
              </w:rPr>
              <w:t xml:space="preserve">победитель аукциона, иное лицо, </w:t>
              <w:br/>
              <w:t xml:space="preserve">с которым договор заключается в соответствии </w:t>
              <w:br/>
              <w:t xml:space="preserve">с п.13, п.14, п. 20 или п. 25</w:t>
            </w:r>
            <w:r/>
          </w:p>
          <w:p>
            <w:pPr>
              <w:pStyle w:val="691"/>
            </w:pPr>
            <w:r>
              <w:rPr>
                <w:sz w:val="24"/>
                <w:szCs w:val="24"/>
                <w:shd w:val="clear" w:color="auto" w:fill="auto"/>
              </w:rPr>
              <w:t xml:space="preserve">ст. 39.12 Земельного Кодекса Российской Федерации (далее – ЗК РФ), обязан </w:t>
              <w:br/>
            </w:r>
            <w:r>
              <w:rPr>
                <w:b/>
                <w:sz w:val="24"/>
                <w:szCs w:val="24"/>
                <w:shd w:val="clear" w:color="auto" w:fill="auto"/>
              </w:rPr>
              <w:t xml:space="preserve">в течение 15 дней</w:t>
            </w:r>
            <w:r>
              <w:rPr>
                <w:sz w:val="24"/>
                <w:szCs w:val="24"/>
                <w:shd w:val="clear" w:color="auto" w:fill="auto"/>
              </w:rPr>
              <w:t xml:space="preserve"> со дня размещения  протокола </w:t>
              <w:br/>
              <w:t xml:space="preserve">о результатах аукциона, </w:t>
              <w:br/>
              <w:t xml:space="preserve">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val="clear" w:color="auto" w:fill="auto"/>
              </w:rPr>
              <w:t xml:space="preserve">перечислить денежные средства                              </w:t>
            </w:r>
            <w:r>
              <w:rPr>
                <w:sz w:val="24"/>
                <w:szCs w:val="24"/>
                <w:shd w:val="clear" w:color="auto" w:fill="auto"/>
              </w:rPr>
              <w:t xml:space="preserve">за земельный участок                        (за вычетом задатка, внесенного для участия</w:t>
            </w:r>
            <w:r/>
          </w:p>
          <w:p>
            <w:pPr>
              <w:pStyle w:val="691"/>
            </w:pPr>
            <w:r>
              <w:rPr>
                <w:sz w:val="24"/>
                <w:szCs w:val="24"/>
                <w:shd w:val="clear" w:color="auto" w:fill="auto"/>
              </w:rPr>
              <w:t xml:space="preserve">в</w:t>
            </w:r>
            <w:r>
              <w:rPr>
                <w:sz w:val="24"/>
                <w:szCs w:val="24"/>
                <w:shd w:val="clear" w:color="auto" w:fill="auto"/>
              </w:rPr>
              <w:t xml:space="preserve"> аукционе) на счет департамента земельных отношений администрации города Перми, 614015, ул. Сибирская,15, тел. 212-61-90 (отдел договоров), реквизиты которого указаны в проекте договора купли-продажи земельного участка (Приложение 1 к настоящему извещению)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</w:rPr>
              <w:t xml:space="preserve">1 781 100</w:t>
            </w:r>
            <w:r>
              <w:rPr>
                <w:sz w:val="24"/>
                <w:szCs w:val="24"/>
              </w:rPr>
              <w:t xml:space="preserve"> руб.</w:t>
            </w:r>
            <w:r/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«Шаг аукциона» (5% от начальной цены предмета аукциона)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left="-36" w:firstLine="36"/>
              <w:jc w:val="left"/>
              <w:tabs>
                <w:tab w:val="clear" w:pos="708" w:leader="none"/>
                <w:tab w:val="left" w:pos="4732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89 055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руб.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Форма заявки на участие </w:t>
              <w:br/>
              <w:t xml:space="preserve">в аукционе</w:t>
            </w:r>
            <w:r/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     банковских реквизитов счета для возврата задатка направл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ждан); надлежащим образом заверенный перевод на русский язык документов                                      о государственной регистрации юридического лица                                   в соответствии с законодательством иностранного государства в слу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  <w:r/>
          </w:p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На каждый лот представляется отдельный пакет документов.</w:t>
            </w:r>
            <w:r/>
          </w:p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jc w:val="both"/>
            </w:pPr>
            <w:r>
              <w:rPr>
                <w:b/>
                <w:sz w:val="24"/>
                <w:szCs w:val="24"/>
              </w:rPr>
              <w:t xml:space="preserve">Решение о проведении аукциона принято в соответствии</w:t>
            </w:r>
            <w:r/>
          </w:p>
          <w:p>
            <w:pPr>
              <w:pStyle w:val="691"/>
              <w:jc w:val="both"/>
            </w:pPr>
            <w:r>
              <w:rPr>
                <w:b/>
                <w:sz w:val="24"/>
                <w:szCs w:val="24"/>
              </w:rPr>
              <w:t xml:space="preserve">со статьей 39.18 Земельного кодекса Российской Федерации, участниками аукциона могут являться только граждане.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Размер задатка (50% от начальной цены предмета аукциона)</w:t>
            </w:r>
            <w:r/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</w:rPr>
              <w:t xml:space="preserve">890 550</w:t>
            </w:r>
            <w:r>
              <w:rPr>
                <w:sz w:val="24"/>
                <w:szCs w:val="24"/>
              </w:rPr>
              <w:t xml:space="preserve"> руб.</w:t>
            </w:r>
            <w:r/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Дата </w:t>
            </w:r>
            <w:r>
              <w:rPr>
                <w:b w:val="0"/>
                <w:shd w:val="clear" w:color="auto" w:fill="auto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0"/>
                <w:sz w:val="24"/>
                <w:szCs w:val="24"/>
                <w:shd w:val="clear" w:color="auto" w:fill="auto"/>
                <w:lang w:val="en-US" w:eastAsia="en-US"/>
              </w:rPr>
              <w:t xml:space="preserve">сайтах www.torgi.gov.ru, www.gorodperm.ru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highlight w:val="white"/>
              </w:rPr>
              <w:t xml:space="preserve">26</w:t>
            </w:r>
            <w:r>
              <w:rPr>
                <w:sz w:val="24"/>
                <w:szCs w:val="24"/>
                <w:highlight w:val="white"/>
              </w:rPr>
              <w:t xml:space="preserve">.09.202</w:t>
            </w:r>
            <w:r>
              <w:rPr>
                <w:sz w:val="24"/>
                <w:szCs w:val="24"/>
                <w:highlight w:val="white"/>
              </w:rPr>
              <w:t xml:space="preserve">5</w:t>
            </w:r>
            <w:r>
              <w:rPr>
                <w:sz w:val="24"/>
                <w:szCs w:val="24"/>
                <w:highlight w:val="white"/>
              </w:rPr>
            </w:r>
            <w:r/>
          </w:p>
        </w:tc>
      </w:tr>
      <w:tr>
        <w:tblPrEx/>
        <w:trPr>
          <w:trHeight w:val="1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Проект договора купли-продажи земельного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      приобретаемого на торгах в форме аукциона, является Приложением 3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 xml:space="preserve"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  <w:r/>
          </w:p>
        </w:tc>
      </w:tr>
      <w:tr>
        <w:tblPrEx/>
        <w:trPr>
          <w:trHeight w:val="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right="-263"/>
            </w:pPr>
            <w:r>
              <w:rPr>
                <w:sz w:val="24"/>
                <w:szCs w:val="24"/>
              </w:rPr>
              <w:t xml:space="preserve">Порядок осмотра земельного участка на местности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самостоятельно в любое время с даты опубликования настоящего извещения.</w:t>
            </w:r>
            <w:r/>
          </w:p>
        </w:tc>
      </w:tr>
    </w:tbl>
    <w:p>
      <w:pPr>
        <w:pStyle w:val="810"/>
        <w:ind w:left="1134" w:hanging="1134"/>
        <w:jc w:val="center"/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1"/>
        <w:ind w:right="-263"/>
        <w:tabs>
          <w:tab w:val="clear" w:pos="708" w:leader="none"/>
          <w:tab w:val="left" w:pos="5103" w:leader="none"/>
        </w:tabs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b/>
          <w:lang w:val="en-US"/>
        </w:rPr>
        <w:t xml:space="preserve">Лот № 3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10485" w:type="dxa"/>
        <w:tblInd w:w="-47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56"/>
        <w:gridCol w:w="3308"/>
        <w:gridCol w:w="6821"/>
      </w:tblGrid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right="0"/>
              <w:jc w:val="left"/>
              <w:spacing w:before="0" w:after="0" w:line="240" w:lineRule="auto"/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о проведении аукциона, реквизиты указанного решения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 xml:space="preserve">департамента земельных отношений администрации города Перми </w:t>
            </w:r>
            <w:r>
              <w:rPr>
                <w:sz w:val="24"/>
                <w:szCs w:val="28"/>
                <w:highlight w:val="white"/>
              </w:rPr>
              <w:t xml:space="preserve">от 03 апреля 2026 г. № 21-01-03-2150 «О проведении аукциона по продаже земельного участка </w:t>
              <w:br/>
              <w:t xml:space="preserve">в Орджоникидзевском районе города Перми»</w:t>
            </w:r>
            <w:r/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Предмет аукциона по продаже земельного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restart"/>
            <w:textDirection w:val="lrTb"/>
            <w:noWrap w:val="false"/>
          </w:tcPr>
          <w:p>
            <w:pPr>
              <w:pStyle w:val="6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4"/>
              </w:numPr>
              <w:ind w:left="720" w:right="-263" w:hanging="360"/>
              <w:jc w:val="both"/>
            </w:pPr>
            <w:r>
              <w:rPr>
                <w:sz w:val="24"/>
                <w:szCs w:val="24"/>
              </w:rPr>
              <w:t xml:space="preserve">местоположение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Российская Федерация, Пермский край, городской округ Пермский, город Пермь, улица Корабельная, з/у 18</w:t>
            </w:r>
            <w:r/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4"/>
              </w:numPr>
              <w:ind w:left="720" w:right="-263" w:hanging="360"/>
            </w:pPr>
            <w:r>
              <w:rPr>
                <w:sz w:val="24"/>
                <w:szCs w:val="24"/>
              </w:rPr>
              <w:t xml:space="preserve">площадь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</w:rPr>
              <w:t xml:space="preserve">700 кв. м</w:t>
            </w:r>
            <w:r/>
          </w:p>
        </w:tc>
      </w:tr>
      <w:tr>
        <w:tblPrEx/>
        <w:trPr>
          <w:trHeight w:val="1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4"/>
              </w:numPr>
              <w:ind w:left="720" w:right="-263" w:hanging="360"/>
            </w:pPr>
            <w:r>
              <w:rPr>
                <w:sz w:val="24"/>
                <w:szCs w:val="24"/>
              </w:rPr>
              <w:t xml:space="preserve">кадастровый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t xml:space="preserve">59:01:2510409:539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4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права на земельный участок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  <w:lang w:val="en-US"/>
              </w:rPr>
              <w:t xml:space="preserve">государственная собственность не разграничена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4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вид разрешенного использования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  <w:lang w:val="en-US"/>
              </w:rPr>
              <w:t xml:space="preserve">для индивидуального жилищного строительства</w:t>
            </w:r>
            <w:r/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4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 xml:space="preserve">категории земель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</w:rPr>
              <w:t xml:space="preserve">земли населенных пунктов</w:t>
            </w:r>
            <w:r/>
          </w:p>
        </w:tc>
      </w:tr>
      <w:tr>
        <w:tblPrEx/>
        <w:trPr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4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принадлежность к определенной  территориальной зоне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t xml:space="preserve">Ж-4 «Зона индивидуальной жилой застройки городского типа»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4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ограничение прав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Ограничения прав подробно описаны:</w:t>
            </w:r>
            <w:r/>
          </w:p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</w:t>
            </w:r>
            <w:r>
              <w:rPr>
                <w:sz w:val="24"/>
                <w:szCs w:val="24"/>
                <w:highlight w:val="white"/>
              </w:rPr>
              <w:t xml:space="preserve">от 20.04.2026г.                № КУВИ-001/2026-54136848</w:t>
            </w:r>
            <w:r>
              <w:rPr>
                <w:sz w:val="24"/>
                <w:szCs w:val="24"/>
              </w:rPr>
              <w:t xml:space="preserve"> (далее - ЕГРН)</w:t>
            </w:r>
            <w:r>
              <w:rPr>
                <w:sz w:val="24"/>
                <w:szCs w:val="24"/>
                <w14:ligatures w14:val="none"/>
              </w:rPr>
              <w:t xml:space="preserve">;</w:t>
            </w:r>
            <w:r/>
          </w:p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в градостроительном плане земельного участка</w:t>
            </w:r>
            <w:r/>
          </w:p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от</w:t>
            </w:r>
            <w:r>
              <w:rPr>
                <w:sz w:val="24"/>
                <w:szCs w:val="24"/>
                <w:highlight w:val="white"/>
              </w:rPr>
              <w:t xml:space="preserve"> 24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.03.2026 № РФ-59-2-03-0-00-2026-0572-0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</w:rPr>
              <w:t xml:space="preserve">(далее – ГПЗУ) (приложение 6 к настоящему извещению).</w:t>
            </w:r>
            <w:r/>
          </w:p>
          <w:p>
            <w:pPr>
              <w:pStyle w:val="784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 обследуемом участке произрастают многолетние лиственные и хвойные деревья, низкорослые кустарники.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Близлежащие пожарные водоемы: Пермский край, </w:t>
              <w:br/>
              <w:t xml:space="preserve">г. Пермь, Орджоникидзевский район, на пересечении </w:t>
              <w:br/>
              <w:t xml:space="preserve">ул. 2-я Катерная и ул. 2-я Затонская, ул. Трясолобова, пожарные гидранты: Пермский край, г. Пермь, Орджоникидзевский район, ул. Трясолобова (5 шт.).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администрации Орджоникидзевского района </w:t>
            </w:r>
            <w:r>
              <w:rPr>
                <w:color w:val="000000" w:themeColor="text1"/>
                <w:sz w:val="24"/>
                <w:szCs w:val="24"/>
              </w:rPr>
              <w:t xml:space="preserve">от 23.03.2026 № 059-37-01-32/3-1554,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в акте обследования земельного участка от 20.03.2026 № 23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соответствии с г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еодезической съемкой, выполненной </w:t>
              <w:br/>
              <w:t xml:space="preserve">в 2026 году, объекты капитального/некапитального строительства в границах Участка отсутствуют.</w:t>
            </w:r>
            <w:r>
              <w:rPr>
                <w:color w:val="000000" w:themeColor="text1"/>
                <w:sz w:val="24"/>
                <w:szCs w:val="24"/>
              </w:rPr>
              <w:t xml:space="preserve"> Участок зарос кустарником.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Согласно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копии планшета М 1:500 (требуется корректура), </w:t>
            </w:r>
            <w:r>
              <w:rPr>
                <w:color w:val="000000" w:themeColor="text1"/>
                <w:sz w:val="24"/>
                <w:szCs w:val="24"/>
              </w:rPr>
              <w:t xml:space="preserve">Участок зарос лесной растительностью породы «Ель». С севера на юг участок пересекает полевая дорога. С восточной стороны частично участок зарос травянистой растительностью.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Согласно сведениям, содержащимся в ЕГРН, ГПЗУ </w:t>
              <w:br/>
              <w:t xml:space="preserve">и справке по градостроительным условиям участка </w:t>
              <w:br/>
              <w:t xml:space="preserve">от 20.04.2026 № 676207 Участок расположен в границах зон с особыми условиями использования территории: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частично площадью 120,94 кв.м, охранная зона инженерных коммуникаций «ОХРАННАЯ ЗОНА ВЛ-35 КВ «ТЭЦ-13» -«ЗАОЗЕРЬЕ» Ц.1,2», реестровый номер 59:01-6.2285;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часть земельного участка площадью 121 кв.м расположена в границах зоны действия публичного сервитута, установленного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приказом Министерства по управлению имуществом и градостроительной деятельности Пермского края от 18.01.2024 № 31-02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-1-4-198 «Об установлении публичного сервитута в целях эксплуатации объекта электросетевого хозяйства регионального значения». Срок установления публичного сервитута - сорок девять лет (согласно п.1 ст. 39.45 ЗК РФ). Реестровый номер границы: 59:00-6.2096.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Проектирование и строительство вести в соответствии: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 п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остановлением Правительства Российской Федерации от 24.02.2009 № 160 «О порядке установления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охранных зон объектов электросетевого хозяйства и особых условий использования земельных участков,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расположенных в границах таких зон».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 Участке произрастает 700 шт. деревьев породы «тополь», «осина», «ель», «ива», «береза».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 прилегающей территории расположены городские леса. Необходимо учесть их границы.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Средняя стоимость в ценах 2025 года одного дерева лиственной породы от 25 тыс. руб., а хвойной – от 30 тыс. руб.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000000" w:themeColor="text1"/>
                <w:spacing w:val="0"/>
                <w:sz w:val="24"/>
                <w:szCs w:val="24"/>
              </w:rPr>
              <w:t xml:space="preserve">перечне мероприятий по охране окружающей среды от 19.03.2026 № 59.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правления по экологии и природопользованию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19.03.2026 № 059-33-01-10/3-167).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beforeAutospacing="0" w:after="0" w:afterAutospacing="0" w:line="240" w:lineRule="auto"/>
              <w:rPr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Для примыкания Участка к улично-дорожной сети города Перми необходимо выполнить условия, указанные в письме.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beforeAutospacing="0" w:after="0" w:afterAutospacing="0" w:line="240" w:lineRule="auto"/>
              <w:rPr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от 15.12.2020 № 277, при строительстве объектов недвижимости на земельных участках, предоставленных на торгах.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257-ФЗ «Об автомобильных дорогах и о дорожной деятельности в Российской Федер</w:t>
            </w:r>
            <w:r>
              <w:rPr>
                <w:color w:val="000000" w:themeColor="text1"/>
                <w:sz w:val="24"/>
                <w:szCs w:val="24"/>
              </w:rPr>
              <w:t xml:space="preserve">ации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</w:t>
              <w:br/>
              <w:t xml:space="preserve">с обеспече</w:t>
            </w:r>
            <w:r>
              <w:rPr>
                <w:color w:val="000000" w:themeColor="text1"/>
                <w:sz w:val="24"/>
                <w:szCs w:val="24"/>
              </w:rPr>
              <w:t xml:space="preserve">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осуществляются строительство, реконструкция, капитальный ремонт, ремонт пересечений или примыканий.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дорог и благоустройства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  <w:br/>
              <w:t xml:space="preserve">от 13.03.2026 № 059-24-01-36/3-685).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Источники противопожарного водоснабжения на указанной территории отсутствуют. Ближайший ИПВ (пожарный водоем) расположен по адресу: ул. 2-я Катерная/ул. 2-я Затонская.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 выезда подразделений Пермского местного пожарно -спасательного гарнизона для тушения </w:t>
            </w:r>
            <w:r>
              <w:rPr>
                <w:color w:val="000000" w:themeColor="text1"/>
                <w:sz w:val="24"/>
                <w:szCs w:val="24"/>
              </w:rPr>
              <w:t xml:space="preserve">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Васнецова, 4 (ПСЧ-7 10-ПСО).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Помещения для аварийно-спасательных служб и (или) аварийно-спасательных формирований на указанной территории отсутствуют.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Объекты общественной безопасности, отнесенные </w:t>
              <w:br/>
              <w:t xml:space="preserve">к объ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ктам полиции (участковые пункты полиции) расположены по адресу: г. Пермь, ул. Трясолобова, 98 (микрорайон Заозерье, Орджоникидзевский район). </w:t>
              <w:br/>
              <w:t xml:space="preserve">В настоящее время в указанном микрорайоне строительство (приобретение) участковых пунктов полиции не планируется.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Указанная территория находится в зоне действия системы оповещения населения города Перми, установленной по </w:t>
              <w:br/>
              <w:t xml:space="preserve">ул. Радистов, 13 - 1500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общественной безопасности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12.03.2026 № 059-10-01-27/3-364).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период до 2028 года на территории, где расположен Участок, предусмотрено строительство сетей водоснабжения в мкр. Заозерье.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жилищно-коммунального хозяйства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11.03.2026 № 059-04-17/3-182-ри).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4"/>
              </w:numPr>
              <w:ind w:left="850" w:right="113" w:hanging="34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 xml:space="preserve">объекта капитального строительства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91"/>
              <w:ind w:firstLine="312"/>
              <w:jc w:val="both"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  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 xml:space="preserve">www.gorodperm.ru.</w:t>
            </w:r>
            <w:r/>
          </w:p>
          <w:p>
            <w:pPr>
              <w:pStyle w:val="784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с пунктом 4.5 СП 55.13330.2016 Свода Правил. Дома жилые одноквартирные. СНиП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- одну или несколько (общую комнату или гостиную, спальню),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а также вспомогательные помещения: переднюю, кухню (в том числе кухню-столовую и (или) кухню-нишу), ванные комнаты  и (или) душевые, туалет (уборную) или совмещенный санузел</w:t>
            </w:r>
            <w:r>
              <w:rPr>
                <w:color w:val="000000" w:themeColor="text1"/>
                <w:sz w:val="24"/>
                <w:szCs w:val="24"/>
              </w:rPr>
              <w:t xml:space="preserve">, переднюю.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, общей комнаты в доме с числом комнат две и более - 16 м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, спальни - 8 м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); кухни - 8 м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; кухонной зоны </w:t>
              <w:br/>
              <w:t xml:space="preserve">в кухне-столовой - 6 м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В домах с одной комнатой допускается проектировать кухни или кухни-ниши площадью не менее 5 м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антресолей должна составлять не менее 2,1 м,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а высота пути эвакуации -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2,2 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 xml:space="preserve">в мансардном этаже, допускается уменьшение высоты помещений (от пола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до потолка), относительно нормируемой на площади, не превышающей 50%.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Согласно ГПЗУ: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минимальный отступ от границ Участка до места допустимого размещения зданий, строений (за исключением гр</w:t>
            </w:r>
            <w:r>
              <w:rPr>
                <w:color w:val="000000" w:themeColor="text1"/>
                <w:sz w:val="24"/>
                <w:szCs w:val="24"/>
              </w:rPr>
              <w:t xml:space="preserve">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tabs>
                <w:tab w:val="clear" w:pos="708" w:leader="none"/>
                <w:tab w:val="right" w:pos="600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</w:rPr>
              <w:t xml:space="preserve">м</w:t>
            </w:r>
            <w:r>
              <w:rPr>
                <w:color w:val="000000" w:themeColor="text1"/>
                <w:sz w:val="24"/>
                <w:highlight w:val="white"/>
              </w:rPr>
              <w:t xml:space="preserve">аксимальный выступ за красную линию нависающих частей здания наземных уровней, выступающих из плоскости наружной стены фасада здан</w:t>
            </w:r>
            <w:r>
              <w:rPr>
                <w:color w:val="000000" w:themeColor="text1"/>
                <w:sz w:val="24"/>
                <w:highlight w:val="white"/>
              </w:rPr>
              <w:t xml:space="preserve">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tabs>
                <w:tab w:val="clear" w:pos="708" w:leader="none"/>
                <w:tab w:val="right" w:pos="600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30%.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Предельная высота зданий, строений – не более 10,5 м;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 xml:space="preserve">с уведомлением о планируемом строительстве жилого дома.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6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4"/>
              </w:numPr>
              <w:ind w:left="120" w:right="0" w:firstLine="125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firstLine="312"/>
              <w:jc w:val="both"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2" w:tooltip="http://www.gorodperm.ru/" w:history="1">
              <w:r>
                <w:rPr>
                  <w:rStyle w:val="774"/>
                  <w:color w:val="000000"/>
                  <w:sz w:val="24"/>
                  <w:szCs w:val="24"/>
                </w:rPr>
                <w:t xml:space="preserve">www.gorodperm.ru</w:t>
              </w:r>
            </w:hyperlink>
            <w:r>
              <w:rPr>
                <w:color w:val="000000"/>
                <w:sz w:val="24"/>
                <w:szCs w:val="24"/>
              </w:rPr>
              <w:t xml:space="preserve">.</w:t>
            </w:r>
            <w:r/>
          </w:p>
          <w:p>
            <w:pPr>
              <w:pStyle w:val="691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rFonts w:ascii="Times New Roman" w:hAnsi="Times New Roman"/>
                <w:sz w:val="24"/>
                <w:highlight w:val="white"/>
              </w:rPr>
            </w:r>
            <w:r>
              <w:rPr>
                <w:rFonts w:ascii="Times New Roman" w:hAnsi="Times New Roman"/>
                <w:sz w:val="24"/>
                <w:highlight w:val="whit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границах Участка отсутствуют сети и охранные зоны ПАО» Россети Урал».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</w:t>
            </w:r>
            <w:r>
              <w:rPr>
                <w:color w:val="000000" w:themeColor="text1"/>
                <w:sz w:val="24"/>
                <w:szCs w:val="24"/>
              </w:rPr>
              <w:t xml:space="preserve">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си</w:t>
            </w:r>
            <w:r>
              <w:rPr>
                <w:color w:val="000000" w:themeColor="text1"/>
                <w:sz w:val="24"/>
                <w:szCs w:val="24"/>
              </w:rPr>
              <w:t xml:space="preserve">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Согласно пунктам 15, 25, 25.1 Правил ТП технические услов</w:t>
            </w:r>
            <w:r>
              <w:rPr>
                <w:color w:val="000000" w:themeColor="text1"/>
                <w:sz w:val="24"/>
                <w:szCs w:val="24"/>
              </w:rPr>
              <w:t xml:space="preserve">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</w:t>
            </w:r>
            <w:r>
              <w:rPr>
                <w:color w:val="000000" w:themeColor="text1"/>
                <w:sz w:val="24"/>
                <w:szCs w:val="24"/>
              </w:rPr>
              <w:t xml:space="preserve">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</w:t>
            </w:r>
            <w:r>
              <w:rPr>
                <w:color w:val="000000" w:themeColor="text1"/>
                <w:sz w:val="24"/>
                <w:szCs w:val="24"/>
              </w:rPr>
              <w:t xml:space="preserve">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23" w:tooltip="https://" w:history="1">
              <w:r>
                <w:rPr>
                  <w:rStyle w:val="774"/>
                  <w:color w:val="000000" w:themeColor="text1"/>
                  <w:sz w:val="24"/>
                  <w:szCs w:val="24"/>
                </w:rPr>
                <w:t xml:space="preserve">https://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</w:t>
            </w:r>
            <w:r>
              <w:rPr>
                <w:color w:val="000000" w:themeColor="text1"/>
                <w:sz w:val="24"/>
                <w:szCs w:val="24"/>
              </w:rPr>
              <w:t xml:space="preserve">иала «Россети Урал»-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филиала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городские электрические сети»</w:t>
            </w:r>
            <w:r>
              <w:rPr>
                <w:color w:val="000000" w:themeColor="text1"/>
                <w:sz w:val="24"/>
                <w:szCs w:val="24"/>
              </w:rPr>
              <w:t xml:space="preserve"> от 25.03.2026 № ПЭ/ПГЭС/01/22/4120).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Участок находится вне зоны теплоснабжения </w:t>
              <w:br/>
              <w:t xml:space="preserve">ПАО «Т Плюс».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</w:t>
              <w:br/>
              <w:t xml:space="preserve">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ПАО «Т Плюс»</w:t>
            </w:r>
            <w:r>
              <w:rPr>
                <w:color w:val="000000" w:themeColor="text1"/>
                <w:sz w:val="24"/>
                <w:szCs w:val="24"/>
              </w:rPr>
              <w:t xml:space="preserve"> от 13.03.2026 № 51000-32-00966).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Техническая возможность подключения к сетям теплоснабжения отсутствует. Рекомендовано рассмотреть альтернативный источник теплоснабжения - газ, электричество, дрова, пеллеты.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000000" w:themeColor="text1"/>
                <w:sz w:val="24"/>
                <w:szCs w:val="24"/>
              </w:rPr>
              <w:t xml:space="preserve">от 24.03.2026 № 059-04-25/3-51-ри).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рассмотрения вопроса о предоставлении технических условий на подключение (технологическое присоединение) необходимо направить</w:t>
            </w:r>
            <w:r>
              <w:rPr>
                <w:color w:val="000000" w:themeColor="text1"/>
                <w:sz w:val="24"/>
                <w:szCs w:val="24"/>
              </w:rPr>
              <w:t xml:space="preserve">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</w:t>
              <w:br/>
              <w:t xml:space="preserve">г. Пермь, ул. Уральская, д. 104, каб. 101.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val="000000" w:themeColor="text1"/>
                <w:sz w:val="24"/>
                <w:szCs w:val="24"/>
              </w:rPr>
              <w:t xml:space="preserve">от 13.03.2026 № ПФ-1664).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6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Ближайшая сеть водоснабжения - водопровод Д-315 мм по ул. l-я Палубная, на текущую дату эксплуатируемая </w:t>
              <w:br/>
              <w:t xml:space="preserve">MKY «Городская коммунальная служба».</w:t>
            </w:r>
            <w:r>
              <w:rPr>
                <w:rFonts w:ascii="Times New Roman" w:hAnsi="Times New Roman"/>
                <w:color w:val="000000" w:themeColor="text1"/>
                <w:sz w:val="26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6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Ближайшей точкой присоединения к сетям водоотведения, эксплуатируемой ООО «НОВОГОР-Прикамье»: коллектор Д-500 мм внутри квартала.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границах вышеуказанного земельного участка отсутствуют сети водопровода и канализации, эксплуатируемые ООО «НОВОГОР-Прикамье».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Размещение об</w:t>
            </w:r>
            <w:r>
              <w:rPr>
                <w:color w:val="000000" w:themeColor="text1"/>
                <w:sz w:val="24"/>
                <w:szCs w:val="24"/>
              </w:rPr>
              <w:t xml:space="preserve">ъекта необходимо предусматривать строго за пределами охранных зон сетей водопровода </w:t>
              <w:br/>
              <w:t xml:space="preserve">и канализации в соответствии норм CП, в том числе </w:t>
              <w:br/>
              <w:t xml:space="preserve">в соответствии таблицы 12.5 CП 42.13330.2016 «Градостроительство планировка и настройка городских и сельских поселений».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ООО «НОВОГОР-Прикамье» </w:t>
            </w:r>
            <w:r>
              <w:rPr>
                <w:color w:val="000000" w:themeColor="text1"/>
                <w:sz w:val="24"/>
                <w:szCs w:val="24"/>
              </w:rPr>
              <w:t xml:space="preserve">от 17.03.2026 № 110-3602).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Технологическое присоединение к сетям связи ПАО «Ростелеком» может быть произведено к узлу ВОЛС (г. Пермь, ул. Трясолобова, д. 96), максимальную нагрузку в точке подключения (технологического присоединения) необходимо определить на стадии проектирования.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highlight w:val="none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Для получения технических условий на подключение </w:t>
              <w:br/>
              <w:t xml:space="preserve">к сетям связи необходимо обратиться в Отдел продаж </w:t>
              <w:br/>
              <w:t xml:space="preserve">и обслуживания по адресу: г. Пермь, ул. Крупской, 2, тел.:(342) 235-57-34 или направить запрос на perm-mail@ural.rt.ru.</w:t>
            </w:r>
            <w:r>
              <w:rPr>
                <w:b w:val="0"/>
                <w:bCs w:val="0"/>
                <w:color w:val="000000" w:themeColor="text1"/>
              </w:rPr>
            </w:r>
            <w:r>
              <w:rPr>
                <w:b w:val="0"/>
                <w:bCs w:val="0"/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ПАО «Ростелеком»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19.03.2026 № 01/05/41333/26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57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Начальная цена предмета аукциона</w:t>
            </w:r>
            <w:r/>
          </w:p>
          <w:p>
            <w:pPr>
              <w:pStyle w:val="691"/>
              <w:ind w:left="113" w:right="57" w:firstLine="0"/>
              <w:jc w:val="left"/>
              <w:spacing w:before="0" w:after="0"/>
              <w:widowControl/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(рыночная стоимость земельного участка)</w:t>
            </w:r>
            <w:r/>
          </w:p>
          <w:p>
            <w:pPr>
              <w:pStyle w:val="691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0"/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</w:rPr>
              <w:t xml:space="preserve">По условиям пункта 4.1 проекта договора купли-продажи земельного участка, приобретаемого на торгах </w:t>
              <w:br/>
              <w:t xml:space="preserve">в форме аукциона (Приложение 5 к настоящему извещению), </w:t>
            </w:r>
            <w:r>
              <w:rPr>
                <w:sz w:val="24"/>
                <w:szCs w:val="24"/>
                <w:shd w:val="clear" w:color="auto" w:fill="auto"/>
              </w:rPr>
              <w:t xml:space="preserve">победитель аукциона, иное лицо, </w:t>
              <w:br/>
              <w:t xml:space="preserve">с которым договор заключается в соответствии </w:t>
              <w:br/>
              <w:t xml:space="preserve">с п.13, п.14, п. 20 или п. 25</w:t>
            </w:r>
            <w:r/>
          </w:p>
          <w:p>
            <w:pPr>
              <w:pStyle w:val="691"/>
            </w:pPr>
            <w:r>
              <w:rPr>
                <w:sz w:val="24"/>
                <w:szCs w:val="24"/>
                <w:shd w:val="clear" w:color="auto" w:fill="auto"/>
              </w:rPr>
              <w:t xml:space="preserve">ст. 39.12 Земельного Кодекса Российской Федерации (далее – ЗК РФ), обязан </w:t>
              <w:br/>
            </w:r>
            <w:r>
              <w:rPr>
                <w:b/>
                <w:sz w:val="24"/>
                <w:szCs w:val="24"/>
                <w:shd w:val="clear" w:color="auto" w:fill="auto"/>
              </w:rPr>
              <w:t xml:space="preserve">в течение 15 дней</w:t>
            </w:r>
            <w:r>
              <w:rPr>
                <w:sz w:val="24"/>
                <w:szCs w:val="24"/>
                <w:shd w:val="clear" w:color="auto" w:fill="auto"/>
              </w:rPr>
              <w:t xml:space="preserve"> со дня размещения  протокола </w:t>
              <w:br/>
              <w:t xml:space="preserve">о результатах аукциона, </w:t>
              <w:br/>
              <w:t xml:space="preserve">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val="clear" w:color="auto" w:fill="auto"/>
              </w:rPr>
              <w:t xml:space="preserve">перечислить денежные средства                              </w:t>
            </w:r>
            <w:r>
              <w:rPr>
                <w:sz w:val="24"/>
                <w:szCs w:val="24"/>
                <w:shd w:val="clear" w:color="auto" w:fill="auto"/>
              </w:rPr>
              <w:t xml:space="preserve">за земельный участок                        (за вычетом задатка, внесенного для участия</w:t>
            </w:r>
            <w:r/>
          </w:p>
          <w:p>
            <w:pPr>
              <w:pStyle w:val="691"/>
            </w:pPr>
            <w:r>
              <w:rPr>
                <w:sz w:val="24"/>
                <w:szCs w:val="24"/>
                <w:shd w:val="clear" w:color="auto" w:fill="auto"/>
              </w:rPr>
              <w:t xml:space="preserve">в</w:t>
            </w:r>
            <w:r>
              <w:rPr>
                <w:sz w:val="24"/>
                <w:szCs w:val="24"/>
                <w:shd w:val="clear" w:color="auto" w:fill="auto"/>
              </w:rPr>
              <w:t xml:space="preserve"> аукционе) на счет департамента земельных отношений администрации города Перми, 614015, ул. Сибирская,15, тел. 212-61-90 (отдел договоров), реквизиты которого указаны в проекте договора купли-продажи земельного участка (Приложение 1 к настоящему извещению)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highlight w:val="white"/>
              </w:rPr>
              <w:t xml:space="preserve">1 513 400</w:t>
            </w:r>
            <w:r>
              <w:rPr>
                <w:sz w:val="24"/>
                <w:szCs w:val="24"/>
              </w:rPr>
              <w:t xml:space="preserve"> руб.</w:t>
            </w:r>
            <w:r/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«Шаг аукциона» (5% от начальной цены предмета аукциона)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highlight w:val="white"/>
              </w:rPr>
              <w:t xml:space="preserve">75 670</w:t>
            </w:r>
            <w:r>
              <w:rPr>
                <w:sz w:val="24"/>
                <w:szCs w:val="24"/>
              </w:rPr>
              <w:t xml:space="preserve"> руб.</w:t>
            </w:r>
            <w:r/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Форма заявки на участие </w:t>
              <w:br/>
              <w:t xml:space="preserve">в аукционе</w:t>
            </w:r>
            <w:r/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     банковских реквизитов счета для возврата задатка направл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ждан); надлежащим образом заверенный перевод на русский язык документов                                      о государственной регистрации юридического лица                                   в соответствии с законодательством иностранного государства в слу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  <w:r/>
          </w:p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На каждый лот представляется отдельный пакет документов.</w:t>
            </w:r>
            <w:r/>
          </w:p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jc w:val="both"/>
            </w:pPr>
            <w:r>
              <w:rPr>
                <w:b/>
                <w:sz w:val="24"/>
                <w:szCs w:val="24"/>
              </w:rPr>
              <w:t xml:space="preserve">Решение о проведении аукциона принято в соответствии</w:t>
            </w:r>
            <w:r/>
          </w:p>
          <w:p>
            <w:pPr>
              <w:pStyle w:val="691"/>
              <w:jc w:val="both"/>
            </w:pPr>
            <w:r>
              <w:rPr>
                <w:b/>
                <w:sz w:val="24"/>
                <w:szCs w:val="24"/>
              </w:rPr>
              <w:t xml:space="preserve">со статьей 39.18 Земельного кодекса Российской Федерации, участниками аукциона могут являться только граждане.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Размер задатка (50% от начальной цены предмета аукциона)</w:t>
            </w:r>
            <w:r/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highlight w:val="white"/>
              </w:rPr>
              <w:t xml:space="preserve">756 700</w:t>
            </w:r>
            <w:r>
              <w:rPr>
                <w:sz w:val="24"/>
                <w:szCs w:val="24"/>
              </w:rPr>
              <w:t xml:space="preserve"> руб.</w:t>
            </w:r>
            <w:r/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Дата </w:t>
            </w:r>
            <w:r>
              <w:rPr>
                <w:b w:val="0"/>
                <w:shd w:val="clear" w:color="auto" w:fill="auto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0"/>
                <w:sz w:val="24"/>
                <w:szCs w:val="24"/>
                <w:shd w:val="clear" w:color="auto" w:fill="auto"/>
                <w:lang w:val="en-US" w:eastAsia="en-US"/>
              </w:rPr>
              <w:t xml:space="preserve">сайтах www.torgi.gov.ru, www.gorodperm.ru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highlight w:val="white"/>
              </w:rPr>
              <w:t xml:space="preserve">16.12.2025</w:t>
            </w:r>
            <w:r/>
          </w:p>
        </w:tc>
      </w:tr>
      <w:tr>
        <w:tblPrEx/>
        <w:trPr>
          <w:trHeight w:val="1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Проект договора купли-продажи земельного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приобретаемого на торгах в форме аукциона, является Приложением 5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 xml:space="preserve">размещен </w:t>
              <w:br/>
              <w:t xml:space="preserve">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  <w:r/>
          </w:p>
        </w:tc>
      </w:tr>
      <w:tr>
        <w:tblPrEx/>
        <w:trPr>
          <w:trHeight w:val="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right="-263"/>
            </w:pPr>
            <w:r>
              <w:rPr>
                <w:sz w:val="24"/>
                <w:szCs w:val="24"/>
              </w:rPr>
              <w:t xml:space="preserve">Порядок осмотра земельного участка на местности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самостоятельно в любое время с даты опубликования настоящего извещения.</w:t>
            </w:r>
            <w:r/>
          </w:p>
        </w:tc>
      </w:tr>
    </w:tbl>
    <w:p>
      <w:pPr>
        <w:ind w:right="-263"/>
        <w:tabs>
          <w:tab w:val="clear" w:pos="708" w:leader="none"/>
          <w:tab w:val="left" w:pos="5103" w:leader="none"/>
        </w:tabs>
        <w:rPr>
          <w:b/>
          <w:bCs/>
          <w:highlight w:val="none"/>
          <w:lang w:val="en-US"/>
        </w:rPr>
      </w:pPr>
      <w:r>
        <w:rPr>
          <w:sz w:val="20"/>
          <w:szCs w:val="20"/>
          <w:highlight w:val="none"/>
        </w:rPr>
      </w:r>
      <w:r>
        <w:rPr>
          <w:b/>
          <w:bCs/>
          <w:highlight w:val="none"/>
          <w:lang w:val="en-US"/>
        </w:rPr>
      </w:r>
      <w:r>
        <w:rPr>
          <w:b/>
          <w:bCs/>
          <w:highlight w:val="none"/>
          <w:lang w:val="en-US"/>
        </w:rPr>
      </w:r>
    </w:p>
    <w:p>
      <w:pPr>
        <w:ind w:right="-263"/>
        <w:tabs>
          <w:tab w:val="clear" w:pos="708" w:leader="none"/>
          <w:tab w:val="left" w:pos="5103" w:leader="none"/>
        </w:tabs>
        <w:rPr>
          <w:b/>
          <w:bCs/>
          <w:highlight w:val="none"/>
          <w:lang w:val="en-US"/>
        </w:rPr>
      </w:pPr>
      <w:r>
        <w:rPr>
          <w:b/>
          <w:highlight w:val="none"/>
          <w:lang w:val="en-US"/>
        </w:rPr>
      </w:r>
      <w:r>
        <w:rPr>
          <w:b/>
          <w:lang w:val="en-US"/>
        </w:rPr>
        <w:t xml:space="preserve">Лот № 4</w:t>
      </w:r>
      <w:r>
        <w:rPr>
          <w:b/>
          <w:bCs/>
          <w:highlight w:val="none"/>
          <w:lang w:val="en-US"/>
        </w:rPr>
      </w:r>
      <w:r>
        <w:rPr>
          <w:b/>
          <w:bCs/>
          <w:highlight w:val="none"/>
          <w:lang w:val="en-US"/>
        </w:rPr>
      </w:r>
    </w:p>
    <w:tbl>
      <w:tblPr>
        <w:tblW w:w="10485" w:type="dxa"/>
        <w:tblInd w:w="-47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56"/>
        <w:gridCol w:w="3308"/>
        <w:gridCol w:w="6821"/>
      </w:tblGrid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right="0"/>
              <w:jc w:val="left"/>
              <w:spacing w:before="0" w:after="0" w:line="240" w:lineRule="auto"/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о проведении аукциона, реквизиты указанного решения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 xml:space="preserve">департамента земельных отношений администрации города Перми </w:t>
            </w:r>
            <w:r>
              <w:rPr>
                <w:sz w:val="24"/>
                <w:szCs w:val="28"/>
                <w:highlight w:val="white"/>
              </w:rPr>
              <w:t xml:space="preserve">от 20 мая 2026 г. № 21-01-03-3395 «О проведении аукциона по продаже земельного участка в Орджоникидзевском районе города Перми»</w:t>
            </w:r>
            <w:r/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Предмет аукциона по продаже земельного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restart"/>
            <w:textDirection w:val="lrTb"/>
            <w:noWrap w:val="false"/>
          </w:tcPr>
          <w:p>
            <w:pPr>
              <w:pStyle w:val="6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5"/>
              </w:numPr>
              <w:ind w:left="720" w:right="-263" w:hanging="360"/>
              <w:jc w:val="both"/>
            </w:pPr>
            <w:r>
              <w:rPr>
                <w:sz w:val="24"/>
                <w:szCs w:val="24"/>
              </w:rPr>
              <w:t xml:space="preserve">местоположение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</w:rPr>
              <w:t xml:space="preserve">Российская Федерация, Пермский край, городской округ Пермский, город Пермь, улица Кутузова, з/у 43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5"/>
              </w:numPr>
              <w:ind w:left="720" w:right="-263" w:hanging="360"/>
            </w:pPr>
            <w:r>
              <w:rPr>
                <w:sz w:val="24"/>
                <w:szCs w:val="24"/>
              </w:rPr>
              <w:t xml:space="preserve">площадь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</w:rPr>
              <w:t xml:space="preserve">1045 кв. м</w:t>
            </w:r>
            <w:r/>
          </w:p>
        </w:tc>
      </w:tr>
      <w:tr>
        <w:tblPrEx/>
        <w:trPr>
          <w:trHeight w:val="1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5"/>
              </w:numPr>
              <w:ind w:left="720" w:right="-263" w:hanging="360"/>
            </w:pPr>
            <w:r>
              <w:rPr>
                <w:sz w:val="24"/>
                <w:szCs w:val="24"/>
              </w:rPr>
              <w:t xml:space="preserve">кадастровый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59:01:3812099:128 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5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права на земельный участок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  <w:lang w:val="en-US"/>
              </w:rPr>
              <w:t xml:space="preserve">государственная собственность не разграничена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5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вид разрешенного использования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  <w:lang w:val="en-US"/>
              </w:rPr>
              <w:t xml:space="preserve">для индивидуального жилищного строительства</w:t>
            </w:r>
            <w:r/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5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 xml:space="preserve">категории земель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</w:rPr>
              <w:t xml:space="preserve">земли населенных пунктов</w:t>
            </w:r>
            <w:r/>
          </w:p>
        </w:tc>
      </w:tr>
      <w:tr>
        <w:tblPrEx/>
        <w:trPr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5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принадлежность к определенной  территориальной зоне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t xml:space="preserve">Ж-4 «Зона индивидуальной жилой застройки городского типа»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5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ограничение прав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Ограничения прав подробно описаны:</w:t>
            </w:r>
            <w:r/>
          </w:p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</w:t>
            </w:r>
            <w:r>
              <w:rPr>
                <w:sz w:val="24"/>
                <w:szCs w:val="24"/>
                <w:highlight w:val="white"/>
              </w:rPr>
              <w:t xml:space="preserve">от </w:t>
            </w:r>
            <w:r>
              <w:rPr>
                <w:rFonts w:eastAsia="TimesNewRomanPSMT"/>
                <w:sz w:val="24"/>
                <w:szCs w:val="24"/>
                <w:highlight w:val="white"/>
              </w:rPr>
              <w:t xml:space="preserve">02.06.2026г.                      № </w:t>
            </w:r>
            <w:r>
              <w:rPr>
                <w:rFonts w:eastAsia="TimesNewRomanPSMT"/>
                <w:sz w:val="24"/>
                <w:szCs w:val="24"/>
                <w:highlight w:val="white"/>
              </w:rPr>
              <w:t xml:space="preserve">КУВИ-</w:t>
            </w:r>
            <w:r>
              <w:rPr>
                <w:rFonts w:eastAsia="TimesNewRomanPSMT"/>
                <w:sz w:val="24"/>
                <w:szCs w:val="24"/>
                <w:highlight w:val="white"/>
              </w:rPr>
              <w:t xml:space="preserve">001/2026-</w:t>
            </w:r>
            <w:r>
              <w:rPr>
                <w:sz w:val="24"/>
                <w:szCs w:val="24"/>
                <w:highlight w:val="white"/>
              </w:rPr>
              <w:t xml:space="preserve">74959990</w:t>
            </w:r>
            <w:r>
              <w:rPr>
                <w:sz w:val="24"/>
                <w:szCs w:val="24"/>
              </w:rPr>
              <w:t xml:space="preserve"> (далее - ЕГРН)</w:t>
            </w:r>
            <w:r>
              <w:rPr>
                <w:sz w:val="24"/>
                <w:szCs w:val="24"/>
                <w14:ligatures w14:val="none"/>
              </w:rPr>
              <w:t xml:space="preserve">;</w:t>
            </w:r>
            <w:r/>
          </w:p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в градостроительном плане земельного участка</w:t>
            </w:r>
            <w:r/>
          </w:p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от</w:t>
            </w:r>
            <w:r>
              <w:rPr>
                <w:sz w:val="24"/>
                <w:szCs w:val="24"/>
                <w:highlight w:val="white"/>
              </w:rPr>
              <w:t xml:space="preserve"> 02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.04.2026 № РФ-59-2-03-0-00-2026-0670-0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</w:rPr>
              <w:t xml:space="preserve">(далее – ГПЗУ) (приложение 8 к настоящему извещению).</w:t>
            </w:r>
            <w:r/>
          </w:p>
          <w:p>
            <w:pPr>
              <w:pStyle w:val="784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Состояние рельефа частично ровное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ч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у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к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л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б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ъ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к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ы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к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л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г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к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л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г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р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л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у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у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ют. Установить захламленность участка не представляется возможным в связи с большим количеством снежного покрова. На земельном участке произрастают многолетние лиственные и хвойные деревья.                                          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 непосредственной близости протекает речка Резвянка.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Близлежащие пожарные водоемы по ул. Бакинских Комиссаров,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ул. Волочаевская, ул. Соликамская, пожарные гидранты: Пермский край,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г. Пермь, Орджоникидзевский район, ул. Ольховская, ул. Соликамская.</w:t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администрации Орджоникидзевского района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03.04.2026 </w:t>
              <w:br/>
              <w:t xml:space="preserve">№ 059-37-01-32/3-1876</w:t>
            </w:r>
            <w:r>
              <w:rPr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в акте обследования земельного участка от 02.04.2026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№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Согласно сведениям ЕГРН на земельном участке отсутствуют 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б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ъ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к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ы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к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л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г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к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л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г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р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л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Согласно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копи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 планшета М 1:500 (требуется корректура), </w:t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 юга-востока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 границах земельного у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частка расположено ограждение - деревянный забор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б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ъ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к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к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л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г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к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л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г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р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л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у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у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ют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Согласно сведениям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содержащимся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ЕГРН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ПЗУ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и справке по градостроительным условиям участка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от 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.06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№ 682063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часток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расположен в границе зоны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 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собыми условиями использования территории: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приаэродромная территория аэродрома аэропорта Большое Савино, реестровый номер 59:32-6.55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Проектирование и строительст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 вести в соответствии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постановлением Правительства Российской Федераци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 </w:t>
              <w:br/>
              <w:t xml:space="preserve">от 11.03.2010 № 138 «Об утверждении Федеральных правил использования воздушного пространства Российской Федерации»: «Запрещается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размещать </w:t>
              <w:br/>
              <w:t xml:space="preserve">в полосах воздушных подходов на удалении до 30 км, а вне полос воздушных подходов - до 15 км </w:t>
              <w:br/>
              <w:t xml:space="preserve">от контрольной точки аэродрома объекты выбросов (размещения) отходов, животноводческие фермы, скотобойни и другие объ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кты,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способствующие привлечению и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ассовому скоплению птиц»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76913c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земельном 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частке произрастае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522 шт. деревьев породы: береза, ива.</w:t>
            </w:r>
            <w:r>
              <w:rPr>
                <w:rFonts w:ascii="Times New Roman" w:hAnsi="Times New Roman"/>
                <w:color w:val="76913c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76913c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редняя стоимость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в ценах 2026 года одного дерева лиственной породы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от 25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тыс. руб.,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 хвойной 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от 30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тыс. руб.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contextualSpacing w:val="0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76913c" w:themeColor="text1"/>
                <w:spacing w:val="0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Победителю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аукциона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необходимо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 соблюдать условия строительства, перечисленные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</w:rPr>
              <w:t xml:space="preserve">перечне мероприятий по охране окружающей среды от 30.03.2026 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</w:rPr>
              <w:t xml:space="preserve"> 67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76913c" w:themeColor="text1"/>
                <w:spacing w:val="0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76913c" w:themeColor="text1"/>
                <w:spacing w:val="0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правления по экологии и природопользованию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 059-33-01-10/3-187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76913c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Муниципальной программой «Дорожная деятельность и благоустройство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города Перми», утвержденной постановлением администрации города Перми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18.10.2024 № 966,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на рассматриваемой территории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не предусмотрены.</w:t>
            </w:r>
            <w:r>
              <w:rPr>
                <w:rFonts w:ascii="Times New Roman" w:hAnsi="Times New Roman"/>
                <w:color w:val="76913c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76913c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76913c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Программой комплексного развития транспортной инфраструктуры города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Перми на 2025-2043 годы, утвержденной Решением Пермской городской Думы </w:t>
              <w:br/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16.12.2025 № 238, мероприятия по строительству, реконструкции, капитальному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ремонту улично-дорожной сети на рассматриваемых территориях 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предусмотрены.
</w:t>
            </w:r>
            <w:r>
              <w:rPr>
                <w:color w:val="76913c" w:themeColor="text1"/>
              </w:rPr>
            </w:r>
            <w:r>
              <w:rPr>
                <w:color w:val="76913c" w:themeColor="text1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color w:val="76913c" w:themeColor="text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Для примыкания Участка к улично-дорожной сети города Перми 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еобходимо выполнить условия, указанные в письме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.</w:t>
            </w:r>
            <w:r>
              <w:rPr>
                <w:color w:val="76913c" w:themeColor="text1"/>
              </w:rPr>
            </w:r>
            <w:r>
              <w:rPr>
                <w:color w:val="76913c" w:themeColor="text1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color w:val="76913c" w:themeColor="text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от 15.12.2020 № 277, </w:t>
              <w:br/>
              <w:t xml:space="preserve">при строительстве объектов недвижимости на земельных участках, предоставленных на торгах.</w:t>
            </w:r>
            <w:r>
              <w:rPr>
                <w:color w:val="76913c" w:themeColor="text1"/>
              </w:rPr>
            </w:r>
            <w:r>
              <w:rPr>
                <w:color w:val="76913c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color w:val="76913c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соответствии 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едеральн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Законом от 08.11.2007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257-ФЗ «Об автомобильных дорогах и о дорожной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деятельности в Российской Федерации и о внесении изменений в отдельные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законодательные акты Российской Федерации», расходы на строительство,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реконструкцию, капитальный ремонт, ремонт пересечений и примыканий,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том числе расходы на выполнение дополнительных работ, связанных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обеспечением безопасности дорожного движения, водоотведения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исполнением других установленных техническими регламентами требований,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несут лица, в интересах которых осуществляются строительство,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реконструкция, капитальный ремонт, ремонт пересечений или примыканий.</w:t>
            </w:r>
            <w:r>
              <w:rPr>
                <w:color w:val="76913c" w:themeColor="text1"/>
              </w:rPr>
            </w:r>
            <w:r>
              <w:rPr>
                <w:color w:val="76913c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дорог и благоустройства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059-24-01-36/3-904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403152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Источники противопожарного водоснабжения на указанной территории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отсутствуют.</w:t>
            </w:r>
            <w:r>
              <w:rPr>
                <w:rFonts w:ascii="Times New Roman" w:hAnsi="Times New Roman"/>
                <w:color w:val="403152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403152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403152" w:themeColor="text1"/>
                <w:sz w:val="36"/>
                <w:szCs w:val="36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 планир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 и размещении объектов </w:t>
              <w:br/>
              <w:t xml:space="preserve">на вышеуказанной территории необходимо соблюдать нормы и требования действующего законодательства: федеральных законов от 21 декабря 1994 г. № 69-ФЗ </w:t>
              <w:br/>
              <w:t xml:space="preserve">«О пожарной безопасности» и от 22 июля 2008 г. </w:t>
              <w:br/>
              <w:t xml:space="preserve">№ 123-ФЗ «Технический регламент 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требованиях пожарной безопасности», Свода правил 8.13130. «Системы противопожарной защиты. Источники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наружного противопожарного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водоснабжения. Требов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пожарной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безопасности», утвержденных приказом МЧС России от 30.03.2020 № 225, Свода правил 4.13130 «Системы против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пожарной защиты. Ограничение распространения пожара на объектах защиты. Требования к объемно - планировочным и конструктивным решениям», утвержденных Приказом МЧС России от 24.04.2013 № 288 и иной документации, касающейся норм противопожарной безопасности.</w:t>
            </w:r>
            <w:r>
              <w:rPr>
                <w:rFonts w:ascii="Times New Roman" w:hAnsi="Times New Roman"/>
                <w:color w:val="403152" w:themeColor="text1"/>
                <w:sz w:val="36"/>
                <w:szCs w:val="36"/>
                <w14:ligatures w14:val="none"/>
              </w:rPr>
            </w:r>
            <w:r>
              <w:rPr>
                <w:rFonts w:ascii="Times New Roman" w:hAnsi="Times New Roman"/>
                <w:color w:val="403152" w:themeColor="text1"/>
                <w:sz w:val="36"/>
                <w:szCs w:val="36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403152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Информация о подразделениях пожарной охраны </w:t>
              <w:br/>
              <w:t xml:space="preserve">и времени их прибытия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содержится в «Расписании выезда подразделений Пермского местного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пожарно-спасательного гарнизона для тушения пожаров </w:t>
              <w:br/>
              <w:t xml:space="preserve">и проведения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аварийно-спасательных работ на территории Пермского городского округа,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Пермского муниципального района», утвержденном Главой города Перми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26.04.2024. Подразделение пожарной охраны расположено по адресу: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ул. Волховская, 37 (ПСЧ-57 10-ПСО).</w:t>
            </w:r>
            <w:r>
              <w:rPr>
                <w:rFonts w:ascii="Times New Roman" w:hAnsi="Times New Roman"/>
                <w:color w:val="403152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403152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403152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Помещения для аварийно-спасательных служб и (или) аварийно-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спасательных формирований на указанной территории отсутствуют.</w:t>
            </w:r>
            <w:r>
              <w:rPr>
                <w:rFonts w:ascii="Times New Roman" w:hAnsi="Times New Roman"/>
                <w:color w:val="403152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403152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Объекты общественной безопасности, отнесенные </w:t>
              <w:br/>
              <w:t xml:space="preserve">к объектам полиции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(участковые пункты полиции) </w:t>
              <w:br/>
              <w:t xml:space="preserve">в данном микрорайоне (Камский) отсутствуют.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Ближайший участковый пункт полиции расположен </w:t>
              <w:br/>
              <w:t xml:space="preserve">по адресу: г. Пермь,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Талицкий переулок, 8 (микрорайон Кислотные Дачи, Орджоникидзевский район).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настоящее время в указанном микрорайоне строительство (приобретение)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участковых пунктов полиции </w:t>
              <w:br/>
              <w:t xml:space="preserve">не планируется.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403152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информации, предоставленной Министерством территориальной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безопасности Пермского края (письмо </w:t>
              <w:br/>
              <w:t xml:space="preserve">от 07.10.2020 № 964с), рассматриваемый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попадает в зону возможного химического заражения в особый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период. </w:t>
            </w:r>
            <w:r>
              <w:rPr>
                <w:color w:val="403152" w:themeColor="text1"/>
              </w:rPr>
            </w:r>
            <w:r>
              <w:rPr>
                <w:color w:val="403152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403152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Указанная территория находится в зоне действия системы оповещения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населения города Перми, установленной по </w:t>
              <w:br/>
              <w:t xml:space="preserve">ул. Ольховская, 2 - 1500 м.</w:t>
            </w:r>
            <w:r>
              <w:rPr>
                <w:color w:val="403152" w:themeColor="text1"/>
              </w:rPr>
            </w:r>
            <w:r>
              <w:rPr>
                <w:color w:val="403152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общественной безопасности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059-10-01-27/3-436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период до 2028 года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территории,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где расположен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Участок,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строитель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тво сетей водоснабжения и водоотведения </w:t>
              <w:br/>
              <w:t xml:space="preserve">в мкр. Камский схемами предусмотрено.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жилищно-коммунального хозяйства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059-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04-17/3-258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5"/>
              </w:numPr>
              <w:ind w:left="850" w:right="113" w:hanging="34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 xml:space="preserve">объекта капитального строительства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91"/>
              <w:ind w:firstLine="312"/>
              <w:jc w:val="both"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  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 xml:space="preserve">www.gorodperm.ru.</w:t>
            </w:r>
            <w:r/>
          </w:p>
          <w:p>
            <w:pPr>
              <w:pStyle w:val="784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 пунктом 4.5 СП 55.13330.2016 Свода Правил. Дома жилые одноквартирные. СНиП 31-02-2001, утвержденным и введенным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 действие Приказом Министерства строительства и жилищно-коммунального хозяйства Российской Федерации от 20.10.2016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№ 725/пр. Дом должен включать жилые комнаты – одну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или несколько (общую комнату или гостиную, спальню),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 также вспомогательные помещения: переднюю, кухню</w:t>
              <w:br/>
              <w:t xml:space="preserve"> (в том числе кухню-столовую и (или) кухню-нишу), ванные комнаты и (или) душевые, туалет (у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борную) </w:t>
              <w:br/>
              <w:t xml:space="preserve">или совмещенный санузел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переднюю.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общей комнаты в доме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 числом комнат две и более - 16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спальни - 8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); кухни - 8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 xml:space="preserve">в кухне-столовой - 6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 домах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с одной комнатой допускается проектировать кухни или кухни-ниши площадью не менее 5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val="en-US"/>
              </w:rPr>
              <w:t xml:space="preserve">антресолей должна составлять не менее 2,1 м,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val="en-US"/>
              </w:rPr>
              <w:t xml:space="preserve">а высота пути эвакуации -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2,2 м.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</w:t>
              <w:br/>
              <w:t xml:space="preserve">или в мансардном этаже, допускается уменьшение высоты помещений (от пола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до потолка), относительно нормируемой на площади, не превышающей 50%.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Согласно градостроительному плану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Земельного участка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от 02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.04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.2026 № РФ-59-2-03-0-00-2026-0670-0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(далее – ГПЗУ)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минимальный отступ от границ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У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частка до места допустимого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размещения зданий, строений </w:t>
              <w:br/>
              <w:t xml:space="preserve">(за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исключением границ со стороны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территории общего пользования, где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отступ определяется с учетом красных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линий и линий регулирования застройки,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установленных проектом планировки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территории, а также границ смежных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земельных участков при блокированной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жилой застройке)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– 3 м;</w:t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м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аксимальный выступ за красную линию нависающих частей здания наземных уровней, выступающих </w:t>
              <w:br/>
              <w:t xml:space="preserve">из плоскости наружной стены фасада з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дания на высоте </w:t>
              <w:br/>
              <w:t xml:space="preserve">не менее 4,5 м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над территорией общего пользования, составляет не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более 1,2 м от красной линии. </w:t>
              <w:br/>
              <w:t xml:space="preserve">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максимальный процент застр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ойки в границах земельного участка, определяемый как отношение суммарной площади земельного участка, которая может б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ыть застроена, ко всей площади земельного участка – 3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%.</w:t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 w:themeColor="accent4" w:themeShade="BF"/>
                <w:lang w:val="en-US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Согласно документации по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планировке территории,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утвержденной постановлением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администрации города Перми от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22.12.2017 № 1178, параметры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возможной предельной высоты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жилой застройки до 10,5 м.</w:t>
            </w:r>
            <w:r>
              <w:rPr>
                <w:rFonts w:ascii="Times New Roman" w:hAnsi="Times New Roman"/>
                <w:color w:val="auto" w:themeColor="accent4" w:themeShade="BF"/>
                <w:lang w:val="en-US"/>
                <w14:ligatures w14:val="none"/>
              </w:rPr>
            </w:r>
            <w:r>
              <w:rPr>
                <w:rFonts w:ascii="Times New Roman" w:hAnsi="Times New Roman"/>
                <w:color w:val="auto" w:themeColor="accent4" w:themeShade="BF"/>
                <w:lang w:val="en-US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 уведомлением о планируемом строительстве жилого дома.</w:t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  <w:r>
              <w:rPr>
                <w:rFonts w:ascii="Times New Roman" w:hAnsi="Times New Roman"/>
                <w:color w:val="auto" w:themeColor="accent4" w:themeShade="BF"/>
                <w:sz w:val="24"/>
                <w:szCs w:val="24"/>
                <w:lang w:val="en-US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9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5"/>
              </w:numPr>
              <w:ind w:left="120" w:right="0" w:firstLine="125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firstLine="312"/>
              <w:jc w:val="both"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4" w:tooltip="http://www.gorodperm.ru/" w:history="1">
              <w:r>
                <w:rPr>
                  <w:rStyle w:val="774"/>
                  <w:color w:val="000000"/>
                  <w:sz w:val="24"/>
                  <w:szCs w:val="24"/>
                </w:rPr>
                <w:t xml:space="preserve">www.gorodperm.ru</w:t>
              </w:r>
            </w:hyperlink>
            <w:r>
              <w:rPr>
                <w:color w:val="000000"/>
                <w:sz w:val="24"/>
                <w:szCs w:val="24"/>
              </w:rPr>
              <w:t xml:space="preserve">.</w:t>
            </w:r>
            <w:r/>
          </w:p>
          <w:p>
            <w:pPr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</w:t>
              <w:br/>
              <w:t xml:space="preserve">с предполагаемой максимальной мощностью 15 кВт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сообщает следующее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границах Участка отсутствуют сети и охранные зоны </w:t>
              <w:br/>
              <w:t xml:space="preserve">ПАО «Россети Урал».</w:t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5f497a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Порядок технологич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принадлежащих сетевым организациям и иным лица, к электрическим сетям, утвержденными постановл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Правительства РФ </w:t>
              <w:br/>
              <w:t xml:space="preserve">от 27.12.2004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861 (далее – Правила ТП).</w:t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си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5f497a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э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ией вместе с договором о технологическом присоединении.</w:t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получения технических условий и за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Правилами ТП через единый федеральный портал электрос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етевых услуг группы компаний «Россети» на сайте: </w:t>
            </w:r>
            <w:hyperlink r:id="rId25" w:tooltip="https://" w:history="1">
              <w:r>
                <w:rPr>
                  <w:rStyle w:val="774"/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https://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«Россети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При подготовке ГПЗУ необходимо предусмотреть коридоры для строительства кабельных линий и место дл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размещения трансформаторных подстанций.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филиала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городские электрические сети»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.04.2026 № ПЭ/ПГЭС/01/22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/4471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76913c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Земельный 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часток находится вне зоны теплоснабжения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ПАО «Т Плюс». </w:t>
            </w:r>
            <w:r>
              <w:rPr>
                <w:rFonts w:ascii="Times New Roman" w:hAnsi="Times New Roman"/>
                <w:color w:val="76913c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76913c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Для запроса информации о возможности подключения земельного участка рекомендуется обратиться </w:t>
              <w:br/>
              <w:t xml:space="preserve">к собственникам близлежащих тепловых сетей/источников теплоснабжения или рассмотреть возможность альтернативного источника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теплоснабжения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ПАО «Т Плюс»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01.04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51000-32-01242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Техническая возможность подключения к сетям теплоснабжения отсутствует. Рекомендовано рассмотреть альтернативный источник теплоснабжения - газ, электричество, дрова, пеллеты.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059-04-25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/3-58-ри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Техническая возможность подключения объекта капитального строительства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с предполагаемой максимальной нагрузкой 8 куб.м/час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к существующим сетям газо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распределения имеется.</w:t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Для рассмотрения вопроса о предоставлении технических условий на подключение (технологическое присоединение) необходимо направить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запрос с приложением необходимых документов и сведений на электронную почту post@pf.ugaz.ru, либо почтовым отп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равлением по адресу: г. Пермь,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ул. Уральская, 104, через Единый центр предост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авления услуг по адресу: г. Пермь, ул. Уральская, д. 104,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каб. 101.</w:t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.03.2026 № ПФ-2056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наличии технической возможности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подключения сетей водоснабжения 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водоотведения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предполагаемой величиной 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агрузки 1,0 м3/сут. сообщается следующее.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76913c" w:themeColor="text1"/>
                <w:sz w:val="25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Ближайшей точкой подключения к сетям водоснабжения,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эксплуатируемой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ООО «НОВОГОР - Прикамье» является сеть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водопровода Д-63 мм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Сурикова,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ориентировочное расстояние от земельного участка 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290 м.</w:t>
            </w:r>
            <w:r>
              <w:rPr>
                <w:rFonts w:ascii="Times New Roman" w:hAnsi="Times New Roman"/>
                <w:color w:val="76913c" w:themeColor="text1"/>
                <w:sz w:val="25"/>
                <w14:ligatures w14:val="none"/>
              </w:rPr>
            </w:r>
            <w:r>
              <w:rPr>
                <w:rFonts w:ascii="Times New Roman" w:hAnsi="Times New Roman"/>
                <w:color w:val="76913c" w:themeColor="text1"/>
                <w:sz w:val="25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76913c" w:themeColor="text1"/>
                <w:sz w:val="25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Ближайшей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точкой присоединения к сетям водоотведения,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эксплуатируемой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ООО «НОВОГОР - Прикамье» является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коллектор Д-400 мм внутри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квартала,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ориентировочное расстояние от земельного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участка 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1335 м.</w:t>
            </w:r>
            <w:r>
              <w:rPr>
                <w:rFonts w:ascii="Times New Roman" w:hAnsi="Times New Roman"/>
                <w:color w:val="76913c" w:themeColor="text1"/>
                <w:sz w:val="25"/>
                <w14:ligatures w14:val="none"/>
              </w:rPr>
            </w:r>
            <w:r>
              <w:rPr>
                <w:rFonts w:ascii="Times New Roman" w:hAnsi="Times New Roman"/>
                <w:color w:val="76913c" w:themeColor="text1"/>
                <w:sz w:val="25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76913c" w:themeColor="text1"/>
                <w:sz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Альтернативный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способ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водоснабжения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выше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указанного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подключения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централизованной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системе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водоснабжения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быть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скважины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альтернативный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способ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канализования,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подключения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 централизованной системе канализации г. Перми (отвод стоков 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локальные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очистные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сооружения,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канализование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объекта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выгребную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яму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последующим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вывозом стоком cпец. машинами), который должен соответствовать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нормативным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требованиям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Российской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Федерации.</w:t>
            </w:r>
            <w:r>
              <w:rPr>
                <w:rFonts w:ascii="Times New Roman" w:hAnsi="Times New Roman"/>
                <w:color w:val="76913c" w:themeColor="text1"/>
                <w:sz w:val="24"/>
                <w14:ligatures w14:val="none"/>
              </w:rPr>
            </w:r>
            <w:r>
              <w:rPr>
                <w:rFonts w:ascii="Times New Roman" w:hAnsi="Times New Roman"/>
                <w:color w:val="76913c" w:themeColor="text1"/>
                <w:sz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76913c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границах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вышеуказанного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отсутствуют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водопровода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канализации,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эксплуатируемые ООО «НОВОГОР 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Прикамье».</w:t>
            </w:r>
            <w:r>
              <w:rPr>
                <w:rFonts w:ascii="Times New Roman" w:hAnsi="Times New Roman"/>
                <w:color w:val="76913c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76913c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76913c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Размещение объекта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необходимо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предусматривать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пределами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охранных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зон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сетей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водопровода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канализации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соответствии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норм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CП, в том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числе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соответствии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таблицы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12.5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42.13330.2016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«Градостроительство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застройка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городских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сельских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поселений».</w:t>
            </w:r>
            <w:r>
              <w:rPr>
                <w:rFonts w:ascii="Times New Roman" w:hAnsi="Times New Roman"/>
                <w:color w:val="76913c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76913c" w:themeColor="text1"/>
                <w:sz w:val="24"/>
                <w:szCs w:val="24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ООО «НОВОГОР-Прикамье»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 110-4111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5f497a" w:themeColor="text1"/>
                <w:highlight w:val="none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Технологическое присоединение к сетям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связи </w:t>
              <w:br/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ПАО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«Ростелеком»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может быть произведено к узлу ВОЛС </w:t>
              <w:br/>
              <w:t xml:space="preserve">(г. Пермь,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ул. Кронита, д.8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),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м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аксимальную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нагрузку в точке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подключения (технологического присоединения) необходимо определить на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стадии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проектирования.</w:t>
            </w:r>
            <w:r>
              <w:rPr>
                <w:rFonts w:ascii="Times New Roman" w:hAnsi="Times New Roman"/>
                <w:b w:val="0"/>
                <w:bCs w:val="0"/>
                <w:color w:val="5f497a" w:themeColor="text1"/>
                <w:highlight w:val="none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color w:val="5f497a" w:themeColor="text1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Для получения технических условий на подключение </w:t>
              <w:br/>
              <w:t xml:space="preserve">к сетям связи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необходимо обратиться в Отдел продаж </w:t>
              <w:br/>
              <w:t xml:space="preserve">и обслуживания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по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адресу: г. Пермь, ул. Крупской, 2, тел.: (342) 235-57-34 или направить запрос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на perm-mail@ural.rt.ru.</w:t>
            </w:r>
            <w:r>
              <w:rPr>
                <w:b w:val="0"/>
                <w:bCs w:val="0"/>
                <w:color w:val="000000" w:themeColor="text1"/>
              </w:rPr>
            </w:r>
            <w:r>
              <w:rPr>
                <w:b w:val="0"/>
                <w:bCs w:val="0"/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ПАО «Ростелеком»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02.04.2026 № 01/05/50613/26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57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Начальная цена предмета аукциона</w:t>
            </w:r>
            <w:r/>
          </w:p>
          <w:p>
            <w:pPr>
              <w:pStyle w:val="691"/>
              <w:ind w:left="113" w:right="57" w:firstLine="0"/>
              <w:jc w:val="left"/>
              <w:spacing w:before="0" w:after="0"/>
              <w:widowControl/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(рыночная стоимость земельного участка)</w:t>
            </w:r>
            <w:r/>
          </w:p>
          <w:p>
            <w:pPr>
              <w:pStyle w:val="691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0"/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</w:rPr>
              <w:t xml:space="preserve">По условиям пункта 4.1 проекта договора купли-продажи земельного участка, приобретаемого на торгах </w:t>
              <w:br/>
              <w:t xml:space="preserve">в форме аукциона (Приложение 7 к настоящему извещению), </w:t>
            </w:r>
            <w:r>
              <w:rPr>
                <w:sz w:val="24"/>
                <w:szCs w:val="24"/>
                <w:shd w:val="clear" w:color="auto" w:fill="auto"/>
              </w:rPr>
              <w:t xml:space="preserve">победитель аукциона, иное лицо, </w:t>
              <w:br/>
              <w:t xml:space="preserve">с которым договор заключается в соответствии </w:t>
              <w:br/>
              <w:t xml:space="preserve">с п.13, п.14, п. 20 или п. 25</w:t>
            </w:r>
            <w:r/>
          </w:p>
          <w:p>
            <w:pPr>
              <w:pStyle w:val="691"/>
            </w:pPr>
            <w:r>
              <w:rPr>
                <w:sz w:val="24"/>
                <w:szCs w:val="24"/>
                <w:shd w:val="clear" w:color="auto" w:fill="auto"/>
              </w:rPr>
              <w:t xml:space="preserve">ст. 39.12 Земельного Кодекса Российской Федерации (далее – ЗК РФ), обязан </w:t>
              <w:br/>
            </w:r>
            <w:r>
              <w:rPr>
                <w:b/>
                <w:sz w:val="24"/>
                <w:szCs w:val="24"/>
                <w:shd w:val="clear" w:color="auto" w:fill="auto"/>
              </w:rPr>
              <w:t xml:space="preserve">в течение 15 дней</w:t>
            </w:r>
            <w:r>
              <w:rPr>
                <w:sz w:val="24"/>
                <w:szCs w:val="24"/>
                <w:shd w:val="clear" w:color="auto" w:fill="auto"/>
              </w:rPr>
              <w:t xml:space="preserve"> со дня размещения  протокола </w:t>
              <w:br/>
              <w:t xml:space="preserve">о результатах аукциона, </w:t>
              <w:br/>
              <w:t xml:space="preserve">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val="clear" w:color="auto" w:fill="auto"/>
              </w:rPr>
              <w:t xml:space="preserve">перечислить денежные средства                              </w:t>
            </w:r>
            <w:r>
              <w:rPr>
                <w:sz w:val="24"/>
                <w:szCs w:val="24"/>
                <w:shd w:val="clear" w:color="auto" w:fill="auto"/>
              </w:rPr>
              <w:t xml:space="preserve">за земельный участок                        (за вычетом задатка, внесенного для участия</w:t>
            </w:r>
            <w:r/>
          </w:p>
          <w:p>
            <w:pPr>
              <w:pStyle w:val="691"/>
            </w:pPr>
            <w:r>
              <w:rPr>
                <w:sz w:val="24"/>
                <w:szCs w:val="24"/>
                <w:shd w:val="clear" w:color="auto" w:fill="auto"/>
              </w:rPr>
              <w:t xml:space="preserve">в</w:t>
            </w:r>
            <w:r>
              <w:rPr>
                <w:sz w:val="24"/>
                <w:szCs w:val="24"/>
                <w:shd w:val="clear" w:color="auto" w:fill="auto"/>
              </w:rPr>
              <w:t xml:space="preserve"> аукционе) на счет департамента земельных отношений администрации города Перми, 614015, ул. Сибирская,15, тел. 212-61-90 (отдел договоров), реквизиты которого указаны в проекте договора купли-продажи земельного участка (Приложение 1 к настоящему извещению)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1 897 700</w:t>
            </w:r>
            <w:r>
              <w:rPr>
                <w:sz w:val="24"/>
                <w:szCs w:val="24"/>
              </w:rPr>
              <w:t xml:space="preserve"> руб.</w:t>
            </w:r>
            <w:r/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«Шаг аукциона» (5% от начальной цены предмета аукциона)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left="-36" w:firstLine="0"/>
              <w:jc w:val="left"/>
              <w:tabs>
                <w:tab w:val="clear" w:pos="708" w:leader="none"/>
                <w:tab w:val="left" w:pos="473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94 885</w:t>
            </w:r>
            <w:r>
              <w:rPr>
                <w:sz w:val="24"/>
                <w:szCs w:val="24"/>
              </w:rPr>
              <w:t xml:space="preserve"> руб.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Форма заявки на участие </w:t>
              <w:br/>
              <w:t xml:space="preserve">в аукционе</w:t>
            </w:r>
            <w:r/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     банковских реквизитов счета для возврата задатка направл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ждан); надлежащим образом заверенный перевод на русский язык документов                                      о государственной регистрации юридического лица                                   в соответствии с законодательством иностранного государства в слу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  <w:r/>
          </w:p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На каждый лот представляется отдельный пакет документов.</w:t>
            </w:r>
            <w:r/>
          </w:p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jc w:val="both"/>
            </w:pPr>
            <w:r>
              <w:rPr>
                <w:b/>
                <w:sz w:val="24"/>
                <w:szCs w:val="24"/>
              </w:rPr>
              <w:t xml:space="preserve">Решение о проведении аукциона принято в соответствии</w:t>
            </w:r>
            <w:r/>
          </w:p>
          <w:p>
            <w:pPr>
              <w:pStyle w:val="691"/>
              <w:jc w:val="both"/>
            </w:pPr>
            <w:r>
              <w:rPr>
                <w:b/>
                <w:sz w:val="24"/>
                <w:szCs w:val="24"/>
              </w:rPr>
              <w:t xml:space="preserve">со статьей 39.18 Земельного кодекса Российской Федерации, участниками аукциона могут являться только граждане.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Размер задатка (50% от начальной цены предмета аукциона)</w:t>
            </w:r>
            <w:r/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948 850</w:t>
            </w:r>
            <w:r>
              <w:rPr>
                <w:sz w:val="24"/>
                <w:szCs w:val="24"/>
              </w:rPr>
              <w:t xml:space="preserve"> руб.</w:t>
            </w:r>
            <w:r/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Дата </w:t>
            </w:r>
            <w:r>
              <w:rPr>
                <w:b w:val="0"/>
                <w:shd w:val="clear" w:color="auto" w:fill="auto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0"/>
                <w:sz w:val="24"/>
                <w:szCs w:val="24"/>
                <w:shd w:val="clear" w:color="auto" w:fill="auto"/>
                <w:lang w:val="en-US" w:eastAsia="en-US"/>
              </w:rPr>
              <w:t xml:space="preserve">сайтах www.torgi.gov.ru, www.gorodperm.ru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highlight w:val="white"/>
              </w:rPr>
              <w:t xml:space="preserve">10</w:t>
            </w:r>
            <w:r>
              <w:rPr>
                <w:sz w:val="24"/>
                <w:szCs w:val="24"/>
                <w:highlight w:val="white"/>
              </w:rPr>
              <w:t xml:space="preserve">.03.202</w:t>
            </w:r>
            <w:r>
              <w:rPr>
                <w:sz w:val="24"/>
                <w:szCs w:val="24"/>
                <w:highlight w:val="white"/>
              </w:rPr>
              <w:t xml:space="preserve">6</w:t>
            </w:r>
            <w:r/>
          </w:p>
        </w:tc>
      </w:tr>
      <w:tr>
        <w:tblPrEx/>
        <w:trPr>
          <w:trHeight w:val="1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Проект договора купли-продажи земельного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      приобретаемого на торгах в форме аукциона, является Приложением 7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 xml:space="preserve"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  <w:r/>
          </w:p>
        </w:tc>
      </w:tr>
      <w:tr>
        <w:tblPrEx/>
        <w:trPr>
          <w:trHeight w:val="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right="-263"/>
            </w:pPr>
            <w:r>
              <w:rPr>
                <w:sz w:val="24"/>
                <w:szCs w:val="24"/>
              </w:rPr>
              <w:t xml:space="preserve">Порядок осмотра земельного участка на местности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самостоятельно в любое время с даты опубликования настоящего извещения.</w:t>
            </w:r>
            <w:r/>
          </w:p>
        </w:tc>
      </w:tr>
    </w:tbl>
    <w:p>
      <w:pPr>
        <w:ind w:right="-263"/>
        <w:tabs>
          <w:tab w:val="clear" w:pos="708" w:leader="none"/>
          <w:tab w:val="left" w:pos="5103" w:leader="none"/>
        </w:tabs>
        <w:rPr>
          <w:b/>
          <w:bCs/>
          <w:highlight w:val="none"/>
          <w:lang w:val="en-US"/>
        </w:rPr>
      </w:pPr>
      <w:r>
        <w:rPr>
          <w:b/>
          <w:highlight w:val="none"/>
          <w:lang w:val="en-US"/>
        </w:rPr>
      </w:r>
      <w:r>
        <w:rPr>
          <w:b/>
          <w:bCs/>
          <w:highlight w:val="none"/>
          <w:lang w:val="en-US"/>
        </w:rPr>
      </w:r>
      <w:r>
        <w:rPr>
          <w:b/>
          <w:bCs/>
          <w:highlight w:val="none"/>
          <w:lang w:val="en-US"/>
        </w:rPr>
      </w:r>
    </w:p>
    <w:p>
      <w:pPr>
        <w:pStyle w:val="691"/>
        <w:contextualSpacing/>
        <w:ind w:left="567"/>
        <w:jc w:val="center"/>
        <w:spacing w:before="0" w:after="0"/>
        <w:widowControl w:val="off"/>
      </w:pPr>
      <w:r>
        <w:rPr>
          <w:rFonts w:eastAsia="Courier New"/>
          <w:b/>
          <w:lang w:bidi="ru-RU"/>
        </w:rPr>
        <w:t xml:space="preserve">Сроки, время подачи заявок, рассмотрения заявок, проведения аукциона</w:t>
      </w:r>
      <w:r/>
    </w:p>
    <w:p>
      <w:pPr>
        <w:pStyle w:val="691"/>
        <w:contextualSpacing/>
        <w:ind w:left="567"/>
        <w:jc w:val="center"/>
        <w:spacing w:before="0" w:after="0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91"/>
        <w:ind w:left="-567" w:firstLine="709"/>
        <w:jc w:val="both"/>
        <w:widowControl w:val="off"/>
        <w:rPr>
          <w:b/>
          <w:bCs/>
        </w:rPr>
      </w:pPr>
      <w:r>
        <w:rPr>
          <w:rFonts w:eastAsia="Courier New"/>
          <w:b/>
          <w:bCs/>
          <w:lang w:bidi="ru-RU"/>
        </w:rPr>
        <w:t xml:space="preserve">Дата и время начала срока подачи заявок на участие в аукционе </w:t>
      </w:r>
      <w:r>
        <w:rPr>
          <w:rFonts w:eastAsia="Courier New"/>
          <w:b/>
          <w:bCs/>
          <w:lang w:bidi="ru-RU"/>
        </w:rPr>
        <w:t xml:space="preserve">- 04.08.2026</w:t>
      </w:r>
      <w:r>
        <w:rPr>
          <w:rFonts w:eastAsia="Courier New"/>
          <w:b/>
          <w:bCs/>
          <w:lang w:bidi="ru-RU"/>
        </w:rPr>
        <w:t xml:space="preserve"> в 9:00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 xml:space="preserve">по местному времени (7:00 МСК).</w:t>
      </w:r>
      <w:r>
        <w:rPr>
          <w:b/>
          <w:bCs/>
        </w:rPr>
      </w:r>
      <w:r>
        <w:rPr>
          <w:b/>
          <w:bCs/>
        </w:rPr>
      </w:r>
    </w:p>
    <w:p>
      <w:pPr>
        <w:pStyle w:val="691"/>
        <w:ind w:left="-567" w:firstLine="709"/>
        <w:jc w:val="both"/>
        <w:widowControl w:val="off"/>
        <w:rPr>
          <w:rFonts w:eastAsia="Courier New"/>
          <w:b/>
          <w:bCs/>
        </w:rPr>
      </w:pPr>
      <w:r>
        <w:rPr>
          <w:rFonts w:eastAsia="Courier New"/>
          <w:b/>
          <w:bCs/>
          <w:lang w:bidi="ru-RU"/>
        </w:rPr>
      </w:r>
      <w:r>
        <w:rPr>
          <w:rFonts w:eastAsia="Courier New"/>
          <w:b/>
          <w:bCs/>
        </w:rPr>
      </w:r>
      <w:r>
        <w:rPr>
          <w:rFonts w:eastAsia="Courier New"/>
          <w:b/>
          <w:bCs/>
        </w:rPr>
      </w:r>
    </w:p>
    <w:p>
      <w:pPr>
        <w:pStyle w:val="691"/>
        <w:ind w:left="-567" w:firstLine="709"/>
        <w:jc w:val="both"/>
        <w:widowControl w:val="off"/>
        <w:rPr>
          <w:b/>
          <w:bCs/>
        </w:rPr>
      </w:pPr>
      <w:r>
        <w:rPr>
          <w:rFonts w:eastAsia="Courier New"/>
          <w:b/>
          <w:bCs/>
          <w:lang w:bidi="ru-RU"/>
        </w:rPr>
        <w:t xml:space="preserve">Дата и время окончания срока подачи заявок на участие в аукционе - 2</w:t>
      </w:r>
      <w:r>
        <w:rPr>
          <w:rFonts w:eastAsia="Courier New"/>
          <w:b/>
          <w:bCs/>
          <w:lang w:bidi="ru-RU"/>
        </w:rPr>
        <w:t xml:space="preserve">5.08.2026</w:t>
      </w:r>
      <w:r>
        <w:rPr>
          <w:rFonts w:eastAsia="Courier New"/>
          <w:b/>
          <w:bCs/>
          <w:lang w:bidi="ru-RU"/>
        </w:rPr>
        <w:t xml:space="preserve">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 xml:space="preserve">в 18:00 по местному времени (16:00 МСК). </w:t>
      </w:r>
      <w:r>
        <w:rPr>
          <w:b/>
          <w:bCs/>
        </w:rPr>
      </w:r>
      <w:r>
        <w:rPr>
          <w:b/>
          <w:bCs/>
        </w:rPr>
      </w:r>
    </w:p>
    <w:p>
      <w:pPr>
        <w:pStyle w:val="691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91"/>
        <w:ind w:left="-567" w:firstLine="709"/>
        <w:jc w:val="both"/>
        <w:widowControl w:val="off"/>
      </w:pPr>
      <w:r>
        <w:rPr>
          <w:rFonts w:eastAsia="Courier New"/>
          <w:b/>
          <w:lang w:bidi="ru-RU"/>
        </w:rPr>
        <w:t xml:space="preserve"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26.08.2026. </w:t>
      </w:r>
      <w:r/>
    </w:p>
    <w:p>
      <w:pPr>
        <w:pStyle w:val="691"/>
        <w:ind w:left="-567" w:firstLine="709"/>
        <w:jc w:val="both"/>
        <w:widowControl w:val="off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  <w:r>
        <w:rPr>
          <w:rFonts w:eastAsia="Courier New"/>
          <w:b/>
          <w:bCs/>
          <w:lang w:bidi="ru-RU"/>
        </w:rPr>
      </w:r>
      <w:r>
        <w:rPr>
          <w:rFonts w:eastAsia="Courier New"/>
          <w:b/>
          <w:bCs/>
          <w:lang w:bidi="ru-RU"/>
        </w:rPr>
      </w:r>
    </w:p>
    <w:p>
      <w:pPr>
        <w:pStyle w:val="691"/>
        <w:ind w:left="-567" w:firstLine="709"/>
        <w:jc w:val="both"/>
        <w:widowControl w:val="off"/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 xml:space="preserve">от участников аукциона) – 27.08</w:t>
      </w:r>
      <w:r>
        <w:rPr>
          <w:rFonts w:eastAsia="Courier New"/>
          <w:b/>
          <w:lang w:bidi="ru-RU"/>
        </w:rPr>
        <w:t xml:space="preserve">.2026</w:t>
      </w:r>
      <w:r>
        <w:rPr>
          <w:rFonts w:eastAsia="Courier New"/>
          <w:lang w:bidi="ru-RU"/>
        </w:rPr>
        <w:t xml:space="preserve"> в 09:00 по местному времени (07:00 МСК). </w:t>
      </w:r>
      <w:r/>
    </w:p>
    <w:p>
      <w:pPr>
        <w:pStyle w:val="691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91"/>
        <w:ind w:left="-567" w:firstLine="709"/>
        <w:jc w:val="both"/>
        <w:widowControl w:val="off"/>
      </w:pPr>
      <w:r>
        <w:rPr>
          <w:b/>
        </w:rPr>
        <w:t xml:space="preserve">Место подачи (приема) заявок и место проведения аукциона:</w:t>
      </w:r>
      <w:r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  <w:r/>
    </w:p>
    <w:p>
      <w:pPr>
        <w:pStyle w:val="691"/>
        <w:jc w:val="both"/>
        <w:widowControl w:val="off"/>
      </w:pPr>
      <w:r/>
      <w:r/>
    </w:p>
    <w:p>
      <w:pPr>
        <w:pStyle w:val="691"/>
        <w:ind w:left="-567" w:firstLine="709"/>
        <w:jc w:val="center"/>
        <w:widowControl w:val="off"/>
      </w:pPr>
      <w:r>
        <w:rPr>
          <w:b/>
        </w:rPr>
        <w:t xml:space="preserve">Плата оператору электронной площадки за участие в электронном аукционе</w:t>
      </w:r>
      <w:r/>
    </w:p>
    <w:p>
      <w:pPr>
        <w:pStyle w:val="691"/>
        <w:ind w:left="-567" w:firstLine="709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691"/>
        <w:ind w:left="-567" w:firstLine="709"/>
        <w:jc w:val="both"/>
        <w:widowControl w:val="off"/>
      </w:pPr>
      <w:r>
        <w:t xml:space="preserve">В соответствии с постановлением Правительства Российской Федерации от 10 мая 2018 г. </w:t>
      </w:r>
      <w:r>
        <w:br w:type="textWrapping" w:clear="all"/>
      </w:r>
      <w:r>
        <w:t xml:space="preserve"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</w:t>
      </w:r>
      <w:r>
        <w:t xml:space="preserve">роцедуры и установления ее предельных размеров» оператор электронной площадки вправе взимать плату с победителя аукциона или иного лица, с которыми в соответствии с пунктами 13, 14, 20 и 25 статьи 39.12 Земельного кодекса Российской Федерации заключается д</w:t>
      </w:r>
      <w:r>
        <w:t xml:space="preserve">оговор купли-продажи земельного участка, находящегося в государственной или муниципальной собственности, либо договор аренды такого участка, в размере 1% начальной цены предмета аукциона, но не более 5 тыс. рублей без учета налога на добавленную стоимость.</w:t>
      </w:r>
      <w:r/>
    </w:p>
    <w:p>
      <w:pPr>
        <w:pStyle w:val="691"/>
        <w:ind w:left="-567" w:firstLine="709"/>
        <w:jc w:val="both"/>
        <w:widowControl w:val="off"/>
      </w:pPr>
      <w:r>
        <w:t xml:space="preserve">По информации оператора электронной площадки АО «Сбербанк-АСТ» в настоящее время взимание платы не установлено.</w:t>
      </w:r>
      <w:r/>
    </w:p>
    <w:p>
      <w:pPr>
        <w:pStyle w:val="691"/>
        <w:ind w:left="-567" w:firstLine="709"/>
        <w:jc w:val="both"/>
        <w:widowControl w:val="off"/>
      </w:pPr>
      <w:r/>
      <w:r/>
    </w:p>
    <w:p>
      <w:pPr>
        <w:pStyle w:val="691"/>
        <w:contextualSpacing/>
        <w:ind w:left="502"/>
        <w:jc w:val="center"/>
        <w:spacing w:before="0" w:after="0"/>
        <w:widowControl w:val="off"/>
      </w:pPr>
      <w:r>
        <w:rPr>
          <w:b/>
          <w:bCs/>
          <w:lang w:bidi="ru-RU"/>
        </w:rPr>
        <w:t xml:space="preserve">Размер задатка для участия в аукционе, порядок его внесения и возврата, реквизиты счета для перечисления задатка</w:t>
      </w:r>
      <w:r/>
    </w:p>
    <w:p>
      <w:pPr>
        <w:pStyle w:val="691"/>
        <w:contextualSpacing/>
        <w:ind w:left="502"/>
        <w:jc w:val="center"/>
        <w:spacing w:before="0" w:after="0"/>
        <w:widowControl w:val="off"/>
        <w:rPr>
          <w:b/>
          <w:bCs/>
          <w:lang w:bidi="ru-RU"/>
        </w:rPr>
      </w:pPr>
      <w:r>
        <w:rPr>
          <w:b/>
          <w:bCs/>
          <w:lang w:bidi="ru-RU"/>
        </w:rPr>
      </w:r>
      <w:r>
        <w:rPr>
          <w:b/>
          <w:bCs/>
          <w:lang w:bidi="ru-RU"/>
        </w:rPr>
      </w:r>
      <w:r>
        <w:rPr>
          <w:b/>
          <w:bCs/>
          <w:lang w:bidi="ru-RU"/>
        </w:rPr>
      </w:r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bCs/>
          <w:lang w:bidi="ru-RU"/>
        </w:rPr>
        <w:t xml:space="preserve">Заявители, зарегистриров</w:t>
      </w:r>
      <w:r>
        <w:rPr>
          <w:bCs/>
          <w:lang w:bidi="ru-RU"/>
        </w:rPr>
        <w:t xml:space="preserve">анные на электронной площадке в установленном порядке, </w:t>
        <w:br/>
        <w:t xml:space="preserve">до подачи заявки на участие в аукционе (далее – заявка), осуществляют перечисление суммы задатка на участие в аукционе на банковские реквизиты Оператора, размещенные в открытой части торговой секции. 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bCs/>
          <w:lang w:bidi="ru-RU"/>
        </w:rPr>
        <w:t xml:space="preserve">В момент подачи заявки Оператор проверяет наличие денежной суммы в размере задатка </w:t>
      </w:r>
      <w:r>
        <w:rPr>
          <w:bCs/>
          <w:lang w:bidi="ru-RU"/>
        </w:rPr>
        <w:br w:type="textWrapping" w:clear="all"/>
      </w:r>
      <w:r>
        <w:rPr>
          <w:bCs/>
          <w:lang w:bidi="ru-RU"/>
        </w:rPr>
        <w:t xml:space="preserve">на лицевом счете заявителя и осуществляет блокирование необходимой денежной суммы.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bCs/>
          <w:lang w:bidi="ru-RU"/>
        </w:rPr>
        <w:t xml:space="preserve">Представление документов, подтверждающих внесение задатка, признается заключением соглашения о задатке (п.2 ст. 39.12 Земельного кодекса Российской Федерации).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bCs/>
          <w:lang w:bidi="ru-RU"/>
        </w:rPr>
        <w:t xml:space="preserve">Сумма задатка для участия в аукционе определяется в размере 50 процентов начальной цены предмета аукциона. Размер задатка в извещении о проведении аукциона указан по каждому лоту.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  <w:r/>
    </w:p>
    <w:p>
      <w:pPr>
        <w:pStyle w:val="691"/>
        <w:ind w:left="-567" w:firstLine="567"/>
        <w:jc w:val="both"/>
        <w:widowControl w:val="off"/>
      </w:pPr>
      <w:r>
        <w:rPr>
          <w:b/>
          <w:bCs/>
          <w:lang w:bidi="ru-RU"/>
        </w:rPr>
        <w:t xml:space="preserve">Задаток перечисляется на реквизиты Оператора электронной площадки (</w:t>
      </w:r>
      <w:hyperlink r:id="rId26" w:tooltip="http://utp.sberbank-ast.ru/AP/Notice/653/Requisites" w:history="1">
        <w:r>
          <w:rPr>
            <w:rStyle w:val="774"/>
            <w:b/>
            <w:bCs/>
            <w:lang w:bidi="ru-RU"/>
          </w:rPr>
          <w:t xml:space="preserve">http://utp.sberbank-ast.ru/AP/Notice/653/Requisites</w:t>
        </w:r>
      </w:hyperlink>
      <w:r>
        <w:rPr>
          <w:b/>
          <w:bCs/>
          <w:lang w:bidi="ru-RU"/>
        </w:rPr>
        <w:t xml:space="preserve">).</w:t>
      </w:r>
      <w:r/>
    </w:p>
    <w:p>
      <w:pPr>
        <w:pStyle w:val="691"/>
        <w:spacing w:line="240" w:lineRule="exact"/>
      </w:pPr>
      <w:r>
        <w:rPr>
          <w:rFonts w:eastAsia="Calibri"/>
          <w:bCs/>
          <w:lang w:eastAsia="en-US"/>
        </w:rPr>
        <w:t xml:space="preserve">Получатель: АО «Сбербанк-АСТ»</w:t>
      </w:r>
      <w:r/>
    </w:p>
    <w:p>
      <w:pPr>
        <w:pStyle w:val="691"/>
        <w:spacing w:line="240" w:lineRule="exact"/>
      </w:pPr>
      <w:r>
        <w:rPr>
          <w:rFonts w:eastAsia="Calibri"/>
          <w:bCs/>
          <w:lang w:eastAsia="en-US"/>
        </w:rPr>
        <w:t xml:space="preserve">ИНН: 7707308480, КПП: 770401001, </w:t>
      </w:r>
      <w:r/>
    </w:p>
    <w:p>
      <w:pPr>
        <w:pStyle w:val="691"/>
        <w:spacing w:line="240" w:lineRule="exact"/>
      </w:pPr>
      <w:r>
        <w:rPr>
          <w:rFonts w:eastAsia="Calibri"/>
          <w:bCs/>
          <w:lang w:eastAsia="en-US"/>
        </w:rPr>
        <w:t xml:space="preserve">Банк получателя: ПАО «СБЕРБАНК РОССИИ» Г. МОСКВА</w:t>
      </w:r>
      <w:r/>
    </w:p>
    <w:p>
      <w:pPr>
        <w:pStyle w:val="691"/>
        <w:spacing w:line="240" w:lineRule="exact"/>
      </w:pPr>
      <w:r>
        <w:t xml:space="preserve">Расчетный счет: </w:t>
      </w:r>
      <w:r>
        <w:rPr>
          <w:rFonts w:eastAsia="Calibri"/>
          <w:bCs/>
          <w:lang w:eastAsia="en-US"/>
        </w:rPr>
        <w:t xml:space="preserve">40702810300020038047</w:t>
      </w:r>
      <w:r/>
    </w:p>
    <w:p>
      <w:pPr>
        <w:pStyle w:val="691"/>
        <w:spacing w:line="240" w:lineRule="exact"/>
      </w:pPr>
      <w:r>
        <w:rPr>
          <w:rFonts w:eastAsia="Calibri"/>
          <w:bCs/>
          <w:lang w:eastAsia="en-US"/>
        </w:rPr>
        <w:t xml:space="preserve">БИК: 044525225</w:t>
      </w:r>
      <w:r/>
    </w:p>
    <w:p>
      <w:pPr>
        <w:pStyle w:val="691"/>
        <w:spacing w:line="240" w:lineRule="exact"/>
      </w:pPr>
      <w:r>
        <w:rPr>
          <w:rFonts w:eastAsia="Calibri"/>
          <w:bCs/>
          <w:lang w:eastAsia="en-US"/>
        </w:rPr>
        <w:t xml:space="preserve">Корреспондентский счет: 30101810400000000225</w:t>
      </w:r>
      <w:r/>
    </w:p>
    <w:p>
      <w:pPr>
        <w:pStyle w:val="691"/>
        <w:ind w:left="-567" w:firstLine="567"/>
        <w:jc w:val="both"/>
        <w:widowControl w:val="off"/>
      </w:pPr>
      <w:r>
        <w:rPr>
          <w:bCs/>
          <w:lang w:bidi="ru-RU"/>
        </w:rPr>
        <w:t xml:space="preserve">В платёжном поручении в части «Назначение платежа» необходимо указать: Задаток по лоту  № ___, ИНН плательщика. НДС не облагается.</w:t>
      </w:r>
      <w:r/>
    </w:p>
    <w:p>
      <w:pPr>
        <w:pStyle w:val="691"/>
        <w:ind w:left="-567" w:firstLine="567"/>
        <w:jc w:val="both"/>
        <w:widowControl w:val="off"/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 xml:space="preserve"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Cs/>
          <w:lang w:bidi="ru-RU"/>
        </w:rPr>
        <w:t xml:space="preserve">c 04.08.2026 по 25.08.2026.</w:t>
      </w:r>
      <w:r/>
    </w:p>
    <w:p>
      <w:pPr>
        <w:pStyle w:val="691"/>
        <w:ind w:left="-567" w:firstLine="709"/>
        <w:jc w:val="both"/>
        <w:widowControl w:val="off"/>
        <w:rPr>
          <w:bCs/>
          <w:lang w:bidi="ru-RU"/>
        </w:rPr>
      </w:pPr>
      <w:r>
        <w:rPr>
          <w:bCs/>
          <w:lang w:bidi="ru-RU"/>
        </w:rPr>
      </w: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91"/>
        <w:ind w:left="-567" w:firstLine="709"/>
        <w:jc w:val="center"/>
        <w:widowControl w:val="off"/>
      </w:pPr>
      <w:r>
        <w:rPr>
          <w:b/>
          <w:lang w:bidi="ru-RU"/>
        </w:rPr>
        <w:t xml:space="preserve">Порядок возврата задатка:</w:t>
      </w:r>
      <w:r/>
    </w:p>
    <w:p>
      <w:pPr>
        <w:pStyle w:val="691"/>
        <w:ind w:left="-567" w:firstLine="709"/>
        <w:jc w:val="both"/>
        <w:widowControl w:val="off"/>
        <w:rPr>
          <w:b/>
          <w:lang w:bidi="ru-RU"/>
        </w:rPr>
      </w:pPr>
      <w:r>
        <w:rPr>
          <w:b/>
          <w:lang w:bidi="ru-RU"/>
        </w:rPr>
      </w:r>
      <w:r>
        <w:rPr>
          <w:b/>
          <w:lang w:bidi="ru-RU"/>
        </w:rPr>
      </w:r>
      <w:r>
        <w:rPr>
          <w:b/>
          <w:lang w:bidi="ru-RU"/>
        </w:rPr>
      </w:r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bCs/>
          <w:lang w:bidi="ru-RU"/>
        </w:rPr>
        <w:t xml:space="preserve">Задаток возвращается лицам, участвовавшим в аукционе, но не победившим в нем, в течение трех ра</w:t>
      </w:r>
      <w:r>
        <w:rPr>
          <w:bCs/>
          <w:shd w:val="clear" w:color="auto" w:fill="auto"/>
          <w:lang w:bidi="ru-RU"/>
        </w:rPr>
        <w:t xml:space="preserve">бочих дней со дня подписания протокола о результатах аукциона, </w:t>
      </w:r>
      <w:r>
        <w:rPr>
          <w:b w:val="0"/>
          <w:bCs/>
          <w:shd w:val="clear" w:color="auto" w:fill="auto"/>
          <w:lang w:bidi="ru-RU"/>
        </w:rPr>
        <w:t xml:space="preserve">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земельного участка.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shd w:val="clear" w:color="auto" w:fill="auto"/>
          <w:lang w:bidi="ru-RU"/>
        </w:rPr>
        <w:t xml:space="preserve">Заявителю, не допущенному к участию в аукционе, внесенный им задаток возвращается</w:t>
      </w:r>
      <w:r>
        <w:rPr>
          <w:shd w:val="clear" w:color="auto" w:fill="auto"/>
          <w:lang w:bidi="ru-RU"/>
        </w:rPr>
        <w:br w:type="textWrapping" w:clear="all"/>
      </w:r>
      <w:r>
        <w:rPr>
          <w:shd w:val="clear" w:color="auto" w:fill="auto"/>
          <w:lang w:bidi="ru-RU"/>
        </w:rPr>
        <w:t xml:space="preserve">в течение трех рабочих дней со дня оформления протокола рассмотрения заявок на участие                          в аукционе. </w:t>
      </w:r>
      <w:r/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  <w:lang w:bidi="ru-RU"/>
        </w:rPr>
        <w:t xml:space="preserve">Оператор прекращает блокирование в отношении денежных средств участников аукциона, заблокированных в размере задатк</w:t>
      </w:r>
      <w:r>
        <w:rPr>
          <w:shd w:val="clear" w:color="auto" w:fill="auto"/>
          <w:lang w:bidi="ru-RU"/>
        </w:rPr>
        <w:t xml:space="preserve">ов на их лицевых счетах на электронной площадке после публикации протокола о результатах аукциона, за исключением единственного заявителя, признанного участником аукциона, победителя аукциона, единственного принявшего участие</w:t>
        <w:br/>
        <w:t xml:space="preserve">в аукционе участника, а также </w:t>
      </w:r>
      <w:r>
        <w:rPr>
          <w:b w:val="0"/>
          <w:shd w:val="clear" w:color="auto" w:fill="auto"/>
          <w:lang w:bidi="ru-RU"/>
        </w:rPr>
        <w:t xml:space="preserve">участника аукциона, который сделал предпоследнее предложение                  о цене предмета аукциона.</w:t>
      </w:r>
      <w:r/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  <w:lang w:bidi="ru-RU"/>
        </w:rPr>
        <w:t xml:space="preserve">Организатор аукциона посредством штатного интерфейса торговой секции</w:t>
      </w:r>
      <w:r>
        <w:rPr>
          <w:shd w:val="clear" w:color="auto" w:fill="auto"/>
          <w:lang w:bidi="ru-RU"/>
        </w:rPr>
        <w:br w:type="textWrapping" w:clear="all"/>
      </w:r>
      <w:r>
        <w:rPr>
          <w:shd w:val="clear" w:color="auto" w:fill="auto"/>
          <w:lang w:bidi="ru-RU"/>
        </w:rPr>
        <w:t xml:space="preserve">в установленные сроки формирует поручение Оператору:</w:t>
      </w:r>
      <w:r/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  <w:lang w:bidi="ru-RU"/>
        </w:rPr>
        <w:t xml:space="preserve">- о</w:t>
      </w:r>
      <w:r>
        <w:rPr>
          <w:shd w:val="clear" w:color="auto" w:fill="auto"/>
          <w:lang w:bidi="ru-RU"/>
        </w:rPr>
        <w:t xml:space="preserve">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  <w:r/>
    </w:p>
    <w:p>
      <w:pPr>
        <w:pStyle w:val="691"/>
        <w:ind w:left="-567" w:firstLine="567"/>
        <w:jc w:val="both"/>
        <w:widowControl w:val="off"/>
      </w:pPr>
      <w:r>
        <w:rPr>
          <w:bCs/>
          <w:shd w:val="clear" w:color="auto" w:fill="auto"/>
          <w:lang w:bidi="ru-RU"/>
        </w:rPr>
        <w:t xml:space="preserve">Задаток, внесенный лицом, признанным победителем аукц</w:t>
      </w:r>
      <w:r>
        <w:rPr>
          <w:bCs/>
          <w:shd w:val="clear" w:color="auto" w:fill="auto"/>
          <w:lang w:bidi="ru-RU"/>
        </w:rPr>
        <w:t xml:space="preserve">иона, задаток, внесенный иным лицом, с которым договор купли-продажи земельного участка заключается в соответствии                            с пунктами 13, 14, 20 или 25 ст. 39.12 Земельного кодекса Российской Федерации, засчитываются                     </w:t>
      </w:r>
      <w:r>
        <w:rPr>
          <w:bCs/>
          <w:shd w:val="clear" w:color="auto" w:fill="auto"/>
          <w:lang w:bidi="ru-RU"/>
        </w:rPr>
        <w:t xml:space="preserve">  в оплату приобретаемого земельного участка. Задатки, внесенные этими лицами, не заключившими      в установленном настоящей статьей порядке договор купли-продажи земельного участка вследствие уклонения от заключения указанного договора, не возвращаются. </w:t>
      </w:r>
      <w:r/>
    </w:p>
    <w:p>
      <w:pPr>
        <w:pStyle w:val="691"/>
        <w:jc w:val="both"/>
        <w:spacing w:line="276" w:lineRule="auto"/>
        <w:widowControl w:val="off"/>
        <w:rPr>
          <w:bCs/>
          <w:highlight w:val="none"/>
          <w:shd w:val="clear" w:color="auto" w:fill="auto"/>
          <w:lang w:bidi="ru-RU"/>
        </w:rPr>
      </w:pPr>
      <w:r>
        <w:rPr>
          <w:bCs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</w:p>
    <w:p>
      <w:pPr>
        <w:pStyle w:val="691"/>
        <w:jc w:val="center"/>
        <w:widowControl w:val="off"/>
      </w:pPr>
      <w:r>
        <w:rPr>
          <w:b/>
          <w:shd w:val="clear" w:color="auto" w:fill="auto"/>
        </w:rPr>
        <w:t xml:space="preserve">Организатор аукциона вправе:</w:t>
      </w:r>
      <w:r/>
    </w:p>
    <w:p>
      <w:pPr>
        <w:pStyle w:val="691"/>
        <w:jc w:val="center"/>
        <w:widowControl w:val="off"/>
        <w:rPr>
          <w:rFonts w:eastAsia="Courier New"/>
          <w:highlight w:val="none"/>
          <w:shd w:val="clear" w:color="auto" w:fill="auto"/>
          <w:lang w:bidi="ru-RU"/>
        </w:rPr>
      </w:pPr>
      <w:r>
        <w:rPr>
          <w:rFonts w:eastAsia="Courier New"/>
          <w:shd w:val="clear" w:color="auto" w:fill="auto"/>
          <w:lang w:bidi="ru-RU"/>
        </w:rPr>
      </w:r>
      <w:r>
        <w:rPr>
          <w:rFonts w:eastAsia="Courier New"/>
          <w:highlight w:val="none"/>
          <w:shd w:val="clear" w:color="auto" w:fill="auto"/>
          <w:lang w:bidi="ru-RU"/>
        </w:rPr>
      </w:r>
      <w:r>
        <w:rPr>
          <w:rFonts w:eastAsia="Courier New"/>
          <w:highlight w:val="none"/>
          <w:shd w:val="clear" w:color="auto" w:fill="auto"/>
          <w:lang w:bidi="ru-RU"/>
        </w:rPr>
      </w:r>
    </w:p>
    <w:p>
      <w:pPr>
        <w:pStyle w:val="784"/>
        <w:ind w:left="-567" w:firstLine="709"/>
        <w:jc w:val="both"/>
        <w:widowControl w:val="off"/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Не позднее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Информация о внесении изменений в извещение                             о проведении аукциона размещается на официальных сайтах </w:t>
      </w:r>
      <w:r>
        <w:rPr>
          <w:rFonts w:eastAsia="Droid Sans Fallback" w:cs="Lohit Devanagari"/>
          <w:b w:val="0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www.torgi.gov.ru,  www.gorodperm.ru.</w:t>
      </w:r>
      <w:r/>
    </w:p>
    <w:p>
      <w:pPr>
        <w:pStyle w:val="784"/>
        <w:ind w:left="-567" w:firstLine="709"/>
        <w:jc w:val="both"/>
        <w:widowControl w:val="off"/>
      </w:pP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</w:t>
      </w: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р аукциона до момента окончания срока подачи заявок на участие в аукционе может принять решение о продлении срока подачи заявок в соответствии                         с правилами, предусмотренными п. 22.1  ст. 39.11 Земельного кодекса Российской Федерации.</w:t>
      </w:r>
      <w:r/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</w:rPr>
        <w:t xml:space="preserve">В соответствии с п. 4 ст. 448 Гражданского кодекса Российской Федерации отказаться </w:t>
      </w:r>
      <w:r>
        <w:br w:type="textWrapping" w:clear="all"/>
      </w:r>
      <w:r>
        <w:t xml:space="preserve">от проведения аукциона в любое время, но не позднее чем за три дня до наступления даты </w:t>
      </w:r>
      <w:r>
        <w:br w:type="textWrapping" w:clear="all"/>
      </w:r>
      <w:r>
        <w:t xml:space="preserve">его проведения, указанной в извещении </w:t>
      </w:r>
      <w:r>
        <w:rPr>
          <w:shd w:val="clear" w:color="auto" w:fill="auto"/>
        </w:rPr>
        <w:t xml:space="preserve">о проведении аукциона. </w:t>
      </w:r>
      <w:r/>
    </w:p>
    <w:p>
      <w:pPr>
        <w:pStyle w:val="691"/>
        <w:jc w:val="center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center"/>
        <w:widowControl w:val="off"/>
      </w:pPr>
      <w:r>
        <w:rPr>
          <w:b/>
          <w:shd w:val="clear" w:color="auto" w:fill="auto"/>
        </w:rPr>
        <w:t xml:space="preserve">Организатор аукциона обязан:  </w:t>
      </w:r>
      <w:r/>
    </w:p>
    <w:p>
      <w:pPr>
        <w:pStyle w:val="691"/>
        <w:ind w:left="-567" w:firstLine="567"/>
        <w:jc w:val="both"/>
        <w:widowControl w:val="off"/>
        <w:rPr>
          <w:shd w:val="clear" w:color="auto" w:fill="auto"/>
        </w:rPr>
      </w:pPr>
      <w:r>
        <w:rPr>
          <w:shd w:val="clear" w:color="auto" w:fill="auto"/>
        </w:rPr>
      </w:r>
      <w:r>
        <w:rPr>
          <w:shd w:val="clear" w:color="auto" w:fill="auto"/>
        </w:rPr>
      </w:r>
      <w:r>
        <w:rPr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  <w:r/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</w:rPr>
        <w:t xml:space="preserve">Извещение об отказе в проведении аукциона размещается организатором аукциона                              на официальных сайтах  </w:t>
      </w:r>
      <w:r>
        <w:rPr>
          <w:rFonts w:eastAsia="Droid Sans Fallback" w:cs="Lohit Devanagari"/>
          <w:b w:val="0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www.torgi.gov.ru,  www.gorodperm.ru </w:t>
      </w:r>
      <w:r>
        <w:rPr>
          <w:shd w:val="clear" w:color="auto" w:fill="auto"/>
        </w:rPr>
        <w:t xml:space="preserve"> и на электронной площадке в течение трех дней со дня принятия данного решения.</w:t>
      </w:r>
      <w:r/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</w:rPr>
        <w:t xml:space="preserve"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  <w:r/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</w:rPr>
        <w:t xml:space="preserve">В сл</w:t>
      </w:r>
      <w:r>
        <w:rPr>
          <w:shd w:val="clear" w:color="auto" w:fill="auto"/>
        </w:rPr>
        <w:t xml:space="preserve">учае отказа от проведения аукциона организатором (в т. ч. одного или нескольких лотов), Оператор в течение одного часа прекращает блокирование денежных средств участников аукциона              в размере задатка на их лицевых счетах на электронной площадке.</w:t>
      </w:r>
      <w:r/>
    </w:p>
    <w:p>
      <w:pPr>
        <w:pStyle w:val="691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502"/>
        <w:jc w:val="center"/>
        <w:widowControl w:val="off"/>
      </w:pPr>
      <w:r>
        <w:rPr>
          <w:rFonts w:eastAsia="Courier New"/>
          <w:b/>
          <w:shd w:val="clear" w:color="auto" w:fill="auto"/>
          <w:lang w:bidi="ru-RU"/>
        </w:rPr>
        <w:t xml:space="preserve">Порядок регистрации на электронной площадке</w:t>
      </w:r>
      <w:r/>
    </w:p>
    <w:p>
      <w:pPr>
        <w:pStyle w:val="691"/>
        <w:ind w:left="-567" w:firstLine="709"/>
        <w:jc w:val="both"/>
        <w:widowControl w:val="off"/>
        <w:rPr>
          <w:rFonts w:eastAsia="Courier New"/>
          <w:b/>
          <w:bCs/>
          <w:highlight w:val="none"/>
          <w:shd w:val="clear" w:color="auto" w:fill="auto"/>
          <w:lang w:bidi="ru-RU"/>
        </w:rPr>
      </w:pPr>
      <w:r>
        <w:rPr>
          <w:rFonts w:eastAsia="Courier New"/>
          <w:b/>
          <w:bCs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</w:p>
    <w:p>
      <w:pPr>
        <w:pStyle w:val="691"/>
        <w:ind w:left="-567" w:firstLine="567"/>
        <w:jc w:val="both"/>
        <w:widowControl w:val="off"/>
      </w:pPr>
      <w:r>
        <w:rPr>
          <w:bCs/>
          <w:shd w:val="clear" w:color="auto" w:fill="auto"/>
          <w:lang w:bidi="ru-RU"/>
        </w:rPr>
        <w:t xml:space="preserve"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  <w:r/>
    </w:p>
    <w:p>
      <w:pPr>
        <w:pStyle w:val="691"/>
        <w:ind w:left="-567" w:firstLine="567"/>
        <w:jc w:val="both"/>
        <w:widowControl w:val="off"/>
      </w:pPr>
      <w:r>
        <w:rPr>
          <w:bCs/>
          <w:shd w:val="clear" w:color="auto" w:fill="auto"/>
          <w:lang w:bidi="ru-RU"/>
        </w:rPr>
        <w:t xml:space="preserve">Регистрация на электронной площадке проводится в соответствии с регламентом электронной площадки.</w:t>
      </w:r>
      <w:r/>
    </w:p>
    <w:p>
      <w:pPr>
        <w:pStyle w:val="691"/>
        <w:ind w:left="-567" w:firstLine="567"/>
        <w:jc w:val="both"/>
        <w:widowControl w:val="off"/>
      </w:pPr>
      <w:r>
        <w:rPr>
          <w:bCs/>
          <w:shd w:val="clear" w:color="auto" w:fill="auto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c 04.08.2026 по 25.08.2026 с 9.00 до 18.00 по местному времени (7:00 – 16:00 МСК). </w:t>
      </w:r>
      <w:r/>
    </w:p>
    <w:p>
      <w:pPr>
        <w:pStyle w:val="821"/>
        <w:jc w:val="center"/>
      </w:pPr>
      <w:r>
        <w:rPr>
          <w:b/>
          <w:color w:val="000000"/>
          <w:shd w:val="clear" w:color="auto" w:fill="auto"/>
        </w:rPr>
        <w:t xml:space="preserve">Разъяснение положений извещения о проведении аукциона</w:t>
      </w:r>
      <w:r/>
    </w:p>
    <w:p>
      <w:pPr>
        <w:pStyle w:val="788"/>
        <w:ind w:left="-567" w:firstLine="567"/>
        <w:jc w:val="both"/>
        <w:widowControl w:val="off"/>
      </w:pPr>
      <w:r>
        <w:rPr>
          <w:bCs/>
          <w:shd w:val="clear" w:color="auto" w:fill="auto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</w:t>
      </w:r>
      <w:r>
        <w:rPr>
          <w:bCs/>
          <w:shd w:val="clear" w:color="auto" w:fill="auto"/>
          <w:lang w:bidi="ru-RU"/>
        </w:rPr>
        <w:t xml:space="preserve">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</w:t>
        <w:br/>
        <w:t xml:space="preserve">не рассматриваются.</w:t>
      </w:r>
      <w:r/>
    </w:p>
    <w:p>
      <w:pPr>
        <w:pStyle w:val="788"/>
        <w:ind w:left="-567" w:firstLine="567"/>
        <w:jc w:val="both"/>
        <w:widowControl w:val="off"/>
      </w:pPr>
      <w:r>
        <w:rPr>
          <w:bCs/>
          <w:shd w:val="clear" w:color="auto" w:fill="auto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  <w:r/>
    </w:p>
    <w:p>
      <w:pPr>
        <w:pStyle w:val="691"/>
        <w:ind w:left="-567" w:firstLine="709"/>
        <w:jc w:val="both"/>
        <w:spacing w:line="276" w:lineRule="auto"/>
        <w:widowControl w:val="off"/>
        <w:rPr>
          <w:highlight w:val="none"/>
          <w:lang w:bidi="ru-RU"/>
        </w:rPr>
      </w:pPr>
      <w:r>
        <w:rPr>
          <w:lang w:bidi="ru-RU"/>
        </w:rPr>
      </w:r>
      <w:r>
        <w:rPr>
          <w:highlight w:val="none"/>
          <w:lang w:bidi="ru-RU"/>
        </w:rPr>
      </w:r>
      <w:r>
        <w:rPr>
          <w:highlight w:val="none"/>
          <w:lang w:bidi="ru-RU"/>
        </w:rPr>
      </w:r>
    </w:p>
    <w:p>
      <w:pPr>
        <w:pStyle w:val="691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outlineLvl w:val="0"/>
      </w:pPr>
      <w:r>
        <w:rPr>
          <w:b/>
          <w:bCs/>
          <w:shd w:val="clear" w:color="auto" w:fill="auto"/>
        </w:rPr>
        <w:t xml:space="preserve">Требования к содержанию и составу заявки на участие в аукционе</w:t>
      </w:r>
      <w:r/>
    </w:p>
    <w:p>
      <w:pPr>
        <w:pStyle w:val="691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</w:pPr>
      <w:r>
        <w:rPr>
          <w:rFonts w:eastAsia="Courier New"/>
          <w:shd w:val="clear" w:color="auto" w:fill="auto"/>
          <w:lang w:bidi="ru-RU"/>
        </w:rPr>
        <w:t xml:space="preserve">Для участия в аукционе заявители представляют в установленный в извещении</w:t>
      </w:r>
      <w:r>
        <w:rPr>
          <w:rFonts w:eastAsia="Courier New"/>
          <w:shd w:val="clear" w:color="auto" w:fill="auto"/>
          <w:lang w:bidi="ru-RU"/>
        </w:rPr>
        <w:br w:type="textWrapping" w:clear="all"/>
      </w:r>
      <w:r>
        <w:rPr>
          <w:rFonts w:eastAsia="Courier New"/>
          <w:shd w:val="clear" w:color="auto" w:fill="auto"/>
          <w:lang w:bidi="ru-RU"/>
        </w:rPr>
        <w:t xml:space="preserve">о проведении аукциона срок следующие документы:</w:t>
      </w:r>
      <w:r/>
    </w:p>
    <w:p>
      <w:pPr>
        <w:pStyle w:val="691"/>
        <w:jc w:val="both"/>
      </w:pPr>
      <w:r>
        <w:rPr>
          <w:rFonts w:eastAsia="Calibri"/>
          <w:shd w:val="clear" w:color="auto" w:fill="auto"/>
        </w:rPr>
        <w:t xml:space="preserve">1) копии документов, удостоверяющих личность заявителя (для граждан), всех страниц;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2) надлежащим образом заверенный перевод на русский язык документов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  <w:r/>
    </w:p>
    <w:p>
      <w:pPr>
        <w:pStyle w:val="691"/>
        <w:jc w:val="both"/>
      </w:pPr>
      <w:r>
        <w:rPr>
          <w:rFonts w:eastAsia="Calibri"/>
          <w:shd w:val="clear" w:color="auto" w:fill="auto"/>
        </w:rPr>
        <w:t xml:space="preserve">3) документы, подтверждающие внесение задатка.</w:t>
      </w:r>
      <w:r/>
    </w:p>
    <w:p>
      <w:pPr>
        <w:pStyle w:val="691"/>
        <w:jc w:val="both"/>
        <w:rPr>
          <w:rFonts w:eastAsia="Calibri"/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</w:p>
    <w:p>
      <w:pPr>
        <w:pStyle w:val="691"/>
        <w:ind w:firstLine="708"/>
        <w:jc w:val="center"/>
      </w:pPr>
      <w:r>
        <w:rPr>
          <w:b/>
          <w:shd w:val="clear" w:color="auto" w:fill="auto"/>
        </w:rPr>
        <w:t xml:space="preserve">Инструкция по заполнению и подаче заявки, порядок приема заявки</w:t>
      </w:r>
      <w:r/>
    </w:p>
    <w:p>
      <w:pPr>
        <w:pStyle w:val="691"/>
        <w:ind w:firstLine="708"/>
        <w:jc w:val="center"/>
        <w:rPr>
          <w:b/>
          <w:highlight w:val="none"/>
          <w:shd w:val="clear" w:color="auto" w:fill="auto"/>
        </w:rPr>
      </w:pPr>
      <w:r>
        <w:rPr>
          <w:b/>
          <w:shd w:val="clear" w:color="auto" w:fill="auto"/>
        </w:rPr>
      </w:r>
      <w:r>
        <w:rPr>
          <w:b/>
          <w:highlight w:val="none"/>
          <w:shd w:val="clear" w:color="auto" w:fill="auto"/>
        </w:rPr>
      </w:r>
      <w:r>
        <w:rPr>
          <w:b/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</w:pPr>
      <w:r>
        <w:rPr>
          <w:shd w:val="clear" w:color="auto" w:fill="auto"/>
        </w:rPr>
        <w:t xml:space="preserve">Заявка на участие в электронном аукционе с указанием банковских реквизитов счета </w:t>
      </w:r>
      <w:r>
        <w:rPr>
          <w:shd w:val="clear" w:color="auto" w:fill="auto"/>
        </w:rPr>
        <w:t xml:space="preserve">                       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39.12 Земельного кодекса Российской Федерации (копии </w:t>
      </w:r>
      <w:r>
        <w:rPr>
          <w:b w:val="0"/>
          <w:shd w:val="clear" w:color="auto" w:fill="auto"/>
        </w:rPr>
        <w:t xml:space="preserve">документов, удостоверяющих личность заявителя (для граждан); </w:t>
      </w:r>
      <w:r>
        <w:rPr>
          <w:b w:val="0"/>
        </w:rPr>
        <w:t xml:space="preserve">надлежащим образом заверенный перевод на русс</w:t>
      </w:r>
      <w:r>
        <w:rPr>
          <w:b w:val="0"/>
        </w:rPr>
        <w:t xml:space="preserve">кий язык документов                  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</w:t>
      </w:r>
      <w:r/>
    </w:p>
    <w:p>
      <w:pPr>
        <w:pStyle w:val="691"/>
        <w:ind w:left="-567" w:firstLine="567"/>
        <w:jc w:val="both"/>
      </w:pPr>
      <w:r>
        <w:rPr>
          <w:shd w:val="clear" w:color="auto" w:fill="auto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  <w:r/>
    </w:p>
    <w:p>
      <w:pPr>
        <w:pStyle w:val="691"/>
        <w:ind w:left="-567" w:firstLine="567"/>
        <w:jc w:val="both"/>
      </w:pPr>
      <w:r>
        <w:rPr>
          <w:sz w:val="24"/>
          <w:szCs w:val="24"/>
        </w:rPr>
        <w:t xml:space="preserve">На каждый лот представляется отдельный пакет документов.</w:t>
      </w:r>
      <w:r/>
    </w:p>
    <w:p>
      <w:pPr>
        <w:pStyle w:val="691"/>
        <w:ind w:left="-567" w:firstLine="567"/>
        <w:jc w:val="both"/>
      </w:pPr>
      <w:r>
        <w:rPr>
          <w:shd w:val="clear" w:color="auto" w:fill="auto"/>
        </w:rPr>
        <w:t xml:space="preserve">Заполнение заявки осуществляется в соответствии с порядком, определенным регламентом электронной площадки АО «Сбербанк-АСТ».</w:t>
      </w:r>
      <w:r/>
    </w:p>
    <w:p>
      <w:pPr>
        <w:pStyle w:val="691"/>
        <w:ind w:left="-567" w:firstLine="567"/>
        <w:jc w:val="both"/>
      </w:pPr>
      <w:r>
        <w:rPr>
          <w:shd w:val="clear" w:color="auto" w:fill="auto"/>
        </w:rPr>
        <w:t xml:space="preserve">Все документы и сведения, связанные с получением регистрации на универсальной торговой пла</w:t>
      </w:r>
      <w:r>
        <w:rPr>
          <w:shd w:val="clear" w:color="auto" w:fill="auto"/>
        </w:rPr>
        <w:t xml:space="preserve">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  <w:r/>
    </w:p>
    <w:p>
      <w:pPr>
        <w:pStyle w:val="691"/>
        <w:ind w:left="-567" w:firstLine="567"/>
        <w:jc w:val="both"/>
      </w:pPr>
      <w:r>
        <w:rPr>
          <w:shd w:val="clear" w:color="auto" w:fill="auto"/>
        </w:rPr>
        <w:t xml:space="preserve"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Регламента Универсальной торговой платформы).</w:t>
      </w:r>
      <w:r/>
    </w:p>
    <w:p>
      <w:pPr>
        <w:pStyle w:val="691"/>
        <w:ind w:left="-567" w:firstLine="567"/>
        <w:jc w:val="both"/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Заявка подается в виде электронного документа, подписанного электронной подписью заявителя (п. 3.2.2. Регламента торговой секции).</w:t>
      </w:r>
      <w:r/>
    </w:p>
    <w:p>
      <w:pPr>
        <w:pStyle w:val="691"/>
        <w:ind w:left="-567" w:firstLine="567"/>
        <w:jc w:val="both"/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Заявитель заполняет электронную форму заявки, при</w:t>
      </w:r>
      <w:r>
        <w:rPr>
          <w:shd w:val="clear" w:color="auto" w:fill="auto"/>
        </w:rPr>
        <w:t xml:space="preserve">кладывает предусмотренные извещением          о проведении аукциона файлы документов (при необходимости). Документы и сведения                              из регистрационных данных заявителя н</w:t>
      </w:r>
      <w:r>
        <w:rPr>
          <w:shd w:val="clear" w:color="auto" w:fill="auto"/>
        </w:rPr>
        <w:t xml:space="preserve">а универсальной торговой платформе, актуальные на дату                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  <w:r/>
    </w:p>
    <w:p>
      <w:pPr>
        <w:pStyle w:val="691"/>
        <w:ind w:left="-567" w:firstLine="567"/>
        <w:jc w:val="both"/>
      </w:pPr>
      <w:r>
        <w:rPr>
          <w:shd w:val="clear" w:color="auto" w:fill="auto"/>
        </w:rPr>
        <w:t xml:space="preserve">Подача заявки осуществляется заявителем, зарегистрированным в торговой секции,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из личного кабинета посредством штатного интерфейса отдельно по каждому лоту в сроки, установленные в извещении о проведении аукциона.</w:t>
      </w:r>
      <w:r/>
    </w:p>
    <w:p>
      <w:pPr>
        <w:pStyle w:val="691"/>
        <w:ind w:left="-567" w:firstLine="567"/>
        <w:jc w:val="both"/>
      </w:pPr>
      <w:r>
        <w:rPr>
          <w:shd w:val="clear" w:color="auto" w:fill="auto"/>
        </w:rPr>
        <w:t xml:space="preserve">Заявитель вправе подать заявку в любое время с момента размещения извещения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о проведении аукциона до предусмотренных указанным извещением даты и времени окончания срока подачи заявок.</w:t>
      </w:r>
      <w:r/>
    </w:p>
    <w:p>
      <w:pPr>
        <w:pStyle w:val="691"/>
        <w:ind w:left="-567" w:firstLine="567"/>
        <w:jc w:val="both"/>
      </w:pPr>
      <w:r>
        <w:rPr>
          <w:shd w:val="clear" w:color="auto" w:fill="auto"/>
        </w:rPr>
        <w:t xml:space="preserve">Один заявитель вправе подать только одну заявку на участие в аукционе в отношении каждого лота.</w:t>
      </w:r>
      <w:r/>
    </w:p>
    <w:p>
      <w:pPr>
        <w:pStyle w:val="691"/>
        <w:ind w:left="-567" w:firstLine="567"/>
        <w:jc w:val="both"/>
      </w:pPr>
      <w:r>
        <w:rPr>
          <w:shd w:val="clear" w:color="auto" w:fill="auto"/>
        </w:rPr>
        <w:t xml:space="preserve">Заявка на участие в аукционе, поступившая по истечении срока приема заявок, возвращается заявителю в день ее поступления.</w:t>
      </w:r>
      <w:r/>
    </w:p>
    <w:p>
      <w:pPr>
        <w:pStyle w:val="691"/>
        <w:ind w:left="-567" w:firstLine="567"/>
        <w:jc w:val="both"/>
      </w:pPr>
      <w:r>
        <w:rPr>
          <w:shd w:val="clear" w:color="auto" w:fill="auto"/>
        </w:rPr>
        <w:t xml:space="preserve">Участие в аукционе возможно при наличии на лицевом счете заявителя денежных средств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в размере не менее чем размер задатка на участие в аукционе, предусмотренный извещением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о проведении аукциона.</w:t>
      </w:r>
      <w:r/>
    </w:p>
    <w:p>
      <w:pPr>
        <w:pStyle w:val="691"/>
        <w:ind w:left="-567" w:firstLine="567"/>
        <w:jc w:val="both"/>
      </w:pPr>
      <w:r>
        <w:rPr>
          <w:shd w:val="clear" w:color="auto" w:fill="auto"/>
        </w:rPr>
        <w:t xml:space="preserve">Все документы, входящие в состав заявки, должны иметь четко читаемый текст.</w:t>
      </w:r>
      <w:r/>
    </w:p>
    <w:p>
      <w:pPr>
        <w:pStyle w:val="691"/>
        <w:ind w:left="-567" w:firstLine="567"/>
        <w:jc w:val="both"/>
      </w:pPr>
      <w:r>
        <w:rPr>
          <w:shd w:val="clear" w:color="auto" w:fill="auto"/>
        </w:rPr>
        <w:t xml:space="preserve">Заявка предоставляется организатору аукциона через Оператора.</w:t>
      </w:r>
      <w:r/>
    </w:p>
    <w:p>
      <w:pPr>
        <w:pStyle w:val="691"/>
        <w:numPr>
          <w:ilvl w:val="0"/>
          <w:numId w:val="0"/>
        </w:numPr>
        <w:ind w:left="0" w:firstLine="0"/>
        <w:jc w:val="both"/>
        <w:tabs>
          <w:tab w:val="clear" w:pos="708" w:leader="none"/>
          <w:tab w:val="center" w:pos="5076" w:leader="none"/>
        </w:tabs>
        <w:outlineLvl w:val="0"/>
      </w:pPr>
      <w:r>
        <w:rPr>
          <w:bCs/>
          <w:shd w:val="clear" w:color="auto" w:fill="auto"/>
        </w:rPr>
        <w:t xml:space="preserve">Заявка не может быть принята Оператором в случае: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outlineLvl w:val="0"/>
      </w:pPr>
      <w:r>
        <w:rPr>
          <w:bCs/>
          <w:shd w:val="clear" w:color="auto" w:fill="auto"/>
        </w:rPr>
        <w:t xml:space="preserve">а) отсутствия на лицевом счете заявителя достаточной суммы денежных средств</w:t>
      </w:r>
      <w:r>
        <w:rPr>
          <w:bCs/>
          <w:shd w:val="clear" w:color="auto" w:fill="auto"/>
        </w:rPr>
        <w:br w:type="textWrapping" w:clear="all"/>
      </w:r>
      <w:r>
        <w:rPr>
          <w:bCs/>
          <w:shd w:val="clear" w:color="auto" w:fill="auto"/>
        </w:rPr>
        <w:t xml:space="preserve">в размере задатка;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outlineLvl w:val="0"/>
      </w:pPr>
      <w:r>
        <w:rPr>
          <w:bCs/>
          <w:shd w:val="clear" w:color="auto" w:fill="auto"/>
        </w:rPr>
        <w:t xml:space="preserve"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  <w:r/>
    </w:p>
    <w:p>
      <w:pPr>
        <w:pStyle w:val="691"/>
        <w:numPr>
          <w:ilvl w:val="0"/>
          <w:numId w:val="0"/>
        </w:numPr>
        <w:ind w:left="0" w:firstLine="0"/>
        <w:jc w:val="both"/>
        <w:tabs>
          <w:tab w:val="clear" w:pos="708" w:leader="none"/>
          <w:tab w:val="center" w:pos="5076" w:leader="none"/>
        </w:tabs>
        <w:outlineLvl w:val="0"/>
      </w:pPr>
      <w:r>
        <w:rPr>
          <w:bCs/>
          <w:shd w:val="clear" w:color="auto" w:fill="auto"/>
        </w:rPr>
        <w:t xml:space="preserve">в) подачи заявки по истечении установленного срока подачи заявок;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outlineLvl w:val="0"/>
      </w:pPr>
      <w:r>
        <w:rPr>
          <w:bCs/>
          <w:shd w:val="clear" w:color="auto" w:fill="auto"/>
        </w:rPr>
        <w:t xml:space="preserve">г) некорректного заполнения формы заявки, в том числе незаполнения полей, являющихся обязательными для заполнения.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enter" w:pos="284" w:leader="none"/>
          <w:tab w:val="clear" w:pos="708" w:leader="none"/>
        </w:tabs>
        <w:outlineLvl w:val="0"/>
      </w:pPr>
      <w:r>
        <w:rPr>
          <w:bCs/>
          <w:shd w:val="clear" w:color="auto" w:fill="auto"/>
        </w:rPr>
        <w:t xml:space="preserve">Заявителям, признанным участниками аукциона, и з</w:t>
      </w:r>
      <w:r>
        <w:rPr>
          <w:bCs/>
          <w:shd w:val="clear" w:color="auto" w:fill="auto"/>
        </w:rPr>
        <w:t xml:space="preserve">аявителям, не допущенным к участию</w:t>
        <w:br/>
        <w:t xml:space="preserve">в аукционе, оператор электронной площадки направляет в электронной форме уведомления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spacing w:line="276" w:lineRule="auto"/>
        <w:tabs>
          <w:tab w:val="center" w:pos="284" w:leader="none"/>
          <w:tab w:val="clear" w:pos="708" w:leader="none"/>
        </w:tabs>
        <w:rPr>
          <w:bCs/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</w:r>
      <w:r>
        <w:rPr>
          <w:bCs/>
          <w:highlight w:val="none"/>
          <w:shd w:val="clear" w:color="auto" w:fill="auto"/>
        </w:rPr>
      </w:r>
      <w:r>
        <w:rPr>
          <w:bCs/>
          <w:highlight w:val="none"/>
          <w:shd w:val="clear" w:color="auto" w:fill="auto"/>
        </w:rPr>
      </w:r>
    </w:p>
    <w:p>
      <w:pPr>
        <w:pStyle w:val="691"/>
        <w:ind w:left="502"/>
        <w:jc w:val="center"/>
        <w:widowControl w:val="off"/>
      </w:pPr>
      <w:r>
        <w:rPr>
          <w:b/>
          <w:bCs/>
          <w:shd w:val="clear" w:color="auto" w:fill="auto"/>
          <w:lang w:bidi="ru-RU"/>
        </w:rPr>
        <w:t xml:space="preserve">Порядок и срок изменения, отзыва заявки на участие в аукционе</w:t>
      </w:r>
      <w:r/>
    </w:p>
    <w:p>
      <w:pPr>
        <w:pStyle w:val="691"/>
        <w:ind w:left="502"/>
        <w:widowControl w:val="off"/>
        <w:rPr>
          <w:b/>
          <w:bCs/>
          <w:highlight w:val="none"/>
          <w:shd w:val="clear" w:color="auto" w:fill="auto"/>
          <w:lang w:bidi="ru-RU"/>
        </w:rPr>
      </w:pPr>
      <w:r>
        <w:rPr>
          <w:b/>
          <w:bCs/>
          <w:shd w:val="clear" w:color="auto" w:fill="auto"/>
          <w:lang w:bidi="ru-RU"/>
        </w:rPr>
      </w:r>
      <w:r>
        <w:rPr>
          <w:b/>
          <w:bCs/>
          <w:highlight w:val="none"/>
          <w:shd w:val="clear" w:color="auto" w:fill="auto"/>
          <w:lang w:bidi="ru-RU"/>
        </w:rPr>
      </w:r>
      <w:r>
        <w:rPr>
          <w:b/>
          <w:bCs/>
          <w:highlight w:val="none"/>
          <w:shd w:val="clear" w:color="auto" w:fill="auto"/>
          <w:lang w:bidi="ru-RU"/>
        </w:rPr>
      </w:r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</w:rPr>
        <w:t xml:space="preserve">Заявитель имеет право отозвать принятую организатором аукциона заявку на участие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в аукционе до дня окончания срока приема заявок, путем направлен</w:t>
      </w:r>
      <w:r>
        <w:rPr>
          <w:shd w:val="clear" w:color="auto" w:fill="auto"/>
        </w:rPr>
        <w:t xml:space="preserve">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соответствующее уведомление. Заявителю вн</w:t>
      </w:r>
      <w:r>
        <w:rPr>
          <w:shd w:val="clear" w:color="auto" w:fill="auto"/>
        </w:rPr>
        <w:t xml:space="preserve">есенный им задаток возвращается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 </w:t>
      </w:r>
      <w:r/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center"/>
      </w:pPr>
      <w:r>
        <w:rPr>
          <w:b/>
          <w:bCs/>
          <w:shd w:val="clear" w:color="auto" w:fill="auto"/>
        </w:rPr>
        <w:t xml:space="preserve">Определение участников аукциона</w:t>
      </w:r>
      <w:r/>
    </w:p>
    <w:p>
      <w:pPr>
        <w:pStyle w:val="691"/>
        <w:jc w:val="center"/>
        <w:rPr>
          <w:b/>
          <w:bCs/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</w:pPr>
      <w:r>
        <w:rPr>
          <w:bCs/>
          <w:shd w:val="clear" w:color="auto" w:fill="auto"/>
        </w:rPr>
        <w:t xml:space="preserve">По результатам рассмотрения заявок комиссия принимает решение о допуске заявителей</w:t>
      </w:r>
      <w:r>
        <w:rPr>
          <w:bCs/>
          <w:shd w:val="clear" w:color="auto" w:fill="auto"/>
        </w:rPr>
        <w:br w:type="textWrapping" w:clear="all"/>
      </w:r>
      <w:r>
        <w:rPr>
          <w:bCs/>
          <w:shd w:val="clear" w:color="auto" w:fill="auto"/>
        </w:rPr>
        <w:t xml:space="preserve">к участию в аукционе или об отказе в допуске к участию в аукционе.</w:t>
      </w:r>
      <w:r/>
    </w:p>
    <w:p>
      <w:pPr>
        <w:pStyle w:val="691"/>
        <w:jc w:val="both"/>
      </w:pPr>
      <w:r>
        <w:rPr>
          <w:shd w:val="clear" w:color="auto" w:fill="auto"/>
        </w:rPr>
        <w:t xml:space="preserve">Заявитель не допускается к участию в аукционе в следующих случаях:</w:t>
      </w:r>
      <w:r/>
    </w:p>
    <w:p>
      <w:pPr>
        <w:pStyle w:val="691"/>
        <w:ind w:left="-567" w:firstLine="567"/>
        <w:jc w:val="both"/>
        <w:widowControl w:val="off"/>
      </w:pPr>
      <w:r>
        <w:rPr>
          <w:sz w:val="20"/>
          <w:shd w:val="clear" w:color="auto" w:fill="auto"/>
        </w:rPr>
        <w:t xml:space="preserve">1) </w:t>
      </w:r>
      <w:r>
        <w:rPr>
          <w:shd w:val="clear" w:color="auto" w:fill="auto"/>
        </w:rPr>
        <w:t xml:space="preserve">непредставление необходимых для участия в аукционе документов или представление недостоверных сведений;</w:t>
      </w:r>
      <w:r/>
    </w:p>
    <w:p>
      <w:pPr>
        <w:pStyle w:val="691"/>
        <w:jc w:val="both"/>
        <w:widowControl w:val="off"/>
      </w:pPr>
      <w:r>
        <w:rPr>
          <w:shd w:val="clear" w:color="auto" w:fill="auto"/>
        </w:rPr>
        <w:t xml:space="preserve">2) непоступление задатка на дату рассмотрения заявок на участие в аукционе;</w:t>
      </w:r>
      <w:r/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</w:rPr>
        <w:t xml:space="preserve">3) подача зая</w:t>
      </w:r>
      <w:r>
        <w:rPr>
          <w:shd w:val="clear" w:color="auto" w:fill="auto"/>
        </w:rPr>
        <w:t xml:space="preserve">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</w:t>
        <w:br/>
        <w:t xml:space="preserve">в аренду;</w:t>
      </w:r>
      <w:r/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</w:rPr>
        <w:t xml:space="preserve">4) наличие свед</w:t>
      </w:r>
      <w:r>
        <w:rPr>
          <w:shd w:val="clear" w:color="auto" w:fill="auto"/>
        </w:rPr>
        <w:t xml:space="preserve">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  <w:r/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</w:rPr>
        <w:t xml:space="preserve">В день пр</w:t>
      </w:r>
      <w:r>
        <w:rPr>
          <w:shd w:val="clear" w:color="auto" w:fill="auto"/>
        </w:rPr>
        <w:t xml:space="preserve">изнания заявителей участниками аукциона, указанный в извещении</w:t>
        <w:br/>
        <w:t xml:space="preserve"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  <w:r/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</w:rPr>
        <w:t xml:space="preserve">Заявитель приобретает статус участника аукциона с момента подписания протокола рассмотрения заявок.</w:t>
      </w:r>
      <w:r/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</w:rPr>
        <w:t xml:space="preserve">Не позднее следующего рабочего дня после дня подписа</w:t>
      </w:r>
      <w:r>
        <w:rPr>
          <w:shd w:val="clear" w:color="auto" w:fill="auto"/>
        </w:rPr>
        <w:t xml:space="preserve">ния протокола рассмотрения заявок, всем заявителям оператором электронной площадки направляется в личные кабинеты уведомления                  о признании их участниками аукциона или об отказе в признании участниками аукциона с указанием оснований отказа. </w:t>
      </w:r>
      <w:r/>
    </w:p>
    <w:p>
      <w:pPr>
        <w:pStyle w:val="784"/>
        <w:ind w:left="-567" w:firstLine="567"/>
        <w:jc w:val="both"/>
        <w:widowControl w:val="off"/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по результатам рассмотрения заявок на участие в аукционе принято решение об отказе в допуске к участию                       в аукционе всех заявителей или о допуске к участию в аукционе и признании участником аукциона только одного заявителя, аукцион приз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нается несостоявшимся. При признании аукциона несостоявшимся в протокол рассмотрения заявок на участие в аукционе, включается информация               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емельного кодекса Российской Федерации.</w:t>
      </w:r>
      <w:r/>
    </w:p>
    <w:p>
      <w:pPr>
        <w:pStyle w:val="691"/>
        <w:ind w:left="-567" w:firstLine="567"/>
        <w:jc w:val="both"/>
        <w:spacing w:line="276" w:lineRule="auto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center"/>
      </w:pPr>
      <w:r>
        <w:rPr>
          <w:b/>
          <w:bCs/>
          <w:shd w:val="clear" w:color="auto" w:fill="auto"/>
        </w:rPr>
        <w:t xml:space="preserve">Порядок проведения аукциона</w:t>
      </w:r>
      <w:r/>
    </w:p>
    <w:p>
      <w:pPr>
        <w:pStyle w:val="691"/>
        <w:ind w:left="502"/>
        <w:jc w:val="center"/>
        <w:widowControl w:val="off"/>
        <w:rPr>
          <w:rFonts w:eastAsia="Courier New"/>
          <w:b/>
          <w:bCs/>
          <w:highlight w:val="none"/>
          <w:shd w:val="clear" w:color="auto" w:fill="auto"/>
          <w:lang w:bidi="ru-RU"/>
        </w:rPr>
      </w:pPr>
      <w:r>
        <w:rPr>
          <w:rFonts w:eastAsia="Courier New"/>
          <w:b/>
          <w:bCs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5% от начальной цены предмета аукциона</w:t>
      </w:r>
      <w:r>
        <w:rPr>
          <w:rFonts w:eastAsia="Calibri"/>
          <w:shd w:val="clear" w:color="auto" w:fill="auto"/>
        </w:rPr>
        <w:t xml:space="preserve">, и не изменяется в течение всего времени подачи предложений о цене.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В ходе проведения аукциона участники аукциона подают предложения о цене предмета аукциона в соответствии со следующими требованиями: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о цене предмета аукциона на величину «шага аукциона»;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Время для подачи предложений о цене аукциона определяется в следующем порядке: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Время ожидания предложения участника аукциона о цене предмета аукциона составляет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10 (десять) минут. При поступлении предложения участ</w:t>
      </w:r>
      <w:r>
        <w:rPr>
          <w:rFonts w:eastAsia="Calibri"/>
          <w:shd w:val="clear" w:color="auto" w:fill="auto"/>
        </w:rPr>
        <w:t xml:space="preserve">ника аукциона</w:t>
        <w:br/>
        <w:t xml:space="preserve"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Срок для подачи предложений о цене обновляется автоматически после улучшения текущего предложения о цене. Время срока подачи предложений </w:t>
      </w:r>
      <w:r>
        <w:rPr>
          <w:rFonts w:eastAsia="Calibri"/>
          <w:shd w:val="clear" w:color="auto" w:fill="auto"/>
        </w:rPr>
        <w:t xml:space="preserve">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в момент его поступления и соответствующее уведомление участника аукциона, в случаях, если: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- предложение о цене аукциона предоставлено до начала или по истечении установленного времени для подачи предложений о цене аукциона;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ниже начальной цены;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равно нулю;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не соответствует увеличению текущей цены на величину «шага аукциона»;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- предыдущее представленное данным участником аукциона предложение о цене аукциона является лучшим текущим предложением о цене;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- представленное участником аукциона предложение о цене аукциона меньше ранее представленных предложений.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Победителем аукциона признается участник аукциона, предложивший наибольшую цену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за земельный участок.</w:t>
      </w:r>
      <w:r/>
    </w:p>
    <w:p>
      <w:pPr>
        <w:pStyle w:val="691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  <w:r/>
    </w:p>
    <w:p>
      <w:pPr>
        <w:pStyle w:val="691"/>
        <w:ind w:left="-567" w:firstLine="567"/>
        <w:jc w:val="both"/>
        <w:rPr>
          <w:rFonts w:eastAsia="Calibri"/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outlineLvl w:val="0"/>
      </w:pPr>
      <w:r>
        <w:rPr>
          <w:b/>
          <w:bCs/>
          <w:shd w:val="clear" w:color="auto" w:fill="auto"/>
        </w:rPr>
        <w:t xml:space="preserve">Порядок и срок заключения договора</w:t>
      </w:r>
      <w:r>
        <w:rPr>
          <w:b/>
          <w:bCs/>
          <w:shd w:val="clear" w:color="auto" w:fill="auto"/>
        </w:rPr>
        <w:br w:type="textWrapping" w:clear="all"/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outlineLvl w:val="0"/>
      </w:pPr>
      <w:r>
        <w:rPr>
          <w:bCs/>
          <w:shd w:val="clear" w:color="auto" w:fill="auto"/>
        </w:rPr>
        <w:t xml:space="preserve">По результатам провед</w:t>
      </w:r>
      <w:r>
        <w:rPr>
          <w:bCs/>
          <w:shd w:val="clear" w:color="auto" w:fill="auto"/>
        </w:rPr>
        <w:t xml:space="preserve">ения аукциона не допускается заключение договора купли-продажи земельного участка, находящегося в государственной или муниципальной собственности ранее чем через десять дней со дня размещения протокола рассмотрения заявок на участие 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ли аукцион признан несостоявшимся, либо протокола о результатах аукциона на официальных сайтах www.torgi.gov.ru,  www.gorodperm.ru.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outlineLvl w:val="0"/>
      </w:pPr>
      <w:r>
        <w:rPr>
          <w:bCs/>
          <w:shd w:val="clear" w:color="auto" w:fill="auto"/>
        </w:rPr>
        <w:t xml:space="preserve">Департамент земельных отношений администрации города Перми обязан в течение п</w:t>
      </w:r>
      <w:r>
        <w:rPr>
          <w:bCs/>
          <w:shd w:val="clear" w:color="auto" w:fill="auto"/>
        </w:rPr>
        <w:t xml:space="preserve">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</w:t>
        <w:br/>
        <w:t xml:space="preserve">в соответствии с пунктами 13, 14, 20 и 25 статьи 39.12 Земельного кодекса Российско</w:t>
      </w:r>
      <w:r>
        <w:rPr>
          <w:bCs/>
          <w:shd w:val="clear" w:color="auto" w:fill="auto"/>
        </w:rPr>
        <w:t xml:space="preserve">й Федерации заключается договор купли-продажи земельного участка, находящегося </w:t>
        <w:br/>
        <w:t xml:space="preserve">в государственной или муниципальной собственности, подписанный проект договора купли-продажи земельного участка, находящегося в государственной или муниципальной собственности.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outlineLvl w:val="0"/>
      </w:pPr>
      <w:r>
        <w:rPr>
          <w:bCs/>
          <w:shd w:val="clear" w:color="auto" w:fill="auto"/>
        </w:rPr>
        <w:t xml:space="preserve">По р</w:t>
      </w:r>
      <w:r>
        <w:rPr>
          <w:bCs/>
          <w:shd w:val="clear" w:color="auto" w:fill="auto"/>
        </w:rPr>
        <w:t xml:space="preserve">езультатам проведения аукциона договор купли-продажи земельного участка,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договора.</w:t>
      </w:r>
      <w:r/>
    </w:p>
    <w:p>
      <w:pPr>
        <w:pStyle w:val="691"/>
        <w:ind w:left="-567" w:firstLine="567"/>
        <w:jc w:val="both"/>
      </w:pPr>
      <w:r>
        <w:rPr>
          <w:bCs/>
          <w:shd w:val="clear" w:color="auto" w:fill="auto"/>
        </w:rPr>
        <w:t xml:space="preserve">Проекты договоров являются частью извещения и представлены в Приложениях 1, 3, 5, 7                           к настоящему извещению.</w:t>
        <w:tab/>
      </w:r>
      <w:r/>
    </w:p>
    <w:p>
      <w:pPr>
        <w:pStyle w:val="691"/>
        <w:ind w:left="-567" w:firstLine="567"/>
        <w:jc w:val="both"/>
      </w:pPr>
      <w:r>
        <w:rPr>
          <w:bCs/>
          <w:shd w:val="clear" w:color="auto" w:fill="auto"/>
        </w:rPr>
        <w:t xml:space="preserve">Если договор купли-продажи  в течение десяти рабочих дней со дня направления победителю аукциона проекта указанного договора не был им подп</w:t>
      </w:r>
      <w:r>
        <w:rPr>
          <w:bCs/>
          <w:shd w:val="clear" w:color="auto" w:fill="auto"/>
        </w:rPr>
        <w:t xml:space="preserve">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</w:t>
      </w:r>
      <w:r>
        <w:rPr>
          <w:b w:val="0"/>
          <w:bCs/>
          <w:shd w:val="clear" w:color="auto" w:fill="auto"/>
        </w:rPr>
        <w:t xml:space="preserve">для их заключения по цене, предложенной таким участником аукциона.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enter" w:pos="567" w:leader="none"/>
          <w:tab w:val="clear" w:pos="708" w:leader="none"/>
        </w:tabs>
        <w:outlineLvl w:val="0"/>
      </w:pPr>
      <w:r>
        <w:rPr>
          <w:rFonts w:eastAsia="Courier New"/>
          <w:shd w:val="clear" w:color="auto" w:fill="auto"/>
          <w:lang w:bidi="ru-RU"/>
        </w:rPr>
        <w:t xml:space="preserve">Сведения о победителях аукционов, уклонившихся от заключения договора купли-продажи, являющегося предметом аукциона, и об иных лицах, с которыми указанный</w:t>
      </w:r>
      <w:r>
        <w:rPr>
          <w:rFonts w:eastAsia="Courier New"/>
          <w:shd w:val="clear" w:color="auto" w:fill="auto"/>
          <w:lang w:bidi="ru-RU"/>
        </w:rPr>
        <w:t xml:space="preserve"> договор заключается                      в соответствии с пунктом 13, 14, 20 или 25 ст. 39.12 Земельного кодекса Российской Федерации                          и которые уклонились от их заключения, включаются в реестр недобросовестных участников аукциона.</w:t>
      </w:r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420" w:right="567" w:bottom="1134" w:left="1418" w:header="363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Verdana">
    <w:panose1 w:val="020B0604030504040204"/>
  </w:font>
  <w:font w:name="Tahoma">
    <w:panose1 w:val="020B0604030504040204"/>
  </w:font>
  <w:font w:name="Open Sans">
    <w:panose1 w:val="020B0606030504020204"/>
  </w:font>
  <w:font w:name="Calibri Light">
    <w:panose1 w:val="020F0502020204030204"/>
  </w:font>
  <w:font w:name="Symbol">
    <w:panose1 w:val="05010000000000000000"/>
  </w:font>
  <w:font w:name="Arial">
    <w:panose1 w:val="020B0604020202020204"/>
  </w:font>
  <w:font w:name="TimesNewRomanPSMT">
    <w:panose1 w:val="020206030504050203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Consultant">
    <w:panose1 w:val="02000603000000000000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9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 xml:space="preserve">16</w:t>
    </w:r>
    <w:r>
      <w:rPr>
        <w:sz w:val="20"/>
        <w:szCs w:val="28"/>
      </w:rPr>
      <w:fldChar w:fldCharType="end"/>
    </w:r>
    <w:r>
      <w:rPr>
        <w:sz w:val="20"/>
        <w:szCs w:val="28"/>
      </w:rPr>
    </w:r>
    <w:r>
      <w:rPr>
        <w:sz w:val="20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9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pStyle w:val="69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zh-CN" w:bidi="ar-SA"/>
    </w:rPr>
  </w:style>
  <w:style w:type="paragraph" w:styleId="692">
    <w:name w:val="Heading 1"/>
    <w:basedOn w:val="691"/>
    <w:qFormat/>
    <w:pPr>
      <w:numPr>
        <w:ilvl w:val="0"/>
        <w:numId w:val="1"/>
      </w:numPr>
      <w:jc w:val="center"/>
      <w:keepNext/>
      <w:outlineLvl w:val="0"/>
    </w:pPr>
    <w:rPr>
      <w:b/>
      <w:sz w:val="28"/>
      <w:szCs w:val="20"/>
    </w:rPr>
  </w:style>
  <w:style w:type="paragraph" w:styleId="693">
    <w:name w:val="Heading 2"/>
    <w:basedOn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4">
    <w:name w:val="Heading 3"/>
    <w:basedOn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5">
    <w:name w:val="Heading 4"/>
    <w:basedOn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7">
    <w:name w:val="Heading 6"/>
    <w:basedOn w:val="691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698">
    <w:name w:val="Heading 7"/>
    <w:basedOn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1 Char"/>
    <w:basedOn w:val="718"/>
    <w:uiPriority w:val="9"/>
    <w:qFormat/>
    <w:rPr>
      <w:rFonts w:ascii="Arial" w:hAnsi="Arial" w:eastAsia="Arial" w:cs="Arial"/>
      <w:sz w:val="40"/>
      <w:szCs w:val="40"/>
    </w:rPr>
  </w:style>
  <w:style w:type="character" w:styleId="702">
    <w:name w:val="Heading 2 Char"/>
    <w:basedOn w:val="718"/>
    <w:uiPriority w:val="9"/>
    <w:qFormat/>
    <w:rPr>
      <w:rFonts w:ascii="Arial" w:hAnsi="Arial" w:eastAsia="Arial" w:cs="Arial"/>
      <w:sz w:val="34"/>
    </w:rPr>
  </w:style>
  <w:style w:type="character" w:styleId="703">
    <w:name w:val="Heading 3 Char"/>
    <w:basedOn w:val="718"/>
    <w:uiPriority w:val="9"/>
    <w:qFormat/>
    <w:rPr>
      <w:rFonts w:ascii="Arial" w:hAnsi="Arial" w:eastAsia="Arial" w:cs="Arial"/>
      <w:sz w:val="30"/>
      <w:szCs w:val="30"/>
    </w:rPr>
  </w:style>
  <w:style w:type="character" w:styleId="704">
    <w:name w:val="Heading 4 Char"/>
    <w:basedOn w:val="71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05">
    <w:name w:val="Heading 5 Char"/>
    <w:basedOn w:val="718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06">
    <w:name w:val="Heading 6 Char"/>
    <w:basedOn w:val="71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7">
    <w:name w:val="Heading 7 Char"/>
    <w:basedOn w:val="71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8">
    <w:name w:val="Heading 8 Char"/>
    <w:basedOn w:val="71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9">
    <w:name w:val="Heading 9 Char"/>
    <w:basedOn w:val="71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718"/>
    <w:uiPriority w:val="10"/>
    <w:qFormat/>
    <w:rPr>
      <w:sz w:val="48"/>
      <w:szCs w:val="48"/>
    </w:rPr>
  </w:style>
  <w:style w:type="character" w:styleId="711">
    <w:name w:val="Subtitle Char"/>
    <w:basedOn w:val="718"/>
    <w:uiPriority w:val="11"/>
    <w:qFormat/>
    <w:rPr>
      <w:sz w:val="24"/>
      <w:szCs w:val="24"/>
    </w:rPr>
  </w:style>
  <w:style w:type="character" w:styleId="712">
    <w:name w:val="Quote Char"/>
    <w:uiPriority w:val="29"/>
    <w:qFormat/>
    <w:rPr>
      <w:i/>
    </w:rPr>
  </w:style>
  <w:style w:type="character" w:styleId="713">
    <w:name w:val="Intense Quote Char"/>
    <w:uiPriority w:val="30"/>
    <w:qFormat/>
    <w:rPr>
      <w:i/>
    </w:rPr>
  </w:style>
  <w:style w:type="character" w:styleId="714">
    <w:name w:val="Header Char"/>
    <w:basedOn w:val="718"/>
    <w:uiPriority w:val="99"/>
    <w:qFormat/>
  </w:style>
  <w:style w:type="character" w:styleId="715">
    <w:name w:val="Caption Char"/>
    <w:uiPriority w:val="99"/>
    <w:qFormat/>
  </w:style>
  <w:style w:type="character" w:styleId="716">
    <w:name w:val="Footnote Text Char"/>
    <w:uiPriority w:val="99"/>
    <w:qFormat/>
    <w:rPr>
      <w:sz w:val="18"/>
    </w:rPr>
  </w:style>
  <w:style w:type="character" w:styleId="717">
    <w:name w:val="Endnote Text Char"/>
    <w:uiPriority w:val="99"/>
    <w:qFormat/>
    <w:rPr>
      <w:sz w:val="20"/>
    </w:rPr>
  </w:style>
  <w:style w:type="character" w:styleId="718" w:default="1">
    <w:name w:val="Default Paragraph Font"/>
    <w:uiPriority w:val="1"/>
    <w:semiHidden/>
    <w:unhideWhenUsed/>
    <w:qFormat/>
  </w:style>
  <w:style w:type="character" w:styleId="719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720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721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722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3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4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5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6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7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8" w:customStyle="1">
    <w:name w:val="Заголовок Знак1"/>
    <w:uiPriority w:val="10"/>
    <w:qFormat/>
    <w:rPr>
      <w:sz w:val="48"/>
      <w:szCs w:val="48"/>
    </w:rPr>
  </w:style>
  <w:style w:type="character" w:styleId="729" w:customStyle="1">
    <w:name w:val="Подзаголовок Знак"/>
    <w:uiPriority w:val="11"/>
    <w:qFormat/>
    <w:rPr>
      <w:sz w:val="24"/>
      <w:szCs w:val="24"/>
    </w:rPr>
  </w:style>
  <w:style w:type="character" w:styleId="730" w:customStyle="1">
    <w:name w:val="Цитата 2 Знак"/>
    <w:uiPriority w:val="29"/>
    <w:qFormat/>
    <w:rPr>
      <w:i/>
    </w:rPr>
  </w:style>
  <w:style w:type="character" w:styleId="731" w:customStyle="1">
    <w:name w:val="Выделенная цитата Знак"/>
    <w:uiPriority w:val="30"/>
    <w:qFormat/>
    <w:rPr>
      <w:i/>
    </w:rPr>
  </w:style>
  <w:style w:type="character" w:styleId="732" w:customStyle="1">
    <w:name w:val="Верхний колонтитул Знак1"/>
    <w:uiPriority w:val="99"/>
    <w:qFormat/>
  </w:style>
  <w:style w:type="character" w:styleId="733" w:customStyle="1">
    <w:name w:val="Footer Char"/>
    <w:uiPriority w:val="99"/>
    <w:qFormat/>
  </w:style>
  <w:style w:type="character" w:styleId="734" w:customStyle="1">
    <w:name w:val="Нижний колонтитул Знак1"/>
    <w:uiPriority w:val="99"/>
    <w:qFormat/>
  </w:style>
  <w:style w:type="character" w:styleId="735" w:customStyle="1">
    <w:name w:val="Текст сноски Знак"/>
    <w:uiPriority w:val="99"/>
    <w:qFormat/>
    <w:rPr>
      <w:sz w:val="18"/>
    </w:rPr>
  </w:style>
  <w:style w:type="character" w:styleId="736">
    <w:name w:val="Символ сноски"/>
    <w:uiPriority w:val="99"/>
    <w:unhideWhenUsed/>
    <w:qFormat/>
    <w:rPr>
      <w:vertAlign w:val="superscript"/>
    </w:rPr>
  </w:style>
  <w:style w:type="character" w:styleId="737">
    <w:name w:val="footnote reference"/>
    <w:rPr>
      <w:vertAlign w:val="superscript"/>
    </w:rPr>
  </w:style>
  <w:style w:type="character" w:styleId="738" w:customStyle="1">
    <w:name w:val="Текст концевой сноски Знак"/>
    <w:uiPriority w:val="99"/>
    <w:qFormat/>
    <w:rPr>
      <w:sz w:val="20"/>
    </w:rPr>
  </w:style>
  <w:style w:type="character" w:styleId="739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40">
    <w:name w:val="endnote reference"/>
    <w:rPr>
      <w:vertAlign w:val="superscript"/>
    </w:rPr>
  </w:style>
  <w:style w:type="character" w:styleId="741" w:customStyle="1">
    <w:name w:val="WW8Num2z0"/>
    <w:qFormat/>
    <w:rPr>
      <w:rFonts w:ascii="Symbol" w:hAnsi="Symbol" w:cs="Symbol"/>
    </w:rPr>
  </w:style>
  <w:style w:type="character" w:styleId="742" w:customStyle="1">
    <w:name w:val="WW8Num3z0"/>
    <w:qFormat/>
  </w:style>
  <w:style w:type="character" w:styleId="743" w:customStyle="1">
    <w:name w:val="WW8Num4z0"/>
    <w:qFormat/>
  </w:style>
  <w:style w:type="character" w:styleId="744" w:customStyle="1">
    <w:name w:val="WW8Num5z0"/>
    <w:qFormat/>
    <w:rPr>
      <w:sz w:val="16"/>
      <w:szCs w:val="16"/>
    </w:rPr>
  </w:style>
  <w:style w:type="character" w:styleId="745" w:customStyle="1">
    <w:name w:val="WW8Num6z0"/>
    <w:qFormat/>
  </w:style>
  <w:style w:type="character" w:styleId="746" w:customStyle="1">
    <w:name w:val="WW8Num7z0"/>
    <w:qFormat/>
  </w:style>
  <w:style w:type="character" w:styleId="747" w:customStyle="1">
    <w:name w:val="WW8Num8z0"/>
    <w:qFormat/>
  </w:style>
  <w:style w:type="character" w:styleId="748" w:customStyle="1">
    <w:name w:val="WW8Num9z0"/>
    <w:qFormat/>
  </w:style>
  <w:style w:type="character" w:styleId="749" w:customStyle="1">
    <w:name w:val="WW8Num10z0"/>
    <w:qFormat/>
  </w:style>
  <w:style w:type="character" w:styleId="750" w:customStyle="1">
    <w:name w:val="WW8Num11z0"/>
    <w:qFormat/>
  </w:style>
  <w:style w:type="character" w:styleId="751" w:customStyle="1">
    <w:name w:val="WW8Num12z0"/>
    <w:qFormat/>
  </w:style>
  <w:style w:type="character" w:styleId="752" w:customStyle="1">
    <w:name w:val="WW8Num13z0"/>
    <w:qFormat/>
  </w:style>
  <w:style w:type="character" w:styleId="753" w:customStyle="1">
    <w:name w:val="WW8Num14z0"/>
    <w:qFormat/>
  </w:style>
  <w:style w:type="character" w:styleId="754" w:customStyle="1">
    <w:name w:val="WW8Num15z0"/>
    <w:qFormat/>
  </w:style>
  <w:style w:type="character" w:styleId="755" w:customStyle="1">
    <w:name w:val="WW8Num18z0"/>
    <w:qFormat/>
  </w:style>
  <w:style w:type="character" w:styleId="756" w:customStyle="1">
    <w:name w:val="WW8Num19z0"/>
    <w:qFormat/>
  </w:style>
  <w:style w:type="character" w:styleId="757" w:customStyle="1">
    <w:name w:val="WW8Num20z0"/>
    <w:qFormat/>
  </w:style>
  <w:style w:type="character" w:styleId="758" w:customStyle="1">
    <w:name w:val="WW8Num21z0"/>
    <w:qFormat/>
  </w:style>
  <w:style w:type="character" w:styleId="759" w:customStyle="1">
    <w:name w:val="WW8Num22z0"/>
    <w:qFormat/>
  </w:style>
  <w:style w:type="character" w:styleId="760" w:customStyle="1">
    <w:name w:val="WW8Num23z0"/>
    <w:qFormat/>
  </w:style>
  <w:style w:type="character" w:styleId="761" w:customStyle="1">
    <w:name w:val="WW8Num25z0"/>
    <w:qFormat/>
  </w:style>
  <w:style w:type="character" w:styleId="762" w:customStyle="1">
    <w:name w:val="WW8Num26z0"/>
    <w:qFormat/>
  </w:style>
  <w:style w:type="character" w:styleId="763" w:customStyle="1">
    <w:name w:val="WW8Num27z0"/>
    <w:qFormat/>
  </w:style>
  <w:style w:type="character" w:styleId="764" w:customStyle="1">
    <w:name w:val="WW8Num29z0"/>
    <w:qFormat/>
    <w:rPr>
      <w:rFonts w:ascii="Symbol" w:hAnsi="Symbol" w:cs="Symbol"/>
    </w:rPr>
  </w:style>
  <w:style w:type="character" w:styleId="765" w:customStyle="1">
    <w:name w:val="WW8Num30z0"/>
    <w:qFormat/>
  </w:style>
  <w:style w:type="character" w:styleId="766" w:customStyle="1">
    <w:name w:val="WW8Num31z0"/>
    <w:qFormat/>
  </w:style>
  <w:style w:type="character" w:styleId="767" w:customStyle="1">
    <w:name w:val="WW8Num32z0"/>
    <w:qFormat/>
  </w:style>
  <w:style w:type="character" w:styleId="768" w:customStyle="1">
    <w:name w:val="WW8Num33z0"/>
    <w:qFormat/>
  </w:style>
  <w:style w:type="character" w:styleId="769" w:customStyle="1">
    <w:name w:val="WW8Num34z0"/>
    <w:qFormat/>
  </w:style>
  <w:style w:type="character" w:styleId="770">
    <w:name w:val="page number"/>
    <w:basedOn w:val="718"/>
    <w:qFormat/>
  </w:style>
  <w:style w:type="character" w:styleId="771" w:customStyle="1">
    <w:name w:val="Текст Знак"/>
    <w:qFormat/>
    <w:rPr>
      <w:rFonts w:ascii="Courier New" w:hAnsi="Courier New" w:cs="Courier New"/>
    </w:rPr>
  </w:style>
  <w:style w:type="character" w:styleId="772" w:customStyle="1">
    <w:name w:val="Верхний колонтитул Знак"/>
    <w:qFormat/>
    <w:rPr>
      <w:sz w:val="16"/>
      <w:lang w:val="ru-RU" w:bidi="ar-SA"/>
    </w:rPr>
  </w:style>
  <w:style w:type="character" w:styleId="773" w:customStyle="1">
    <w:name w:val="Основной текст с отступом 3 Знак"/>
    <w:qFormat/>
    <w:rPr>
      <w:sz w:val="16"/>
      <w:szCs w:val="16"/>
    </w:rPr>
  </w:style>
  <w:style w:type="character" w:styleId="774">
    <w:name w:val="Hyperlink"/>
    <w:rPr>
      <w:color w:val="0563c1"/>
      <w:u w:val="single"/>
    </w:rPr>
  </w:style>
  <w:style w:type="character" w:styleId="775" w:customStyle="1">
    <w:name w:val="Абзац списка Знак"/>
    <w:qFormat/>
    <w:rPr>
      <w:sz w:val="24"/>
      <w:szCs w:val="24"/>
    </w:rPr>
  </w:style>
  <w:style w:type="character" w:styleId="776" w:customStyle="1">
    <w:name w:val="Заголовок 6 Знак"/>
    <w:qFormat/>
    <w:rPr>
      <w:b/>
      <w:bCs/>
      <w:sz w:val="22"/>
      <w:szCs w:val="22"/>
    </w:rPr>
  </w:style>
  <w:style w:type="character" w:styleId="777" w:customStyle="1">
    <w:name w:val="Название Знак"/>
    <w:qFormat/>
    <w:rPr>
      <w:sz w:val="28"/>
      <w:lang w:val="ru-RU" w:bidi="ar-SA"/>
    </w:rPr>
  </w:style>
  <w:style w:type="character" w:styleId="778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779" w:customStyle="1">
    <w:name w:val="Нижний колонтитул Знак"/>
    <w:qFormat/>
  </w:style>
  <w:style w:type="character" w:styleId="780">
    <w:name w:val="FollowedHyperlink"/>
    <w:rPr>
      <w:color w:val="954f72"/>
      <w:u w:val="single"/>
    </w:rPr>
  </w:style>
  <w:style w:type="character" w:styleId="781" w:customStyle="1">
    <w:name w:val="Гиперссылка"/>
    <w:qFormat/>
    <w:rPr>
      <w:color w:val="0000ff"/>
      <w:u w:val="single"/>
    </w:rPr>
  </w:style>
  <w:style w:type="character" w:styleId="782">
    <w:name w:val="Символ нумерации"/>
    <w:qFormat/>
  </w:style>
  <w:style w:type="paragraph" w:styleId="783">
    <w:name w:val="Заголовок"/>
    <w:basedOn w:val="691"/>
    <w:next w:val="784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84">
    <w:name w:val="Body Text"/>
    <w:basedOn w:val="691"/>
    <w:pPr>
      <w:jc w:val="right"/>
    </w:pPr>
    <w:rPr>
      <w:sz w:val="28"/>
    </w:rPr>
  </w:style>
  <w:style w:type="paragraph" w:styleId="785">
    <w:name w:val="List"/>
    <w:basedOn w:val="784"/>
    <w:rPr>
      <w:rFonts w:cs="Lohit Devanagari"/>
    </w:rPr>
  </w:style>
  <w:style w:type="paragraph" w:styleId="786">
    <w:name w:val="Caption"/>
    <w:basedOn w:val="691"/>
    <w:link w:val="715"/>
    <w:qFormat/>
    <w:pPr>
      <w:spacing w:before="120" w:after="120"/>
      <w:suppressLineNumbers/>
    </w:pPr>
    <w:rPr>
      <w:rFonts w:cs="Lohit Devanagari"/>
      <w:i/>
      <w:iCs/>
    </w:rPr>
  </w:style>
  <w:style w:type="paragraph" w:styleId="787">
    <w:name w:val="Указатель"/>
    <w:basedOn w:val="691"/>
    <w:qFormat/>
    <w:pPr>
      <w:suppressLineNumbers/>
    </w:pPr>
    <w:rPr>
      <w:rFonts w:cs="Lohit Devanagari"/>
    </w:rPr>
  </w:style>
  <w:style w:type="paragraph" w:styleId="788">
    <w:name w:val="List Paragraph"/>
    <w:basedOn w:val="691"/>
    <w:qFormat/>
    <w:pPr>
      <w:ind w:left="708"/>
    </w:pPr>
  </w:style>
  <w:style w:type="paragraph" w:styleId="789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90">
    <w:name w:val="Title"/>
    <w:basedOn w:val="691"/>
    <w:qFormat/>
    <w:pPr>
      <w:jc w:val="center"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791">
    <w:name w:val="Subtitle"/>
    <w:basedOn w:val="691"/>
    <w:uiPriority w:val="11"/>
    <w:qFormat/>
    <w:pPr>
      <w:spacing w:before="200" w:after="200"/>
    </w:pPr>
  </w:style>
  <w:style w:type="paragraph" w:styleId="792">
    <w:name w:val="Quote"/>
    <w:basedOn w:val="691"/>
    <w:uiPriority w:val="29"/>
    <w:qFormat/>
    <w:pPr>
      <w:ind w:left="720" w:right="720"/>
    </w:pPr>
    <w:rPr>
      <w:i/>
    </w:rPr>
  </w:style>
  <w:style w:type="paragraph" w:styleId="793">
    <w:name w:val="Intense Quote"/>
    <w:basedOn w:val="69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94">
    <w:name w:val="footnote text"/>
    <w:basedOn w:val="691"/>
    <w:uiPriority w:val="99"/>
    <w:semiHidden/>
    <w:unhideWhenUsed/>
    <w:pPr>
      <w:spacing w:before="0" w:after="40"/>
    </w:pPr>
    <w:rPr>
      <w:sz w:val="18"/>
    </w:rPr>
  </w:style>
  <w:style w:type="paragraph" w:styleId="795">
    <w:name w:val="endnote text"/>
    <w:basedOn w:val="691"/>
    <w:uiPriority w:val="99"/>
    <w:semiHidden/>
    <w:unhideWhenUsed/>
    <w:rPr>
      <w:sz w:val="20"/>
    </w:rPr>
  </w:style>
  <w:style w:type="paragraph" w:styleId="796">
    <w:name w:val="toc 1"/>
    <w:basedOn w:val="691"/>
    <w:uiPriority w:val="39"/>
    <w:unhideWhenUsed/>
    <w:pPr>
      <w:spacing w:before="0" w:after="57"/>
    </w:pPr>
  </w:style>
  <w:style w:type="paragraph" w:styleId="797">
    <w:name w:val="toc 2"/>
    <w:basedOn w:val="691"/>
    <w:uiPriority w:val="39"/>
    <w:unhideWhenUsed/>
    <w:pPr>
      <w:ind w:left="283"/>
      <w:spacing w:before="0" w:after="57"/>
    </w:pPr>
  </w:style>
  <w:style w:type="paragraph" w:styleId="798">
    <w:name w:val="toc 3"/>
    <w:basedOn w:val="691"/>
    <w:uiPriority w:val="39"/>
    <w:unhideWhenUsed/>
    <w:pPr>
      <w:ind w:left="567"/>
      <w:spacing w:before="0" w:after="57"/>
    </w:pPr>
  </w:style>
  <w:style w:type="paragraph" w:styleId="799">
    <w:name w:val="toc 4"/>
    <w:basedOn w:val="691"/>
    <w:uiPriority w:val="39"/>
    <w:unhideWhenUsed/>
    <w:pPr>
      <w:ind w:left="850"/>
      <w:spacing w:before="0" w:after="57"/>
    </w:pPr>
  </w:style>
  <w:style w:type="paragraph" w:styleId="800">
    <w:name w:val="toc 5"/>
    <w:basedOn w:val="691"/>
    <w:uiPriority w:val="39"/>
    <w:unhideWhenUsed/>
    <w:pPr>
      <w:ind w:left="1134"/>
      <w:spacing w:before="0" w:after="57"/>
    </w:pPr>
  </w:style>
  <w:style w:type="paragraph" w:styleId="801">
    <w:name w:val="toc 6"/>
    <w:basedOn w:val="691"/>
    <w:uiPriority w:val="39"/>
    <w:unhideWhenUsed/>
    <w:pPr>
      <w:ind w:left="1417"/>
      <w:spacing w:before="0" w:after="57"/>
    </w:pPr>
  </w:style>
  <w:style w:type="paragraph" w:styleId="802">
    <w:name w:val="toc 7"/>
    <w:basedOn w:val="691"/>
    <w:uiPriority w:val="39"/>
    <w:unhideWhenUsed/>
    <w:pPr>
      <w:ind w:left="1701"/>
      <w:spacing w:before="0" w:after="57"/>
    </w:pPr>
  </w:style>
  <w:style w:type="paragraph" w:styleId="803">
    <w:name w:val="toc 8"/>
    <w:basedOn w:val="691"/>
    <w:uiPriority w:val="39"/>
    <w:unhideWhenUsed/>
    <w:pPr>
      <w:ind w:left="1984"/>
      <w:spacing w:before="0" w:after="57"/>
    </w:pPr>
  </w:style>
  <w:style w:type="paragraph" w:styleId="804">
    <w:name w:val="toc 9"/>
    <w:basedOn w:val="691"/>
    <w:uiPriority w:val="39"/>
    <w:unhideWhenUsed/>
    <w:pPr>
      <w:ind w:left="2268"/>
      <w:spacing w:before="0" w:after="57"/>
    </w:pPr>
  </w:style>
  <w:style w:type="paragraph" w:styleId="805">
    <w:name w:val="Index Heading"/>
    <w:basedOn w:val="783"/>
  </w:style>
  <w:style w:type="paragraph" w:styleId="806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807">
    <w:name w:val="table of figures"/>
    <w:basedOn w:val="691"/>
    <w:uiPriority w:val="99"/>
    <w:unhideWhenUsed/>
  </w:style>
  <w:style w:type="paragraph" w:styleId="808">
    <w:name w:val="index heading1"/>
    <w:basedOn w:val="691"/>
    <w:qFormat/>
    <w:pPr>
      <w:suppressLineNumbers/>
    </w:pPr>
    <w:rPr>
      <w:rFonts w:cs="Lohit Devanagari"/>
    </w:rPr>
  </w:style>
  <w:style w:type="paragraph" w:styleId="809" w:customStyle="1">
    <w:name w:val="Caption1"/>
    <w:basedOn w:val="691"/>
    <w:qFormat/>
    <w:pPr>
      <w:spacing w:before="120" w:after="120"/>
      <w:suppressLineNumbers/>
    </w:pPr>
    <w:rPr>
      <w:rFonts w:cs="Lohit Devanagari"/>
      <w:i/>
      <w:iCs/>
    </w:rPr>
  </w:style>
  <w:style w:type="paragraph" w:styleId="810">
    <w:name w:val="Plain Text"/>
    <w:basedOn w:val="691"/>
    <w:qFormat/>
    <w:rPr>
      <w:rFonts w:ascii="Courier New" w:hAnsi="Courier New" w:cs="Courier New"/>
      <w:sz w:val="20"/>
      <w:szCs w:val="20"/>
      <w:lang w:val="en-US"/>
    </w:rPr>
  </w:style>
  <w:style w:type="paragraph" w:styleId="811" w:customStyle="1">
    <w:name w:val="ConsNormal"/>
    <w:qFormat/>
    <w:pPr>
      <w:ind w:firstLine="720"/>
      <w:jc w:val="left"/>
      <w:spacing w:before="0" w:after="0"/>
      <w:widowControl/>
    </w:pPr>
    <w:rPr>
      <w:rFonts w:ascii="Consultant" w:hAnsi="Consultant" w:eastAsia="Droid Sans Fallback" w:cs="Consultant"/>
      <w:color w:val="auto"/>
      <w:sz w:val="20"/>
      <w:szCs w:val="20"/>
      <w:lang w:val="ru-RU" w:eastAsia="zh-CN" w:bidi="ar-SA"/>
    </w:rPr>
  </w:style>
  <w:style w:type="paragraph" w:styleId="812">
    <w:name w:val="Body Text 2"/>
    <w:basedOn w:val="691"/>
    <w:qFormat/>
    <w:pPr>
      <w:spacing w:before="0" w:after="120" w:line="480" w:lineRule="auto"/>
    </w:pPr>
  </w:style>
  <w:style w:type="paragraph" w:styleId="813">
    <w:name w:val="Body Text 3"/>
    <w:basedOn w:val="691"/>
    <w:qFormat/>
    <w:pPr>
      <w:spacing w:before="0" w:after="120"/>
    </w:pPr>
    <w:rPr>
      <w:sz w:val="16"/>
      <w:szCs w:val="16"/>
    </w:rPr>
  </w:style>
  <w:style w:type="paragraph" w:styleId="814" w:customStyle="1">
    <w:name w:val="Колонтитул"/>
    <w:basedOn w:val="691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15">
    <w:name w:val="Footer"/>
    <w:basedOn w:val="691"/>
    <w:pPr>
      <w:tabs>
        <w:tab w:val="clear" w:pos="708" w:leader="none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816">
    <w:name w:val="Balloon Text"/>
    <w:basedOn w:val="691"/>
    <w:qFormat/>
    <w:rPr>
      <w:rFonts w:ascii="Tahoma" w:hAnsi="Tahoma" w:cs="Tahoma"/>
      <w:sz w:val="16"/>
      <w:szCs w:val="16"/>
    </w:rPr>
  </w:style>
  <w:style w:type="paragraph" w:styleId="817" w:customStyle="1">
    <w:name w:val="Знак Знак Знак Знак Знак Знак Знак Знак Знак Знак Знак Знак"/>
    <w:basedOn w:val="691"/>
    <w:qFormat/>
    <w:rPr>
      <w:rFonts w:ascii="Verdana" w:hAnsi="Verdana" w:cs="Verdana"/>
      <w:sz w:val="20"/>
      <w:szCs w:val="20"/>
      <w:lang w:val="en-US"/>
    </w:rPr>
  </w:style>
  <w:style w:type="paragraph" w:styleId="818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Calibri" w:cs="Lohit Devanagari"/>
      <w:color w:val="auto"/>
      <w:sz w:val="20"/>
      <w:szCs w:val="20"/>
      <w:lang w:val="ru-RU" w:eastAsia="zh-CN" w:bidi="ar-SA"/>
    </w:rPr>
  </w:style>
  <w:style w:type="paragraph" w:styleId="819">
    <w:name w:val="Header"/>
    <w:pPr>
      <w:jc w:val="center"/>
      <w:spacing w:before="0" w:after="0"/>
      <w:widowControl/>
      <w:tabs>
        <w:tab w:val="clear" w:pos="708" w:leader="none"/>
        <w:tab w:val="center" w:pos="4153" w:leader="none"/>
        <w:tab w:val="right" w:pos="8306" w:leader="none"/>
      </w:tabs>
    </w:pPr>
    <w:rPr>
      <w:rFonts w:ascii="Times New Roman" w:hAnsi="Times New Roman" w:eastAsia="Droid Sans Fallback" w:cs="Lohit Devanagari"/>
      <w:color w:val="auto"/>
      <w:sz w:val="16"/>
      <w:szCs w:val="20"/>
      <w:lang w:val="ru-RU" w:eastAsia="zh-CN" w:bidi="ar-SA"/>
    </w:rPr>
  </w:style>
  <w:style w:type="paragraph" w:styleId="820">
    <w:name w:val="Body Text Indent 3"/>
    <w:basedOn w:val="691"/>
    <w:qFormat/>
    <w:pPr>
      <w:ind w:left="283"/>
      <w:spacing w:before="0" w:after="120"/>
    </w:pPr>
    <w:rPr>
      <w:sz w:val="16"/>
      <w:szCs w:val="16"/>
      <w:lang w:val="en-US"/>
    </w:rPr>
  </w:style>
  <w:style w:type="paragraph" w:styleId="821">
    <w:name w:val="Normal (Web)"/>
    <w:basedOn w:val="691"/>
    <w:qFormat/>
    <w:pPr>
      <w:spacing w:before="280" w:after="280"/>
    </w:pPr>
  </w:style>
  <w:style w:type="paragraph" w:styleId="822" w:customStyle="1">
    <w:name w:val="Default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000000"/>
      <w:sz w:val="24"/>
      <w:szCs w:val="24"/>
      <w:lang w:val="ru-RU" w:eastAsia="zh-CN" w:bidi="ar-SA"/>
    </w:rPr>
  </w:style>
  <w:style w:type="paragraph" w:styleId="823" w:customStyle="1">
    <w:name w:val="Содержимое таблицы"/>
    <w:basedOn w:val="691"/>
    <w:qFormat/>
    <w:pPr>
      <w:widowControl w:val="off"/>
      <w:suppressLineNumbers/>
    </w:pPr>
  </w:style>
  <w:style w:type="paragraph" w:styleId="824" w:customStyle="1">
    <w:name w:val="Заголовок таблицы"/>
    <w:basedOn w:val="823"/>
    <w:qFormat/>
    <w:pPr>
      <w:jc w:val="center"/>
    </w:pPr>
    <w:rPr>
      <w:b/>
      <w:bCs/>
    </w:rPr>
  </w:style>
  <w:style w:type="paragraph" w:styleId="825">
    <w:name w:val="Основной текст1"/>
    <w:qFormat/>
    <w:pPr>
      <w:jc w:val="left"/>
      <w:spacing w:before="0" w:after="0"/>
      <w:widowControl w:val="off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26">
    <w:name w:val="Table Paragraph"/>
    <w:qFormat/>
    <w:pPr>
      <w:ind w:left="107" w:right="0" w:firstLine="0"/>
      <w:jc w:val="left"/>
      <w:spacing w:before="0" w:after="0"/>
      <w:widowControl w:val="off"/>
    </w:pPr>
    <w:rPr>
      <w:rFonts w:ascii="Times New Roman" w:hAnsi="Times New Roman" w:eastAsia="Times New Roman" w:cs="Times New Roman"/>
      <w:color w:val="auto"/>
      <w:sz w:val="22"/>
      <w:szCs w:val="22"/>
      <w:lang w:val="ru-RU" w:eastAsia="ru-RU" w:bidi="ar-SA"/>
    </w:rPr>
  </w:style>
  <w:style w:type="paragraph" w:styleId="827">
    <w:name w:val="Times New Roman"/>
    <w:qFormat/>
    <w:pPr>
      <w:ind w:left="0" w:right="0" w:firstLine="311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828" w:default="1">
    <w:name w:val="No List"/>
    <w:uiPriority w:val="99"/>
    <w:semiHidden/>
    <w:unhideWhenUsed/>
    <w:qFormat/>
  </w:style>
  <w:style w:type="table" w:styleId="82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3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3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5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5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6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6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6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6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6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6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6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6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6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6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7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7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87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7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87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7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7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7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9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9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9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2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2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2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2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2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2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2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2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3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3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3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3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34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35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36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37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38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39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40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41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42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43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44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45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46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47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4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4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5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5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5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5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5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://www.torgi.gov.ru/" TargetMode="External"/><Relationship Id="rId12" Type="http://schemas.openxmlformats.org/officeDocument/2006/relationships/hyperlink" Target="http://www.gorodperm.ru/" TargetMode="External"/><Relationship Id="rId13" Type="http://schemas.openxmlformats.org/officeDocument/2006/relationships/hyperlink" Target="http://utp.sberbank-ast.ru/" TargetMode="External"/><Relationship Id="rId14" Type="http://schemas.openxmlformats.org/officeDocument/2006/relationships/hyperlink" Target="http://utp.sberbank-ast.ru/" TargetMode="External"/><Relationship Id="rId15" Type="http://schemas.openxmlformats.org/officeDocument/2006/relationships/hyperlink" Target="https://utp.sberbank-ast.ru/Main/Notice/988/Reglament" TargetMode="External"/><Relationship Id="rId16" Type="http://schemas.openxmlformats.org/officeDocument/2006/relationships/hyperlink" Target="https://utp.sberbank-ast.ru/AP/Notice/1027/Instructions" TargetMode="External"/><Relationship Id="rId17" Type="http://schemas.openxmlformats.org/officeDocument/2006/relationships/hyperlink" Target="https://utp.sberbank-ast.ru/AP/Notice/652/Instructions" TargetMode="External"/><Relationship Id="rId18" Type="http://schemas.openxmlformats.org/officeDocument/2006/relationships/hyperlink" Target="http://www.gorodperm.ru/" TargetMode="External"/><Relationship Id="rId19" Type="http://schemas.openxmlformats.org/officeDocument/2006/relationships/hyperlink" Target="https://" TargetMode="External"/><Relationship Id="rId20" Type="http://schemas.openxmlformats.org/officeDocument/2006/relationships/hyperlink" Target="http://www.gorodperm.ru/" TargetMode="External"/><Relationship Id="rId21" Type="http://schemas.openxmlformats.org/officeDocument/2006/relationships/hyperlink" Target="https://" TargetMode="External"/><Relationship Id="rId22" Type="http://schemas.openxmlformats.org/officeDocument/2006/relationships/hyperlink" Target="http://www.gorodperm.ru/" TargetMode="External"/><Relationship Id="rId23" Type="http://schemas.openxmlformats.org/officeDocument/2006/relationships/hyperlink" Target="https://" TargetMode="External"/><Relationship Id="rId24" Type="http://schemas.openxmlformats.org/officeDocument/2006/relationships/hyperlink" Target="http://www.gorodperm.ru/" TargetMode="External"/><Relationship Id="rId25" Type="http://schemas.openxmlformats.org/officeDocument/2006/relationships/hyperlink" Target="https://" TargetMode="External"/><Relationship Id="rId26" Type="http://schemas.openxmlformats.org/officeDocument/2006/relationships/hyperlink" Target="http://utp.sberbank-ast.ru/AP/Notice/653/Requisite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 администрации города Перми</dc:title>
  <dc:subject/>
  <dc:creator>Tatyannikova</dc:creator>
  <dc:description/>
  <dc:language>ru-RU</dc:language>
  <cp:lastModifiedBy>chetina-yui</cp:lastModifiedBy>
  <cp:revision>373</cp:revision>
  <dcterms:created xsi:type="dcterms:W3CDTF">2023-10-30T09:15:00Z</dcterms:created>
  <dcterms:modified xsi:type="dcterms:W3CDTF">2026-07-29T11:50:36Z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