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0"/>
        <w:ind w:left="1134" w:right="-261"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91"/>
        <w:numPr>
          <w:ilvl w:val="0"/>
          <w:numId w:val="0"/>
        </w:numPr>
        <w:ind w:left="0" w:firstLine="5670"/>
        <w:jc w:val="both"/>
        <w:spacing w:line="240" w:lineRule="exact"/>
        <w:tabs>
          <w:tab w:val="clear" w:pos="708" w:leader="none"/>
          <w:tab w:val="left" w:pos="4732" w:leader="none"/>
          <w:tab w:val="left" w:pos="5812" w:leader="none"/>
        </w:tabs>
        <w:outlineLvl w:val="5"/>
      </w:pPr>
      <w:r>
        <w:rPr>
          <w:bCs/>
          <w:sz w:val="28"/>
          <w:szCs w:val="28"/>
        </w:rPr>
        <w:t xml:space="preserve">Приложение 2</w:t>
      </w:r>
      <w:r/>
    </w:p>
    <w:p>
      <w:pPr>
        <w:pStyle w:val="691"/>
        <w:ind w:left="5664" w:firstLine="6"/>
        <w:spacing w:line="240" w:lineRule="exact"/>
        <w:tabs>
          <w:tab w:val="clear" w:pos="708" w:leader="none"/>
          <w:tab w:val="left" w:pos="4732" w:leader="none"/>
        </w:tabs>
      </w:pPr>
      <w:r>
        <w:rPr>
          <w:sz w:val="28"/>
          <w:szCs w:val="28"/>
        </w:rPr>
        <w:t xml:space="preserve">к приказу начальника департамента имущественных отношений</w:t>
      </w:r>
      <w:r/>
    </w:p>
    <w:p>
      <w:pPr>
        <w:pStyle w:val="691"/>
        <w:ind w:firstLine="5670"/>
        <w:spacing w:line="240" w:lineRule="exact"/>
        <w:tabs>
          <w:tab w:val="clear" w:pos="708" w:leader="none"/>
          <w:tab w:val="left" w:pos="4732" w:leader="none"/>
        </w:tabs>
      </w:pPr>
      <w:r>
        <w:rPr>
          <w:sz w:val="28"/>
          <w:szCs w:val="28"/>
        </w:rPr>
        <w:t xml:space="preserve">администрации города Перми</w:t>
      </w:r>
      <w:r/>
    </w:p>
    <w:p>
      <w:pPr>
        <w:pStyle w:val="691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31.07.2026 № 059-19-01-11-124</w:t>
      </w:r>
      <w:r>
        <w:rPr>
          <w:sz w:val="28"/>
          <w:szCs w:val="28"/>
          <w:highlight w:val="none"/>
        </w:rPr>
      </w:r>
    </w:p>
    <w:p>
      <w:pPr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0"/>
        <w:ind w:left="1134" w:hanging="1134"/>
        <w:jc w:val="center"/>
        <w:spacing w:line="240" w:lineRule="exact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Извещение о проведении 03.09.2026 электронного аукциона по продаже </w:t>
      </w:r>
      <w:r/>
    </w:p>
    <w:p>
      <w:pPr>
        <w:pStyle w:val="810"/>
        <w:ind w:left="1134" w:hanging="1134"/>
        <w:jc w:val="center"/>
        <w:spacing w:line="240" w:lineRule="exact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земельного участка</w:t>
      </w:r>
      <w:r/>
    </w:p>
    <w:p>
      <w:pPr>
        <w:pStyle w:val="81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ffffff"/>
        </w:rPr>
        <w:t xml:space="preserve">Электронный аукцион по продаже земельного участка (далее – аукцион) проводится                                 в соответствии со статьями 39.11, 39.12, 39.13, 39.18 Земельного кодекса Российской Федерац</w:t>
      </w:r>
      <w:r>
        <w:rPr>
          <w:shd w:val="clear" w:color="auto" w:fill="ffffff"/>
        </w:rPr>
        <w:t xml:space="preserve">ии, </w:t>
      </w:r>
      <w:r>
        <w:rPr>
          <w:shd w:val="clear" w:color="auto" w:fill="ffffff"/>
        </w:rPr>
        <w:t xml:space="preserve">статьей 17.3 Федераль</w:t>
      </w:r>
      <w:r>
        <w:rPr>
          <w:shd w:val="clear" w:color="auto" w:fill="ffffff"/>
        </w:rPr>
        <w:t xml:space="preserve">н</w:t>
      </w:r>
      <w:r>
        <w:rPr>
          <w:shd w:val="clear" w:color="auto" w:fill="ffffff"/>
        </w:rPr>
        <w:t xml:space="preserve">ого закона от 26 июля 2006 г. № 135-ФЗ «О защите конкуренции», </w:t>
      </w:r>
      <w:r>
        <w:rPr>
          <w:shd w:val="clear" w:color="auto" w:fill="ffffff"/>
        </w:rPr>
        <w:t xml:space="preserve">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</w:t>
      </w:r>
      <w:r>
        <w:rPr>
          <w:shd w:val="clear" w:color="auto" w:fill="ffffff"/>
        </w:rPr>
        <w:t xml:space="preserve">кционов по продаже земельных участков, находящихся в муниципальной собственности города Перми,                           и участков, собственность на которые не разграничена, объектов незавершенного строительства, расположенных на земельных участках, наход</w:t>
      </w:r>
      <w:r>
        <w:rPr>
          <w:shd w:val="clear" w:color="auto" w:fill="ffffff"/>
        </w:rPr>
        <w:t xml:space="preserve">ящихся  в муниципальной собственности города Перми, и участках, собственность на которые  не разграничена, или на право заключения договоров аренды земельных участков, находящихся в муниципальной собственности города Перми,                                 </w:t>
      </w:r>
      <w:r>
        <w:rPr>
          <w:rFonts w:eastAsia="Droid Sans Fallback" w:cs="Lohit Devanagari"/>
          <w:color w:val="000000"/>
          <w:sz w:val="24"/>
          <w:szCs w:val="24"/>
          <w:shd w:val="clear" w:color="auto" w:fill="ffffff"/>
          <w:lang w:val="ru-RU" w:eastAsia="zh-CN" w:bidi="ar-SA"/>
        </w:rPr>
        <w:t xml:space="preserve"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</w:t>
        <w:br/>
        <w:t xml:space="preserve">АО «Сбербанк-АСТ».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outlineLvl w:val="0"/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774"/>
          <w:bCs/>
          <w:sz w:val="24"/>
          <w:szCs w:val="24"/>
          <w:lang w:val="en-US"/>
        </w:rPr>
        <w:t xml:space="preserve">dzo@perm.permkrai.ru.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outlineLvl w:val="0"/>
      </w:pPr>
      <w:r>
        <w:rPr>
          <w:b/>
          <w:bCs/>
        </w:rPr>
        <w:t xml:space="preserve">Организатор аукциона </w:t>
      </w:r>
      <w:r>
        <w:rPr>
          <w:bCs/>
        </w:rPr>
        <w:t xml:space="preserve"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 xml:space="preserve">депар</w:t>
      </w:r>
      <w:r>
        <w:rPr>
          <w:bCs/>
        </w:rPr>
        <w:t xml:space="preserve">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 xml:space="preserve">dio</w:t>
      </w:r>
      <w:r>
        <w:rPr>
          <w:sz w:val="24"/>
          <w:szCs w:val="24"/>
        </w:rPr>
        <w:t xml:space="preserve">@</w:t>
      </w:r>
      <w:r>
        <w:rPr>
          <w:sz w:val="24"/>
          <w:szCs w:val="24"/>
          <w:lang w:val="en-US"/>
        </w:rPr>
        <w:t xml:space="preserve">perm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permkrai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b/>
          <w:bCs/>
          <w:sz w:val="24"/>
          <w:szCs w:val="24"/>
        </w:rPr>
        <w:t xml:space="preserve">.</w:t>
      </w:r>
      <w:r/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sz w:val="24"/>
          <w:szCs w:val="24"/>
        </w:rPr>
        <w:outlineLvl w:val="0"/>
      </w:pPr>
      <w:r>
        <w:rPr>
          <w:b/>
          <w:bCs/>
        </w:rPr>
        <w:t xml:space="preserve"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8"/>
          <w:szCs w:val="28"/>
        </w:rPr>
        <w:t xml:space="preserve"> </w:t>
      </w:r>
      <w:r>
        <w:rPr>
          <w:sz w:val="24"/>
          <w:szCs w:val="24"/>
        </w:rPr>
        <w:t xml:space="preserve">31.07.2026 № 059-19-01-11-124.</w:t>
      </w:r>
      <w:r>
        <w:rPr>
          <w:sz w:val="24"/>
          <w:szCs w:val="24"/>
        </w:rPr>
      </w:r>
    </w:p>
    <w:p>
      <w:pPr>
        <w:pStyle w:val="820"/>
        <w:numPr>
          <w:ilvl w:val="0"/>
          <w:numId w:val="0"/>
        </w:numPr>
        <w:ind w:left="-567" w:firstLine="567"/>
        <w:jc w:val="both"/>
        <w:spacing w:before="0" w:after="0"/>
        <w:outlineLvl w:val="0"/>
      </w:pPr>
      <w:r>
        <w:rPr>
          <w:sz w:val="24"/>
          <w:szCs w:val="24"/>
          <w:lang w:val="ru-RU"/>
        </w:rPr>
        <w:t xml:space="preserve">Извещение о проведение электронного аукциона размещается на официальном сайте Российской Федерации для размещения информации о проведении торгов </w:t>
      </w:r>
      <w:hyperlink r:id="rId11" w:tooltip="http://www.torgi.gov.ru/" w:history="1">
        <w:r>
          <w:rPr>
            <w:rStyle w:val="774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torgi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gov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ru</w:t>
        </w:r>
      </w:hyperlink>
      <w:r>
        <w:rPr>
          <w:color w:val="000000"/>
          <w:sz w:val="24"/>
          <w:szCs w:val="24"/>
          <w:u w:val="none"/>
        </w:rPr>
        <w:t xml:space="preserve"> (далее – ГИС Торги)</w:t>
      </w:r>
      <w:r>
        <w:rPr>
          <w:b/>
          <w:sz w:val="24"/>
          <w:szCs w:val="24"/>
          <w:lang w:val="ru-RU"/>
        </w:rPr>
        <w:t xml:space="preserve"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12" w:tooltip="http://www.gorodperm.ru/" w:history="1">
        <w:r>
          <w:rPr>
            <w:rStyle w:val="774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gorodperm</w:t>
        </w:r>
        <w:r>
          <w:rPr>
            <w:rStyle w:val="774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74"/>
            <w:color w:val="000000"/>
            <w:sz w:val="24"/>
            <w:szCs w:val="24"/>
            <w:u w:val="none"/>
          </w:rPr>
          <w:t xml:space="preserve"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13" w:tooltip="http://utp.sberbank-ast.ru/" w:history="1">
        <w:r>
          <w:rPr>
            <w:rStyle w:val="774"/>
            <w:sz w:val="24"/>
            <w:szCs w:val="24"/>
          </w:rPr>
          <w:t xml:space="preserve">http</w:t>
        </w:r>
        <w:r>
          <w:rPr>
            <w:rStyle w:val="774"/>
            <w:sz w:val="24"/>
            <w:szCs w:val="24"/>
            <w:lang w:val="ru-RU"/>
          </w:rPr>
          <w:t xml:space="preserve">://</w:t>
        </w:r>
        <w:r>
          <w:rPr>
            <w:rStyle w:val="774"/>
            <w:sz w:val="24"/>
            <w:szCs w:val="24"/>
          </w:rPr>
          <w:t xml:space="preserve">utp</w:t>
        </w:r>
        <w:r>
          <w:rPr>
            <w:rStyle w:val="774"/>
            <w:sz w:val="24"/>
            <w:szCs w:val="24"/>
            <w:lang w:val="ru-RU"/>
          </w:rPr>
          <w:t xml:space="preserve">.</w:t>
        </w:r>
        <w:r>
          <w:rPr>
            <w:rStyle w:val="774"/>
            <w:sz w:val="24"/>
            <w:szCs w:val="24"/>
          </w:rPr>
          <w:t xml:space="preserve">sberbank</w:t>
        </w:r>
        <w:r>
          <w:rPr>
            <w:rStyle w:val="774"/>
            <w:sz w:val="24"/>
            <w:szCs w:val="24"/>
            <w:lang w:val="ru-RU"/>
          </w:rPr>
          <w:t xml:space="preserve">-</w:t>
        </w:r>
        <w:r>
          <w:rPr>
            <w:rStyle w:val="774"/>
            <w:sz w:val="24"/>
            <w:szCs w:val="24"/>
          </w:rPr>
          <w:t xml:space="preserve">ast</w:t>
        </w:r>
        <w:r>
          <w:rPr>
            <w:rStyle w:val="774"/>
            <w:sz w:val="24"/>
            <w:szCs w:val="24"/>
            <w:lang w:val="ru-RU"/>
          </w:rPr>
          <w:t xml:space="preserve">.</w:t>
        </w:r>
        <w:r>
          <w:rPr>
            <w:rStyle w:val="774"/>
            <w:sz w:val="24"/>
            <w:szCs w:val="24"/>
          </w:rPr>
          <w:t xml:space="preserve">ru</w:t>
        </w:r>
      </w:hyperlink>
      <w:r>
        <w:rPr>
          <w:bCs/>
          <w:sz w:val="24"/>
          <w:szCs w:val="24"/>
          <w:lang w:val="ru-RU" w:bidi="ru-RU"/>
        </w:rPr>
        <w:t xml:space="preserve">.</w:t>
      </w:r>
      <w:r/>
    </w:p>
    <w:p>
      <w:pPr>
        <w:pStyle w:val="691"/>
        <w:ind w:left="-567" w:firstLine="567"/>
        <w:jc w:val="both"/>
        <w:widowControl w:val="off"/>
      </w:pPr>
      <w:r>
        <w:rPr>
          <w:rFonts w:eastAsia="Courier New"/>
          <w:b/>
          <w:color w:val="000000"/>
          <w:lang w:bidi="ru-RU"/>
        </w:rPr>
        <w:t xml:space="preserve"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 xml:space="preserve">:</w:t>
      </w:r>
      <w:r>
        <w:rPr>
          <w:rFonts w:ascii="Courier New" w:hAnsi="Courier New" w:eastAsia="Courier New" w:cs="Courier New"/>
          <w:color w:val="000000"/>
          <w:lang w:bidi="ru-RU"/>
        </w:rPr>
        <w:t xml:space="preserve"> </w:t>
      </w:r>
      <w:hyperlink r:id="rId14" w:tooltip="http://utp.sberbank-ast.ru/" w:history="1">
        <w:r>
          <w:rPr>
            <w:rStyle w:val="774"/>
          </w:rPr>
          <w:t xml:space="preserve"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(далее – торговая секция). 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rFonts w:eastAsia="Courier New"/>
          <w:b/>
          <w:color w:val="000000"/>
          <w:lang w:eastAsia="en-US" w:bidi="ru-RU"/>
        </w:rPr>
        <w:t xml:space="preserve">Владелец электронной площадки</w:t>
      </w:r>
      <w:r>
        <w:rPr>
          <w:rFonts w:eastAsia="Courier New"/>
          <w:color w:val="000000"/>
          <w:lang w:eastAsia="en-US" w:bidi="ru-RU"/>
        </w:rPr>
        <w:t xml:space="preserve"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 xml:space="preserve">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15" w:tooltip="https://utp.sberbank-ast.ru/Main/Notice/988/Reglament" w:history="1">
        <w:r>
          <w:rPr>
            <w:rStyle w:val="774"/>
            <w:rFonts w:eastAsia="Courier New"/>
            <w:lang w:bidi="ru-RU"/>
          </w:rPr>
          <w:t xml:space="preserve">https://utp.sberbank-ast.ru/Main/Notice/988/Reglament</w:t>
        </w:r>
      </w:hyperlink>
      <w:r>
        <w:rPr>
          <w:rFonts w:eastAsia="Courier New"/>
          <w:lang w:bidi="ru-RU"/>
        </w:rPr>
        <w:t xml:space="preserve">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16" w:tooltip="https://utp.sberbank-ast.ru/AP/Notice/1027/Instructions" w:history="1">
        <w:r>
          <w:rPr>
            <w:rStyle w:val="774"/>
            <w:rFonts w:eastAsia="Calibri"/>
            <w:lang w:eastAsia="en-US"/>
          </w:rPr>
          <w:t xml:space="preserve">https://utp.sberbank-ast.ru/AP/Notice/1027/Instructions</w:t>
        </w:r>
      </w:hyperlink>
      <w:r>
        <w:rPr>
          <w:rFonts w:eastAsia="Calibri"/>
          <w:lang w:eastAsia="en-US"/>
        </w:rPr>
        <w:t xml:space="preserve">.</w:t>
      </w:r>
      <w:r/>
    </w:p>
    <w:p>
      <w:pPr>
        <w:pStyle w:val="691"/>
        <w:contextualSpacing/>
        <w:ind w:left="-567" w:firstLine="567"/>
        <w:jc w:val="both"/>
        <w:spacing w:before="0" w:after="0"/>
        <w:widowControl w:val="off"/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 xml:space="preserve">размещена по адресу:</w:t>
      </w:r>
      <w:r>
        <w:rPr>
          <w:rFonts w:ascii="Calibri" w:hAnsi="Calibri" w:eastAsia="Calibri" w:cs="Calibri"/>
          <w:sz w:val="22"/>
          <w:szCs w:val="22"/>
          <w:lang w:eastAsia="en-US"/>
        </w:rPr>
        <w:t xml:space="preserve"> </w:t>
      </w:r>
      <w:hyperlink r:id="rId17" w:tooltip="https://utp.sberbank-ast.ru/AP/Notice/652/Instructions" w:history="1">
        <w:r>
          <w:rPr>
            <w:rStyle w:val="774"/>
            <w:bCs/>
            <w:lang w:eastAsia="en-US" w:bidi="ru-RU"/>
          </w:rPr>
          <w:t xml:space="preserve">https://utp.sberbank-ast.ru/AP/Notice/652/Instructions</w:t>
        </w:r>
      </w:hyperlink>
      <w:r>
        <w:rPr>
          <w:bCs/>
          <w:lang w:eastAsia="en-US" w:bidi="ru-RU"/>
        </w:rPr>
        <w:t xml:space="preserve">.</w:t>
      </w:r>
      <w:r/>
    </w:p>
    <w:p>
      <w:pPr>
        <w:pStyle w:val="691"/>
        <w:ind w:left="-567" w:firstLine="567"/>
        <w:jc w:val="both"/>
        <w:widowControl w:val="off"/>
      </w:pPr>
      <w:r>
        <w:rPr>
          <w:b/>
          <w:bCs/>
        </w:rPr>
        <w:t xml:space="preserve">Орган, уполномоченный на заключение договора купли-продажи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                      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774"/>
          <w:bCs/>
          <w:sz w:val="24"/>
          <w:szCs w:val="24"/>
          <w:lang w:val="en-US"/>
        </w:rPr>
        <w:t xml:space="preserve">dzo</w:t>
      </w:r>
      <w:r>
        <w:rPr>
          <w:rStyle w:val="774"/>
          <w:bCs/>
          <w:sz w:val="24"/>
          <w:szCs w:val="24"/>
        </w:rPr>
        <w:t xml:space="preserve">@</w:t>
      </w:r>
      <w:r>
        <w:rPr>
          <w:rStyle w:val="774"/>
          <w:bCs/>
          <w:sz w:val="24"/>
          <w:szCs w:val="24"/>
          <w:lang w:val="en-US"/>
        </w:rPr>
        <w:t xml:space="preserve">perm</w:t>
      </w:r>
      <w:r>
        <w:rPr>
          <w:rStyle w:val="774"/>
          <w:bCs/>
          <w:sz w:val="24"/>
          <w:szCs w:val="24"/>
        </w:rPr>
        <w:t xml:space="preserve">.</w:t>
      </w:r>
      <w:r>
        <w:rPr>
          <w:rStyle w:val="774"/>
          <w:bCs/>
          <w:sz w:val="24"/>
          <w:szCs w:val="24"/>
          <w:lang w:val="en-US"/>
        </w:rPr>
        <w:t xml:space="preserve">permkrai</w:t>
      </w:r>
      <w:r>
        <w:rPr>
          <w:rStyle w:val="774"/>
          <w:bCs/>
          <w:sz w:val="24"/>
          <w:szCs w:val="24"/>
        </w:rPr>
        <w:t xml:space="preserve">.</w:t>
      </w:r>
      <w:r>
        <w:rPr>
          <w:rStyle w:val="774"/>
          <w:bCs/>
          <w:sz w:val="24"/>
          <w:szCs w:val="24"/>
          <w:lang w:val="en-US"/>
        </w:rPr>
        <w:t xml:space="preserve">ru.</w:t>
      </w:r>
      <w:r/>
    </w:p>
    <w:p>
      <w:pPr>
        <w:pStyle w:val="810"/>
        <w:ind w:left="1134" w:hanging="1134"/>
        <w:jc w:val="center"/>
        <w:spacing w:line="240" w:lineRule="exact"/>
      </w:pPr>
      <w:r>
        <w:rPr>
          <w:rFonts w:ascii="Times New Roman" w:hAnsi="Times New Roman" w:cs="Times New Roman"/>
          <w:b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  <w:lang w:val="ru-RU"/>
        </w:rPr>
      </w:r>
      <w:r/>
    </w:p>
    <w:p>
      <w:pPr>
        <w:pStyle w:val="810"/>
        <w:ind w:left="1134" w:hanging="1134"/>
        <w:jc w:val="center"/>
        <w:spacing w:line="240" w:lineRule="exact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лоте (предмете аукциона)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</w:p>
    <w:p>
      <w:pPr>
        <w:pStyle w:val="810"/>
        <w:ind w:left="1134" w:hanging="1134"/>
        <w:jc w:val="center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1"/>
        <w:ind w:right="-263"/>
        <w:tabs>
          <w:tab w:val="clear" w:pos="708" w:leader="none"/>
          <w:tab w:val="left" w:pos="5103" w:leader="none"/>
        </w:tabs>
        <w:rPr>
          <w:b/>
          <w:bCs/>
          <w:highlight w:val="none"/>
          <w:lang w:val="en-US"/>
        </w:rPr>
      </w:pPr>
      <w:r>
        <w:rPr>
          <w:b/>
          <w:lang w:val="en-US"/>
        </w:rPr>
        <w:t xml:space="preserve">Лот № 1</w:t>
      </w:r>
      <w:r>
        <w:rPr>
          <w:b/>
          <w:bCs/>
          <w:highlight w:val="none"/>
          <w:lang w:val="en-US"/>
        </w:rPr>
      </w:r>
      <w:r>
        <w:rPr>
          <w:b/>
          <w:bCs/>
          <w:highlight w:val="none"/>
          <w:lang w:val="en-US"/>
        </w:rPr>
      </w:r>
    </w:p>
    <w:p>
      <w:pPr>
        <w:ind w:right="-263"/>
        <w:tabs>
          <w:tab w:val="clear" w:pos="708" w:leader="none"/>
          <w:tab w:val="left" w:pos="5103" w:leader="none"/>
        </w:tabs>
      </w:pPr>
      <w:r/>
      <w:r/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6"/>
        <w:gridCol w:w="3308"/>
        <w:gridCol w:w="6821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0"/>
              <w:jc w:val="left"/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о проведении аукциона, реквизиты указанного решения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highlight w:val="white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города Перми </w:t>
            </w:r>
            <w:r>
              <w:rPr>
                <w:sz w:val="24"/>
                <w:szCs w:val="28"/>
                <w:highlight w:val="white"/>
              </w:rPr>
              <w:t xml:space="preserve">от 09 июля 2026 г. № 21-01-03-4788 «О проведении аукциона по продаже земельного участка в Свердловском районе города Перми»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Предмет аукциона по продаже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restart"/>
            <w:textDirection w:val="lrTb"/>
            <w:noWrap w:val="false"/>
          </w:tcPr>
          <w:p>
            <w:pPr>
              <w:pStyle w:val="6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-263" w:hanging="360"/>
              <w:jc w:val="both"/>
            </w:pPr>
            <w:r>
              <w:rPr>
                <w:sz w:val="24"/>
                <w:szCs w:val="24"/>
              </w:rPr>
              <w:t xml:space="preserve">местоположение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жилой район Ново-</w:t>
            </w:r>
            <w:r>
              <w:rPr>
                <w:sz w:val="24"/>
                <w:szCs w:val="24"/>
              </w:rPr>
              <w:t xml:space="preserve">Бродовский, улица Утренняя, з/у 26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площадь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1055</w:t>
            </w:r>
            <w:r>
              <w:rPr>
                <w:sz w:val="24"/>
                <w:szCs w:val="24"/>
              </w:rPr>
              <w:t xml:space="preserve"> кв. м</w:t>
            </w:r>
            <w:r/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-263" w:hanging="360"/>
            </w:pPr>
            <w:r>
              <w:rPr>
                <w:sz w:val="24"/>
                <w:szCs w:val="24"/>
              </w:rPr>
              <w:t xml:space="preserve">кадастровый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59:01:5010038:155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государственная собственность не разграничена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вид разрешенного использования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/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/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принадлежность к определенной  территориальной зоне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right="-263"/>
              <w:jc w:val="both"/>
            </w:pPr>
            <w:r>
              <w:t xml:space="preserve">Ж-4 «Зона индивидуальной жилой застройки </w:t>
            </w:r>
            <w:r>
              <w:t xml:space="preserve">городского типа»</w:t>
            </w:r>
            <w:r/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720" w:right="113" w:hanging="36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ограничение прав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</w:t>
            </w:r>
            <w:r>
              <w:rPr>
                <w:sz w:val="24"/>
                <w:szCs w:val="24"/>
                <w:highlight w:val="white"/>
              </w:rPr>
              <w:t xml:space="preserve">от </w:t>
            </w:r>
            <w:r>
              <w:rPr>
                <w:sz w:val="24"/>
                <w:szCs w:val="24"/>
                <w:highlight w:val="white"/>
              </w:rPr>
              <w:t xml:space="preserve">15.07.2026г. </w:t>
              <w:br/>
              <w:t xml:space="preserve">№ КУВИ-001/2026-95938907</w:t>
            </w:r>
            <w:r>
              <w:rPr>
                <w:sz w:val="24"/>
                <w:szCs w:val="24"/>
              </w:rPr>
              <w:t xml:space="preserve"> (далее - ЕГРН)</w:t>
            </w:r>
            <w:r>
              <w:rPr>
                <w:sz w:val="24"/>
                <w:szCs w:val="24"/>
                <w14:ligatures w14:val="none"/>
              </w:rPr>
              <w:t xml:space="preserve">;</w:t>
            </w:r>
            <w:r/>
          </w:p>
          <w:p>
            <w:pPr>
              <w:pStyle w:val="691"/>
              <w:ind w:firstLine="311"/>
              <w:jc w:val="both"/>
            </w:pPr>
            <w:r>
              <w:rPr>
                <w:sz w:val="24"/>
                <w:szCs w:val="24"/>
              </w:rPr>
              <w:t xml:space="preserve">в градостроительном плане земельного участка</w:t>
            </w:r>
            <w:r/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  <w:highlight w:val="white"/>
              </w:rPr>
              <w:t xml:space="preserve"> 22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.05.2026 № РФ-59-2-03-0-00-2026-1315-0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 xml:space="preserve">(далее – ГПЗУ) (приложение 2 к настоящему извещению).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Тер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итория не огорожена. На Участке расположена дикорастущая травянистая и древесно-кустарниковая растительность, имеются признаки зарастания более 80% площади Участка. Незаконно установленные объекты отсутствуют, на участке произрастают деревья, кустарники.</w:t>
            </w:r>
            <w:r/>
          </w:p>
          <w:p>
            <w:pPr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Близлежащие источники противопожарного водоснабжения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расположены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 адресу: г. Пермь, ул. Виноградная, 2 (пожарный водоем);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г. Пермь, ул. Ореховая, 102 (пожарный водоем);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г. Пермь, ул. Клубная, 9г (пожарный водоем).</w:t>
            </w:r>
            <w:r/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В соответствии со сведениями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ЕГРН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объекты капитального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/некапитального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строительства в границах Участка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Свердловского района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от 09.06.2026 № 059-39-01-29/3-86 и акту обследования от 08.06.2026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№1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соответствии с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копией планшета 1:1000 (требуется корректура)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объекты капитального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/некапитального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строительства в границах Участка отсутствуют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В соответствии с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геодезической съемкой, выполненной в 2025 году,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Северо - западной стороны,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по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границе Участка расположено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деревянное ограждение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С Северо - восточной стороны, по границе участка расположено ограждение - сетка рабица.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Участок зарос кустарником.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91"/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Согласно сведениям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содержащимся в ГПЗУ, ЕГРН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  <w:t xml:space="preserve">и справке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 градостр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оительным условиям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  <w:t xml:space="preserve">№ 686941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Участок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расположен в границах зон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  <w:t xml:space="preserve">с особыми усло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виями использования территории: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полностью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Приаэродромной территории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аэродрома аэропорта Большое Савино, реестровый номер границы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59:32-6.553.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691"/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Проектирование и строительство вести в соответствии </w:t>
              <w:br/>
              <w:t xml:space="preserve">с постановлением Правительства Российской Федерации </w:t>
              <w:br/>
              <w:t xml:space="preserve">от 11.03.2010 № 138 «Об утверждении Федеральных правил использования воздушного пространства Российской Федерации»: «Запрещается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аз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ассовому скоплению птиц»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ind w:firstLine="34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91"/>
              <w:ind w:firstLine="311"/>
              <w:jc w:val="both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 Участке произрастает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1055 шт. деревьев: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«осина»,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«ель», «береза», «черемуха», «ива».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редняя стоимость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ценах 2026 года одного дерева лиственной породы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 40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тыс. руб.,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 хвойной -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 50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тыс. руб. </w:t>
            </w:r>
            <w:r/>
          </w:p>
          <w:p>
            <w:pPr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Победителю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аукциона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необходимо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соблюдать условия строительства, перечисленные в перечне мероприятий по охране окружающей среды от 29.05.2026 № 123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правления по экологии и природопользованию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29.05.2026 № 059-33-01-10/3-313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2025-2029 годы и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Программой комплексного развития транспортной инфраструктуры города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Перми </w:t>
              <w:br/>
              <w:t xml:space="preserve">на 2025-2043 годы, утвержденной Решением Пермской городской Думы от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16.12.2025 № 238,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мероприятия </w:t>
              <w:br/>
              <w:t xml:space="preserve">по строительству,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реконструкции,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капитальному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ремонту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улично-дорожной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сети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рассматриваемой территории </w:t>
              <w:br/>
              <w:t xml:space="preserve">не предусмотрены.</w:t>
            </w:r>
            <w:r/>
          </w:p>
          <w:p>
            <w:pPr>
              <w:ind w:left="0" w:right="0" w:firstLine="425"/>
              <w:jc w:val="both"/>
              <w:spacing w:before="0" w:beforeAutospacing="0" w:after="0" w:afterAutospacing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Для примыкания Участка к улично-дорожной сети города Перми 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еобходимо выполнить условия, указанные в письме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.</w:t>
            </w:r>
            <w:r/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</w:t>
              <w:br/>
              <w:t xml:space="preserve">от 15.12.2020 № 277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«Об утверждении правил благоустройства территории города Перми»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, при строительстве объектов недвижимости на земельных участках, предоставленных на торгах.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 соответствии с Федеральным законом от 08.11.2007 № 257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, расходы на строительства,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 связанных </w:t>
              <w:br/>
              <w:t xml:space="preserve">с обеспечением безопасности дорожного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осуществляется строительство, реконструкция, капитальный ремонт, ремонт пересечений </w:t>
              <w:br/>
              <w:t xml:space="preserve">или примыканий.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дорог и благоустройства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08.05.2026 № 059-24-01-36/3-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1430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Источники противопожарного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водоснабжения (далее - ИПВ) на указанной территории отсутствуют. Ближайший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ИПВ (водоем) расположен в радиусе 95 метров </w:t>
              <w:br/>
              <w:t xml:space="preserve">по ул. Виноградная, напротив дома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24.</w:t>
            </w:r>
            <w:r/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 xml:space="preserve">и времени их прибытия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содержится в «Расписании выезда подразделений Пермского местного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пожарно-спасательного гарнизона для тушения пожаров и проведения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аварийно-спасательных работ на территории Пермского городского округа,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Пермского муниципального района», утвержденном Главой города Перми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26.04.2024. Подразделение пожарной охраны расположено по адресу: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ул. Балхашская,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135 (СПСЧ-8 10-ПСО)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.</w:t>
            </w:r>
            <w:r/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Помещения для аварийно-спасательных служб и (или) аварийно-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спасательных формирований на указанной территории отсутствуют.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Объект общественной безопасности, отнесенный </w:t>
              <w:br/>
              <w:t xml:space="preserve">к объектам полиции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(участковые пункты полиции), расположен по адресу: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г. Пермь,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ул. Казахская д. 105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микрорайон Южный, Свердловский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). В настоящее время в указанном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микрорайоне строительство (приобретение) участковых пунктов полиции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не планируется.</w:t>
            </w:r>
            <w:r/>
          </w:p>
          <w:p>
            <w:pPr>
              <w:ind w:left="0" w:right="0" w:firstLine="283"/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информации, предоставленной Министерством территориальной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безопасности Пермского края (письмо </w:t>
              <w:br/>
              <w:t xml:space="preserve">от 07.10.2020 № 964с), рассматриваемая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территория попадает в зону возможного химического заражения </w:t>
              <w:br/>
              <w:t xml:space="preserve">в особый период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На указанной территориях оконечные устройства системы оповещения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населения города Перми отсутствуют. </w:t>
              <w:br/>
              <w:t xml:space="preserve">Для обеспечения покрытия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запланированных территорий системой оповещения населения необходимо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предусматривать размещение сиренно-речевых узлов согласно пунктам 6.38, 6.39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СП 165.1325800.2014 «Свод правил. Инженерно-технические мероприятия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гражданской обороне. Актуализированная редакция СНиП 2.01.51-90»,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утвержденные Приказом Минстроя России от 12.11.2014 № 705/пр.</w:t>
            </w:r>
            <w:r/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07.05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.2026 № 059-10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-01-27/3-663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850" w:right="113" w:hanging="34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 xml:space="preserve">объекта капитального строительства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r>
              <w:rPr>
                <w:sz w:val="24"/>
                <w:szCs w:val="24"/>
              </w:rPr>
              <w:t xml:space="preserve">www.gorodperm.ru.</w:t>
            </w:r>
            <w:r/>
          </w:p>
          <w:p>
            <w:pPr>
              <w:pStyle w:val="784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пунктом 4.5 СП 55.13330.2016 Свода Правил. Дома жилые одноквартирные. СНиП 31-02-2001, утвержденным и введенным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действие Приказом Министерства строительства и жилищно-коммунального хозяйства Российской Федерации от 20.10.2016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№ 725/пр. Дом должен включать жилые комнаты – одну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или несколько (общую комнату или гостиную, спальню),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борную) или совмещенный санузел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общей комнаты в доме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числом комнат две и более - 16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; кухонной зоны в кухне-столовой - 6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домах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с одной комнатой допускается проектировать кухни или кухни-ниши площадью не менее 5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н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 xml:space="preserve">в мансардном этаже, допускается уменьшение высоты помещений (от пола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Согласно градостроительному плану Земельного участка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22.05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.2026 № РФ-59-2-03-0-00-2026-1315-0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(далее – ГПЗУ)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минимальный отступ от границ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частка до места допустимого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размещения зданий, строений </w:t>
              <w:br/>
              <w:t xml:space="preserve">(за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исключением границ со стороны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территории общего пользования, где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отступ определяется с учетом красных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линий и линий регулирования застройки,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установленных проектом планировки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территории, а также границ смежных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земельных участков при блокированной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жилой застройке) 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3 м;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tabs>
                <w:tab w:val="right" w:pos="6000" w:leader="none"/>
              </w:tabs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highlight w:val="none"/>
              </w:rPr>
              <w:t xml:space="preserve">м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дания на высоте</w:t>
              <w:br/>
              <w:t xml:space="preserve">не менее 4,5 м 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над территорией общего пользования, составляет не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 более 1,2 м от красной линии. </w:t>
              <w:br/>
              <w:t xml:space="preserve">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максимальный процент застр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ойки в границах земельного участка, определяемый как отношение суммарной площади земельного участка, которая может б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ыть застроена, ко всей площади земельного участка – 30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%.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Согласно документации по планировке территории, утвержденной постановлением администрации города Перми от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 22.12.2017 №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178, предельная высота жилой застройки – до 10,5 метров.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Победителю аукциона (единственному участнику) рекомендовано обратиться в уполномоченный орган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vMerge w:val="continue"/>
            <w:textDirection w:val="lrTb"/>
            <w:noWrap w:val="false"/>
          </w:tcPr>
          <w:p>
            <w:pPr>
              <w:pStyle w:val="69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numPr>
                <w:ilvl w:val="0"/>
                <w:numId w:val="2"/>
              </w:numPr>
              <w:ind w:left="120" w:right="0" w:firstLine="125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ind w:firstLine="312"/>
              <w:jc w:val="both"/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val="clear" w:color="auto" w:fill="ffffff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ooltip="http://www.gorodperm.ru/" w:history="1">
              <w:r>
                <w:rPr>
                  <w:rStyle w:val="774"/>
                  <w:color w:val="000000"/>
                  <w:sz w:val="24"/>
                  <w:szCs w:val="24"/>
                </w:rPr>
                <w:t xml:space="preserve">www.gorodperm.ru</w:t>
              </w:r>
            </w:hyperlink>
            <w:r>
              <w:rPr>
                <w:color w:val="000000"/>
                <w:sz w:val="24"/>
                <w:szCs w:val="24"/>
              </w:rPr>
              <w:t xml:space="preserve">.</w:t>
            </w:r>
            <w:r/>
          </w:p>
          <w:p>
            <w:pPr>
              <w:pStyle w:val="691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  <w:r>
              <w:rPr>
                <w:rFonts w:ascii="Times New Roman" w:hAnsi="Times New Roman"/>
                <w:sz w:val="24"/>
                <w:highlight w:val="whit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гопринимающих устройств потребителей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 – ТП).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В 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ласно пунктам 15, 25, 25.1 Правил ТП технические условия являются неотъемлемым приложением </w:t>
              <w:br/>
              <w:t xml:space="preserve"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э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ией вместе с договором о технологическом присоединении.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Дополнительно сообщается, что в границах Участка сетей ПАО «Россети Урал» и их охранных зон нет.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Заявку на технологическое присоединение можно подать через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единый федеральный портал электрос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етевых услуг группы компаний «Россети» на сайте: </w:t>
            </w:r>
            <w:hyperlink r:id="rId19" w:tooltip="https://" w:history="1">
              <w:r>
                <w:rPr>
                  <w:rStyle w:val="774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https://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филиала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«Россети Урал» - «Пермэнерго»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20.05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№ ПЭ/ПГЭС/01/22/7453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Земельный у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часток расположен вне зоны теплоснабжения ПАО «Т Плюс».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теплоснабжения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ПАО «Т Плюс»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 07.05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.2026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51000-32-01811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- газ, электричество, дрова, пеллеты.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000000" w:themeColor="text1"/>
                <w:sz w:val="24"/>
                <w:szCs w:val="24"/>
              </w:rPr>
              <w:t xml:space="preserve">от 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.2026 № 059-23-01-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29/3-102-ри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Техническая возможность подключения объекта капитального строительства с предполагаемой максимальной нагрузкой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(часовым расходом газа) 8м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vertAlign w:val="superscript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/час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 существующим сетям газораспределения имеется.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691"/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заявку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 приложением необходимых документов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соответствии с постановлением Правительства Российской Федерации от 13.09.2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 электронную почту post@pf.ugaz.ru, либо почтовым отп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равлением по адресу: г. Пермь,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ул. Уральская, 104, через Единый центр предоставления услуг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 адресу: г. Пермь, ул. Уральская, д. 104, каб. 101.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21.05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.2025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№ ПФ-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3756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text1"/>
                <w:sz w:val="25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Ближайшие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сети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водоснабжения,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эксплуатируемые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ООО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«НОВОГОР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Прикамье»,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располагаются в районе здания по Бродовскому тракту, 15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ориентировочное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расстояние </w:t>
              <w:br/>
              <w:t xml:space="preserve">от земельного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участка -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10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км.</w:t>
            </w:r>
            <w:r>
              <w:rPr>
                <w:rFonts w:ascii="Times New Roman" w:hAnsi="Times New Roman"/>
                <w:color w:val="auto" w:themeColor="text1"/>
                <w:sz w:val="25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 w:themeColor="text1"/>
                <w:sz w:val="25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/>
                <w:sz w:val="25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районе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вышеуказанного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земельного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участка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отсутствуют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централизованные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сети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канализации,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эксплуатируемые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  <w:br/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ООО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«НОВОГОР - Прикамье».</w:t>
            </w:r>
            <w:r>
              <w:rPr>
                <w:rFonts w:ascii="Times New Roman" w:hAnsi="Times New Roman"/>
                <w:color w:val="auto"/>
                <w:sz w:val="25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5"/>
                <w:highlight w:val="none"/>
                <w14:ligatures w14:val="none"/>
              </w:rPr>
            </w:r>
          </w:p>
          <w:p>
            <w:pPr>
              <w:ind w:left="0" w:right="0" w:firstLine="283"/>
              <w:jc w:val="both"/>
              <w:spacing w:after="0" w:line="240" w:lineRule="auto"/>
              <w:rPr>
                <w:rFonts w:ascii="Times New Roman" w:hAnsi="Times New Roman"/>
                <w:color w:val="auto" w:themeColor="accent3" w:themeShade="BF"/>
                <w:sz w:val="26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Ближайшие сети водоотведения эксплуатируемые </w:t>
              <w:br/>
              <w:t xml:space="preserve">ООО «НОВОГОР -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Прикамье»,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располагаются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районе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здания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Героев Хасана, 109/2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ориентировочно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  <w:br/>
              <w:t xml:space="preserve">на расстоянии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11 км.</w:t>
            </w:r>
            <w:r>
              <w:rPr>
                <w:rFonts w:ascii="Times New Roman" w:hAnsi="Times New Roman"/>
                <w:color w:val="auto" w:themeColor="accent3" w:themeShade="BF"/>
                <w:sz w:val="26"/>
                <w:highlight w:val="none"/>
                <w14:ligatures w14:val="none"/>
              </w:rPr>
            </w:r>
            <w:r>
              <w:rPr>
                <w:rFonts w:ascii="Times New Roman" w:hAnsi="Times New Roman"/>
                <w:color w:val="auto" w:themeColor="accent3" w:themeShade="BF"/>
                <w:sz w:val="26"/>
                <w:highlight w:val="non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При проектировании могу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 быть применены альтернативные способы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водоснабжения и водоотведения, без подключения </w:t>
              <w:br/>
              <w:t xml:space="preserve">к централизованным системам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водопровода </w:t>
              <w:br/>
              <w:t xml:space="preserve">и канализации г. Перми (снабжение водой от скважины, отвод стоков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 локальные очистные сооружения, канализование объекта в выгребную яму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 последующим вывозом стоков спец. машинами), которые должны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соответствовать всем нормативным требован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иям Российской Федерации.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7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Для сведения сообщаем, в связи с тем, что </w:t>
              <w:br/>
              <w:t xml:space="preserve">ООО «НОВОГОР-Прикамье»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эксплуатирует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только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централизованные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системы водоснабжения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водоотведения,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вопросу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возможности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обеспечения индивидуального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жилого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дома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холодным водоснабжением от скважины и отвода канализационных стоков локально, предлагаем вам обратиться в соответствующие организации, регулирующие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недропользование.</w:t>
            </w:r>
            <w:r>
              <w:rPr>
                <w:rFonts w:ascii="Times New Roman" w:hAnsi="Times New Roman"/>
                <w:sz w:val="27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7"/>
                <w:highlight w:val="white"/>
                <w14:ligatures w14:val="none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rFonts w:ascii="Times New Roman" w:hAnsi="Times New Roman"/>
                <w:sz w:val="27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Кроме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того,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ООО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«НОВОГОР-Прикамье»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располагает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сведениями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наличии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сетей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3-x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лиц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границах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вышеуказанных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земельных участков.</w:t>
            </w:r>
            <w:r>
              <w:rPr>
                <w:rFonts w:ascii="Times New Roman" w:hAnsi="Times New Roman"/>
                <w:sz w:val="27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7"/>
                <w:highlight w:val="white"/>
                <w14:ligatures w14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ООО «НОВОГОР - Прикамье»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05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.05.2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026 № 110-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6314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91"/>
              <w:ind w:firstLine="311"/>
              <w:jc w:val="both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 территории, где расположен Участок,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схемами </w:t>
              <w:br/>
              <w:t xml:space="preserve">не предусмотрено строительство сетей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водоснабжения 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 водоотведения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 мкр.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Новобродовский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</w:t>
            </w:r>
            <w:r/>
          </w:p>
          <w:p>
            <w:pPr>
              <w:pStyle w:val="691"/>
              <w:ind w:firstLine="311"/>
              <w:jc w:val="both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Для определения технической возможности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подключения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объекта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капитального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строительства к сетям водоснабжения 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водоотведения необходимо обратиться к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гарантирующей организации для проведения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гидравлического расчета.</w:t>
            </w:r>
            <w:r/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18.05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.2026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№ 059-04-17/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3-414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firstLine="311"/>
              <w:jc w:val="both"/>
              <w:spacing w:after="0" w:line="240" w:lineRule="auto"/>
              <w:rPr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ехническое присоединение планируемых к строительству объектов в границах Участка может быть произведено 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узлу ВОЛС (г. Пермь,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Патриса Лумумбы, д. 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), максимальную нагрузку в точке подключения (технологического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присоединения) определить на стадии проектирования. В границах земельного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участка сетей связи ПАО «Ростелеком» и их охранных зон нет.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691"/>
              <w:ind w:firstLine="311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Для подключения (тех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ологического присоединения) вышеуказанного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заявки о заключении договора о подключении в порядке, определенном 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ействующим 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конодательством.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691"/>
              <w:ind w:firstLine="311"/>
              <w:jc w:val="both"/>
              <w:spacing w:after="0" w:line="242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Для получения технических условий на подключение </w:t>
              <w:br/>
              <w:t xml:space="preserve">к сетям связи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ПАО «Ростелеком» необходимо обратиться в Отдел продаж и обслуживания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по адресу: г. Пермь, </w:t>
              <w:br/>
              <w:t xml:space="preserve">ул. Крупской, 2, тел.: (342) 235-57-34 или направить запрос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на perm-mail@ural.rt.ru.</w:t>
            </w:r>
            <w:r/>
          </w:p>
          <w:p>
            <w:pPr>
              <w:pStyle w:val="691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  <w:br/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08.05.2026 № 01/05/75538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/26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Начальная цена предмета аукциона</w:t>
            </w:r>
            <w:r/>
          </w:p>
          <w:p>
            <w:pPr>
              <w:pStyle w:val="691"/>
              <w:ind w:left="113" w:right="57" w:firstLine="0"/>
              <w:jc w:val="left"/>
              <w:spacing w:before="0" w:after="0"/>
              <w:widowControl/>
            </w:pPr>
            <w:r>
              <w:rPr>
                <w:b/>
                <w:sz w:val="24"/>
                <w:szCs w:val="24"/>
                <w:shd w:val="clear" w:color="auto" w:fill="auto"/>
              </w:rPr>
              <w:t xml:space="preserve">(рыночная стоимость земельного участка)</w:t>
            </w:r>
            <w:r/>
          </w:p>
          <w:p>
            <w:pPr>
              <w:pStyle w:val="691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691"/>
              <w:ind w:left="0" w:right="0" w:firstLine="0"/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</w:rPr>
              <w:t xml:space="preserve">По условиям пункта 4.1 проекта договора купли-продажи земельного участка, приобретаемого на торгах </w:t>
              <w:br/>
              <w:t xml:space="preserve">в форме аукциона (Приложение 1 к настоящему извещению), </w:t>
            </w:r>
            <w:r>
              <w:rPr>
                <w:sz w:val="24"/>
                <w:szCs w:val="24"/>
                <w:shd w:val="clear" w:color="auto" w:fill="auto"/>
              </w:rPr>
              <w:t xml:space="preserve">победитель аукциона, иное лицо, </w:t>
              <w:br/>
              <w:t xml:space="preserve">с которым договор заключается в соответствии </w:t>
              <w:br/>
              <w:t xml:space="preserve">с п.13, п.14, п. 20 или п. 25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ст. 39.12 Земельного Кодекса Российской Федерации (далее – ЗК РФ), обязан </w:t>
              <w:br/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в течение 15 дней</w:t>
            </w:r>
            <w:r>
              <w:rPr>
                <w:sz w:val="24"/>
                <w:szCs w:val="24"/>
                <w:shd w:val="clear" w:color="auto" w:fill="auto"/>
              </w:rPr>
              <w:t xml:space="preserve"> со дня размещения  протокола </w:t>
              <w:br/>
              <w:t xml:space="preserve">о результатах аукциона, </w:t>
              <w:br/>
              <w:t xml:space="preserve">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val="clear" w:color="auto" w:fill="auto"/>
              </w:rPr>
              <w:t xml:space="preserve">перечислить денежные средства                              </w:t>
            </w:r>
            <w:r>
              <w:rPr>
                <w:sz w:val="24"/>
                <w:szCs w:val="24"/>
                <w:shd w:val="clear" w:color="auto" w:fill="auto"/>
              </w:rPr>
              <w:t xml:space="preserve">за земельный участок                        (за вычетом задатка, внесенного для участия</w:t>
            </w:r>
            <w:r/>
          </w:p>
          <w:p>
            <w:pPr>
              <w:pStyle w:val="691"/>
            </w:pPr>
            <w:r>
              <w:rPr>
                <w:sz w:val="24"/>
                <w:szCs w:val="24"/>
                <w:shd w:val="clear" w:color="auto" w:fill="auto"/>
              </w:rPr>
              <w:t xml:space="preserve">в</w:t>
            </w:r>
            <w:r>
              <w:rPr>
                <w:sz w:val="24"/>
                <w:szCs w:val="24"/>
                <w:shd w:val="clear" w:color="auto" w:fill="auto"/>
              </w:rPr>
              <w:t xml:space="preserve"> аукционе) на счет департамента земельных отношений администрации города Перми, 614015,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2 485 090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«Шаг аукциона» (5% от начальной цены предмета аукциона)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ind w:left="-36" w:firstLine="36"/>
              <w:jc w:val="left"/>
              <w:tabs>
                <w:tab w:val="clear" w:pos="708" w:leader="none"/>
                <w:tab w:val="left" w:pos="4732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  <w:t xml:space="preserve">124 254,5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Форма заявки на участие </w:t>
              <w:br/>
              <w:t xml:space="preserve">в аукционе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на участие в электронном аукционе с указанием</w:t>
              <w:br/>
              <w:t xml:space="preserve"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 xml:space="preserve">о государственной регистрации юридического лица</w:t>
              <w:br/>
              <w:t xml:space="preserve">в соответствии с зако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/>
          </w:p>
          <w:p>
            <w:pPr>
              <w:pStyle w:val="6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Решение о проведении аукциона принято в соответствии</w:t>
            </w:r>
            <w:r/>
          </w:p>
          <w:p>
            <w:pPr>
              <w:pStyle w:val="691"/>
              <w:jc w:val="both"/>
            </w:pPr>
            <w:r>
              <w:rPr>
                <w:b/>
                <w:sz w:val="24"/>
                <w:szCs w:val="24"/>
              </w:rPr>
              <w:t xml:space="preserve">со статьей 39.18 Земельного кодекса Российской Федерации, участниками аукциона могут являться только граждане.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Размер задатка (50% от начальной цены предмета аукциона)</w:t>
            </w:r>
            <w:r/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  <w:p>
            <w:pPr>
              <w:pStyle w:val="691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  <w:r>
              <w:rPr>
                <w:sz w:val="24"/>
                <w:szCs w:val="24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1 242 545</w:t>
            </w:r>
            <w:r>
              <w:rPr>
                <w:sz w:val="24"/>
                <w:szCs w:val="24"/>
              </w:rPr>
              <w:t xml:space="preserve"> руб.</w:t>
            </w:r>
            <w:r/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z w:val="24"/>
                <w:szCs w:val="24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highlight w:val="white"/>
              </w:rPr>
              <w:t xml:space="preserve">20</w:t>
            </w:r>
            <w:r>
              <w:rPr>
                <w:sz w:val="24"/>
                <w:szCs w:val="24"/>
                <w:highlight w:val="white"/>
              </w:rPr>
              <w:t xml:space="preserve">.12.202</w:t>
            </w:r>
            <w:r>
              <w:rPr>
                <w:sz w:val="24"/>
                <w:szCs w:val="24"/>
                <w:highlight w:val="white"/>
              </w:rPr>
              <w:t xml:space="preserve">4</w:t>
            </w:r>
            <w:r>
              <w:rPr>
                <w:sz w:val="24"/>
                <w:szCs w:val="24"/>
                <w:highlight w:val="white"/>
              </w:rPr>
            </w:r>
            <w:r/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left="113" w:right="113" w:firstLine="0"/>
              <w:jc w:val="left"/>
              <w:spacing w:before="0" w:after="0"/>
              <w:widowControl/>
            </w:pPr>
            <w:r>
              <w:rPr>
                <w:sz w:val="24"/>
                <w:szCs w:val="24"/>
              </w:rPr>
              <w:t xml:space="preserve">Проект договора купли-продажи земельного участка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  приобретаемого на торгах в форме аукциона, является Приложением 1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 xml:space="preserve"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  <w:r/>
          </w:p>
        </w:tc>
      </w:tr>
      <w:tr>
        <w:tblPrEx/>
        <w:trPr>
          <w:trHeight w:val="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" w:type="dxa"/>
            <w:textDirection w:val="lrTb"/>
            <w:noWrap w:val="false"/>
          </w:tcPr>
          <w:p>
            <w:pPr>
              <w:pStyle w:val="691"/>
              <w:jc w:val="center"/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8" w:type="dxa"/>
            <w:textDirection w:val="lrTb"/>
            <w:noWrap w:val="false"/>
          </w:tcPr>
          <w:p>
            <w:pPr>
              <w:pStyle w:val="691"/>
              <w:ind w:right="-263"/>
            </w:pPr>
            <w:r>
              <w:rPr>
                <w:sz w:val="24"/>
                <w:szCs w:val="24"/>
              </w:rPr>
              <w:t xml:space="preserve">Порядок осмотра земельного участка на местности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21" w:type="dxa"/>
            <w:textDirection w:val="lrTb"/>
            <w:noWrap w:val="false"/>
          </w:tcPr>
          <w:p>
            <w:pPr>
              <w:pStyle w:val="691"/>
              <w:jc w:val="both"/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самостоятельно в любое время с даты опубликования настоящего извещения.</w:t>
            </w:r>
            <w:r/>
          </w:p>
        </w:tc>
      </w:tr>
    </w:tbl>
    <w:p>
      <w:pPr>
        <w:pStyle w:val="810"/>
        <w:ind w:left="1134" w:hanging="1134"/>
        <w:jc w:val="center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right="-263"/>
        <w:tabs>
          <w:tab w:val="clear" w:pos="708" w:leader="none"/>
          <w:tab w:val="left" w:pos="5103" w:leader="none"/>
        </w:tabs>
        <w:rPr>
          <w:b/>
          <w:bCs/>
          <w:highlight w:val="none"/>
          <w:lang w:val="en-US"/>
        </w:rPr>
      </w:pPr>
      <w:r>
        <w:rPr>
          <w:sz w:val="20"/>
          <w:szCs w:val="20"/>
          <w:highlight w:val="none"/>
        </w:rPr>
      </w:r>
      <w:r>
        <w:rPr>
          <w:b/>
          <w:bCs/>
          <w:highlight w:val="none"/>
          <w:lang w:val="en-US"/>
        </w:rPr>
      </w:r>
      <w:r>
        <w:rPr>
          <w:b/>
          <w:bCs/>
          <w:highlight w:val="none"/>
          <w:lang w:val="en-US"/>
        </w:rPr>
      </w:r>
    </w:p>
    <w:p>
      <w:pPr>
        <w:pStyle w:val="691"/>
        <w:contextualSpacing/>
        <w:ind w:left="567"/>
        <w:jc w:val="center"/>
        <w:spacing w:before="0" w:after="0"/>
        <w:widowControl w:val="off"/>
      </w:pPr>
      <w:r>
        <w:rPr>
          <w:rFonts w:eastAsia="Courier New"/>
          <w:b/>
          <w:lang w:bidi="ru-RU"/>
        </w:rPr>
        <w:t xml:space="preserve">Сроки, время подачи заявок, рассмотрения заявок, проведения аукциона</w:t>
      </w:r>
      <w:r/>
    </w:p>
    <w:p>
      <w:pPr>
        <w:pStyle w:val="691"/>
        <w:contextualSpacing/>
        <w:ind w:left="567"/>
        <w:jc w:val="center"/>
        <w:spacing w:before="0" w:after="0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1"/>
        <w:ind w:left="-567" w:firstLine="709"/>
        <w:jc w:val="both"/>
        <w:widowControl w:val="off"/>
        <w:rPr>
          <w:b/>
          <w:bCs/>
        </w:rPr>
      </w:pPr>
      <w:r>
        <w:rPr>
          <w:rFonts w:eastAsia="Courier New"/>
          <w:b/>
          <w:bCs/>
          <w:lang w:bidi="ru-RU"/>
        </w:rPr>
        <w:t xml:space="preserve">Дата и время начала срока подачи заявок на участие в аукционе </w:t>
      </w:r>
      <w:r>
        <w:rPr>
          <w:rFonts w:eastAsia="Courier New"/>
          <w:b/>
          <w:bCs/>
          <w:lang w:bidi="ru-RU"/>
        </w:rPr>
        <w:t xml:space="preserve">- 01.08.2026</w:t>
      </w:r>
      <w:r>
        <w:rPr>
          <w:rFonts w:eastAsia="Courier New"/>
          <w:b/>
          <w:bCs/>
          <w:lang w:bidi="ru-RU"/>
        </w:rPr>
        <w:t xml:space="preserve"> в 9:00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по местному времени (7:00 МСК).</w:t>
      </w:r>
      <w:r>
        <w:rPr>
          <w:b/>
          <w:bCs/>
        </w:rPr>
      </w:r>
      <w:r>
        <w:rPr>
          <w:b/>
          <w:bCs/>
        </w:rPr>
      </w:r>
    </w:p>
    <w:p>
      <w:pPr>
        <w:pStyle w:val="691"/>
        <w:ind w:left="-567" w:firstLine="709"/>
        <w:jc w:val="both"/>
        <w:widowControl w:val="off"/>
        <w:rPr>
          <w:rFonts w:eastAsia="Courier New"/>
          <w:b/>
          <w:bCs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</w:rPr>
      </w:r>
      <w:r>
        <w:rPr>
          <w:rFonts w:eastAsia="Courier New"/>
          <w:b/>
          <w:bCs/>
        </w:rPr>
      </w:r>
    </w:p>
    <w:p>
      <w:pPr>
        <w:pStyle w:val="691"/>
        <w:ind w:left="-567" w:firstLine="709"/>
        <w:jc w:val="both"/>
        <w:widowControl w:val="off"/>
        <w:rPr>
          <w:b/>
          <w:bCs/>
        </w:rPr>
      </w:pPr>
      <w:r>
        <w:rPr>
          <w:rFonts w:eastAsia="Courier New"/>
          <w:b/>
          <w:bCs/>
          <w:lang w:bidi="ru-RU"/>
        </w:rPr>
        <w:t xml:space="preserve">Дата и время окончания срока подачи заявок на участие в аукционе - 01</w:t>
      </w:r>
      <w:r>
        <w:rPr>
          <w:rFonts w:eastAsia="Courier New"/>
          <w:b/>
          <w:bCs/>
          <w:lang w:bidi="ru-RU"/>
        </w:rPr>
        <w:t xml:space="preserve">.09.2026</w:t>
      </w:r>
      <w:r>
        <w:rPr>
          <w:rFonts w:eastAsia="Courier New"/>
          <w:b/>
          <w:bCs/>
          <w:lang w:bidi="ru-RU"/>
        </w:rPr>
        <w:t xml:space="preserve">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в 18:00 по местному времени (16:00 МСК). </w:t>
      </w:r>
      <w:r>
        <w:rPr>
          <w:b/>
          <w:bCs/>
        </w:rPr>
      </w:r>
      <w:r>
        <w:rPr>
          <w:b/>
          <w:bCs/>
        </w:rPr>
      </w:r>
    </w:p>
    <w:p>
      <w:pPr>
        <w:pStyle w:val="691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1"/>
        <w:ind w:left="-567" w:firstLine="709"/>
        <w:jc w:val="both"/>
        <w:widowControl w:val="off"/>
      </w:pPr>
      <w:r>
        <w:rPr>
          <w:rFonts w:eastAsia="Courier New"/>
          <w:b/>
          <w:lang w:bidi="ru-RU"/>
        </w:rPr>
        <w:t xml:space="preserve"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02.09.2026. </w:t>
      </w:r>
      <w:r/>
    </w:p>
    <w:p>
      <w:pPr>
        <w:pStyle w:val="691"/>
        <w:ind w:left="-567" w:firstLine="709"/>
        <w:jc w:val="both"/>
        <w:widowControl w:val="off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</w:p>
    <w:p>
      <w:pPr>
        <w:pStyle w:val="691"/>
        <w:ind w:left="-567" w:firstLine="709"/>
        <w:jc w:val="both"/>
        <w:widowControl w:val="off"/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от участников аукциона) – 03.09</w:t>
      </w:r>
      <w:r>
        <w:rPr>
          <w:rFonts w:eastAsia="Courier New"/>
          <w:b/>
          <w:lang w:bidi="ru-RU"/>
        </w:rPr>
        <w:t xml:space="preserve">.2026</w:t>
      </w:r>
      <w:r>
        <w:rPr>
          <w:rFonts w:eastAsia="Courier New"/>
          <w:lang w:bidi="ru-RU"/>
        </w:rPr>
        <w:t xml:space="preserve"> в 09:00 по местному времени (07:00 МСК). </w:t>
      </w:r>
      <w:r/>
    </w:p>
    <w:p>
      <w:pPr>
        <w:pStyle w:val="691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91"/>
        <w:ind w:left="-567" w:firstLine="709"/>
        <w:jc w:val="both"/>
        <w:widowControl w:val="off"/>
      </w:pPr>
      <w:r>
        <w:rPr>
          <w:b/>
        </w:rPr>
        <w:t xml:space="preserve">Место подачи (приема) заявок и место проведения аукциона:</w:t>
      </w:r>
      <w: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/>
    </w:p>
    <w:p>
      <w:pPr>
        <w:pStyle w:val="691"/>
        <w:jc w:val="both"/>
        <w:widowControl w:val="off"/>
      </w:pPr>
      <w:r/>
      <w:r/>
    </w:p>
    <w:p>
      <w:pPr>
        <w:pStyle w:val="691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  <w:t xml:space="preserve">Размер задатка для участия в аукционе, порядок его внесения и возврата, реквизиты счета для перечисления задатка</w:t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91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784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Оператора. 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784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В этом случае документы, подтверждающие внесение задатка, заявителем не представляются. 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784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Информация о внесении заявителем денежных средств в размере задатка направляется Оператором Организатору аукциона вместе с заявкой на участие в аукционе (далее - заявка). 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784"/>
        <w:contextualSpacing/>
        <w:ind w:left="-567" w:firstLine="567"/>
        <w:jc w:val="both"/>
        <w:spacing w:before="0" w:after="0"/>
        <w:widowControl w:val="off"/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sz w:val="24"/>
          <w:szCs w:val="24"/>
          <w:lang w:val="ru-RU" w:eastAsia="zh-CN" w:bidi="ru-RU"/>
        </w:rPr>
        <w:t xml:space="preserve">Блокирование денежных средств в размере задатка Оператором на расчетном счете Оператора признается заключением соглашения о задатке.</w:t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  <w:r>
        <w:rPr>
          <w:rFonts w:ascii="Times New Roman" w:hAnsi="Times New Roman" w:eastAsia="Droid Sans Fallback" w:cs="Lohit Devanagari"/>
          <w:bCs/>
          <w:color w:val="auto"/>
          <w:sz w:val="24"/>
          <w:szCs w:val="24"/>
          <w:lang w:val="ru-RU" w:eastAsia="zh-CN" w:bidi="ru-RU"/>
        </w:rPr>
      </w:r>
    </w:p>
    <w:p>
      <w:pPr>
        <w:pStyle w:val="691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Сумма задатка для участия в аукционе определяется в размере 50 процентов начальной цены предмета аукциона. Размер задатка в извещении о проведении аукциона указан по каждому лоту.</w:t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1"/>
        <w:contextualSpacing/>
        <w:ind w:left="-567" w:firstLine="567"/>
        <w:jc w:val="both"/>
        <w:spacing w:before="0" w:after="0"/>
        <w:widowControl w:val="off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91"/>
        <w:ind w:left="-567" w:firstLine="567"/>
        <w:jc w:val="both"/>
        <w:widowControl w:val="off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 xml:space="preserve">Задаток перечисляется на реквизиты Оператора электронной площадки (</w:t>
      </w:r>
      <w:hyperlink r:id="rId20" w:tooltip="http://utp.sberbank-ast.ru/AP/Notice/653/Requisites" w:history="1">
        <w:r>
          <w:rPr>
            <w:rStyle w:val="774"/>
            <w:b/>
            <w:bCs/>
            <w:lang w:bidi="ru-RU"/>
          </w:rPr>
          <w:t xml:space="preserve">http://utp.sberbank-ast.ru/AP/Notice/653/Requisites</w:t>
        </w:r>
      </w:hyperlink>
      <w:r>
        <w:rPr>
          <w:b/>
          <w:bCs/>
          <w:lang w:bidi="ru-RU"/>
        </w:rPr>
        <w:t xml:space="preserve">).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1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Получатель: АО «Сбербанк-АСТ»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1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1"/>
        <w:spacing w:line="240" w:lineRule="exact"/>
      </w:pPr>
      <w:r>
        <w:rPr>
          <w:rFonts w:eastAsia="Calibri"/>
          <w:bCs/>
          <w:lang w:eastAsia="en-US"/>
        </w:rPr>
        <w:t xml:space="preserve">Банк получателя: ПАО «СБЕРБАНК РОССИИ» Г. МОСКВА</w:t>
      </w:r>
      <w:r/>
    </w:p>
    <w:p>
      <w:pPr>
        <w:pStyle w:val="691"/>
        <w:spacing w:line="240" w:lineRule="exact"/>
        <w:rPr>
          <w:rFonts w:eastAsia="Calibri"/>
          <w:bCs/>
          <w:lang w:eastAsia="en-US"/>
        </w:rPr>
      </w:pPr>
      <w:r>
        <w:t xml:space="preserve">Расчетный счет: </w:t>
      </w:r>
      <w:r>
        <w:rPr>
          <w:rFonts w:eastAsia="Calibri"/>
          <w:bCs/>
          <w:lang w:eastAsia="en-US"/>
        </w:rPr>
        <w:t xml:space="preserve">40702810300020038047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1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БИК: 044525225</w:t>
      </w:r>
      <w:r>
        <w:rPr>
          <w:rFonts w:eastAsia="Calibri"/>
          <w:bCs/>
          <w:lang w:eastAsia="en-US"/>
        </w:rPr>
      </w:r>
      <w:r>
        <w:rPr>
          <w:rFonts w:eastAsia="Calibri"/>
          <w:bCs/>
          <w:lang w:eastAsia="en-US"/>
        </w:rPr>
      </w:r>
    </w:p>
    <w:p>
      <w:pPr>
        <w:pStyle w:val="691"/>
        <w:spacing w:line="240" w:lineRule="exact"/>
        <w:rPr>
          <w:bCs/>
          <w:lang w:bidi="ru-RU"/>
        </w:rPr>
      </w:pPr>
      <w:r>
        <w:rPr>
          <w:rFonts w:eastAsia="Calibri"/>
          <w:bCs/>
          <w:lang w:eastAsia="en-US"/>
        </w:rPr>
        <w:t xml:space="preserve">Корреспондентский счет: 30101810400000000225</w:t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1"/>
        <w:ind w:left="-567" w:firstLine="567"/>
        <w:jc w:val="both"/>
        <w:widowControl w:val="off"/>
        <w:rPr>
          <w:b/>
        </w:rPr>
      </w:pPr>
      <w:r>
        <w:rPr>
          <w:bCs/>
          <w:lang w:bidi="ru-RU"/>
        </w:rPr>
        <w:t xml:space="preserve">В платёжном поручении в части «Назначение платежа» необходимо указать: Задаток по лоту  № ___, ИНН плательщика. НДС не облагается.</w:t>
      </w:r>
      <w:r>
        <w:rPr>
          <w:b/>
        </w:rPr>
      </w:r>
      <w:r>
        <w:rPr>
          <w:b/>
        </w:rPr>
      </w:r>
    </w:p>
    <w:p>
      <w:pPr>
        <w:pStyle w:val="691"/>
        <w:ind w:left="-567" w:firstLine="567"/>
        <w:jc w:val="both"/>
        <w:widowControl w:val="off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 xml:space="preserve">Оператора</w:t>
      </w:r>
      <w:r>
        <w:rPr>
          <w:b/>
        </w:rPr>
        <w:t xml:space="preserve">: </w:t>
      </w:r>
      <w:r>
        <w:rPr>
          <w:b/>
        </w:rPr>
        <w:br/>
      </w:r>
      <w:r>
        <w:rPr>
          <w:bCs/>
          <w:lang w:bidi="ru-RU"/>
        </w:rPr>
        <w:t xml:space="preserve">c 01.08.2026 по 01.09.2026.</w:t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1"/>
        <w:ind w:left="-567" w:firstLine="709"/>
        <w:jc w:val="both"/>
        <w:widowControl w:val="off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91"/>
        <w:ind w:left="-567" w:firstLine="709"/>
        <w:jc w:val="center"/>
        <w:widowControl w:val="off"/>
        <w:rPr>
          <w:b/>
          <w:lang w:bidi="ru-RU"/>
        </w:rPr>
      </w:pPr>
      <w:r>
        <w:rPr>
          <w:b/>
          <w:lang w:bidi="ru-RU"/>
        </w:rPr>
        <w:t xml:space="preserve">Порядок возврата задатка:</w:t>
      </w:r>
      <w:r>
        <w:rPr>
          <w:b/>
          <w:lang w:bidi="ru-RU"/>
        </w:rPr>
      </w:r>
      <w:r>
        <w:rPr>
          <w:b/>
          <w:lang w:bidi="ru-RU"/>
        </w:rPr>
      </w:r>
    </w:p>
    <w:p>
      <w:pPr>
        <w:pStyle w:val="691"/>
        <w:ind w:left="-567" w:firstLine="709"/>
        <w:jc w:val="both"/>
        <w:widowControl w:val="off"/>
        <w:rPr>
          <w:b/>
          <w:lang w:bidi="ru-RU"/>
        </w:rPr>
      </w:pPr>
      <w:r>
        <w:rPr>
          <w:b/>
          <w:lang w:bidi="ru-RU"/>
        </w:rPr>
      </w:r>
      <w:r>
        <w:rPr>
          <w:b/>
          <w:lang w:bidi="ru-RU"/>
        </w:rPr>
      </w:r>
      <w:r>
        <w:rPr>
          <w:b/>
          <w:lang w:bidi="ru-RU"/>
        </w:rPr>
      </w:r>
    </w:p>
    <w:p>
      <w:pPr>
        <w:pStyle w:val="784"/>
        <w:ind w:left="-567" w:right="0" w:firstLine="567"/>
        <w:jc w:val="both"/>
        <w:widowControl w:val="off"/>
        <w:rPr>
          <w:b w:val="0"/>
          <w:bCs w:val="0"/>
          <w:sz w:val="24"/>
          <w:szCs w:val="24"/>
          <w:highlight w:val="none"/>
          <w:shd w:val="clear" w:color="auto" w:fill="auto"/>
          <w:lang w:bidi="ru-RU"/>
        </w:rPr>
      </w:pPr>
      <w:r>
        <w:rPr>
          <w:b w:val="0"/>
          <w:sz w:val="24"/>
          <w:szCs w:val="24"/>
          <w:shd w:val="clear" w:color="auto" w:fill="auto"/>
          <w:lang w:bidi="ru-RU"/>
        </w:rPr>
        <w:t xml:space="preserve">Оператор обеспечивает возврат заблокированных в размере задатка на расчетном счете Оператора денежных средств лицам, участвовавшим в электронном аукц</w:t>
      </w:r>
      <w:r>
        <w:rPr>
          <w:b w:val="0"/>
          <w:sz w:val="24"/>
          <w:szCs w:val="24"/>
          <w:shd w:val="clear" w:color="auto" w:fill="auto"/>
          <w:lang w:bidi="ru-RU"/>
        </w:rPr>
        <w:t xml:space="preserve">ионе, но не победившим                      в нем</w:t>
      </w:r>
      <w:r>
        <w:rPr>
          <w:b w:val="0"/>
          <w:sz w:val="24"/>
          <w:szCs w:val="24"/>
          <w:shd w:val="clear" w:color="auto" w:fill="auto"/>
          <w:lang w:bidi="ru-RU"/>
        </w:rPr>
        <w:t xml:space="preserve">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                            о результатах электронного аукциона. Денежные средства </w:t>
      </w:r>
      <w:r>
        <w:rPr>
          <w:b w:val="0"/>
          <w:sz w:val="24"/>
          <w:szCs w:val="24"/>
          <w:shd w:val="clear" w:color="auto" w:fill="auto"/>
          <w:lang w:bidi="ru-RU"/>
        </w:rPr>
        <w:t xml:space="preserve">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земельного участка победителем аукциона.</w:t>
      </w:r>
      <w:r>
        <w:rPr>
          <w:b w:val="0"/>
          <w:bCs w:val="0"/>
          <w:sz w:val="24"/>
          <w:szCs w:val="24"/>
          <w:highlight w:val="none"/>
          <w:shd w:val="clear" w:color="auto" w:fill="auto"/>
          <w:lang w:bidi="ru-RU"/>
        </w:rPr>
      </w:r>
      <w:r>
        <w:rPr>
          <w:b w:val="0"/>
          <w:bCs w:val="0"/>
          <w:sz w:val="24"/>
          <w:szCs w:val="24"/>
          <w:highlight w:val="none"/>
          <w:shd w:val="clear" w:color="auto" w:fill="auto"/>
          <w:lang w:bidi="ru-RU"/>
        </w:rPr>
      </w:r>
    </w:p>
    <w:p>
      <w:pPr>
        <w:pStyle w:val="784"/>
        <w:ind w:left="-567" w:right="0" w:firstLine="567"/>
        <w:jc w:val="both"/>
        <w:widowControl w:val="off"/>
        <w:rPr>
          <w:sz w:val="24"/>
          <w:szCs w:val="24"/>
          <w:highlight w:val="none"/>
          <w:shd w:val="clear" w:color="auto" w:fill="auto"/>
        </w:rPr>
      </w:pPr>
      <w:r>
        <w:rPr>
          <w:b w:val="0"/>
          <w:bCs/>
          <w:sz w:val="24"/>
          <w:szCs w:val="24"/>
          <w:shd w:val="clear" w:color="auto" w:fill="auto"/>
          <w:lang w:bidi="ru-RU"/>
        </w:rPr>
        <w:t xml:space="preserve">Оператор обеспечивает во</w:t>
      </w:r>
      <w:r>
        <w:rPr>
          <w:b w:val="0"/>
          <w:bCs/>
          <w:sz w:val="24"/>
          <w:szCs w:val="24"/>
          <w:shd w:val="clear" w:color="auto" w:fill="auto"/>
          <w:lang w:bidi="ru-RU"/>
        </w:rPr>
        <w:t xml:space="preserve">зврат заблокированных в размере задатка на расчетном сч</w:t>
      </w:r>
      <w:r>
        <w:rPr>
          <w:b w:val="0"/>
          <w:bCs/>
          <w:sz w:val="24"/>
          <w:szCs w:val="24"/>
          <w:shd w:val="clear" w:color="auto" w:fill="auto"/>
          <w:lang w:bidi="ru-RU"/>
        </w:rPr>
        <w:t xml:space="preserve">ете оператора денежных средств заявителю, не допущенному к участию в электронном аукционе,                            в течение трех рабочих дней со дня оформления протокола рассмотрения заявок на участие                             в электронном аукционе.</w:t>
      </w:r>
      <w:r>
        <w:rPr>
          <w:sz w:val="24"/>
          <w:szCs w:val="24"/>
          <w:highlight w:val="none"/>
          <w:shd w:val="clear" w:color="auto" w:fill="auto"/>
        </w:rPr>
      </w:r>
      <w:r>
        <w:rPr>
          <w:sz w:val="24"/>
          <w:szCs w:val="24"/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Организатор аукциона посредством штатного интерфейса торговой секции</w:t>
      </w:r>
      <w:r>
        <w:rPr>
          <w:shd w:val="clear" w:color="auto" w:fill="auto"/>
          <w:lang w:bidi="ru-RU"/>
        </w:rPr>
        <w:br/>
      </w:r>
      <w:r>
        <w:rPr>
          <w:shd w:val="clear" w:color="auto" w:fill="auto"/>
          <w:lang w:bidi="ru-RU"/>
        </w:rPr>
        <w:t xml:space="preserve">в установленные сроки формирует поручение Оператору: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- о</w:t>
      </w:r>
      <w:r>
        <w:rPr>
          <w:shd w:val="clear" w:color="auto" w:fill="auto"/>
          <w:lang w:bidi="ru-RU"/>
        </w:rPr>
        <w:t xml:space="preserve">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Задаток, внесенный лицом, признанным победителем аукц</w:t>
      </w:r>
      <w:r>
        <w:rPr>
          <w:bCs/>
          <w:shd w:val="clear" w:color="auto" w:fill="auto"/>
          <w:lang w:bidi="ru-RU"/>
        </w:rPr>
        <w:t xml:space="preserve">иона, задаток, внесенный иным лицом, с которым договор купли-продажи земельного участка заключается в соответствии                            с пунктами 13, 14, 20 или 25 ст. 39.12 Земельного кодекса Российской Федерации, засчитываются                     </w:t>
      </w:r>
      <w:r>
        <w:rPr>
          <w:bCs/>
          <w:shd w:val="clear" w:color="auto" w:fill="auto"/>
          <w:lang w:bidi="ru-RU"/>
        </w:rPr>
        <w:t xml:space="preserve">  в оплату приобретаемого земельного участка. Задатки, внесенные этими лицами, не заключившими      в установленном настоящей статьей порядке договор купли-продажи земельного участка вследствие уклонения от заключения указанного договора, не возвращаются.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91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вправе: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  <w:widowControl w:val="off"/>
        <w:rPr>
          <w:rFonts w:eastAsia="Courier New"/>
          <w:highlight w:val="none"/>
          <w:shd w:val="clear" w:color="auto" w:fill="auto"/>
          <w:lang w:bidi="ru-RU"/>
        </w:rPr>
      </w:pPr>
      <w:r>
        <w:rPr>
          <w:rFonts w:eastAsia="Courier New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</w:p>
    <w:p>
      <w:pPr>
        <w:pStyle w:val="784"/>
        <w:ind w:left="-567" w:right="0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Не позднее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Информация о внесении изменений в извещение                             о проведении аукциона размещается на официальных сайтах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84"/>
        <w:ind w:left="-567" w:right="0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р аукциона до момента окончания срока подачи заявок на участие в аукционе может принять решение о продлении срока подачи заявок в соответствии                         с правилами, предусмотренными п. 22.1  ст. 39.11 Земельного кодекса Российской Федерации.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</w:pPr>
      <w:r>
        <w:rPr>
          <w:shd w:val="clear" w:color="auto" w:fill="auto"/>
        </w:rPr>
        <w:t xml:space="preserve">В соответствии с п. 4 ст. 448 Гражданского кодекса Российской Федерации отказаться </w:t>
      </w:r>
      <w:r>
        <w:br/>
      </w:r>
      <w:r>
        <w:t xml:space="preserve">от проведения аукциона в любое время, но не позднее чем за три дня до наступления даты </w:t>
      </w:r>
      <w:r>
        <w:br/>
      </w:r>
      <w:r>
        <w:t xml:space="preserve">его проведения, указанной в извещении </w:t>
      </w:r>
      <w:r>
        <w:rPr>
          <w:shd w:val="clear" w:color="auto" w:fill="auto"/>
        </w:rPr>
        <w:t xml:space="preserve">о проведении аукциона. </w:t>
      </w:r>
      <w:r/>
    </w:p>
    <w:p>
      <w:pPr>
        <w:pStyle w:val="691"/>
        <w:jc w:val="center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обязан: 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shd w:val="clear" w:color="auto" w:fill="auto"/>
        </w:rPr>
      </w:pPr>
      <w:r>
        <w:rPr>
          <w:shd w:val="clear" w:color="auto" w:fill="auto"/>
        </w:rPr>
      </w:r>
      <w:r>
        <w:rPr>
          <w:shd w:val="clear" w:color="auto" w:fill="auto"/>
        </w:rPr>
      </w:r>
      <w:r>
        <w:rPr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Извещение об отказе в проведении аукциона размещается организатором аукциона                              на официальных сайтах 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 </w:t>
      </w:r>
      <w:r>
        <w:rPr>
          <w:shd w:val="clear" w:color="auto" w:fill="auto"/>
        </w:rPr>
        <w:t xml:space="preserve"> и на электронной площадке в течение трех дней со дня принятия данного решения.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сл</w:t>
      </w:r>
      <w:r>
        <w:rPr>
          <w:shd w:val="clear" w:color="auto" w:fill="auto"/>
        </w:rPr>
        <w:t xml:space="preserve">учае отказа от проведения аукциона организатором (в т. ч. одного или нескольких лотов), Оператор в течение одного часа прекращает блокирование денежных средств участников аукциона              в размере задатка на их лицевых счетах на электронной площадке.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502"/>
        <w:jc w:val="center"/>
        <w:widowControl w:val="off"/>
        <w:rPr>
          <w:highlight w:val="none"/>
          <w:shd w:val="clear" w:color="auto" w:fill="auto"/>
        </w:rPr>
      </w:pPr>
      <w:r>
        <w:rPr>
          <w:rFonts w:eastAsia="Courier New"/>
          <w:b/>
          <w:shd w:val="clear" w:color="auto" w:fill="auto"/>
          <w:lang w:bidi="ru-RU"/>
        </w:rPr>
        <w:t xml:space="preserve">Порядок регистрации на электронной площадке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ind w:left="502"/>
        <w:jc w:val="center"/>
        <w:widowControl w:val="off"/>
        <w:rPr>
          <w:highlight w:val="none"/>
        </w:rPr>
      </w:pPr>
      <w:r>
        <w:rPr>
          <w:highlight w:val="none"/>
          <w:shd w:val="clear" w:color="auto" w:fill="auto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t xml:space="preserve">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Регистрация на электронной площадке проводится в соответствии с регламентом электронной площадки.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</w:t>
      </w:r>
      <w:r>
        <w:rPr>
          <w:bCs/>
          <w:lang w:bidi="ru-RU"/>
        </w:rPr>
        <w:t xml:space="preserve">c 01.08.2026 по 01.09.2026</w:t>
      </w:r>
      <w:r>
        <w:rPr>
          <w:bCs/>
          <w:shd w:val="clear" w:color="auto" w:fill="auto"/>
          <w:lang w:bidi="ru-RU"/>
        </w:rPr>
        <w:t xml:space="preserve"> с 9.00 до 18.00 по местному времени (7:00 – 16:00 МСК).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21"/>
        <w:jc w:val="center"/>
        <w:rPr>
          <w:highlight w:val="none"/>
          <w:shd w:val="clear" w:color="auto" w:fill="auto"/>
        </w:rPr>
      </w:pPr>
      <w:r>
        <w:rPr>
          <w:b/>
          <w:color w:val="000000"/>
          <w:shd w:val="clear" w:color="auto" w:fill="auto"/>
        </w:rPr>
        <w:t xml:space="preserve">Разъяснение положений извещения о проведении аукциона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8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</w:t>
      </w:r>
      <w:r>
        <w:rPr>
          <w:bCs/>
          <w:shd w:val="clear" w:color="auto" w:fill="auto"/>
          <w:lang w:bidi="ru-RU"/>
        </w:rPr>
        <w:t xml:space="preserve">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</w:t>
        <w:br/>
        <w:t xml:space="preserve">не рассматриваются.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8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709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91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Требования к содержанию и составу заявки на участие в аукционе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Courier New"/>
          <w:shd w:val="clear" w:color="auto" w:fill="auto"/>
          <w:lang w:bidi="ru-RU"/>
        </w:rPr>
        <w:t xml:space="preserve">Для участия в аукционе заявители представляют в установленный в извещении</w:t>
      </w:r>
      <w:r>
        <w:rPr>
          <w:rFonts w:eastAsia="Courier New"/>
          <w:shd w:val="clear" w:color="auto" w:fill="auto"/>
          <w:lang w:bidi="ru-RU"/>
        </w:rPr>
        <w:br/>
      </w:r>
      <w:r>
        <w:rPr>
          <w:rFonts w:eastAsia="Courier New"/>
          <w:shd w:val="clear" w:color="auto" w:fill="auto"/>
          <w:lang w:bidi="ru-RU"/>
        </w:rPr>
        <w:t xml:space="preserve">о проведении аукциона срок следующие документы: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1) копии документов, удостоверяющих личность заявителя (для граждан), всех страниц;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2) надлежащим образом заверенный перевод на русский язык документов</w:t>
      </w:r>
      <w:r>
        <w:rPr>
          <w:rFonts w:eastAsia="Calibri"/>
          <w:shd w:val="clear" w:color="auto" w:fill="auto"/>
        </w:rPr>
        <w:br/>
      </w:r>
      <w:r>
        <w:rPr>
          <w:rFonts w:eastAsia="Calibri"/>
          <w:shd w:val="clear" w:color="auto" w:fill="auto"/>
        </w:rPr>
        <w:t xml:space="preserve"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91"/>
        <w:ind w:firstLine="708"/>
        <w:jc w:val="center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Инструкция по заполнению и подаче заявки, порядок приема заявки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firstLine="708"/>
        <w:jc w:val="center"/>
        <w:rPr>
          <w:b/>
          <w:highlight w:val="none"/>
          <w:shd w:val="clear" w:color="auto" w:fill="auto"/>
        </w:rPr>
      </w:pPr>
      <w:r>
        <w:rPr>
          <w:b/>
          <w:shd w:val="clear" w:color="auto" w:fill="auto"/>
        </w:rPr>
      </w:r>
      <w:r>
        <w:rPr>
          <w:b/>
          <w:highlight w:val="none"/>
          <w:shd w:val="clear" w:color="auto" w:fill="auto"/>
        </w:rPr>
      </w:r>
      <w:r>
        <w:rPr>
          <w:b/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 с указанием банковских реквизитов счета </w:t>
      </w:r>
      <w:r>
        <w:rPr>
          <w:shd w:val="clear" w:color="auto" w:fill="auto"/>
        </w:rPr>
        <w:t xml:space="preserve">                        для возврата задатка направляется оператору электронной площадки в форме электронного документа с приложением документов, указанных в подпунктах 2 - 3 пункта 1, пункте 1.1 статьи 39.12 Земельного кодекса Российской Федерации (копии </w:t>
      </w:r>
      <w:r>
        <w:rPr>
          <w:b w:val="0"/>
          <w:shd w:val="clear" w:color="auto" w:fill="auto"/>
        </w:rPr>
        <w:t xml:space="preserve">документов, удостоверяющих личность заявителя (для граждан) всех страниц; </w:t>
      </w:r>
      <w:r>
        <w:rPr>
          <w:b w:val="0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</w:rPr>
      </w:pPr>
      <w:r>
        <w:rPr>
          <w:sz w:val="24"/>
          <w:szCs w:val="24"/>
        </w:rPr>
        <w:t xml:space="preserve">На каждый лот представляется отдельный пакет документов.</w:t>
      </w:r>
      <w:r>
        <w:rPr>
          <w:highlight w:val="none"/>
        </w:rPr>
      </w:r>
      <w:r>
        <w:rPr>
          <w:highlight w:val="none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Заполнение заявки осуществляется в соответствии с порядком, определенным регламентом электронной площадки АО «Сбербанк-АСТ».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 и сведения, связанные с получением регистрации на универсальной торговой пла</w:t>
      </w:r>
      <w:r>
        <w:rPr>
          <w:shd w:val="clear" w:color="auto" w:fill="auto"/>
        </w:rPr>
        <w:t xml:space="preserve">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Регламента Универсальной торговой платформы).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подается в виде электронного документа, подписанного электронной подписью заявителя (п. 3.2.2. Регламента торговой секции).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Заявитель заполняет электронную форму заявки, при</w:t>
      </w:r>
      <w:r>
        <w:rPr>
          <w:shd w:val="clear" w:color="auto" w:fill="auto"/>
        </w:rPr>
        <w:t xml:space="preserve">кладывает предусмотренные извещением          о проведении аукциона файлы документов (при необходимости). Документы и сведения                              из регистрационных данных заявителя н</w:t>
      </w:r>
      <w:r>
        <w:rPr>
          <w:shd w:val="clear" w:color="auto" w:fill="auto"/>
        </w:rPr>
        <w:t xml:space="preserve">а универсальной торговой платформе, актуальные на дату                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Подача заявки осуществляется заявителем, зарегистрированным в торговой секции,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из личного кабинета посредством штатного интерфейса отдельно по каждому лоту в сроки, установленные в извещении о проведении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вправе подать заявку в любое время с момента размещения извещения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о проведении аукциона до предусмотренных указанным извещением даты и времени окончания срока подачи заявок.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Один заявитель вправе подать только одну заявку на участие в аукционе в отношении каждого лота.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Участие в аукционе возможно при наличии на лицевом счете заявителя денежных средств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в размере не менее чем размер задатка на участие в аукционе, предусмотренный извещением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о проведении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документы, входящие в состав заявки, должны иметь четко читаемый текст.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предоставляется организатору аукциона через Оператора.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Заявка не может быть принята Оператором в случае: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а) отсутствия на лицевом счете заявителя достаточной суммы денежных средств</w:t>
      </w:r>
      <w:r>
        <w:rPr>
          <w:bCs/>
          <w:shd w:val="clear" w:color="auto" w:fill="auto"/>
        </w:rPr>
        <w:br/>
      </w:r>
      <w:r>
        <w:rPr>
          <w:bCs/>
          <w:shd w:val="clear" w:color="auto" w:fill="auto"/>
        </w:rPr>
        <w:t xml:space="preserve">в размере задатка;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в) подачи заявки по истечении установленного срока подачи заявок;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г) некорректного заполнения формы заявки, в том числе незаполнения полей, являющихся обязательными для заполнения.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enter" w:pos="284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Заявителям, признанным участниками аукциона, и з</w:t>
      </w:r>
      <w:r>
        <w:rPr>
          <w:bCs/>
          <w:shd w:val="clear" w:color="auto" w:fill="auto"/>
        </w:rPr>
        <w:t xml:space="preserve">аявителям, не допущенным к участию</w:t>
        <w:br/>
        <w:t xml:space="preserve">в аукционе, оператор электронной площадки направляет в электронной форме уведомления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spacing w:line="276" w:lineRule="auto"/>
        <w:tabs>
          <w:tab w:val="center" w:pos="284" w:leader="none"/>
          <w:tab w:val="clear" w:pos="708" w:leader="none"/>
        </w:tabs>
        <w:rPr>
          <w:bCs/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</w:r>
      <w:r>
        <w:rPr>
          <w:bCs/>
          <w:highlight w:val="none"/>
          <w:shd w:val="clear" w:color="auto" w:fill="auto"/>
        </w:rPr>
      </w:r>
      <w:r>
        <w:rPr>
          <w:bCs/>
          <w:highlight w:val="none"/>
          <w:shd w:val="clear" w:color="auto" w:fill="auto"/>
        </w:rPr>
      </w:r>
    </w:p>
    <w:p>
      <w:pPr>
        <w:pStyle w:val="691"/>
        <w:ind w:left="502"/>
        <w:jc w:val="center"/>
        <w:widowControl w:val="off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  <w:lang w:bidi="ru-RU"/>
        </w:rPr>
        <w:t xml:space="preserve">Порядок и срок изменения, отзыва заявки на участие в аукционе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502"/>
        <w:widowControl w:val="off"/>
        <w:rPr>
          <w:b/>
          <w:bCs/>
          <w:highlight w:val="none"/>
          <w:shd w:val="clear" w:color="auto" w:fill="auto"/>
          <w:lang w:bidi="ru-RU"/>
        </w:rPr>
      </w:pPr>
      <w:r>
        <w:rPr>
          <w:b/>
          <w:bCs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имеет право отозвать принятую организатором аукциона заявку на участие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в аукционе до дня окончания срока приема заявок, пут</w:t>
      </w:r>
      <w:r>
        <w:rPr>
          <w:shd w:val="clear" w:color="auto" w:fill="auto"/>
        </w:rPr>
        <w:t xml:space="preserve">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84"/>
        <w:ind w:left="-567" w:firstLine="567"/>
        <w:jc w:val="both"/>
        <w:widowControl w:val="off"/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 отзыва заявки заявителем до дня окончания срока приема заявок Оператор  обеспечивает возврат заявителю денежных средств, заблокированных в размере задатка на расчетном счете Оператора, в течение трех рабочих дней со дня отзыва заявки. </w:t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</w:p>
    <w:p>
      <w:pPr>
        <w:pStyle w:val="784"/>
        <w:ind w:left="-567" w:firstLine="567"/>
        <w:jc w:val="both"/>
        <w:widowControl w:val="off"/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отзыва заявки заявителем позднее дня окончания срока приема заявок денежные средства, заблокированные в размере задатка на расчетном счете Оператора, возвращаются в порядке, установленном пунктом 10.1 статьи 39.13  Земельного кодекса Российской Федерации.</w:t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shd w:val="clear" w:color="auto" w:fill="auto"/>
          <w:lang w:val="ru-RU" w:eastAsia="zh-CN" w:bidi="ar-SA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Определение участников аукциона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По результатам рассмотрения заявок комиссия принимает решение о допуске заявителей</w:t>
      </w:r>
      <w:r>
        <w:rPr>
          <w:bCs/>
          <w:shd w:val="clear" w:color="auto" w:fill="auto"/>
        </w:rPr>
        <w:br/>
      </w:r>
      <w:r>
        <w:rPr>
          <w:bCs/>
          <w:shd w:val="clear" w:color="auto" w:fill="auto"/>
        </w:rPr>
        <w:t xml:space="preserve">к участию в аукционе или об отказе в допуске к участию в аукционе.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не допускается к участию в аукционе в следующих случаях: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z w:val="20"/>
          <w:shd w:val="clear" w:color="auto" w:fill="auto"/>
        </w:rPr>
        <w:t xml:space="preserve">1) </w:t>
      </w:r>
      <w:r>
        <w:rPr>
          <w:shd w:val="clear" w:color="auto" w:fill="auto"/>
        </w:rPr>
        <w:t xml:space="preserve">непредставление необходимых для участия в аукционе документов или представление недостоверных сведений;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2) непоступление задатка на дату рассмотрения заявок на участие в аукционе;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3) подача зая</w:t>
      </w:r>
      <w:r>
        <w:rPr>
          <w:shd w:val="clear" w:color="auto" w:fill="auto"/>
        </w:rPr>
        <w:t xml:space="preserve">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</w:t>
        <w:br/>
        <w:t xml:space="preserve">в аренду;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4) наличие свед</w:t>
      </w:r>
      <w:r>
        <w:rPr>
          <w:shd w:val="clear" w:color="auto" w:fill="auto"/>
        </w:rPr>
        <w:t xml:space="preserve">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день пр</w:t>
      </w:r>
      <w:r>
        <w:rPr>
          <w:shd w:val="clear" w:color="auto" w:fill="auto"/>
        </w:rPr>
        <w:t xml:space="preserve">изнания заявителей участниками аукциона, указанный в извещении</w:t>
        <w:br/>
        <w:t xml:space="preserve"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приобретает статус участника аукциона с момента подписания протокола рассмотрения заявок.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Не позднее следующего рабочего дня после дня подписа</w:t>
      </w:r>
      <w:r>
        <w:rPr>
          <w:shd w:val="clear" w:color="auto" w:fill="auto"/>
        </w:rPr>
        <w:t xml:space="preserve">ния протокола рассмотрения заявок, всем заявителям оператором электронной площадки направляется в личные кабинеты уведомления                  о признании их участниками аукциона или об отказе в признании участниками аукциона с указанием оснований отказа.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84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по результатам рассмотрения заявок на участие в аукционе принято решение об отказе в допуске к участию                       в аукционе всех заявителей или о допуске к участию в аукционе и признании участником аукциона только одного заявителя, аукцион приз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нается несостоявшимся. При признании аукциона несостоявшимся в протокол рассмотрения заявок на участие в аукционе, включается информация               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spacing w:line="276" w:lineRule="auto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Порядок проведения аукциона</w:t>
      </w:r>
      <w:r>
        <w:rPr>
          <w:b/>
          <w:bCs/>
          <w:highlight w:val="none"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91"/>
        <w:ind w:left="502"/>
        <w:jc w:val="center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5% от начальной цены предмета аукциона</w:t>
      </w:r>
      <w:r>
        <w:rPr>
          <w:rFonts w:eastAsia="Calibri"/>
          <w:shd w:val="clear" w:color="auto" w:fill="auto"/>
        </w:rPr>
        <w:t xml:space="preserve">, и не изменяется в течение всего времени подачи предложений о цене.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val="clear" w:color="auto" w:fill="auto"/>
        </w:rPr>
        <w:br/>
      </w:r>
      <w:r>
        <w:rPr>
          <w:rFonts w:eastAsia="Calibri"/>
          <w:shd w:val="clear" w:color="auto" w:fill="auto"/>
        </w:rPr>
        <w:t xml:space="preserve">о цене предмета аукциона на величину «шага аукциона»;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для подачи предложений о цене аукциона определяется в следующем порядке: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ожидания предложения участника аукциона о цене предмета аукциона составляет</w:t>
      </w:r>
      <w:r>
        <w:rPr>
          <w:rFonts w:eastAsia="Calibri"/>
          <w:shd w:val="clear" w:color="auto" w:fill="auto"/>
        </w:rPr>
        <w:br/>
      </w:r>
      <w:r>
        <w:rPr>
          <w:rFonts w:eastAsia="Calibri"/>
          <w:shd w:val="clear" w:color="auto" w:fill="auto"/>
        </w:rPr>
        <w:t xml:space="preserve">10 (десять) минут. При поступлении предложения участ</w:t>
      </w:r>
      <w:r>
        <w:rPr>
          <w:rFonts w:eastAsia="Calibri"/>
          <w:shd w:val="clear" w:color="auto" w:fill="auto"/>
        </w:rPr>
        <w:t xml:space="preserve">ника аукциона</w:t>
        <w:br/>
        <w:t xml:space="preserve"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</w:t>
      </w:r>
      <w:r>
        <w:rPr>
          <w:rFonts w:eastAsia="Calibri"/>
          <w:shd w:val="clear" w:color="auto" w:fill="auto"/>
        </w:rPr>
        <w:t xml:space="preserve">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</w:t>
      </w:r>
      <w:r>
        <w:rPr>
          <w:rFonts w:eastAsia="Calibri"/>
          <w:shd w:val="clear" w:color="auto" w:fill="auto"/>
        </w:rPr>
        <w:br/>
      </w:r>
      <w:r>
        <w:rPr>
          <w:rFonts w:eastAsia="Calibri"/>
          <w:shd w:val="clear" w:color="auto" w:fill="auto"/>
        </w:rPr>
        <w:t xml:space="preserve">в момент его поступления и соответствующее уведомление участника аукциона, в случаях, если: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предложение о цене аукциона предоставлено до начала или по истечении установленного времени для подачи предложений о цене аукциона;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ниже начальной цены;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равно нулю;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не соответствует увеличению текущей цены на величину «шага аукциона»;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предыдущее представленное данным участником аукциона предложение о цене аукциона является лучшим текущим предложением о цене;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участником аукциона предложение о цене аукциона меньше ранее представленных предложений.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Победителем аукциона признается участник аукциона, предложивший наибольшую цену</w:t>
      </w:r>
      <w:r>
        <w:rPr>
          <w:rFonts w:eastAsia="Calibri"/>
          <w:shd w:val="clear" w:color="auto" w:fill="auto"/>
        </w:rPr>
        <w:br/>
      </w:r>
      <w:r>
        <w:rPr>
          <w:rFonts w:eastAsia="Calibri"/>
          <w:shd w:val="clear" w:color="auto" w:fill="auto"/>
        </w:rPr>
        <w:t xml:space="preserve">за земельный участок.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Электронный аукцион признается несостоявшимся в случае, если в электронном аукционе участвовал один участник электронного аукциона, в ходе проведения электронного аукциона ни один из участников не подал предложение о цене предмета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Порядок и срок заключения договора</w:t>
      </w:r>
      <w:r>
        <w:rPr>
          <w:b/>
          <w:bCs/>
          <w:shd w:val="clear" w:color="auto" w:fill="auto"/>
        </w:rPr>
        <w:br/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результатам провед</w:t>
      </w:r>
      <w:r>
        <w:rPr>
          <w:bCs/>
          <w:shd w:val="clear" w:color="auto" w:fill="auto"/>
        </w:rPr>
        <w:t xml:space="preserve">ения аукциона не допускается заключение договора купли-продажи земельного участка,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ли аукцион признан несостоявшимся, либо протокола о результатах аукциона на официальных сайтах www.torgi.gov.ru,  www.gorodperm.ru.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Департамент земельных отношений администрации города Перми обязан в течение п</w:t>
      </w:r>
      <w:r>
        <w:rPr>
          <w:bCs/>
          <w:shd w:val="clear" w:color="auto" w:fill="auto"/>
        </w:rPr>
        <w:t xml:space="preserve">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</w:t>
        <w:br/>
        <w:t xml:space="preserve">в соответствии с пунктами 13, 14, 20 и 25 статьи 39.12 Земельного кодекса Российско</w:t>
      </w:r>
      <w:r>
        <w:rPr>
          <w:bCs/>
          <w:shd w:val="clear" w:color="auto" w:fill="auto"/>
        </w:rPr>
        <w:t xml:space="preserve">й Федерации заключается договор купли-продажи земельного участка, находящегося </w:t>
        <w:br/>
        <w:t xml:space="preserve">в государственной или муниципальной собственности, подписанный проект договора купли-продажи земельного участка, находящегося в государственной или муниципальной собственности.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</w:t>
      </w:r>
      <w:r>
        <w:rPr>
          <w:bCs/>
          <w:shd w:val="clear" w:color="auto" w:fill="auto"/>
        </w:rPr>
        <w:t xml:space="preserve">езультатам проведения аукциона договор купли-продажи земельного участка,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Проект договора является частью извещения и представлен в Приложении 1 </w:t>
        <w:br/>
        <w:t xml:space="preserve">к настоящему извещению.</w:t>
        <w:tab/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Если договор купли-продажи  в течение десяти рабочих дней со дня направления победителю аукциона проекта указанного договора не был им подп</w:t>
      </w:r>
      <w:r>
        <w:rPr>
          <w:bCs/>
          <w:shd w:val="clear" w:color="auto" w:fill="auto"/>
        </w:rPr>
        <w:t xml:space="preserve">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</w:t>
      </w:r>
      <w:r>
        <w:rPr>
          <w:b w:val="0"/>
          <w:bCs/>
          <w:shd w:val="clear" w:color="auto" w:fill="auto"/>
        </w:rPr>
        <w:t xml:space="preserve">для их заключения по цене, предложенной таким участником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rFonts w:eastAsia="Courier New"/>
          <w:shd w:val="clear" w:color="auto" w:fill="auto"/>
          <w:lang w:bidi="ru-RU"/>
        </w:rPr>
        <w:t xml:space="preserve">Сведения о победителях аукционов, уклонившихся от заключения договора купли-продажи, являющегося предметом а</w:t>
      </w:r>
      <w:r>
        <w:rPr>
          <w:rFonts w:eastAsia="Courier New"/>
          <w:shd w:val="clear" w:color="auto" w:fill="auto"/>
          <w:lang w:bidi="ru-RU"/>
        </w:rPr>
        <w:t xml:space="preserve">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rFonts w:eastAsia="Courier New"/>
          <w:shd w:val="clear" w:color="auto" w:fill="auto"/>
          <w:lang w:bidi="ru-RU"/>
        </w:rPr>
        <w:t xml:space="preserve">Информация и документы о заключении договора купли-продажи земельного участка и (или) об оформлении иных документов по результатам проведения аукциона размещаются на ГИС Торги.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91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outlineLvl w:val="0"/>
      </w:pPr>
      <w:r/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420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ahoma">
    <w:panose1 w:val="020B0604030504040204"/>
  </w:font>
  <w:font w:name="Open Sans">
    <w:panose1 w:val="020B0606030504020204"/>
  </w:font>
  <w:font w:name="Calibri Light">
    <w:panose1 w:val="020F0502020204030204"/>
  </w:font>
  <w:font w:name="Symbol">
    <w:panose1 w:val="05010000000000000000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Consultant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 xml:space="preserve">16</w:t>
    </w:r>
    <w:r>
      <w:rPr>
        <w:sz w:val="20"/>
        <w:szCs w:val="28"/>
      </w:rPr>
      <w:fldChar w:fldCharType="end"/>
    </w:r>
    <w:r>
      <w:rPr>
        <w:sz w:val="20"/>
        <w:szCs w:val="28"/>
      </w:rPr>
    </w:r>
    <w:r>
      <w:rPr>
        <w:sz w:val="20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9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69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zh-CN" w:bidi="ar-SA"/>
    </w:rPr>
  </w:style>
  <w:style w:type="paragraph" w:styleId="692">
    <w:name w:val="Heading 1"/>
    <w:basedOn w:val="691"/>
    <w:qFormat/>
    <w:pPr>
      <w:numPr>
        <w:ilvl w:val="0"/>
        <w:numId w:val="1"/>
      </w:numPr>
      <w:jc w:val="center"/>
      <w:keepNext/>
      <w:outlineLvl w:val="0"/>
    </w:pPr>
    <w:rPr>
      <w:b/>
      <w:sz w:val="28"/>
      <w:szCs w:val="20"/>
    </w:rPr>
  </w:style>
  <w:style w:type="paragraph" w:styleId="693">
    <w:name w:val="Heading 2"/>
    <w:basedOn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7">
    <w:name w:val="Heading 6"/>
    <w:basedOn w:val="69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698">
    <w:name w:val="Heading 7"/>
    <w:basedOn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02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03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04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5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6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7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9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718"/>
    <w:uiPriority w:val="10"/>
    <w:qFormat/>
    <w:rPr>
      <w:sz w:val="48"/>
      <w:szCs w:val="48"/>
    </w:rPr>
  </w:style>
  <w:style w:type="character" w:styleId="711">
    <w:name w:val="Subtitle Char"/>
    <w:basedOn w:val="718"/>
    <w:uiPriority w:val="11"/>
    <w:qFormat/>
    <w:rPr>
      <w:sz w:val="24"/>
      <w:szCs w:val="24"/>
    </w:rPr>
  </w:style>
  <w:style w:type="character" w:styleId="712">
    <w:name w:val="Quote Char"/>
    <w:uiPriority w:val="29"/>
    <w:qFormat/>
    <w:rPr>
      <w:i/>
    </w:rPr>
  </w:style>
  <w:style w:type="character" w:styleId="713">
    <w:name w:val="Intense Quote Char"/>
    <w:uiPriority w:val="30"/>
    <w:qFormat/>
    <w:rPr>
      <w:i/>
    </w:rPr>
  </w:style>
  <w:style w:type="character" w:styleId="714">
    <w:name w:val="Header Char"/>
    <w:basedOn w:val="718"/>
    <w:uiPriority w:val="99"/>
    <w:qFormat/>
  </w:style>
  <w:style w:type="character" w:styleId="715">
    <w:name w:val="Caption Char"/>
    <w:uiPriority w:val="99"/>
    <w:qFormat/>
  </w:style>
  <w:style w:type="character" w:styleId="716">
    <w:name w:val="Footnote Text Char"/>
    <w:uiPriority w:val="99"/>
    <w:qFormat/>
    <w:rPr>
      <w:sz w:val="18"/>
    </w:rPr>
  </w:style>
  <w:style w:type="character" w:styleId="717">
    <w:name w:val="Endnote Text Char"/>
    <w:uiPriority w:val="99"/>
    <w:qFormat/>
    <w:rPr>
      <w:sz w:val="20"/>
    </w:rPr>
  </w:style>
  <w:style w:type="character" w:styleId="718" w:default="1">
    <w:name w:val="Default Paragraph Font"/>
    <w:uiPriority w:val="1"/>
    <w:semiHidden/>
    <w:unhideWhenUsed/>
    <w:qFormat/>
  </w:style>
  <w:style w:type="character" w:styleId="719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20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721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22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3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4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5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6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7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8" w:customStyle="1">
    <w:name w:val="Заголовок Знак1"/>
    <w:uiPriority w:val="10"/>
    <w:qFormat/>
    <w:rPr>
      <w:sz w:val="48"/>
      <w:szCs w:val="48"/>
    </w:rPr>
  </w:style>
  <w:style w:type="character" w:styleId="729" w:customStyle="1">
    <w:name w:val="Подзаголовок Знак"/>
    <w:uiPriority w:val="11"/>
    <w:qFormat/>
    <w:rPr>
      <w:sz w:val="24"/>
      <w:szCs w:val="24"/>
    </w:rPr>
  </w:style>
  <w:style w:type="character" w:styleId="730" w:customStyle="1">
    <w:name w:val="Цитата 2 Знак"/>
    <w:uiPriority w:val="29"/>
    <w:qFormat/>
    <w:rPr>
      <w:i/>
    </w:rPr>
  </w:style>
  <w:style w:type="character" w:styleId="731" w:customStyle="1">
    <w:name w:val="Выделенная цитата Знак"/>
    <w:uiPriority w:val="30"/>
    <w:qFormat/>
    <w:rPr>
      <w:i/>
    </w:rPr>
  </w:style>
  <w:style w:type="character" w:styleId="732" w:customStyle="1">
    <w:name w:val="Верхний колонтитул Знак1"/>
    <w:uiPriority w:val="99"/>
    <w:qFormat/>
  </w:style>
  <w:style w:type="character" w:styleId="733" w:customStyle="1">
    <w:name w:val="Footer Char"/>
    <w:uiPriority w:val="99"/>
    <w:qFormat/>
  </w:style>
  <w:style w:type="character" w:styleId="734" w:customStyle="1">
    <w:name w:val="Нижний колонтитул Знак1"/>
    <w:uiPriority w:val="99"/>
    <w:qFormat/>
  </w:style>
  <w:style w:type="character" w:styleId="735" w:customStyle="1">
    <w:name w:val="Текст сноски Знак"/>
    <w:uiPriority w:val="99"/>
    <w:qFormat/>
    <w:rPr>
      <w:sz w:val="18"/>
    </w:rPr>
  </w:style>
  <w:style w:type="character" w:styleId="736">
    <w:name w:val="Символ сноски"/>
    <w:uiPriority w:val="99"/>
    <w:unhideWhenUsed/>
    <w:qFormat/>
    <w:rPr>
      <w:vertAlign w:val="superscript"/>
    </w:rPr>
  </w:style>
  <w:style w:type="character" w:styleId="737">
    <w:name w:val="footnote reference"/>
    <w:rPr>
      <w:vertAlign w:val="superscript"/>
    </w:rPr>
  </w:style>
  <w:style w:type="character" w:styleId="738" w:customStyle="1">
    <w:name w:val="Текст концевой сноски Знак"/>
    <w:uiPriority w:val="99"/>
    <w:qFormat/>
    <w:rPr>
      <w:sz w:val="20"/>
    </w:rPr>
  </w:style>
  <w:style w:type="character" w:styleId="73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40">
    <w:name w:val="endnote reference"/>
    <w:rPr>
      <w:vertAlign w:val="superscript"/>
    </w:rPr>
  </w:style>
  <w:style w:type="character" w:styleId="741" w:customStyle="1">
    <w:name w:val="WW8Num2z0"/>
    <w:qFormat/>
    <w:rPr>
      <w:rFonts w:ascii="Symbol" w:hAnsi="Symbol" w:cs="Symbol"/>
    </w:rPr>
  </w:style>
  <w:style w:type="character" w:styleId="742" w:customStyle="1">
    <w:name w:val="WW8Num3z0"/>
    <w:qFormat/>
  </w:style>
  <w:style w:type="character" w:styleId="743" w:customStyle="1">
    <w:name w:val="WW8Num4z0"/>
    <w:qFormat/>
  </w:style>
  <w:style w:type="character" w:styleId="744" w:customStyle="1">
    <w:name w:val="WW8Num5z0"/>
    <w:qFormat/>
    <w:rPr>
      <w:sz w:val="16"/>
      <w:szCs w:val="16"/>
    </w:rPr>
  </w:style>
  <w:style w:type="character" w:styleId="745" w:customStyle="1">
    <w:name w:val="WW8Num6z0"/>
    <w:qFormat/>
  </w:style>
  <w:style w:type="character" w:styleId="746" w:customStyle="1">
    <w:name w:val="WW8Num7z0"/>
    <w:qFormat/>
  </w:style>
  <w:style w:type="character" w:styleId="747" w:customStyle="1">
    <w:name w:val="WW8Num8z0"/>
    <w:qFormat/>
  </w:style>
  <w:style w:type="character" w:styleId="748" w:customStyle="1">
    <w:name w:val="WW8Num9z0"/>
    <w:qFormat/>
  </w:style>
  <w:style w:type="character" w:styleId="749" w:customStyle="1">
    <w:name w:val="WW8Num10z0"/>
    <w:qFormat/>
  </w:style>
  <w:style w:type="character" w:styleId="750" w:customStyle="1">
    <w:name w:val="WW8Num11z0"/>
    <w:qFormat/>
  </w:style>
  <w:style w:type="character" w:styleId="751" w:customStyle="1">
    <w:name w:val="WW8Num12z0"/>
    <w:qFormat/>
  </w:style>
  <w:style w:type="character" w:styleId="752" w:customStyle="1">
    <w:name w:val="WW8Num13z0"/>
    <w:qFormat/>
  </w:style>
  <w:style w:type="character" w:styleId="753" w:customStyle="1">
    <w:name w:val="WW8Num14z0"/>
    <w:qFormat/>
  </w:style>
  <w:style w:type="character" w:styleId="754" w:customStyle="1">
    <w:name w:val="WW8Num15z0"/>
    <w:qFormat/>
  </w:style>
  <w:style w:type="character" w:styleId="755" w:customStyle="1">
    <w:name w:val="WW8Num18z0"/>
    <w:qFormat/>
  </w:style>
  <w:style w:type="character" w:styleId="756" w:customStyle="1">
    <w:name w:val="WW8Num19z0"/>
    <w:qFormat/>
  </w:style>
  <w:style w:type="character" w:styleId="757" w:customStyle="1">
    <w:name w:val="WW8Num20z0"/>
    <w:qFormat/>
  </w:style>
  <w:style w:type="character" w:styleId="758" w:customStyle="1">
    <w:name w:val="WW8Num21z0"/>
    <w:qFormat/>
  </w:style>
  <w:style w:type="character" w:styleId="759" w:customStyle="1">
    <w:name w:val="WW8Num22z0"/>
    <w:qFormat/>
  </w:style>
  <w:style w:type="character" w:styleId="760" w:customStyle="1">
    <w:name w:val="WW8Num23z0"/>
    <w:qFormat/>
  </w:style>
  <w:style w:type="character" w:styleId="761" w:customStyle="1">
    <w:name w:val="WW8Num25z0"/>
    <w:qFormat/>
  </w:style>
  <w:style w:type="character" w:styleId="762" w:customStyle="1">
    <w:name w:val="WW8Num26z0"/>
    <w:qFormat/>
  </w:style>
  <w:style w:type="character" w:styleId="763" w:customStyle="1">
    <w:name w:val="WW8Num27z0"/>
    <w:qFormat/>
  </w:style>
  <w:style w:type="character" w:styleId="764" w:customStyle="1">
    <w:name w:val="WW8Num29z0"/>
    <w:qFormat/>
    <w:rPr>
      <w:rFonts w:ascii="Symbol" w:hAnsi="Symbol" w:cs="Symbol"/>
    </w:rPr>
  </w:style>
  <w:style w:type="character" w:styleId="765" w:customStyle="1">
    <w:name w:val="WW8Num30z0"/>
    <w:qFormat/>
  </w:style>
  <w:style w:type="character" w:styleId="766" w:customStyle="1">
    <w:name w:val="WW8Num31z0"/>
    <w:qFormat/>
  </w:style>
  <w:style w:type="character" w:styleId="767" w:customStyle="1">
    <w:name w:val="WW8Num32z0"/>
    <w:qFormat/>
  </w:style>
  <w:style w:type="character" w:styleId="768" w:customStyle="1">
    <w:name w:val="WW8Num33z0"/>
    <w:qFormat/>
  </w:style>
  <w:style w:type="character" w:styleId="769" w:customStyle="1">
    <w:name w:val="WW8Num34z0"/>
    <w:qFormat/>
  </w:style>
  <w:style w:type="character" w:styleId="770">
    <w:name w:val="page number"/>
    <w:basedOn w:val="718"/>
    <w:qFormat/>
  </w:style>
  <w:style w:type="character" w:styleId="771" w:customStyle="1">
    <w:name w:val="Текст Знак"/>
    <w:qFormat/>
    <w:rPr>
      <w:rFonts w:ascii="Courier New" w:hAnsi="Courier New" w:cs="Courier New"/>
    </w:rPr>
  </w:style>
  <w:style w:type="character" w:styleId="772" w:customStyle="1">
    <w:name w:val="Верхний колонтитул Знак"/>
    <w:qFormat/>
    <w:rPr>
      <w:sz w:val="16"/>
      <w:lang w:val="ru-RU" w:bidi="ar-SA"/>
    </w:rPr>
  </w:style>
  <w:style w:type="character" w:styleId="773" w:customStyle="1">
    <w:name w:val="Основной текст с отступом 3 Знак"/>
    <w:qFormat/>
    <w:rPr>
      <w:sz w:val="16"/>
      <w:szCs w:val="16"/>
    </w:rPr>
  </w:style>
  <w:style w:type="character" w:styleId="774">
    <w:name w:val="Hyperlink"/>
    <w:rPr>
      <w:color w:val="0563c1"/>
      <w:u w:val="single"/>
    </w:rPr>
  </w:style>
  <w:style w:type="character" w:styleId="775" w:customStyle="1">
    <w:name w:val="Абзац списка Знак"/>
    <w:qFormat/>
    <w:rPr>
      <w:sz w:val="24"/>
      <w:szCs w:val="24"/>
    </w:rPr>
  </w:style>
  <w:style w:type="character" w:styleId="776" w:customStyle="1">
    <w:name w:val="Заголовок 6 Знак"/>
    <w:qFormat/>
    <w:rPr>
      <w:b/>
      <w:bCs/>
      <w:sz w:val="22"/>
      <w:szCs w:val="22"/>
    </w:rPr>
  </w:style>
  <w:style w:type="character" w:styleId="777" w:customStyle="1">
    <w:name w:val="Название Знак"/>
    <w:qFormat/>
    <w:rPr>
      <w:sz w:val="28"/>
      <w:lang w:val="ru-RU" w:bidi="ar-SA"/>
    </w:rPr>
  </w:style>
  <w:style w:type="character" w:styleId="778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779" w:customStyle="1">
    <w:name w:val="Нижний колонтитул Знак"/>
    <w:qFormat/>
  </w:style>
  <w:style w:type="character" w:styleId="780">
    <w:name w:val="FollowedHyperlink"/>
    <w:rPr>
      <w:color w:val="954f72"/>
      <w:u w:val="single"/>
    </w:rPr>
  </w:style>
  <w:style w:type="character" w:styleId="781" w:customStyle="1">
    <w:name w:val="Гиперссылка"/>
    <w:qFormat/>
    <w:rPr>
      <w:color w:val="0000ff"/>
      <w:u w:val="single"/>
    </w:rPr>
  </w:style>
  <w:style w:type="character" w:styleId="782">
    <w:name w:val="Символ нумерации"/>
    <w:qFormat/>
  </w:style>
  <w:style w:type="paragraph" w:styleId="783">
    <w:name w:val="Заголовок"/>
    <w:basedOn w:val="691"/>
    <w:next w:val="784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84">
    <w:name w:val="Body Text"/>
    <w:basedOn w:val="691"/>
    <w:pPr>
      <w:jc w:val="right"/>
    </w:pPr>
    <w:rPr>
      <w:sz w:val="28"/>
    </w:rPr>
  </w:style>
  <w:style w:type="paragraph" w:styleId="785">
    <w:name w:val="List"/>
    <w:basedOn w:val="784"/>
    <w:rPr>
      <w:rFonts w:cs="Lohit Devanagari"/>
    </w:rPr>
  </w:style>
  <w:style w:type="paragraph" w:styleId="786">
    <w:name w:val="Caption"/>
    <w:basedOn w:val="691"/>
    <w:link w:val="715"/>
    <w:qFormat/>
    <w:pPr>
      <w:spacing w:before="120" w:after="120"/>
      <w:suppressLineNumbers/>
    </w:pPr>
    <w:rPr>
      <w:rFonts w:cs="Lohit Devanagari"/>
      <w:i/>
      <w:iCs/>
    </w:rPr>
  </w:style>
  <w:style w:type="paragraph" w:styleId="787">
    <w:name w:val="Указатель"/>
    <w:basedOn w:val="691"/>
    <w:qFormat/>
    <w:pPr>
      <w:suppressLineNumbers/>
    </w:pPr>
    <w:rPr>
      <w:rFonts w:cs="Lohit Devanagari"/>
    </w:rPr>
  </w:style>
  <w:style w:type="paragraph" w:styleId="788">
    <w:name w:val="List Paragraph"/>
    <w:basedOn w:val="691"/>
    <w:qFormat/>
    <w:pPr>
      <w:ind w:left="708"/>
    </w:pPr>
  </w:style>
  <w:style w:type="paragraph" w:styleId="789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90">
    <w:name w:val="Title"/>
    <w:basedOn w:val="691"/>
    <w:qFormat/>
    <w:pPr>
      <w:jc w:val="center"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791">
    <w:name w:val="Subtitle"/>
    <w:basedOn w:val="691"/>
    <w:uiPriority w:val="11"/>
    <w:qFormat/>
    <w:pPr>
      <w:spacing w:before="200" w:after="200"/>
    </w:pPr>
  </w:style>
  <w:style w:type="paragraph" w:styleId="792">
    <w:name w:val="Quote"/>
    <w:basedOn w:val="691"/>
    <w:uiPriority w:val="29"/>
    <w:qFormat/>
    <w:pPr>
      <w:ind w:left="720" w:right="720"/>
    </w:pPr>
    <w:rPr>
      <w:i/>
    </w:rPr>
  </w:style>
  <w:style w:type="paragraph" w:styleId="793">
    <w:name w:val="Intense Quote"/>
    <w:basedOn w:val="6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94">
    <w:name w:val="footnote text"/>
    <w:basedOn w:val="691"/>
    <w:uiPriority w:val="99"/>
    <w:semiHidden/>
    <w:unhideWhenUsed/>
    <w:pPr>
      <w:spacing w:before="0" w:after="40"/>
    </w:pPr>
    <w:rPr>
      <w:sz w:val="18"/>
    </w:rPr>
  </w:style>
  <w:style w:type="paragraph" w:styleId="795">
    <w:name w:val="endnote text"/>
    <w:basedOn w:val="691"/>
    <w:uiPriority w:val="99"/>
    <w:semiHidden/>
    <w:unhideWhenUsed/>
    <w:rPr>
      <w:sz w:val="20"/>
    </w:rPr>
  </w:style>
  <w:style w:type="paragraph" w:styleId="796">
    <w:name w:val="toc 1"/>
    <w:basedOn w:val="691"/>
    <w:uiPriority w:val="39"/>
    <w:unhideWhenUsed/>
    <w:pPr>
      <w:spacing w:before="0" w:after="57"/>
    </w:pPr>
  </w:style>
  <w:style w:type="paragraph" w:styleId="797">
    <w:name w:val="toc 2"/>
    <w:basedOn w:val="691"/>
    <w:uiPriority w:val="39"/>
    <w:unhideWhenUsed/>
    <w:pPr>
      <w:ind w:left="283"/>
      <w:spacing w:before="0" w:after="57"/>
    </w:pPr>
  </w:style>
  <w:style w:type="paragraph" w:styleId="798">
    <w:name w:val="toc 3"/>
    <w:basedOn w:val="691"/>
    <w:uiPriority w:val="39"/>
    <w:unhideWhenUsed/>
    <w:pPr>
      <w:ind w:left="567"/>
      <w:spacing w:before="0" w:after="57"/>
    </w:pPr>
  </w:style>
  <w:style w:type="paragraph" w:styleId="799">
    <w:name w:val="toc 4"/>
    <w:basedOn w:val="691"/>
    <w:uiPriority w:val="39"/>
    <w:unhideWhenUsed/>
    <w:pPr>
      <w:ind w:left="850"/>
      <w:spacing w:before="0" w:after="57"/>
    </w:pPr>
  </w:style>
  <w:style w:type="paragraph" w:styleId="800">
    <w:name w:val="toc 5"/>
    <w:basedOn w:val="691"/>
    <w:uiPriority w:val="39"/>
    <w:unhideWhenUsed/>
    <w:pPr>
      <w:ind w:left="1134"/>
      <w:spacing w:before="0" w:after="57"/>
    </w:pPr>
  </w:style>
  <w:style w:type="paragraph" w:styleId="801">
    <w:name w:val="toc 6"/>
    <w:basedOn w:val="691"/>
    <w:uiPriority w:val="39"/>
    <w:unhideWhenUsed/>
    <w:pPr>
      <w:ind w:left="1417"/>
      <w:spacing w:before="0" w:after="57"/>
    </w:pPr>
  </w:style>
  <w:style w:type="paragraph" w:styleId="802">
    <w:name w:val="toc 7"/>
    <w:basedOn w:val="691"/>
    <w:uiPriority w:val="39"/>
    <w:unhideWhenUsed/>
    <w:pPr>
      <w:ind w:left="1701"/>
      <w:spacing w:before="0" w:after="57"/>
    </w:pPr>
  </w:style>
  <w:style w:type="paragraph" w:styleId="803">
    <w:name w:val="toc 8"/>
    <w:basedOn w:val="691"/>
    <w:uiPriority w:val="39"/>
    <w:unhideWhenUsed/>
    <w:pPr>
      <w:ind w:left="1984"/>
      <w:spacing w:before="0" w:after="57"/>
    </w:pPr>
  </w:style>
  <w:style w:type="paragraph" w:styleId="804">
    <w:name w:val="toc 9"/>
    <w:basedOn w:val="691"/>
    <w:uiPriority w:val="39"/>
    <w:unhideWhenUsed/>
    <w:pPr>
      <w:ind w:left="2268"/>
      <w:spacing w:before="0" w:after="57"/>
    </w:pPr>
  </w:style>
  <w:style w:type="paragraph" w:styleId="805">
    <w:name w:val="Index Heading"/>
    <w:basedOn w:val="783"/>
  </w:style>
  <w:style w:type="paragraph" w:styleId="80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807">
    <w:name w:val="table of figures"/>
    <w:basedOn w:val="691"/>
    <w:uiPriority w:val="99"/>
    <w:unhideWhenUsed/>
  </w:style>
  <w:style w:type="paragraph" w:styleId="808">
    <w:name w:val="index heading1"/>
    <w:basedOn w:val="691"/>
    <w:qFormat/>
    <w:pPr>
      <w:suppressLineNumbers/>
    </w:pPr>
    <w:rPr>
      <w:rFonts w:cs="Lohit Devanagari"/>
    </w:rPr>
  </w:style>
  <w:style w:type="paragraph" w:styleId="809" w:customStyle="1">
    <w:name w:val="Caption1"/>
    <w:basedOn w:val="691"/>
    <w:qFormat/>
    <w:pPr>
      <w:spacing w:before="120" w:after="120"/>
      <w:suppressLineNumbers/>
    </w:pPr>
    <w:rPr>
      <w:rFonts w:cs="Lohit Devanagari"/>
      <w:i/>
      <w:iCs/>
    </w:rPr>
  </w:style>
  <w:style w:type="paragraph" w:styleId="810">
    <w:name w:val="Plain Text"/>
    <w:basedOn w:val="691"/>
    <w:qFormat/>
    <w:rPr>
      <w:rFonts w:ascii="Courier New" w:hAnsi="Courier New" w:cs="Courier New"/>
      <w:sz w:val="20"/>
      <w:szCs w:val="20"/>
      <w:lang w:val="en-US"/>
    </w:rPr>
  </w:style>
  <w:style w:type="paragraph" w:styleId="811" w:customStyle="1">
    <w:name w:val="ConsNormal"/>
    <w:qFormat/>
    <w:pPr>
      <w:ind w:firstLine="720"/>
      <w:jc w:val="left"/>
      <w:spacing w:before="0" w:after="0"/>
      <w:widowControl/>
    </w:pPr>
    <w:rPr>
      <w:rFonts w:ascii="Consultant" w:hAnsi="Consultant" w:eastAsia="Droid Sans Fallback" w:cs="Consultant"/>
      <w:color w:val="auto"/>
      <w:sz w:val="20"/>
      <w:szCs w:val="20"/>
      <w:lang w:val="ru-RU" w:eastAsia="zh-CN" w:bidi="ar-SA"/>
    </w:rPr>
  </w:style>
  <w:style w:type="paragraph" w:styleId="812">
    <w:name w:val="Body Text 2"/>
    <w:basedOn w:val="691"/>
    <w:qFormat/>
    <w:pPr>
      <w:spacing w:before="0" w:after="120" w:line="480" w:lineRule="auto"/>
    </w:pPr>
  </w:style>
  <w:style w:type="paragraph" w:styleId="813">
    <w:name w:val="Body Text 3"/>
    <w:basedOn w:val="691"/>
    <w:qFormat/>
    <w:pPr>
      <w:spacing w:before="0" w:after="120"/>
    </w:pPr>
    <w:rPr>
      <w:sz w:val="16"/>
      <w:szCs w:val="16"/>
    </w:rPr>
  </w:style>
  <w:style w:type="paragraph" w:styleId="814" w:customStyle="1">
    <w:name w:val="Колонтитул"/>
    <w:basedOn w:val="691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15">
    <w:name w:val="Footer"/>
    <w:basedOn w:val="691"/>
    <w:pPr>
      <w:tabs>
        <w:tab w:val="clear" w:pos="708" w:leader="none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816">
    <w:name w:val="Balloon Text"/>
    <w:basedOn w:val="691"/>
    <w:qFormat/>
    <w:rPr>
      <w:rFonts w:ascii="Tahoma" w:hAnsi="Tahoma" w:cs="Tahoma"/>
      <w:sz w:val="16"/>
      <w:szCs w:val="16"/>
    </w:rPr>
  </w:style>
  <w:style w:type="paragraph" w:styleId="817" w:customStyle="1">
    <w:name w:val="Знак Знак Знак Знак Знак Знак Знак Знак Знак Знак Знак Знак"/>
    <w:basedOn w:val="691"/>
    <w:qFormat/>
    <w:rPr>
      <w:rFonts w:ascii="Verdana" w:hAnsi="Verdana" w:cs="Verdana"/>
      <w:sz w:val="20"/>
      <w:szCs w:val="20"/>
      <w:lang w:val="en-US"/>
    </w:rPr>
  </w:style>
  <w:style w:type="paragraph" w:styleId="818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Calibri" w:cs="Lohit Devanagari"/>
      <w:color w:val="auto"/>
      <w:sz w:val="20"/>
      <w:szCs w:val="20"/>
      <w:lang w:val="ru-RU" w:eastAsia="zh-CN" w:bidi="ar-SA"/>
    </w:rPr>
  </w:style>
  <w:style w:type="paragraph" w:styleId="819">
    <w:name w:val="Header"/>
    <w:pPr>
      <w:jc w:val="center"/>
      <w:spacing w:before="0" w:after="0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Droid Sans Fallback" w:cs="Lohit Devanagari"/>
      <w:color w:val="auto"/>
      <w:sz w:val="16"/>
      <w:szCs w:val="20"/>
      <w:lang w:val="ru-RU" w:eastAsia="zh-CN" w:bidi="ar-SA"/>
    </w:rPr>
  </w:style>
  <w:style w:type="paragraph" w:styleId="820">
    <w:name w:val="Body Text Indent 3"/>
    <w:basedOn w:val="691"/>
    <w:qFormat/>
    <w:pPr>
      <w:ind w:left="283"/>
      <w:spacing w:before="0" w:after="120"/>
    </w:pPr>
    <w:rPr>
      <w:sz w:val="16"/>
      <w:szCs w:val="16"/>
      <w:lang w:val="en-US"/>
    </w:rPr>
  </w:style>
  <w:style w:type="paragraph" w:styleId="821">
    <w:name w:val="Normal (Web)"/>
    <w:basedOn w:val="691"/>
    <w:qFormat/>
    <w:pPr>
      <w:spacing w:before="280" w:after="280"/>
    </w:pPr>
  </w:style>
  <w:style w:type="paragraph" w:styleId="822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000000"/>
      <w:sz w:val="24"/>
      <w:szCs w:val="24"/>
      <w:lang w:val="ru-RU" w:eastAsia="zh-CN" w:bidi="ar-SA"/>
    </w:rPr>
  </w:style>
  <w:style w:type="paragraph" w:styleId="823" w:customStyle="1">
    <w:name w:val="Содержимое таблицы"/>
    <w:basedOn w:val="691"/>
    <w:qFormat/>
    <w:pPr>
      <w:widowControl w:val="off"/>
      <w:suppressLineNumbers/>
    </w:pPr>
  </w:style>
  <w:style w:type="paragraph" w:styleId="824" w:customStyle="1">
    <w:name w:val="Заголовок таблицы"/>
    <w:basedOn w:val="823"/>
    <w:qFormat/>
    <w:pPr>
      <w:jc w:val="center"/>
    </w:pPr>
    <w:rPr>
      <w:b/>
      <w:bCs/>
    </w:rPr>
  </w:style>
  <w:style w:type="paragraph" w:styleId="825">
    <w:name w:val="Основной текст1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26">
    <w:name w:val="Table Paragraph"/>
    <w:qFormat/>
    <w:pPr>
      <w:ind w:left="107" w:right="0" w:firstLine="0"/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2"/>
      <w:szCs w:val="22"/>
      <w:lang w:val="ru-RU" w:eastAsia="ru-RU" w:bidi="ar-SA"/>
    </w:rPr>
  </w:style>
  <w:style w:type="paragraph" w:styleId="827">
    <w:name w:val="Times New Roman"/>
    <w:qFormat/>
    <w:pPr>
      <w:ind w:left="0" w:right="0" w:firstLine="31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828" w:default="1">
    <w:name w:val="No List"/>
    <w:uiPriority w:val="99"/>
    <w:semiHidden/>
    <w:unhideWhenUsed/>
    <w:qFormat/>
  </w:style>
  <w:style w:type="table" w:styleId="8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3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5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5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6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6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6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6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6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7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7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9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9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2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34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35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36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37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38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39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0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41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42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43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4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5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6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7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4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4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5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5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5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5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://www.torgi.gov.ru/" TargetMode="External"/><Relationship Id="rId12" Type="http://schemas.openxmlformats.org/officeDocument/2006/relationships/hyperlink" Target="http://www.gorodperm.ru/" TargetMode="External"/><Relationship Id="rId13" Type="http://schemas.openxmlformats.org/officeDocument/2006/relationships/hyperlink" Target="http://utp.sberbank-ast.ru/" TargetMode="External"/><Relationship Id="rId14" Type="http://schemas.openxmlformats.org/officeDocument/2006/relationships/hyperlink" Target="http://utp.sberbank-ast.ru/" TargetMode="External"/><Relationship Id="rId15" Type="http://schemas.openxmlformats.org/officeDocument/2006/relationships/hyperlink" Target="https://utp.sberbank-ast.ru/Main/Notice/988/Reglament" TargetMode="External"/><Relationship Id="rId16" Type="http://schemas.openxmlformats.org/officeDocument/2006/relationships/hyperlink" Target="https://utp.sberbank-ast.ru/AP/Notice/1027/Instructions" TargetMode="External"/><Relationship Id="rId17" Type="http://schemas.openxmlformats.org/officeDocument/2006/relationships/hyperlink" Target="https://utp.sberbank-ast.ru/AP/Notice/652/Instructions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s://" TargetMode="External"/><Relationship Id="rId20" Type="http://schemas.openxmlformats.org/officeDocument/2006/relationships/hyperlink" Target="http://utp.sberbank-ast.ru/AP/Notice/653/Requisite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subject/>
  <dc:creator>Tatyannikova</dc:creator>
  <dc:description/>
  <dc:language>ru-RU</dc:language>
  <cp:lastModifiedBy>chetina-yui</cp:lastModifiedBy>
  <cp:revision>377</cp:revision>
  <dcterms:created xsi:type="dcterms:W3CDTF">2023-10-30T09:15:00Z</dcterms:created>
  <dcterms:modified xsi:type="dcterms:W3CDTF">2026-07-31T10:04:45Z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