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7"/>
        <w:ind w:left="1134" w:right="-261" w:hanging="113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697"/>
        <w:numPr>
          <w:ilvl w:val="0"/>
          <w:numId w:val="0"/>
        </w:numPr>
        <w:ind w:left="0" w:firstLine="5670"/>
        <w:jc w:val="both"/>
        <w:spacing w:line="240" w:lineRule="exact"/>
        <w:tabs>
          <w:tab w:val="clear" w:pos="708" w:leader="none"/>
          <w:tab w:val="left" w:pos="4732" w:leader="none"/>
          <w:tab w:val="left" w:pos="5812" w:leader="none"/>
        </w:tabs>
        <w:rPr>
          <w:sz w:val="28"/>
          <w:szCs w:val="28"/>
        </w:rPr>
        <w:outlineLvl w:val="5"/>
      </w:pPr>
      <w:r>
        <w:rPr>
          <w:bCs/>
          <w:sz w:val="28"/>
          <w:szCs w:val="28"/>
        </w:rPr>
        <w:t xml:space="preserve">Приложение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7"/>
        <w:ind w:left="5664" w:firstLine="6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приказу начальника департамента имущественных отношений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7"/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7"/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31.07.2026 № 059-19-01-11-123</w:t>
      </w:r>
      <w:r>
        <w:rPr>
          <w:sz w:val="28"/>
          <w:szCs w:val="28"/>
        </w:rPr>
      </w:r>
    </w:p>
    <w:p>
      <w:pPr>
        <w:pStyle w:val="697"/>
        <w:ind w:left="283"/>
        <w:jc w:val="center"/>
        <w:tabs>
          <w:tab w:val="clear" w:pos="708" w:leader="none"/>
          <w:tab w:val="left" w:pos="4732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17"/>
        <w:ind w:left="1134" w:hanging="1134"/>
        <w:jc w:val="center"/>
        <w:spacing w:line="24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Извещение о проведении</w:t>
      </w:r>
      <w:r>
        <w:rPr>
          <w:rFonts w:ascii="Times New Roman" w:hAnsi="Times New Roman" w:cs="Times New Roman"/>
          <w:b/>
          <w:sz w:val="28"/>
          <w:szCs w:val="28"/>
          <w:shd w:val="clear" w:color="auto" w:fill="auto"/>
          <w:lang w:val="ru-RU"/>
        </w:rPr>
        <w:t xml:space="preserve"> 27.08.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2026 электронных аукционов на право заключения договоров аренды земельных участков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pStyle w:val="817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pStyle w:val="697"/>
        <w:ind w:left="-567" w:firstLine="567"/>
        <w:jc w:val="both"/>
        <w:widowControl w:val="off"/>
        <w:rPr>
          <w:b/>
          <w:bCs/>
        </w:rPr>
      </w:pPr>
      <w:r>
        <w:rPr>
          <w:shd w:val="clear" w:color="auto" w:fill="ffffff"/>
        </w:rPr>
        <w:t xml:space="preserve">Электронные аукционы на право заключения договоров аренды земельных участков </w:t>
        <w:br/>
        <w:t xml:space="preserve">(далее – аукцион) проводятся в соответствии со статьями 39.11, 39.12, 39.13, 39.18 Земельного кодекса Российской Федерации, статьей 17.3 Федераль</w:t>
      </w:r>
      <w:r>
        <w:rPr>
          <w:shd w:val="clear" w:color="auto" w:fill="ffffff"/>
        </w:rPr>
        <w:t xml:space="preserve">н</w:t>
      </w:r>
      <w:r>
        <w:rPr>
          <w:shd w:val="clear" w:color="auto" w:fill="ffffff"/>
        </w:rPr>
        <w:t xml:space="preserve">ого закона от 26 июля 2006 г. № 135-ФЗ </w:t>
        <w:br/>
        <w:t xml:space="preserve">«О защите конкуренции»,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</w:t>
      </w:r>
      <w:r>
        <w:rPr>
          <w:shd w:val="clear" w:color="auto" w:fill="ffffff"/>
        </w:rPr>
        <w:t xml:space="preserve">р</w:t>
      </w:r>
      <w:r>
        <w:rPr>
          <w:shd w:val="clear" w:color="auto" w:fill="ffffff"/>
        </w:rPr>
        <w:t xml:space="preserve">ми от 20 ноября 2008 г. № 1089 «О комиссии </w:t>
        <w:br/>
        <w:t xml:space="preserve">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</w:t>
      </w:r>
      <w:r>
        <w:rPr>
          <w:shd w:val="clear" w:color="auto" w:fill="ffffff"/>
        </w:rPr>
        <w:t xml:space="preserve">енн</w:t>
      </w:r>
      <w:r>
        <w:rPr>
          <w:shd w:val="clear" w:color="auto" w:fill="ffffff"/>
        </w:rPr>
        <w:t xml:space="preserve">ых на земельных участках, находящихся </w:t>
        <w:br/>
        <w:t xml:space="preserve">в муниципальной собственности города Перми, и участках, собственность на которые </w:t>
        <w:br/>
        <w:t xml:space="preserve">не разграничена, или на право заключения договоров аренды земельных участков, находящихся </w:t>
        <w:br/>
        <w:t xml:space="preserve">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val="clear" w:color="auto" w:fill="ffffff"/>
          <w:lang w:val="ru-RU" w:eastAsia="zh-CN" w:bidi="ar-SA"/>
        </w:rPr>
        <w:t xml:space="preserve">и участков, собственность на которые </w:t>
        <w:br/>
        <w:t xml:space="preserve">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  <w:r>
        <w:rPr>
          <w:b/>
          <w:bCs/>
        </w:rPr>
      </w:r>
      <w:r>
        <w:rPr>
          <w:b/>
          <w:bCs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rPr>
          <w:b/>
          <w:bCs/>
        </w:rPr>
        <w:outlineLvl w:val="0"/>
      </w:pPr>
      <w:r>
        <w:rPr>
          <w:b/>
          <w:bCs/>
        </w:rPr>
        <w:t xml:space="preserve">Орган, принявший решения о проведении аукционов: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780"/>
          <w:bCs/>
          <w:sz w:val="24"/>
          <w:szCs w:val="24"/>
          <w:lang w:val="en-US"/>
        </w:rPr>
        <w:t xml:space="preserve">dzo@perm.permkrai.ru.</w:t>
      </w:r>
      <w:r>
        <w:rPr>
          <w:b/>
          <w:bCs/>
        </w:rPr>
      </w:r>
      <w:r>
        <w:rPr>
          <w:b/>
          <w:bCs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rPr>
          <w:b/>
          <w:bCs/>
          <w:sz w:val="24"/>
          <w:szCs w:val="24"/>
        </w:rPr>
        <w:outlineLvl w:val="0"/>
      </w:pPr>
      <w:r>
        <w:rPr>
          <w:b/>
          <w:bCs/>
        </w:rPr>
        <w:t xml:space="preserve">Организатор аукциона </w:t>
      </w:r>
      <w:r>
        <w:rPr>
          <w:bCs/>
        </w:rPr>
        <w:t xml:space="preserve"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 xml:space="preserve">депар</w:t>
      </w:r>
      <w:r>
        <w:rPr>
          <w:bCs/>
        </w:rPr>
        <w:t xml:space="preserve">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 xml:space="preserve">dio</w:t>
      </w:r>
      <w:r>
        <w:rPr>
          <w:sz w:val="24"/>
          <w:szCs w:val="24"/>
        </w:rPr>
        <w:t xml:space="preserve">@</w:t>
      </w:r>
      <w:r>
        <w:rPr>
          <w:sz w:val="24"/>
          <w:szCs w:val="24"/>
          <w:lang w:val="en-US"/>
        </w:rPr>
        <w:t xml:space="preserve">perm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permkrai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b/>
          <w:bCs/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rPr>
          <w:sz w:val="24"/>
          <w:szCs w:val="24"/>
        </w:rPr>
        <w:outlineLvl w:val="0"/>
      </w:pPr>
      <w:r>
        <w:rPr>
          <w:b/>
          <w:bCs/>
        </w:rPr>
        <w:t xml:space="preserve"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12"/>
          <w:szCs w:val="24"/>
        </w:rPr>
        <w:t xml:space="preserve"> </w:t>
      </w:r>
      <w:r>
        <w:rPr>
          <w:bCs/>
          <w:sz w:val="24"/>
          <w:szCs w:val="24"/>
        </w:rPr>
        <w:t xml:space="preserve">31.07.2026 № 059-19-01-11-123.</w:t>
      </w:r>
      <w:r>
        <w:rPr>
          <w:sz w:val="24"/>
          <w:szCs w:val="24"/>
        </w:rPr>
      </w:r>
    </w:p>
    <w:p>
      <w:pPr>
        <w:pStyle w:val="827"/>
        <w:numPr>
          <w:ilvl w:val="0"/>
          <w:numId w:val="0"/>
        </w:numPr>
        <w:ind w:left="-567" w:firstLine="567"/>
        <w:jc w:val="both"/>
        <w:spacing w:before="0" w:after="0"/>
        <w:rPr>
          <w:rFonts w:eastAsia="Courier New"/>
          <w:b/>
          <w:color w:val="000000"/>
          <w:lang w:val="ru-RU" w:bidi="ru-RU"/>
        </w:rPr>
        <w:outlineLvl w:val="0"/>
      </w:pPr>
      <w:r>
        <w:rPr>
          <w:sz w:val="24"/>
          <w:szCs w:val="24"/>
          <w:lang w:val="ru-RU"/>
        </w:rPr>
        <w:t xml:space="preserve">Извещение о проведении электронных аукционов размещается на официальном сайте Российской Федерации для размещения информации о проведении торгов </w:t>
      </w:r>
      <w:hyperlink r:id="rId11" w:tooltip="http://www.torgi.gov.ru/" w:history="1">
        <w:r>
          <w:rPr>
            <w:rStyle w:val="780"/>
            <w:color w:val="000000"/>
            <w:sz w:val="24"/>
            <w:szCs w:val="24"/>
            <w:u w:val="none"/>
          </w:rPr>
          <w:t xml:space="preserve">www</w:t>
        </w:r>
        <w:r>
          <w:rPr>
            <w:rStyle w:val="780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80"/>
            <w:color w:val="000000"/>
            <w:sz w:val="24"/>
            <w:szCs w:val="24"/>
            <w:u w:val="none"/>
          </w:rPr>
          <w:t xml:space="preserve">torgi</w:t>
        </w:r>
        <w:r>
          <w:rPr>
            <w:rStyle w:val="780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80"/>
            <w:color w:val="000000"/>
            <w:sz w:val="24"/>
            <w:szCs w:val="24"/>
            <w:u w:val="none"/>
          </w:rPr>
          <w:t xml:space="preserve">gov</w:t>
        </w:r>
        <w:r>
          <w:rPr>
            <w:rStyle w:val="780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80"/>
            <w:color w:val="000000"/>
            <w:sz w:val="24"/>
            <w:szCs w:val="24"/>
            <w:u w:val="none"/>
          </w:rPr>
          <w:t xml:space="preserve">ru</w:t>
        </w:r>
      </w:hyperlink>
      <w:r>
        <w:rPr>
          <w:color w:val="000000"/>
          <w:sz w:val="24"/>
          <w:szCs w:val="24"/>
          <w:u w:val="none"/>
        </w:rPr>
        <w:t xml:space="preserve"> </w:t>
        <w:br/>
        <w:t xml:space="preserve">(далее – ГИС Торги)</w:t>
      </w:r>
      <w:r>
        <w:rPr>
          <w:b/>
          <w:sz w:val="24"/>
          <w:szCs w:val="24"/>
          <w:lang w:val="ru-RU"/>
        </w:rPr>
        <w:t xml:space="preserve"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</w:t>
        <w:br/>
        <w:t xml:space="preserve">в информационно-телекоммуникационной сети «Интернет» </w:t>
      </w:r>
      <w:hyperlink r:id="rId12" w:tooltip="http://www.gorodperm.ru/" w:history="1">
        <w:r>
          <w:rPr>
            <w:rStyle w:val="780"/>
            <w:color w:val="000000"/>
            <w:sz w:val="24"/>
            <w:szCs w:val="24"/>
            <w:u w:val="none"/>
          </w:rPr>
          <w:t xml:space="preserve">www</w:t>
        </w:r>
        <w:r>
          <w:rPr>
            <w:rStyle w:val="780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80"/>
            <w:color w:val="000000"/>
            <w:sz w:val="24"/>
            <w:szCs w:val="24"/>
            <w:u w:val="none"/>
          </w:rPr>
          <w:t xml:space="preserve">gorodperm</w:t>
        </w:r>
        <w:r>
          <w:rPr>
            <w:rStyle w:val="780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80"/>
            <w:color w:val="000000"/>
            <w:sz w:val="24"/>
            <w:szCs w:val="24"/>
            <w:u w:val="none"/>
          </w:rPr>
          <w:t xml:space="preserve"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13" w:tooltip="http://utp.sberbank-ast.ru/" w:history="1">
        <w:r>
          <w:rPr>
            <w:rStyle w:val="780"/>
            <w:sz w:val="24"/>
            <w:szCs w:val="24"/>
          </w:rPr>
          <w:t xml:space="preserve">http</w:t>
        </w:r>
        <w:r>
          <w:rPr>
            <w:rStyle w:val="780"/>
            <w:sz w:val="24"/>
            <w:szCs w:val="24"/>
            <w:lang w:val="ru-RU"/>
          </w:rPr>
          <w:t xml:space="preserve">://</w:t>
        </w:r>
        <w:r>
          <w:rPr>
            <w:rStyle w:val="780"/>
            <w:sz w:val="24"/>
            <w:szCs w:val="24"/>
          </w:rPr>
          <w:t xml:space="preserve">utp</w:t>
        </w:r>
        <w:r>
          <w:rPr>
            <w:rStyle w:val="780"/>
            <w:sz w:val="24"/>
            <w:szCs w:val="24"/>
            <w:lang w:val="ru-RU"/>
          </w:rPr>
          <w:t xml:space="preserve">.</w:t>
        </w:r>
        <w:r>
          <w:rPr>
            <w:rStyle w:val="780"/>
            <w:sz w:val="24"/>
            <w:szCs w:val="24"/>
          </w:rPr>
          <w:t xml:space="preserve">sberbank</w:t>
        </w:r>
        <w:r>
          <w:rPr>
            <w:rStyle w:val="780"/>
            <w:sz w:val="24"/>
            <w:szCs w:val="24"/>
            <w:lang w:val="ru-RU"/>
          </w:rPr>
          <w:t xml:space="preserve">-</w:t>
        </w:r>
        <w:r>
          <w:rPr>
            <w:rStyle w:val="780"/>
            <w:sz w:val="24"/>
            <w:szCs w:val="24"/>
          </w:rPr>
          <w:t xml:space="preserve">ast</w:t>
        </w:r>
        <w:r>
          <w:rPr>
            <w:rStyle w:val="780"/>
            <w:sz w:val="24"/>
            <w:szCs w:val="24"/>
            <w:lang w:val="ru-RU"/>
          </w:rPr>
          <w:t xml:space="preserve">.</w:t>
        </w:r>
        <w:r>
          <w:rPr>
            <w:rStyle w:val="780"/>
            <w:sz w:val="24"/>
            <w:szCs w:val="24"/>
          </w:rPr>
          <w:t xml:space="preserve">ru</w:t>
        </w:r>
      </w:hyperlink>
      <w:r>
        <w:rPr>
          <w:bCs/>
          <w:sz w:val="24"/>
          <w:szCs w:val="24"/>
          <w:lang w:val="ru-RU" w:bidi="ru-RU"/>
        </w:rPr>
        <w:t xml:space="preserve">.</w:t>
      </w:r>
      <w:r>
        <w:rPr>
          <w:rFonts w:eastAsia="Courier New"/>
          <w:b/>
          <w:color w:val="000000"/>
          <w:lang w:val="ru-RU" w:bidi="ru-RU"/>
        </w:rPr>
      </w:r>
      <w:r>
        <w:rPr>
          <w:rFonts w:eastAsia="Courier New"/>
          <w:b/>
          <w:color w:val="000000"/>
          <w:lang w:val="ru-RU" w:bidi="ru-RU"/>
        </w:rPr>
      </w:r>
    </w:p>
    <w:p>
      <w:pPr>
        <w:pStyle w:val="697"/>
        <w:ind w:left="-567" w:firstLine="567"/>
        <w:jc w:val="both"/>
        <w:widowControl w:val="off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 xml:space="preserve"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 xml:space="preserve">:</w:t>
      </w:r>
      <w:r>
        <w:rPr>
          <w:rFonts w:ascii="Courier New" w:hAnsi="Courier New" w:eastAsia="Courier New" w:cs="Courier New"/>
          <w:color w:val="000000"/>
          <w:lang w:bidi="ru-RU"/>
        </w:rPr>
        <w:t xml:space="preserve"> </w:t>
      </w:r>
      <w:hyperlink r:id="rId14" w:tooltip="http://utp.sberbank-ast.ru/" w:history="1">
        <w:r>
          <w:rPr>
            <w:rStyle w:val="780"/>
          </w:rPr>
          <w:t xml:space="preserve"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  <w:r>
        <w:rPr>
          <w:rFonts w:eastAsia="Courier New"/>
          <w:b/>
          <w:color w:val="000000"/>
          <w:lang w:eastAsia="en-US" w:bidi="ru-RU"/>
        </w:rPr>
      </w:r>
      <w:r>
        <w:rPr>
          <w:rFonts w:eastAsia="Courier New"/>
          <w:b/>
          <w:color w:val="000000"/>
          <w:lang w:eastAsia="en-US" w:bidi="ru-RU"/>
        </w:rPr>
      </w:r>
    </w:p>
    <w:p>
      <w:pPr>
        <w:pStyle w:val="697"/>
        <w:contextualSpacing/>
        <w:ind w:left="-567" w:firstLine="567"/>
        <w:jc w:val="both"/>
        <w:spacing w:before="0" w:after="0"/>
        <w:widowControl w:val="off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 xml:space="preserve">Владелец электронной площадки</w:t>
      </w:r>
      <w:r>
        <w:rPr>
          <w:rFonts w:eastAsia="Courier New"/>
          <w:color w:val="000000"/>
          <w:lang w:eastAsia="en-US" w:bidi="ru-RU"/>
        </w:rPr>
        <w:t xml:space="preserve"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 xml:space="preserve">.</w:t>
      </w:r>
      <w:r>
        <w:rPr>
          <w:rFonts w:eastAsia="Courier New"/>
          <w:color w:val="000000"/>
          <w:lang w:bidi="ru-RU"/>
        </w:rPr>
      </w:r>
      <w:r>
        <w:rPr>
          <w:rFonts w:eastAsia="Courier New"/>
          <w:color w:val="000000"/>
          <w:lang w:bidi="ru-RU"/>
        </w:rPr>
      </w:r>
    </w:p>
    <w:p>
      <w:pPr>
        <w:pStyle w:val="697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15" w:tooltip="https://utp.sberbank-ast.ru/Main/Notice/988/Reglament" w:history="1">
        <w:r>
          <w:rPr>
            <w:rStyle w:val="780"/>
            <w:rFonts w:eastAsia="Courier New"/>
            <w:lang w:bidi="ru-RU"/>
          </w:rPr>
          <w:t xml:space="preserve">https://utp.sberbank-ast.ru/Main/Notice/988/Reglament</w:t>
        </w:r>
      </w:hyperlink>
      <w:r>
        <w:rPr>
          <w:rFonts w:eastAsia="Courier New"/>
          <w:lang w:bidi="ru-RU"/>
        </w:rPr>
        <w:t xml:space="preserve">.</w:t>
      </w: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97"/>
        <w:contextualSpacing/>
        <w:ind w:left="-567" w:firstLine="567"/>
        <w:jc w:val="both"/>
        <w:spacing w:before="0" w:after="0"/>
        <w:widowControl w:val="off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16" w:tooltip="https://utp.sberbank-ast.ru/AP/Notice/1027/Instructions" w:history="1">
        <w:r>
          <w:rPr>
            <w:rStyle w:val="780"/>
            <w:rFonts w:eastAsia="Calibri"/>
            <w:lang w:eastAsia="en-US"/>
          </w:rPr>
          <w:t xml:space="preserve">https://utp.sberbank-ast.ru/AP/Notice/1027/Instructions</w:t>
        </w:r>
      </w:hyperlink>
      <w:r>
        <w:rPr>
          <w:rFonts w:eastAsia="Calibri"/>
          <w:lang w:eastAsia="en-US"/>
        </w:rPr>
        <w:t xml:space="preserve">.</w:t>
      </w:r>
      <w:r>
        <w:rPr>
          <w:rFonts w:eastAsia="Courier New"/>
          <w:lang w:bidi="ru-RU"/>
        </w:rPr>
      </w:r>
      <w:r>
        <w:rPr>
          <w:rFonts w:eastAsia="Courier New"/>
          <w:lang w:bidi="ru-RU"/>
        </w:rPr>
      </w:r>
    </w:p>
    <w:p>
      <w:pPr>
        <w:pStyle w:val="697"/>
        <w:contextualSpacing/>
        <w:ind w:left="-567" w:firstLine="567"/>
        <w:jc w:val="both"/>
        <w:spacing w:before="0" w:after="0"/>
        <w:widowControl w:val="off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 xml:space="preserve">размещена по адресу:</w:t>
      </w:r>
      <w:r>
        <w:rPr>
          <w:rFonts w:ascii="Calibri" w:hAnsi="Calibri" w:eastAsia="Calibri" w:cs="Calibri"/>
          <w:sz w:val="22"/>
          <w:szCs w:val="22"/>
          <w:lang w:eastAsia="en-US"/>
        </w:rPr>
        <w:t xml:space="preserve"> </w:t>
      </w:r>
      <w:hyperlink r:id="rId17" w:tooltip="https://utp.sberbank-ast.ru/AP/Notice/652/Instructions" w:history="1">
        <w:r>
          <w:rPr>
            <w:rStyle w:val="780"/>
            <w:bCs/>
            <w:lang w:eastAsia="en-US" w:bidi="ru-RU"/>
          </w:rPr>
          <w:t xml:space="preserve">https://utp.sberbank-ast.ru/AP/Notice/652/Instructions</w:t>
        </w:r>
      </w:hyperlink>
      <w:r>
        <w:rPr>
          <w:bCs/>
          <w:lang w:eastAsia="en-US" w:bidi="ru-RU"/>
        </w:rPr>
        <w:t xml:space="preserve">.</w:t>
      </w:r>
      <w:r>
        <w:rPr>
          <w:b/>
          <w:bCs/>
        </w:rPr>
      </w:r>
      <w:r>
        <w:rPr>
          <w:b/>
          <w:bCs/>
        </w:rPr>
      </w:r>
    </w:p>
    <w:p>
      <w:pPr>
        <w:pStyle w:val="697"/>
        <w:ind w:left="-567" w:firstLine="567"/>
        <w:jc w:val="both"/>
        <w:widowControl w:val="off"/>
        <w:rPr>
          <w:highlight w:val="none"/>
        </w:rPr>
      </w:pPr>
      <w:r>
        <w:rPr>
          <w:b/>
          <w:bCs/>
        </w:rPr>
        <w:t xml:space="preserve">Орган, уполномоченный на право заключения договоров аренды земельных участков: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 xml:space="preserve"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780"/>
          <w:bCs/>
          <w:sz w:val="24"/>
          <w:szCs w:val="24"/>
          <w:lang w:val="en-US"/>
        </w:rPr>
        <w:t xml:space="preserve">dzo</w:t>
      </w:r>
      <w:r>
        <w:rPr>
          <w:rStyle w:val="780"/>
          <w:bCs/>
          <w:sz w:val="24"/>
          <w:szCs w:val="24"/>
        </w:rPr>
        <w:t xml:space="preserve">@</w:t>
      </w:r>
      <w:r>
        <w:rPr>
          <w:rStyle w:val="780"/>
          <w:bCs/>
          <w:sz w:val="24"/>
          <w:szCs w:val="24"/>
          <w:lang w:val="en-US"/>
        </w:rPr>
        <w:t xml:space="preserve">perm</w:t>
      </w:r>
      <w:r>
        <w:rPr>
          <w:rStyle w:val="780"/>
          <w:bCs/>
          <w:sz w:val="24"/>
          <w:szCs w:val="24"/>
        </w:rPr>
        <w:t xml:space="preserve">.</w:t>
      </w:r>
      <w:r>
        <w:rPr>
          <w:rStyle w:val="780"/>
          <w:bCs/>
          <w:sz w:val="24"/>
          <w:szCs w:val="24"/>
          <w:lang w:val="en-US"/>
        </w:rPr>
        <w:t xml:space="preserve">permkrai</w:t>
      </w:r>
      <w:r>
        <w:rPr>
          <w:rStyle w:val="780"/>
          <w:bCs/>
          <w:sz w:val="24"/>
          <w:szCs w:val="24"/>
        </w:rPr>
        <w:t xml:space="preserve">.</w:t>
      </w:r>
      <w:r>
        <w:rPr>
          <w:rStyle w:val="780"/>
          <w:bCs/>
          <w:sz w:val="24"/>
          <w:szCs w:val="24"/>
          <w:lang w:val="en-US"/>
        </w:rPr>
        <w:t xml:space="preserve">ru.</w:t>
      </w:r>
      <w:r>
        <w:rPr>
          <w:highlight w:val="none"/>
        </w:rPr>
      </w:r>
      <w:r>
        <w:rPr>
          <w:highlight w:val="none"/>
        </w:rPr>
      </w:r>
    </w:p>
    <w:p>
      <w:pPr>
        <w:pStyle w:val="697"/>
        <w:ind w:left="-567" w:firstLine="567"/>
        <w:jc w:val="both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17"/>
        <w:ind w:left="1134" w:hanging="1134"/>
        <w:jc w:val="center"/>
        <w:spacing w:line="240" w:lineRule="exact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Сведения о лотах (предметах аукциона)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r>
    </w:p>
    <w:p>
      <w:pPr>
        <w:pStyle w:val="817"/>
        <w:ind w:left="1134" w:hanging="1134"/>
        <w:jc w:val="center"/>
        <w:spacing w:line="240" w:lineRule="exact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17"/>
        <w:ind w:left="1134" w:hanging="1134"/>
        <w:jc w:val="left"/>
        <w:spacing w:line="240" w:lineRule="exact"/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Лот № 1</w:t>
      </w:r>
      <w:r/>
    </w:p>
    <w:tbl>
      <w:tblPr>
        <w:tblW w:w="10485" w:type="dxa"/>
        <w:tblInd w:w="-47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"/>
        <w:gridCol w:w="3054"/>
        <w:gridCol w:w="6864"/>
      </w:tblGrid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 xml:space="preserve">о проведении аукциона,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 xml:space="preserve">решения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lang w:val="ru-RU" w:eastAsia="ru-RU" w:bidi="ar-SA"/>
              </w:rPr>
              <w:t xml:space="preserve">от 01 июля 2026 г. № 21-01-03-4571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Индустриальном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  <w:t xml:space="preserve">районе города Перми»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 xml:space="preserve">договора аренды земельного участка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2"/>
              </w:numPr>
              <w:ind w:left="419" w:right="-263" w:hanging="2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местоположение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tabs>
                <w:tab w:val="clear" w:pos="708" w:leader="none"/>
                <w:tab w:val="left" w:pos="8256" w:leader="none"/>
              </w:tabs>
            </w:pPr>
            <w:r>
              <w:rPr>
                <w:sz w:val="24"/>
                <w:szCs w:val="24"/>
              </w:rPr>
              <w:t xml:space="preserve">Российская Федерация, Пермский край, городской округ Пермский, </w:t>
            </w:r>
            <w:r>
              <w:rPr>
                <w:sz w:val="24"/>
                <w:szCs w:val="24"/>
              </w:rPr>
              <w:t xml:space="preserve">город Пермь, улица 3-я Мало-Субботинская, з/у 3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2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площадь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1271</w:t>
            </w:r>
            <w:r>
              <w:rPr>
                <w:sz w:val="24"/>
                <w:szCs w:val="24"/>
              </w:rPr>
              <w:t xml:space="preserve"> кв.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2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кадастровый номер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59:01:4413926:148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2"/>
              </w:numPr>
              <w:ind w:left="419" w:right="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государственная собственность не разграничена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2"/>
              </w:numPr>
              <w:ind w:left="419" w:right="0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вид разрешенного использования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2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 xml:space="preserve">категории земель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2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территориальной зоне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Ж-5 «Зона индивидуальной усадебной жилой застройки»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3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ограничение прав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</w:t>
            </w:r>
            <w:r>
              <w:rPr>
                <w:sz w:val="24"/>
                <w:szCs w:val="24"/>
              </w:rPr>
              <w:t xml:space="preserve">07.07.2026г. № КУВИ-001/2026-91187465</w:t>
            </w:r>
            <w:r>
              <w:rPr>
                <w:sz w:val="24"/>
                <w:szCs w:val="24"/>
              </w:rPr>
              <w:t xml:space="preserve"> (далее – ЕГРН);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firstLine="311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в градостроительном плане земельного участка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97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от 20.05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.2026 № РФ-59-2-03-0-00-2026-1265-0 </w:t>
            </w:r>
            <w:r>
              <w:rPr>
                <w:sz w:val="24"/>
                <w:szCs w:val="24"/>
                <w:shd w:val="clear" w:color="auto" w:fill="auto"/>
              </w:rPr>
              <w:t xml:space="preserve">(далее – ГПЗУ).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97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(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auto"/>
              </w:rPr>
              <w:t xml:space="preserve">Приложение 2 к настоящему извещению)</w:t>
            </w:r>
            <w:r>
              <w:rPr>
                <w:sz w:val="24"/>
                <w:szCs w:val="24"/>
                <w:shd w:val="clear" w:color="auto" w:fill="auto"/>
              </w:rPr>
              <w:t xml:space="preserve">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t xml:space="preserve">Доступ к земельному участку не ограничен, в границах территории отсутствуют движимые и недвижимые объекты.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администрации Индустриального района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  <w:br/>
              <w:t xml:space="preserve">от 05.05.2026 № 059-16-01-21/2-320, в акте обследования </w:t>
              <w:br/>
              <w:t xml:space="preserve">от 04.05.2026 № 79).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соответствии со сведениями ЕГРН и копией планшета М:500 (требующего корректуры) капитальные/некапитальные строения отсутствуют.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7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огласно сведениям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ЕГРН 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справке </w:t>
              <w:br/>
              <w:t xml:space="preserve">по градостроительным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условиям участка от 21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.07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№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687467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часток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расположен в границах зон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  <w:br/>
              <w:t xml:space="preserve">с особыми условиями использования территории: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частично в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Охранной зоне инженерных коммуникаций «Охранная зона ВЛ 0.4КВ ТП-7143 Поселок», реестровый номер границы 59:01-6.5927,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площадь пересечения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3 кв.м.;</w:t>
            </w:r>
            <w:r/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полностью в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Зоне охраны природных объектов «Прибрежная защитн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ая полоса бассейна реки Верхняя Мулянка, Часть 5», реестровый номер границы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59:00-6.1412;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highlight w:val="whit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полностью в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Зоне охраны природных объектов «Водоохранная зона бассейна реки Верхняя Мулянка, Часть 5», реестровый номер границы 59:00-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6.1411;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полностью в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приаэродромной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 территории аэродрома аэропорта Большое Савино, реестровый номер 59:32-6.553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Проектирование и строительство вести </w:t>
              <w:br/>
              <w:t xml:space="preserve">в соответствии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постановлением Правительства Российской Федерации </w:t>
              <w:br/>
              <w:t xml:space="preserve">от 24.02.2009 № 160 «О порядке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установления охранных зон объектов электросетевого хозяйства и особых условий использования земельных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участков, расположенных в границах таких зон»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приказом Министерства природных ресурсов, лесного хозяйства и экологии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Пермского края от 24 ноября 2020 года </w:t>
              <w:br/>
              <w:t xml:space="preserve">№ 30-01-02-969 «Об утверждении установленных границ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водоохранных зон, границ прибрежных защитных полос </w:t>
              <w:br/>
              <w:t xml:space="preserve">и границ береговых линий бассейна реки Верхняя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Мулянка </w:t>
              <w:br/>
              <w:t xml:space="preserve">на территории Пермского края»; ч. 15, 17 статьи 65 Водного кодекса Российской Федерации от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03.06.2006 № 74-ФЗ;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постановлением Правительства Российской Федерации </w:t>
              <w:br/>
              <w:t xml:space="preserve">от 11.03.2010 № 138 «Об утверждении Федеральных правил использования воздушного пространства Российской Федерации»: «Запрещается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размещать в полосах воздушных подходов на удалении до 30 км, а вне полос воздушных </w:t>
              <w:br/>
              <w:t xml:space="preserve">подходов – до 15 км от контрольной точки аэродрома объекты выбросов (размещения) отходов, животноводческие фермы, скотобойни и другие объ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екты,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способствующие привлечению и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ассовому скоплению птиц»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firstLine="452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 земельном 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частке произраста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27 деревьев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породы «клен ясенелистный»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97"/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редняя стоимость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в ценах 2026 года одного дерева лиственной породы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 40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тыс. руб.,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 хвойной 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 50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тыс. руб.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highlight w:val="white"/>
              </w:rPr>
              <w:t xml:space="preserve">Победителю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highlight w:val="white"/>
              </w:rPr>
              <w:t xml:space="preserve">аукциона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highlight w:val="white"/>
              </w:rPr>
              <w:t xml:space="preserve">необходимо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highlight w:val="white"/>
              </w:rPr>
              <w:t xml:space="preserve">соблюсти условия строительства, перечисленные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white"/>
              </w:rPr>
              <w:t xml:space="preserve">перечне мероприятий </w:t>
              <w:br/>
              <w:t xml:space="preserve">по охране окружающей среды от 26.05.2026 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white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 w:val="0"/>
              <w:ind w:left="0" w:right="0" w:firstLine="425"/>
              <w:jc w:val="both"/>
              <w:spacing w:before="0"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</w:rPr>
              <w:t xml:space="preserve">Учесть ограничения по использованию водоохраной зоны </w:t>
              <w:br/>
              <w:t xml:space="preserve">и прибрежной защитной полосы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</w:rPr>
              <w:t xml:space="preserve">реки Верхняя Мулянка </w:t>
              <w:br/>
              <w:t xml:space="preserve">в соответствии со ст.65 Водного кодекса.</w:t>
            </w:r>
            <w:r/>
          </w:p>
          <w:p>
            <w:pPr>
              <w:pStyle w:val="697"/>
              <w:ind w:left="0" w:right="0" w:firstLine="425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26.05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№ 059-33-01-10/3-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299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000000" w:themeColor="text1"/>
                <w:spacing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</w:rPr>
            </w:r>
          </w:p>
          <w:p>
            <w:pPr>
              <w:pStyle w:val="697"/>
              <w:ind w:firstLine="452"/>
              <w:jc w:val="both"/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Муниципальной программой «Дорожная деятельность </w:t>
              <w:br/>
              <w:t xml:space="preserve">и благоустройство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города Перми», утвержденной постановлением администрации города Перми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18.10.2024 № 966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муниципальной программы «Дорожная деятельность и благоустройство города Перми»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Программой комплексного развития транспортной инфраструктуры города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Перми на 2025-2043 годы, утвержденной Решением Пермской городской Думы </w:t>
              <w:br/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16.12.2025 № 238, мероприятия по строительству, реконструкции, капитальному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ремонту улично-дорожной сети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на рассматриваемой территории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не предусмотрены.</w:t>
            </w:r>
            <w:r/>
          </w:p>
          <w:p>
            <w:pPr>
              <w:ind w:left="0" w:right="0" w:firstLine="425"/>
              <w:jc w:val="both"/>
              <w:spacing w:before="0" w:beforeAutospacing="0" w:after="0" w:afterAutospacing="0" w:line="240" w:lineRule="auto"/>
              <w:rPr>
                <w:color w:val="000000" w:themeColor="text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Для примыкания Участка к улично-дорожной сети города Перми 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еобходимо выполнить условия, указанные в письме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425"/>
              <w:jc w:val="both"/>
              <w:spacing w:before="0" w:beforeAutospacing="0" w:after="0" w:afterAutospacing="0" w:line="240" w:lineRule="auto"/>
              <w:rPr>
                <w:color w:val="000000" w:themeColor="text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от 15.12.2020 № 277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«Об утверждении Правил благоустройства территории города Перми»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при строительстве объектов недвижимости </w:t>
              <w:br/>
              <w:t xml:space="preserve">на земельных участках, предоставленных на торгах.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7"/>
              <w:ind w:left="0" w:right="0" w:firstLine="425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соответствии 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едеральн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Законом </w:t>
              <w:br/>
              <w:t xml:space="preserve">от 08.11.2007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257-ФЗ «Об автомобильных дорогах </w:t>
              <w:br/>
              <w:t xml:space="preserve">и о дорожной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деятельности в Российской Федерации </w:t>
              <w:br/>
              <w:t xml:space="preserve">и о внесении изменений в отдельные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законодательные акты Российской Федерации», расходы на строительство,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реконструкцию, капитальный ремонт, ремонт пересечений и примыканий,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том числе расходы на выполнение дополнительных работ, связанных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обеспечением безопасности дорожного движения, водоотведения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исполнением других установленных техническими регламентами требований,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несут лица, в интересах которых осуществляются строительство,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реконструкция, капитальный ремонт, ремонт пересечений </w:t>
              <w:br/>
              <w:t xml:space="preserve">или примыканий.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Департамента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05.05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059-24-01-36/3-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1354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Источники противопожарного водоснабжения </w:t>
              <w:br/>
              <w:t xml:space="preserve">(далее - ИПВ) на указанной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территории отсутствуют. Ближайший ИПВ (пожарный водоем) расположен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радиусе 740 -750 метров по адресу: 4-я Субботинская, напротив дома № 16.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указанном мкр. Верхние Муллы, Индустриального р-на объекты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общественной безопасности, отнесенные к объектам полиции (участковые пункты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полиции), находятся по адресу </w:t>
              <w:br/>
              <w:t xml:space="preserve">г. Пермь, ул. Шоссе Экскаваторная, д. 57.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настоящее время в указанном микрорайоне строительство (приобретение)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участковых пунктов полиции не планируется.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Информация о подразделениях пожарной охраны и времени их прибытия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содержится в «Расписании выезда подразделений Пермского местного пожарно-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спасательного гарнизона для тушения пожаров и проведения аварийно-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спасательных работ </w:t>
              <w:br/>
              <w:t xml:space="preserve">на территории Пермского городского округа, Пермского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муниципального района», утвержденном Главой города Перми 26.04.2024.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Подразделения пожарной охраны расположены </w:t>
              <w:br/>
              <w:t xml:space="preserve">по адресам:ул. Беляева, 29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(ПСЧ -2 10-ПСО), </w:t>
              <w:br/>
              <w:t xml:space="preserve">ул. Стахановская, 58 (ПСЧ-36 10-ПСО).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Помещения для аварийно-спасательных служб </w:t>
              <w:br/>
              <w:t xml:space="preserve">и (или) аварийно-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спасательных формирований </w:t>
              <w:br/>
              <w:t xml:space="preserve">на указанной территории отсутствуют.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информации, предоставленной письмом Министерства территориальной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безопасности Пермского края от 07.10.2020 № 964с, рассматриваемая территория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попадают в зону возможного химического заражения в особый период.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указанной территории оконечные устройства системы оповещения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населения города Перми отсутствуют. Для обеспечения покрытия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запланированной территории системой оповещения населения необходимо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предусматривать размещение сиренно-речевых узлов согласно пунктам 6.38, 6.39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 165.1325800.2014 «Свод правил. Инженерно-технические мероприятия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гражданской обороне. Актуализированная редакция СНиП 2.01.51-90»,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утвержденные Приказом Минстроя России от 12.11.2014 № 705/пр.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Иная информация, в части полномочий департамента общественной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безопасности администрации города Перми, отсутствует.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30.04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.2026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№ 059-10-01-27/3-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633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                   № 1085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на период до 2028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предусмотрено строительство сетей водоснаб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жения и 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одоотведения в мкр. Субботино.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департамента жилищно 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05.05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.2026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№ 059-04-17/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3-376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2"/>
              </w:numPr>
              <w:ind w:left="510" w:right="113" w:hanging="283"/>
              <w:jc w:val="left"/>
              <w:spacing w:before="0" w:after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 xml:space="preserve">допустимые параметры разрешенного строительства объекта капитального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firstLine="312"/>
              <w:jc w:val="both"/>
              <w:rPr>
                <w:color w:val="000000" w:themeColor="text1"/>
                <w:sz w:val="24"/>
                <w:szCs w:val="24"/>
                <w:highlight w:val="none"/>
                <w:u w:val="none"/>
              </w:rPr>
            </w:pPr>
            <w:r>
              <w:rPr>
                <w:color w:val="000000" w:themeColor="text1"/>
                <w:sz w:val="24"/>
                <w:szCs w:val="24"/>
                <w:u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97"/>
              <w:ind w:firstLine="312"/>
              <w:jc w:val="both"/>
              <w:rPr>
                <w:color w:val="000000" w:themeColor="text1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val="clear" w:color="auto" w:fill="ffffff"/>
              </w:rPr>
              <w:t xml:space="preserve"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 xml:space="preserve">www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torgi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gov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ru</w:t>
            </w:r>
            <w:r>
              <w:rPr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8" w:tooltip="http://www.gorodperm.ru/" w:history="1">
              <w:r>
                <w:rPr>
                  <w:rStyle w:val="780"/>
                  <w:color w:val="000000" w:themeColor="text1"/>
                  <w:szCs w:val="24"/>
                  <w:u w:val="none"/>
                </w:rPr>
                <w:t xml:space="preserve">www.gorodperm.ru</w:t>
              </w:r>
            </w:hyperlink>
            <w:r>
              <w:rPr>
                <w:color w:val="000000" w:themeColor="text1"/>
                <w:szCs w:val="24"/>
                <w:u w:val="non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97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97"/>
              <w:ind w:firstLine="311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 пунктом 4.5 СП 55.13330.2016 Свода Правил. Дома жилые одноквартирные. СНиП 31-02-2001, утвержденными введенным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в действие Приказом Министерства строительстваи жилищно-коммунального хозяйства Российской Федерации от 20.10.2016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№ 725/пр. Дом должен включать жилые комнаты – одну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или несколько (общую комнату </w:t>
              <w:br/>
              <w:t xml:space="preserve">или гостиную, спальню),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и (или) душевые, туалет (у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борную) или совмещенный санузел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переднюю.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7"/>
              <w:ind w:firstLine="311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бытьне менее: общей комнаты в однокомнатном доме - 14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общей комнаты в доме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 числом комнат две и более - 16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; кухонной зоны в кухне-столовой - 6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В домах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с одной комнатой допускается проектировать кухни или кухни-ниши площадью не менее 5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Площадь спальни и кухни в мансардном этаже (или этаже с наклонными ограждающими конструкциями) допускаетсяне менее 7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7"/>
              <w:ind w:firstLine="311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ат и кухни (кухни-столовой) в климатических районах строительства IА, IБ, IГ, IД, определяемых по СП 131.13330, должна быть </w:t>
              <w:br/>
              <w:t xml:space="preserve">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антресолей должна составлять не менее 2,1 м,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а высота пути эвакуации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  <w:br/>
              <w:t xml:space="preserve">не менее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2,2 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7"/>
              <w:ind w:firstLine="311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В жилых комнатах и кухнях, расположенных </w:t>
              <w:br/>
              <w:t xml:space="preserve">в этажах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 наклонными ограждающими конструкциями или в мансардном этаже, допускается уменьшение высоты помещений (от пола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Согл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асно градостроительному плану земельного участка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20.05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.2026 № РФ-59-2-03-0-00-2026-1265-0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(далее – ГПЗУ)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минимальный отступ от границ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частка до места допустимого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размещения зданий, строений </w:t>
              <w:br/>
              <w:t xml:space="preserve">(за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исключением границ со стороны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территории общего пользования, где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отступ определяется с учетом красных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линий и линий регулирования застройки,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установленных проектом планировки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территории, а также границ смежных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земельных участков при блокированной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жилой застройке)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– 3 м;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97"/>
              <w:ind w:firstLine="311"/>
              <w:jc w:val="both"/>
              <w:spacing w:after="0" w:line="240" w:lineRule="auto"/>
              <w:tabs>
                <w:tab w:val="right" w:pos="6000" w:leader="none"/>
              </w:tabs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м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из плоскости наружной стены фасада з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дания на высоте не менее 4,5 м 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над территорией общего пользования, составляет не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 более 1,2 м </w:t>
              <w:br/>
              <w:t xml:space="preserve">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предельная высота зданий, строений 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до 10,5 м; максимальный процент застр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ойки в границах земельного участка, определяемый как отношение суммарной площади земельного участка, которая может 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ыть застроена, ко всей площади земельного участка – 40%.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97"/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Победителю аукциона (единственному участнику) рекомендовано обратиться в уполномоченный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орган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 уведомлением о планируемом строительстве жилого дома.</w:t>
            </w:r>
            <w:r>
              <w:rPr>
                <w:rFonts w:ascii="Times New Roman" w:hAnsi="Times New Roman"/>
                <w:sz w:val="24"/>
                <w:highlight w:val="white"/>
              </w:rPr>
            </w:r>
            <w:r>
              <w:rPr>
                <w:rFonts w:ascii="Times New Roman" w:hAnsi="Times New Roman"/>
                <w:sz w:val="24"/>
                <w:highlight w:val="whit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2"/>
              </w:numPr>
              <w:ind w:left="410" w:right="2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97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t xml:space="preserve">В </w:t>
            </w:r>
            <w:r>
              <w:rPr>
                <w:shd w:val="clear" w:color="auto" w:fill="ffffff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 xml:space="preserve">www</w:t>
            </w:r>
            <w:r>
              <w:t xml:space="preserve">.</w:t>
            </w:r>
            <w:r>
              <w:rPr>
                <w:lang w:val="en-US"/>
              </w:rPr>
              <w:t xml:space="preserve">torgi</w:t>
            </w:r>
            <w:r>
              <w:t xml:space="preserve">.</w:t>
            </w:r>
            <w:r>
              <w:rPr>
                <w:lang w:val="en-US"/>
              </w:rPr>
              <w:t xml:space="preserve">gov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rPr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9" w:tooltip="http://www.gorodperm.ru/" w:history="1">
              <w:r>
                <w:rPr>
                  <w:rStyle w:val="780"/>
                  <w:color w:val="000000" w:themeColor="text1"/>
                  <w:u w:val="none"/>
                </w:rPr>
                <w:t xml:space="preserve">www.gorodperm.ru</w:t>
              </w:r>
            </w:hyperlink>
            <w:r>
              <w:rPr>
                <w:color w:val="000000" w:themeColor="text1"/>
                <w:u w:val="none"/>
              </w:rPr>
              <w:t xml:space="preserve">.</w:t>
            </w:r>
            <w:r>
              <w:rPr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97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</w:t>
              <w:br/>
              <w:t xml:space="preserve">с предполагаемой максимальной мощностью 15 кВт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следующая информация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7"/>
              <w:ind w:firstLine="452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Порядок технологич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принадлежащих сетевым организациям и иным лица, к электрическим сетям, утвержденными постановлением Правительства РФ от 27.12.2004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861 (далее – Правила ТП).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ind w:firstLine="452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си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 пункта 6 Правил ТП технологическое присоединение осуществляется на основании договора заключаемого между сетевой организацией </w:t>
              <w:br/>
              <w:t xml:space="preserve">и юридическим или физическим лицом. Перечень мероприятий по технологическому присоединению определяется в технических условиях.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452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э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ией вместе с договором </w:t>
              <w:br/>
              <w:t xml:space="preserve">о технологическом присоединении.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452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 подготовке градостроительного плана земельного участка необходимо предусмотреть коридоры для строительства кабельных линий и место для размещения трансформаторных подстанций.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ind w:firstLine="452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На Участке присутствует охранная зона кабельно-воздушной линии электропередачи 10 кВ ПС «Бахаревка» – Заготзерно оп. 45 (6452,7143) – ТП 6937.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7"/>
              <w:ind w:firstLine="452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Заявку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технологическое присоединение можно подать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через единый портал электрос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етевых услуг группы компаний «Россети» на сайте: </w:t>
            </w:r>
            <w:hyperlink r:id="rId20" w:tooltip="https://" w:history="1">
              <w:r>
                <w:rPr>
                  <w:rStyle w:val="780"/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https://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«Россети Урал» - «Пермэнерго» по адресу: г. Пермь, </w:t>
              <w:br/>
              <w:t xml:space="preserve">ул. Камчатовская, д. 26, а также почтовым отправлением по адресу: 314016, г. Пермь, ул. Камчатовская, 26. По дополнительным вопросам телефон контакт-центра: 8-800-220-0-220 (круглосуточно и бесплатно).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color w:val="auto"/>
                <w:sz w:val="24"/>
                <w:szCs w:val="24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</w:rPr>
              <w:t xml:space="preserve">городские электрические сети»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07.05.2026 № ПЭ/ПГЭС/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22/6643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Земельный участок находится вне зоны теплоснабжения ПАО «Т Плюс».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ПАО «Т Плюс»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51000-32-01735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ехническая возможность подключения к сетям теплоснабжения отсутствует.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качестве альтернативного энергоресурса рекомендовано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 04.05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.2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026 № 059-04-25/3-69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ехническая возможность подключения объекта капитального строительства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с предполагаемой максимальной нагрузкой 8 куб.м/час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к существующим сетям газо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распределения имеется.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Для рассмотре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ния вопроса о предоставлении технических условий на подключение (технологическое присоединение) Заявителю, намеревающемуся осуществить подключение </w:t>
              <w:br/>
              <w:t xml:space="preserve">к газораспределительным сетям объектов капитального строительства необходимо направить в адрес Филиала в г.П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ермь АО «Газпром газораспределение Пермь» </w:t>
              <w:br/>
              <w:t xml:space="preserve">(на электронную почту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hyperlink r:id="rId21" w:tooltip="http://post@pf.ugaz.ru" w:history="1">
              <w:r>
                <w:rPr>
                  <w:rStyle w:val="787"/>
                  <w:rFonts w:ascii="Times New Roman" w:hAnsi="Times New Roman"/>
                  <w:color w:val="000000" w:themeColor="text1"/>
                  <w:sz w:val="24"/>
                  <w:szCs w:val="24"/>
                  <w:highlight w:val="white"/>
                </w:rPr>
                <w:t xml:space="preserve">post@pf.ugaz.ru</w:t>
              </w:r>
              <w:r>
                <w:rPr>
                  <w:rStyle w:val="787"/>
                  <w:color w:val="000000" w:themeColor="text1"/>
                </w:rPr>
              </w:r>
              <w:r>
                <w:rPr>
                  <w:rStyle w:val="787"/>
                  <w:rFonts w:ascii="Times New Roman" w:hAnsi="Times New Roman"/>
                  <w:color w:val="000000" w:themeColor="text1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; почтой России по адресу: 614107, Пермский край,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г. Пермь,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ул.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Уральская, 104, через Единый центр предоставления услуг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по адресу: г. Пермь, ул. Уральская, д. 104, каб. 101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, Заявку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о заключении договора о подключении (технологическом присоединении) по типовой форме с пакетом документов в соответствии с п. 11,16 Постановления Правительства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Российской Федерации от 13.09.2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21 </w:t>
              <w:br/>
              <w:t xml:space="preserve">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Дополнительно сообщается,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что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границах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земельного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участка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могут располагаться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газораспределительные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сети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(сети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ЭХЗ),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находящиеся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как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 собственности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AO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«Газпром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газораспределение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Пермь»,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так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собственности третьих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лиц.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  <w:br/>
              <w:t xml:space="preserve">Для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определения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месторасположения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газораспределительных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сетей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интересуемом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земельном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участке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необходимо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направить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адрес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Филиала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Пермь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AO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«Газпром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газораспределение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Пермь»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инженерно -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топографический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план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  <w:br/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бумажном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носителе,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выполненный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масштабе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1:500, </w:t>
              <w:br/>
              <w:t xml:space="preserve">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координатах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г.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Перми, на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котором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отображены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рельеф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местности, объекты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ситуации и границы интересующей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территории.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val="000000" w:themeColor="text1"/>
                <w:sz w:val="24"/>
                <w:szCs w:val="24"/>
              </w:rPr>
              <w:t xml:space="preserve">от 19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.05.2026 № ПФ-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ехнической возможности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подключения сетей водоснабжения и водоотведения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 предполагаемой величиной 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агрузки 1,0 м3/сут. сообщается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следующее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Ближайшие сети водоснабжения, эксплуатируемые </w:t>
              <w:br/>
              <w:t xml:space="preserve">ООО «НОВОГОР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Прикамье»,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располагаются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ориентировочно </w:t>
              <w:br/>
              <w:t xml:space="preserve">в радиусе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- 2,15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км от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Участка.</w:t>
            </w:r>
            <w:r>
              <w:rPr>
                <w:rFonts w:ascii="Times New Roman" w:hAnsi="Times New Roman"/>
                <w:sz w:val="25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5"/>
                <w:highlight w:val="white"/>
                <w14:ligatures w14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Ближ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айшие сети водоотведения, эксплуатируемые </w:t>
              <w:br/>
              <w:t xml:space="preserve">ООО «НОВОГОР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Прикамье»,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располагаются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ориентировочно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  <w:br/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радиусе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2,62 км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Участка.</w:t>
            </w:r>
            <w:r>
              <w:rPr>
                <w:rFonts w:ascii="Times New Roman" w:hAnsi="Times New Roman"/>
                <w:sz w:val="25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5"/>
                <w:highlight w:val="white"/>
                <w14:ligatures w14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При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проектировании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может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быть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применен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альтернативный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способ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водоснабжения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без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подключения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централизованной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системе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водоснабжения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(от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скважины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 альтернативный способ канализования, без подключения </w:t>
              <w:br/>
              <w:t xml:space="preserve">к централизованной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системе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канализации г. Перми (отвод стоков на локальные очистные сооружения,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канализование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объекта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выгребную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яму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последующим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вывозом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стоков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спец.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машинами),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который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должен соответствовать всем нормативным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требованиям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Российской Федерации.</w:t>
            </w:r>
            <w:r>
              <w:rPr>
                <w:rFonts w:ascii="Times New Roman" w:hAnsi="Times New Roman"/>
                <w:sz w:val="25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5"/>
                <w:highlight w:val="white"/>
                <w14:ligatures w14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Для сведения сообщаем, в связи с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что ООО «НОВОГОР-Прикамье»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эксплуатирует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только централизованные системы водоснабжения и водоотведения, по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вопросу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возможности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обеспечения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индивидуального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жилого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дома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холодным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водоснабжением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скважины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отвода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канализационных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стоков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локально,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предлагается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обратиться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соответствующие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организации,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регулирующие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недропользование.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7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Кроме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того,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ООО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«НОВОГОР-Прикамье»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  <w:br/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располагает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сведениями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наличии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сетей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3-x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лиц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  <w:br/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границах вышеуказанного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земельного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участка.</w:t>
            </w:r>
            <w:r>
              <w:rPr>
                <w:rFonts w:ascii="Times New Roman" w:hAnsi="Times New Roman"/>
                <w:sz w:val="27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7"/>
                <w:highlight w:val="white"/>
                <w14:ligatures w14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«НОВОГОР-Прикамье» 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от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06.05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№ 110-6447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:lang w:val="ru-RU" w:eastAsia="ru-RU" w:bidi="ru-RU"/>
              </w:rPr>
            </w:pPr>
            <w:r>
              <w:rPr>
                <w:color w:val="000000" w:themeColor="text1"/>
                <w:sz w:val="24"/>
                <w:szCs w:val="24"/>
                <w:lang w:val="ru-RU" w:eastAsia="ru-RU" w:bidi="ru-RU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:lang w:val="ru-RU" w:eastAsia="ru-RU" w:bidi="ru-RU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:lang w:val="ru-RU" w:eastAsia="ru-RU" w:bidi="ru-RU"/>
              </w:rPr>
            </w:r>
          </w:p>
          <w:p>
            <w:pPr>
              <w:ind w:firstLine="452"/>
              <w:jc w:val="both"/>
              <w:spacing w:after="0" w:line="240" w:lineRule="auto"/>
              <w:rPr>
                <w:color w:val="000000" w:themeColor="text1"/>
                <w:highlight w:val="whit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ехнологическое присоединение к сетям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связи </w:t>
              <w:br/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ПАО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«Ростелеком»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может быть произведено к узлу ВОЛС(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г. Пермь, ул.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Карпинского, д. 63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 м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аксимальную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нагрузку </w:t>
              <w:br/>
              <w:t xml:space="preserve">в точке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 подключения (технологического присоединения) необходимо определить на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стадии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проектирования.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Для получения технических условий </w:t>
              <w:br/>
              <w:t xml:space="preserve">на подключение к сетям связи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 необходимо обратиться в Отдел продаж и обслуживания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по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адресу: г. Пермь, ул. Крупской, 2, тел.: (342) 235-57-34 или направить запрос </w:t>
              <w:br/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на </w:t>
            </w:r>
            <w:hyperlink r:id="rId22" w:tooltip="mailto:perm-mail@ural.rt.ru." w:history="1">
              <w:r>
                <w:rPr>
                  <w:rStyle w:val="780"/>
                  <w:rFonts w:ascii="Times New Roman" w:hAnsi="Times New Roman"/>
                  <w:b w:val="0"/>
                  <w:bCs w:val="0"/>
                  <w:color w:val="000000" w:themeColor="text1"/>
                  <w:sz w:val="24"/>
                  <w:szCs w:val="24"/>
                  <w:highlight w:val="white"/>
                </w:rPr>
                <w:t xml:space="preserve">perm-mail@ural.rt.ru.</w:t>
              </w:r>
              <w:r>
                <w:rPr>
                  <w:rStyle w:val="780"/>
                  <w:b w:val="0"/>
                  <w:bCs w:val="0"/>
                  <w:color w:val="000000" w:themeColor="text1"/>
                  <w:highlight w:val="white"/>
                </w:rPr>
              </w:r>
              <w:r>
                <w:rPr>
                  <w:rStyle w:val="780"/>
                  <w:rFonts w:ascii="Times New Roman" w:hAnsi="Times New Roman"/>
                  <w:b w:val="0"/>
                  <w:bCs w:val="0"/>
                  <w:color w:val="000000" w:themeColor="text1"/>
                  <w:sz w:val="24"/>
                  <w:szCs w:val="24"/>
                  <w:highlight w:val="white"/>
                </w:rPr>
              </w:r>
            </w:hyperlink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 xml:space="preserve">ПАО «Ростелеком»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от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06.05.2026 № 01/05/73821/26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(размер ежегодной арендной платы)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0"/>
            </w:pP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По условиям пункта 4.3 проекта договора аренды земельного участка, приобретаемого на торгах в форме аукциона, для строительства (Приложение 1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val="clear" w:color="auto" w:fill="auto"/>
              </w:rPr>
              <w:t xml:space="preserve">за 1 год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 xml:space="preserve">в проекте договора аренды земельного участка (Приложение 1</w:t>
              <w:br/>
              <w:t xml:space="preserve">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473 229</w:t>
            </w:r>
            <w:r>
              <w:rPr>
                <w:sz w:val="24"/>
                <w:szCs w:val="24"/>
              </w:rPr>
              <w:t xml:space="preserve">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23 661,45 </w:t>
            </w:r>
            <w:r>
              <w:rPr>
                <w:sz w:val="24"/>
                <w:szCs w:val="24"/>
              </w:rPr>
              <w:t xml:space="preserve">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заявки на участие в аукционе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на участие в электронном аукционе с указанием</w:t>
              <w:br/>
              <w:t xml:space="preserve"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 xml:space="preserve">о государственной регистрации юридического лица</w:t>
              <w:br/>
              <w:t xml:space="preserve">в соответствии с зако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auto"/>
              </w:rPr>
              <w:t xml:space="preserve"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791"/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236614,5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аренды земельного участка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left="113" w:right="113" w:firstLine="0"/>
              <w:jc w:val="left"/>
              <w:spacing w:before="0" w:after="0"/>
              <w:widowControl/>
            </w:pPr>
            <w:r>
              <w:rPr>
                <w:shd w:val="clear" w:color="auto" w:fill="auto"/>
              </w:rPr>
              <w:t xml:space="preserve">Дата </w:t>
            </w:r>
            <w:r>
              <w:rPr>
                <w:b w:val="0"/>
                <w:shd w:val="clear" w:color="auto" w:fill="auto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0"/>
                <w:shd w:val="clear" w:color="auto" w:fill="auto"/>
                <w:lang w:val="en-US" w:eastAsia="en-US"/>
              </w:rPr>
              <w:t xml:space="preserve">сайтах www.torgi.gov.ru, www.gorodperm.ru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17.04.2026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1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gorodperm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left="0" w:right="-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 xml:space="preserve">на местности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 xml:space="preserve">самостоятельно в любое время с даты опубликования настоящего извещения.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1134" w:firstLine="0"/>
        <w:jc w:val="left"/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firstLine="0"/>
        <w:jc w:val="left"/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Лот № 2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10485" w:type="dxa"/>
        <w:tblInd w:w="-47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"/>
        <w:gridCol w:w="3054"/>
        <w:gridCol w:w="6864"/>
      </w:tblGrid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 xml:space="preserve">о проведении аукциона,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 xml:space="preserve">решения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lang w:val="ru-RU" w:eastAsia="ru-RU" w:bidi="ar-SA"/>
              </w:rPr>
              <w:t xml:space="preserve">от 01 июля 2026 г. № 21-01-03-4576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  <w:t xml:space="preserve">мкр. Новые Ляды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  <w:t xml:space="preserve">Свердловского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  <w:t xml:space="preserve">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  <w:t xml:space="preserve">района города Перми»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</w:r>
            <w:r/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 xml:space="preserve">договора аренды земельного участка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4"/>
              </w:numPr>
              <w:ind w:left="419" w:right="-263" w:hanging="2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местоположение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tabs>
                <w:tab w:val="clear" w:pos="708" w:leader="none"/>
                <w:tab w:val="left" w:pos="8256" w:leader="none"/>
              </w:tabs>
            </w:pPr>
            <w:r>
              <w:rPr>
                <w:sz w:val="24"/>
                <w:szCs w:val="24"/>
              </w:rPr>
              <w:t xml:space="preserve">Российская Федерация, Пермский край, городской округ Пермский, </w:t>
            </w:r>
            <w:r>
              <w:rPr>
                <w:sz w:val="24"/>
                <w:szCs w:val="24"/>
              </w:rPr>
              <w:t xml:space="preserve">город Пермь, микрорайон Новые Ляды, улица Мира, земельный участок 53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4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площадь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1200</w:t>
            </w:r>
            <w:r>
              <w:rPr>
                <w:sz w:val="24"/>
                <w:szCs w:val="24"/>
              </w:rPr>
              <w:t xml:space="preserve"> кв.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4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кадастровый номер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59:01:5110141:359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4"/>
              </w:numPr>
              <w:ind w:left="419" w:right="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государственная собственность не разграничена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4"/>
              </w:numPr>
              <w:ind w:left="419" w:right="0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вид разрешенного использования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4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 xml:space="preserve">категории земель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4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территориальной зоне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Ж-4 «Зона индивидуальной жилой застройки городского типа»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5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ограничение прав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</w:t>
            </w:r>
            <w:r>
              <w:rPr>
                <w:sz w:val="24"/>
                <w:szCs w:val="24"/>
              </w:rPr>
              <w:t xml:space="preserve">09.07.2026г. </w:t>
              <w:br/>
              <w:t xml:space="preserve">№ КУВИ-001/2026-92796423</w:t>
            </w:r>
            <w:r>
              <w:rPr>
                <w:sz w:val="24"/>
                <w:szCs w:val="24"/>
              </w:rPr>
              <w:t xml:space="preserve"> (далее – ЕГРН);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firstLine="311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в градостроительном плане земельного участка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97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от 08.06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.2026 № РФ-59-2-03-0-00-2026-1469-0 </w:t>
            </w:r>
            <w:r>
              <w:rPr>
                <w:sz w:val="24"/>
                <w:szCs w:val="24"/>
                <w:shd w:val="clear" w:color="auto" w:fill="auto"/>
              </w:rPr>
              <w:t xml:space="preserve">(далее – ГПЗУ).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97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(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auto"/>
              </w:rPr>
              <w:t xml:space="preserve">Приложение 4 к настоящему извещению)</w:t>
            </w:r>
            <w:r>
              <w:rPr>
                <w:sz w:val="24"/>
                <w:szCs w:val="24"/>
                <w:shd w:val="clear" w:color="auto" w:fill="auto"/>
              </w:rPr>
              <w:t xml:space="preserve">.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rPr>
                <w:color w:val="000000" w:themeColor="text1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Объекты капитального строительства, самовольно установленные (незаконно размещенные) движимые объекты </w:t>
              <w:br/>
              <w:t xml:space="preserve">не выявлены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. 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Близлежащие источники противопожарного водоснабжения (пожарные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гидранты) расположены по адресу: г. Пермь, микрорайон Новые Ляды,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ул. Мира д. 17, ул. Мира д.17а.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поселка Новые Ляды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  <w:br/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.05.2026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 059-40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-02-13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/3-17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акту обследования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 21.05.2026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2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/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соответствии со сведениями ЕГРН в границах земельного участка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капитальные и некапитальные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объекты отсутствуют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. Доступ обеспечен посредством земельного участка </w:t>
              <w:br/>
              <w:t xml:space="preserve">с кадастровым номером 59:01:5110141:339.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Согласно копии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планшета М 1:500 (требуется корректура)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пределах земельного участка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капитальные </w:t>
              <w:br/>
              <w:t xml:space="preserve">и некапитальные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объекты отсутствуют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. Земельный участок частично зарос естественными высокоствольными лесами </w:t>
              <w:br/>
              <w:t xml:space="preserve">и с южной стороны отдельностоящими хвойными деревьями. </w:t>
              <w:br/>
              <w:t xml:space="preserve">С восточной стороны частично по границе земельного участка расположено капитальное ограждение.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В соответствии 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геодезической съемкой,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выполненной </w:t>
              <w:br/>
              <w:t xml:space="preserve">в 2026 году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 в пределах земельного участка капитальные </w:t>
              <w:br/>
              <w:t xml:space="preserve">и некапитальные строения отсутствуют. Земельный у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ч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т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частично зарос 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лиственными деревьями, кустарником </w:t>
              <w:br/>
              <w:t xml:space="preserve">и травянистой растительностью. С северо-западной </w:t>
              <w:br/>
              <w:t xml:space="preserve">и юго-восточной сторон по границе земельного участка расположен капитальный забор. С севера – востока по границе земельного участка расположено ограждение – сетка рабица.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огласно сведениям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ЕГРН,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ГПЗУ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справке </w:t>
              <w:br/>
              <w:t xml:space="preserve">по градостроительны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м условиям участка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 24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.07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№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687922 информация об ограничениях использования земельного участка отсутствует.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425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земельном 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частке произраста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300 шт. деревьев породы «черемуха», «осина», «береза», «ива».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7"/>
              <w:ind w:left="0" w:right="0" w:firstLine="425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редняя стоимость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в ценах 2026 года одного дерева лиственной породы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 40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тыс. руб.,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а хвойной –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от 50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тыс. руб.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contextualSpacing w:val="0"/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pacing w:val="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Победителю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аукциона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необходимо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</w:rPr>
              <w:t xml:space="preserve"> соблюдать условия строительства, перечисленные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</w:rPr>
              <w:t xml:space="preserve">перечне мероприятий по охране окружающей среды от 29.05.2026 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</w:rPr>
              <w:t xml:space="preserve"> 121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14:ligatures w14:val="none"/>
              </w:rPr>
            </w:r>
          </w:p>
          <w:p>
            <w:pPr>
              <w:pStyle w:val="697"/>
              <w:ind w:left="0" w:right="0" w:firstLine="425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 059-33-01-10/3-311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000000" w:themeColor="text1"/>
                <w:spacing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Муниципальной программой «Дорожная деятельность </w:t>
              <w:br/>
              <w:t xml:space="preserve">и благоустройство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города Перми», утвержденной постановлением администрации города Перми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18.10.2024 </w:t>
              <w:br/>
              <w:t xml:space="preserve">№ 966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 утверждении муниципальной программы «Дорожная деятельность и благоустройство города Перми»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на рассматриваемой территории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не предусмотрены.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Программой комплексного развития транспортной инфраструктуры города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Перми на 2025-2043 годы, утвержденной Решением Пермской городской Думы </w:t>
              <w:br/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16.12.2025 № 238, мероприятия по строительству, реконструкции, капитальному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ремонту улично-дорожной сети на рассматриваемой территории 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предусмотрены.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color w:val="000000" w:themeColor="text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Для примыкания Участка к улично-дорожной сети города Перми 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еобходимо выполнить условия, указанные в письме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color w:val="000000" w:themeColor="text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от 15.12.2020 № 277 </w:t>
              <w:br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«Об утверждении Правил благоустройства территории города Перми»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при строительстве объектов недвижимости </w:t>
              <w:br/>
              <w:t xml:space="preserve">на земельных участках, предоставленных на торгах.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соответствии 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едеральн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Законом от 08.11.2007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257-ФЗ «Об автомобильных дорогах и о дорожной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деятельности в Российской Федерации и о внесении изменений в отдельные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законодательные акты Российской Федерации», расходы на строительство,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реконструкцию, капитальный ремонт, ремонт пересечений и примыканий,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том числе расходы на выполнение дополнительных работ, связанных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обеспечением безопасности дорожного движения, водоотведения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исполнением других установленных техническими регламентами требований,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несут лица, </w:t>
              <w:br/>
              <w:t xml:space="preserve">в интересах которых осуществляются строительство,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реконструкция, капитальный ремонт, ремонт пересечений </w:t>
              <w:br/>
              <w:t xml:space="preserve">или примыканий.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Департамента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059-24-01-36/3-1616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Источники противопожарного водоснабжения (пожарные гидранты на сети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водоснабжения). Ближайший пожарный гидрант расположен вблизи дома по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адресу: жилой массив Новые Ляды, ул. Мира, 17.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Информация о подразделениях пожарной охраны </w:t>
              <w:br/>
              <w:t xml:space="preserve">и времени их прибытия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содержится в «Расписании выезда подразделений Пермского местного пожарно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спасательного гарнизона для тушения пожаров </w:t>
              <w:br/>
              <w:t xml:space="preserve">и проведения аварийно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спасательных работ </w:t>
              <w:br/>
              <w:t xml:space="preserve">на территории Пермского городского округа, Пермского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муниципального района», утвержденном Главой города Перми 26.04.2024.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Подразделение пожарной охраны расположено </w:t>
              <w:br/>
              <w:t xml:space="preserve">по адресу: ул. Балхашская,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135 (СПСЧ-8 10-ПСО).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Помещения для аварийно-спасательных служб и (или) аварийно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спасательных формирований на указанной территории отсутствуют.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Объекты общественной безопасности, отнесенные </w:t>
              <w:br/>
              <w:t xml:space="preserve">к объектам полиции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(участковые пункты полиции) </w:t>
              <w:br/>
              <w:t xml:space="preserve">в данном микрорайоне расположены по адресу: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Пермь, пос. Новые Ляды, ул. Веселая, д. 2 (Свердловский район). В настоящее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время в указанном микрорайоне строительство (приобретение) участковых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пунктов полиции не планируется.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 указанной территории оконечные устройства системы оповещения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населения города Перми отсутствуют. Для обеспечения покрытия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запланированной территории системой оповещения населения необходимо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предусматривать размещение сиренно-речевых узлов согласно пунктам 6.38, 6.39 </w:t>
              <w:br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СП 165.1325800.2014 «Свод правил. Инженерно-технические мероприятия по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гражданской обороне. Актуализированная редакция СНиП 2.01.51-90»,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утвержденные Приказом Минстроя России от 12.11.2014 № 705/пр.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.05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.2026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№ 059-10-01-27/3-727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4"/>
              </w:numPr>
              <w:ind w:left="510" w:right="113" w:hanging="283"/>
              <w:jc w:val="left"/>
              <w:spacing w:before="0" w:after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 xml:space="preserve">допустимые параметры разрешенного строительства объекта капитального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firstLine="312"/>
              <w:jc w:val="both"/>
              <w:rPr>
                <w:color w:val="000000" w:themeColor="text1"/>
                <w:sz w:val="24"/>
                <w:szCs w:val="24"/>
                <w:highlight w:val="none"/>
                <w:u w:val="none"/>
              </w:rPr>
            </w:pPr>
            <w:r>
              <w:rPr>
                <w:color w:val="000000" w:themeColor="text1"/>
                <w:sz w:val="24"/>
                <w:szCs w:val="24"/>
                <w:u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97"/>
              <w:ind w:firstLine="312"/>
              <w:jc w:val="both"/>
              <w:rPr>
                <w:color w:val="000000" w:themeColor="text1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val="clear" w:color="auto" w:fill="ffffff"/>
              </w:rPr>
              <w:t xml:space="preserve"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 xml:space="preserve">www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torgi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gov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ru</w:t>
            </w:r>
            <w:r>
              <w:rPr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3" w:tooltip="http://www.gorodperm.ru/" w:history="1">
              <w:r>
                <w:rPr>
                  <w:rStyle w:val="780"/>
                  <w:color w:val="000000" w:themeColor="text1"/>
                  <w:szCs w:val="24"/>
                  <w:u w:val="none"/>
                </w:rPr>
                <w:t xml:space="preserve">www.gorodperm.ru</w:t>
              </w:r>
            </w:hyperlink>
            <w:r>
              <w:rPr>
                <w:color w:val="000000" w:themeColor="text1"/>
                <w:szCs w:val="24"/>
                <w:u w:val="non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97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 пунктом 4.5 СП 55.13330.2016 Свода Правил. Дома жилые одноквартирные. СНиП 31-02-2001, утвержденным и введенным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в действие Приказом Министерства строительства и жилищно-коммунального хозяйства Российской Федерации от 20.10.2016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№ 725/пр. Дом должен включать жилые комнаты – одну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или несколько (общую комнату или гостиную, спальню),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и (или) душевые, туалет (у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борную) или совмещенный санузел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переднюю.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общей комнаты в доме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 числом комнат две и более - 16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; кухонной зоны </w:t>
              <w:br/>
              <w:t xml:space="preserve">в кухне-столовой - 6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В домах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с одной комнатой допускается проектировать кухни или кухни-ниши площадью не менее 5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антресолей должна составлять не менее 2,1 м,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а высота пути эвакуации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2,2 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 xml:space="preserve">в мансардном этаже, допускается уменьшение высоты помещений (от пола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Согласно Градостроительному плану земельного участка (далее - ГПЗУ) от 08.06.2026 № РФ-59-2-03-0-00-2026-1469-0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минимальный отступ от границ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частка до места допустимого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размещения зданий, строений </w:t>
              <w:br/>
              <w:t xml:space="preserve">(за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исключением границ со стороны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территории общего пользования, где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отступ определяется с учетом красных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линий и линий регулирования застройки,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установленных проектом планировки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территории, а также границ смежных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земельных участков при блокированной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жилой застройке)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3 м;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tabs>
                <w:tab w:val="right" w:pos="6000" w:leader="none"/>
              </w:tabs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none"/>
              </w:rPr>
              <w:t xml:space="preserve">м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дания на высоте </w:t>
              <w:br/>
              <w:t xml:space="preserve">не менее 4,5 м 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над территорией общего пользования, составляет не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 xml:space="preserve"> более 1,2 м от красной линии. </w:t>
              <w:br/>
              <w:t xml:space="preserve">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максимальный процент застр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ойки в границах земельного участка, определяемый как отношение суммарной площади земельного участка, которая может 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ыть застроена, ко всей площади земельного участка – 30%.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Предельная высота зданий, строений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 более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10,5 м;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Победителю аукциона (единственному участнику) рекомендовано обратиться в уполномоченный орган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уведомлением о планируемом строительстве жилого дома.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numPr>
                <w:ilvl w:val="0"/>
                <w:numId w:val="4"/>
              </w:numPr>
              <w:ind w:left="410" w:right="2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97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t xml:space="preserve">В </w:t>
            </w:r>
            <w:r>
              <w:rPr>
                <w:shd w:val="clear" w:color="auto" w:fill="ffffff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 xml:space="preserve">www</w:t>
            </w:r>
            <w:r>
              <w:t xml:space="preserve">.</w:t>
            </w:r>
            <w:r>
              <w:rPr>
                <w:lang w:val="en-US"/>
              </w:rPr>
              <w:t xml:space="preserve">torgi</w:t>
            </w:r>
            <w:r>
              <w:t xml:space="preserve">.</w:t>
            </w:r>
            <w:r>
              <w:rPr>
                <w:lang w:val="en-US"/>
              </w:rPr>
              <w:t xml:space="preserve">gov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rPr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4" w:tooltip="http://www.gorodperm.ru/" w:history="1">
              <w:r>
                <w:rPr>
                  <w:rStyle w:val="780"/>
                  <w:color w:val="000000" w:themeColor="text1"/>
                  <w:u w:val="none"/>
                </w:rPr>
                <w:t xml:space="preserve">www.gorodperm.ru</w:t>
              </w:r>
            </w:hyperlink>
            <w:r>
              <w:rPr>
                <w:color w:val="000000" w:themeColor="text1"/>
                <w:u w:val="none"/>
              </w:rPr>
              <w:t xml:space="preserve">.</w:t>
            </w:r>
            <w:r>
              <w:rPr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97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</w:t>
              <w:br/>
              <w:t xml:space="preserve">с предполагаемой максимальной мощностью 15 кВт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сообщает сле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дующее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ПAO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«Россети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Урал»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имеет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техническую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возможность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технологического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присоединения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электрическим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сетям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энергопринимающих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устройств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вышеуказанных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земельных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участков.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роцедура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технологического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присоединения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осуществляется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соответствии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нормами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действующего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законодательства: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Федеральным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законом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26.03.2003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35-ФЗ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электроэнергетике»,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Правилами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технологического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присоединения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энергопринимающих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устройств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потребителей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электрической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энергии,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объектов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производству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электрической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энергии,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также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объектов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электросетевого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хозяйства,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принадлежащих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сетевым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лицам,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электрическим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сетям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(далее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Правила),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утвержденными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Постановления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Правительства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27.12.2004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861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последней редакции).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силу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пункта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технологическое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присоединение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осуществляется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договора,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заключаемого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между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сетевой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юридическим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физическим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лицом.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Перечень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технологическому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присоединению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определяется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технических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условиях.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Согласно пункту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стоимость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мероприятий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технологическому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присоединению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определяется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размере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минимального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следующих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значений: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7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применением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ставки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кВт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запрашиваемой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максимальной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мощности,</w:t>
            </w:r>
            <w:r>
              <w:rPr>
                <w:rFonts w:ascii="Times New Roman" w:hAnsi="Times New Roman"/>
                <w:color w:val="000000" w:themeColor="text1"/>
                <w:sz w:val="27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7"/>
                <w14:ligatures w14:val="none"/>
              </w:rPr>
            </w:r>
          </w:p>
          <w:p>
            <w:pPr>
              <w:ind w:left="283" w:right="0" w:firstLine="0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7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применением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стандартизированных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тарифных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ставок.</w:t>
            </w:r>
            <w:r>
              <w:rPr>
                <w:rFonts w:ascii="Times New Roman" w:hAnsi="Times New Roman"/>
                <w:color w:val="000000" w:themeColor="text1"/>
                <w:sz w:val="27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7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Расчет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платы за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технологическое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присоединение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будет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выполнен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утвержденных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Постановлением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Министерства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тарифного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регулирования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энергетики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Пермского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118 - тп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стандартизированных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ставок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учетом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предусмотренных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технических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условиях.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Охранная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зона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обременения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отношении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частка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отсутствуют.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заключения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договора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осуществлении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технологического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присоединения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IIAO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«Россети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Урал»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соответствующую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заявку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технологическое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присоединение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указанием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сведений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приложением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необходимых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документов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соответствии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Правилами.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Подать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заявку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технологическое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присоединение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можете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через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федеральный портал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электросетевых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услуг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компаний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«Россети»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сайте: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httрs://портал-тп.рф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через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Мобильное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ПAO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«Россети».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Телефон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контакт-центра: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8-800-220-0-220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(круглосуточно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бесплатно).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color w:val="auto"/>
                <w:sz w:val="24"/>
                <w:szCs w:val="24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</w:rPr>
              <w:t xml:space="preserve">городские электрические сети»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.06.2026 № ПЭ/ЦЭС/01/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22/8795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Техническая возможность подключения (технологического присоединения) к системе теплоснабжения отсутствует, требуется реконструкция тепловых сетей.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Уточнение объема и перечня необходимых мероприятий для подключения объекта к системе теплоснабжения возможно после подачи заявки и предоставления полного пакета документов для заключения договора о подключении (технологическом присоединении).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ПАО «Т Плюс»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22.05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51030-01-03150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Техническая возможность подключения к сетям теплоснабжения отсутствует. Рекомендовано рассмотреть альтернативный источник теплоснабжения – газ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электричество, дрова, пеллеты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5f497a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25.05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059-04-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25/3-90-ри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Техническая возможность подключения земельного участка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имеется.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Предварительная точка подключения – газопровод низкого давления 30 п.м. до испрашиваемого земельного участка.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22.05.2026 № ПФ-3710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 наличии технической возможности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подключения сетей водоснабжения и водоотведения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предполагаемой величиной 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агрузки 1,0 м3/сут. сообщается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следующее.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position w:val="1"/>
                <w:sz w:val="26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районе земельного участка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отсутствуют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централизованные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сети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водоснабжения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водоотведения,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эксплуати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емые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ООО «Новогор - Прикамье».</w:t>
            </w:r>
            <w:r>
              <w:rPr>
                <w:rFonts w:ascii="Times New Roman" w:hAnsi="Times New Roman"/>
                <w:color w:val="000000" w:themeColor="text1"/>
                <w:position w:val="1"/>
                <w:sz w:val="26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position w:val="1"/>
                <w:sz w:val="26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Ближайшие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сети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водоснабжения,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эксплуатируемые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ООО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«НОВОГОР 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Прикамье»,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располагаются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районе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зданий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ул. Мира,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17,17a,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ориентировочно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расстоянии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435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выше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указанного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земельного участка.</w:t>
            </w:r>
            <w:r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Ближайшие сети водоотведения, эксплуатируемые </w:t>
              <w:br/>
              <w:t xml:space="preserve">ООО «НОВОГОР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Прикамье»,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располагаются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районе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здании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ул. Мира,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17, 17a,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ориентировочно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  <w:br/>
              <w:t xml:space="preserve"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расстоянии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440,0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выше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указанного земельного участка.</w:t>
            </w:r>
            <w:r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 проектировании может быть применен альтернативный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способ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водоснабжения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без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подключения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централизованной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системе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водоснабжения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(от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кважины)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альтернативный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способ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канализования,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без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подключения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к централизованной системе канализации г. Перми (отвод стоков 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локальные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очистные сооружения, канализование объекта </w:t>
              <w:br/>
              <w:t xml:space="preserve">в выгребную яму 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последующим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вывозом стоков спец. машинами), который должен соответствовать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всем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нормативным требованиям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Российской Федерации.</w:t>
            </w:r>
            <w:r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ООО «НОВОГОР 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Прикамье»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эксплуатирует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только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централизованные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системы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водоснабжения </w:t>
              <w:br/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водоотведения,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 вопросу возможности обеспечения индивидуального жилого дома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холодным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водоснабжением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скважины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отвода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канализационных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стоков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локальн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position w:val="1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ООО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«НОВОГОР - Прикамье»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располагает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сведениями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наличии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сетей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3-x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лиц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границах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вышеуказанного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земельного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участка.</w:t>
            </w:r>
            <w:r>
              <w:rPr>
                <w:rFonts w:ascii="Times New Roman" w:hAnsi="Times New Roman"/>
                <w:color w:val="000000" w:themeColor="text1"/>
                <w:position w:val="1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position w:val="1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возможности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подключения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земельного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участка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необходимо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выполнить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мероприятия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ликвидации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технологических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разрывов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сетям водопровода </w:t>
              <w:br/>
              <w:t xml:space="preserve">и канализации, то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есть создание водопроводных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и/или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канализационных сетей и объектов на них </w:t>
              <w:br/>
              <w:t xml:space="preserve">от существующих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сетей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централизованной системы холодного водоснабжения и/или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водоотведения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(объектов такой системы) до точек подключения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(технологического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присоединения) объектов капитального строительства заявителя (п. 13 ст.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Федерального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закона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07.12.2011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416 - ФЗ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«О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водоснабжении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водоотведении»,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85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Основ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ценообразования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сфере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водоснабжения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водоотведения,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утв.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постановлением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Правительства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13.05.2013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406),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а именно:</w:t>
            </w:r>
            <w:r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6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7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Запроектировать и построить сеть водопровода </w:t>
              <w:br/>
              <w:t xml:space="preserve">от точки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подключения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Объекта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врезки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сеть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водопровода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d-200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мм,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проходящей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вдоль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жилых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домов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Мира, 17,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17a,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ориентировочной протяженностью 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435,0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м.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соответствии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 требованиями п. 11.5.CП 31.13330.2021 и п. 8.5 CП8.13130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необходимо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выполнить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кольцевание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водопроводных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сетей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подачи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противопожарные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хозяйственно -противопожарные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нужды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независимо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расхода воды </w:t>
              <w:br/>
              <w:t xml:space="preserve"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пожаротушение,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длине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линий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водопроводов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свыше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200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м.</w:t>
            </w:r>
            <w:r>
              <w:rPr>
                <w:rFonts w:ascii="Times New Roman" w:hAnsi="Times New Roman"/>
                <w:color w:val="000000" w:themeColor="text1"/>
                <w:sz w:val="27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7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7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Запроектировать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построить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сеть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водоотведения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  <w:br/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точки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подключения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стоков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Объекта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врезки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сеть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канализации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d-200-300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мм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районе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жилых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домов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Мира,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17, 17a,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ориентировочной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протяженностью - 440,0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м.</w:t>
            </w:r>
            <w:r>
              <w:rPr>
                <w:rFonts w:ascii="Times New Roman" w:hAnsi="Times New Roman"/>
                <w:color w:val="000000" w:themeColor="text1"/>
                <w:sz w:val="27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7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Ввиду отсутствия данных о посадке проектируемого объекта,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длины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технологических разрывов до сетей водоснабжения и водоотведения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указаны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ориентировочно.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Ввиду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отсутствия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данных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посадке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объекта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соответственно,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точных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длин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технологических разрывов до сетей водоснабжения и водоотведения, </w:t>
              <w:br/>
              <w:t xml:space="preserve">а так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же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информации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технических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характеристиках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параметрах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объекта,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исходя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которых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определяются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планируемые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расходы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нужды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наружного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  <w:br/>
              <w:t xml:space="preserve">и внутреннего пожаротушения (класс функциональной пожарной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опасности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объекта, степень огнестойкости здания, класс конструктивной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пожарной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опасности, категория зданий и сооружений по взрывопожарной 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пожарной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опасности, этажность, строительный объем (мЗ) здания, количество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пожарных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кранов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проектируемом объекте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т.д.),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ООО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«НОВОГОР-Прикамье»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может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определить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точные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объемы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мероприятий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наличия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технической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возможности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подклюиения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объекта.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Подключение земельного участка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к сетям водоснабжения и водоотведения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будет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возможно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только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после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выполнения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вышеуказанных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мероприятий.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«НОВОГОР-Прикамье» 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от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22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 № 110-7523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:lang w:val="ru-RU" w:eastAsia="ru-RU" w:bidi="ru-RU"/>
              </w:rPr>
            </w:pPr>
            <w:r>
              <w:rPr>
                <w:color w:val="000000" w:themeColor="text1"/>
                <w:sz w:val="24"/>
                <w:szCs w:val="24"/>
                <w:lang w:val="ru-RU" w:eastAsia="ru-RU" w:bidi="ru-RU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:lang w:val="ru-RU" w:eastAsia="ru-RU" w:bidi="ru-RU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:lang w:val="ru-RU" w:eastAsia="ru-RU" w:bidi="ru-RU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Технологическое присоединение к сетям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связи </w:t>
              <w:br/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ПАО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«Ростелеком»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может быть произведено к узлу ВОЛС </w:t>
              <w:br/>
              <w:t xml:space="preserve">(г. Пермь,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п. Новые Ляды, ул. Мира, д. 3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)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м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аксимальную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нагрузку в точке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подключения (технологического присоединения) необходимо определить на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стадии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проектирования.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Для получения технических условий на подключение </w:t>
              <w:br/>
              <w:t xml:space="preserve">к сетям связи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необходимо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направить запрос по адресу: </w:t>
              <w:br/>
              <w:t xml:space="preserve">г. Пермь, ул. К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рупской, 2, тел.: (342) 235-57-34 </w:t>
              <w:br/>
              <w:t xml:space="preserve">или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на </w:t>
            </w:r>
            <w:hyperlink r:id="rId25" w:tooltip="http://perm-mail@ural.rt.ru" w:history="1">
              <w:r>
                <w:rPr>
                  <w:rStyle w:val="780"/>
                  <w:rFonts w:ascii="Times New Roman" w:hAnsi="Times New Roman"/>
                  <w:b w:val="0"/>
                  <w:bCs w:val="0"/>
                  <w:color w:val="000000" w:themeColor="text1"/>
                  <w:sz w:val="24"/>
                  <w:szCs w:val="24"/>
                  <w:highlight w:val="none"/>
                </w:rPr>
                <w:t xml:space="preserve">perm-mail@ural.rt.ru</w:t>
              </w:r>
            </w:hyperlink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 xml:space="preserve">ПАО «Ростелеком»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от 02.06.2026 № 01/05/91127/26 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/>
          </w:p>
          <w:p>
            <w:pPr>
              <w:pStyle w:val="697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(размер ежегодной арендной платы)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0"/>
            </w:pP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По условиям пункта 4.3 проекта договора аренды земельного участка, приобретаемого на торгах в форме аукциона, для строительства (Приложение 3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val="clear" w:color="auto" w:fill="auto"/>
              </w:rPr>
              <w:t xml:space="preserve">за 1 год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 xml:space="preserve">в проекте договора аренды земельного участка (Приложение 3</w:t>
              <w:br/>
              <w:t xml:space="preserve">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195 600</w:t>
            </w:r>
            <w:r>
              <w:rPr>
                <w:sz w:val="24"/>
                <w:szCs w:val="24"/>
              </w:rPr>
              <w:t xml:space="preserve">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9 780 </w:t>
            </w:r>
            <w:r>
              <w:rPr>
                <w:sz w:val="24"/>
                <w:szCs w:val="24"/>
              </w:rPr>
              <w:t xml:space="preserve">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заявки на участие в аукционе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на участие в электронном аукционе с указанием</w:t>
              <w:br/>
              <w:t xml:space="preserve"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 xml:space="preserve">о государственной регистрации юридического лица</w:t>
              <w:br/>
              <w:t xml:space="preserve">в соответствии с зако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auto"/>
              </w:rPr>
              <w:t xml:space="preserve"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791"/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97 800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аренды земельного участка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7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left="113" w:right="113" w:firstLine="0"/>
              <w:jc w:val="left"/>
              <w:spacing w:before="0" w:after="0"/>
              <w:widowControl/>
            </w:pPr>
            <w:r>
              <w:rPr>
                <w:shd w:val="clear" w:color="auto" w:fill="auto"/>
              </w:rPr>
              <w:t xml:space="preserve">Дата </w:t>
            </w:r>
            <w:r>
              <w:rPr>
                <w:b w:val="0"/>
                <w:shd w:val="clear" w:color="auto" w:fill="auto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0"/>
                <w:shd w:val="clear" w:color="auto" w:fill="auto"/>
                <w:lang w:val="en-US" w:eastAsia="en-US"/>
              </w:rPr>
              <w:t xml:space="preserve">сайтах www.torgi.gov.ru, www.gorodperm.ru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17.03.2026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3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gorodperm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97"/>
              <w:ind w:left="0" w:right="-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 xml:space="preserve">на местности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 xml:space="preserve">самостоятельно в любое время с даты опубликования настоящего извещения.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1134" w:firstLine="0"/>
        <w:jc w:val="left"/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left="0"/>
        <w:jc w:val="center"/>
        <w:spacing w:before="0" w:after="0"/>
        <w:widowControl w:val="off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highlight w:val="none"/>
          <w:lang w:bidi="ru-RU"/>
        </w:rPr>
      </w:r>
      <w:r>
        <w:rPr>
          <w:rFonts w:eastAsia="Courier New"/>
          <w:b/>
          <w:highlight w:val="none"/>
          <w:lang w:bidi="ru-RU"/>
        </w:rPr>
      </w:r>
      <w:r>
        <w:rPr>
          <w:rFonts w:eastAsia="Courier New"/>
          <w:b/>
          <w:bCs/>
          <w:highlight w:val="none"/>
          <w:lang w:bidi="ru-RU"/>
        </w:rPr>
      </w:r>
    </w:p>
    <w:p>
      <w:pPr>
        <w:pStyle w:val="697"/>
        <w:contextualSpacing/>
        <w:ind w:left="0"/>
        <w:jc w:val="center"/>
        <w:spacing w:before="0" w:after="0"/>
        <w:widowControl w:val="off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lang w:bidi="ru-RU"/>
        </w:rPr>
        <w:t xml:space="preserve">Сроки, время подачи заявок, рассмотрения заявок, проведения аукциона</w:t>
      </w:r>
      <w:r>
        <w:rPr>
          <w:rFonts w:eastAsia="Courier New"/>
          <w:b/>
          <w:bCs/>
          <w:highlight w:val="none"/>
          <w:lang w:bidi="ru-RU"/>
        </w:rPr>
      </w:r>
      <w:r>
        <w:rPr>
          <w:rFonts w:eastAsia="Courier New"/>
          <w:b/>
          <w:bCs/>
          <w:highlight w:val="none"/>
          <w:lang w:bidi="ru-RU"/>
        </w:rPr>
      </w:r>
    </w:p>
    <w:p>
      <w:pPr>
        <w:pStyle w:val="697"/>
        <w:contextualSpacing/>
        <w:ind w:left="567"/>
        <w:jc w:val="center"/>
        <w:spacing w:before="0" w:after="0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97"/>
        <w:ind w:left="-567" w:right="0" w:firstLine="687"/>
        <w:jc w:val="both"/>
        <w:widowControl w:val="off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 xml:space="preserve">Дата и время начала срока подачи заявок на участие в аукционе – 01.08.2026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по местному времени (7:00 МСК).</w:t>
      </w:r>
      <w:r>
        <w:rPr>
          <w:rFonts w:eastAsia="Courier New"/>
          <w:lang w:bidi="ru-RU"/>
        </w:rPr>
      </w:r>
      <w:r>
        <w:rPr>
          <w:rFonts w:eastAsia="Courier New"/>
          <w:lang w:bidi="ru-RU"/>
        </w:rPr>
      </w:r>
    </w:p>
    <w:p>
      <w:pPr>
        <w:pStyle w:val="697"/>
        <w:ind w:left="-567" w:firstLine="709"/>
        <w:jc w:val="both"/>
        <w:widowControl w:val="off"/>
        <w:rPr>
          <w:rFonts w:eastAsia="Courier New"/>
          <w:lang w:bidi="ru-RU"/>
        </w:rPr>
      </w:pPr>
      <w:r>
        <w:rPr>
          <w:rFonts w:eastAsia="Courier New"/>
          <w:lang w:bidi="ru-RU"/>
        </w:rPr>
      </w:r>
      <w:r>
        <w:rPr>
          <w:rFonts w:eastAsia="Courier New"/>
          <w:lang w:bidi="ru-RU"/>
        </w:rPr>
      </w:r>
      <w:r>
        <w:rPr>
          <w:rFonts w:eastAsia="Courier New"/>
          <w:lang w:bidi="ru-RU"/>
        </w:rPr>
      </w:r>
    </w:p>
    <w:p>
      <w:pPr>
        <w:pStyle w:val="697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 xml:space="preserve">Дата и время окончания срока подачи заявок на участие в аукционе – 25.08.2026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97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97"/>
        <w:ind w:left="-567" w:firstLine="709"/>
        <w:jc w:val="both"/>
        <w:widowControl w:val="off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 xml:space="preserve"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26.08.2026. </w:t>
      </w:r>
      <w:r>
        <w:rPr>
          <w:rFonts w:eastAsia="Courier New"/>
          <w:lang w:bidi="ru-RU"/>
        </w:rPr>
      </w:r>
      <w:r>
        <w:rPr>
          <w:rFonts w:eastAsia="Courier New"/>
          <w:lang w:bidi="ru-RU"/>
        </w:rPr>
      </w:r>
    </w:p>
    <w:p>
      <w:pPr>
        <w:pStyle w:val="697"/>
        <w:ind w:left="-567" w:firstLine="709"/>
        <w:jc w:val="both"/>
        <w:widowControl w:val="off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  <w:lang w:bidi="ru-RU"/>
        </w:rPr>
      </w:r>
    </w:p>
    <w:p>
      <w:pPr>
        <w:pStyle w:val="697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 xml:space="preserve">от участников аукциона) – 27.08</w:t>
      </w:r>
      <w:r>
        <w:rPr>
          <w:rFonts w:eastAsia="Courier New"/>
          <w:b/>
          <w:lang w:bidi="ru-RU"/>
        </w:rPr>
        <w:t xml:space="preserve">.2026</w:t>
      </w:r>
      <w:r>
        <w:rPr>
          <w:rFonts w:eastAsia="Courier New"/>
          <w:lang w:bidi="ru-RU"/>
        </w:rPr>
        <w:t xml:space="preserve"> в 09:00 по местному времени (07:00 МСК). </w:t>
      </w: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97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97"/>
        <w:ind w:left="-567" w:firstLine="709"/>
        <w:jc w:val="both"/>
        <w:widowControl w:val="off"/>
        <w:rPr>
          <w:highlight w:val="none"/>
        </w:rPr>
      </w:pPr>
      <w:r>
        <w:rPr>
          <w:b/>
        </w:rPr>
        <w:t xml:space="preserve">Место подачи (приема) заявок и место проведения аукциона:</w:t>
      </w:r>
      <w:r>
        <w:t xml:space="preserve"> электронная </w:t>
        <w:br/>
        <w:t xml:space="preserve">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>
        <w:rPr>
          <w:highlight w:val="none"/>
        </w:rPr>
      </w:r>
      <w:r>
        <w:rPr>
          <w:highlight w:val="none"/>
        </w:rPr>
      </w:r>
    </w:p>
    <w:p>
      <w:pPr>
        <w:pStyle w:val="697"/>
        <w:ind w:left="-567" w:firstLine="709"/>
        <w:jc w:val="both"/>
        <w:widowControl w:val="off"/>
      </w:pPr>
      <w:r/>
      <w:r/>
    </w:p>
    <w:p>
      <w:pPr>
        <w:pStyle w:val="697"/>
        <w:contextualSpacing/>
        <w:ind w:left="502"/>
        <w:jc w:val="center"/>
        <w:spacing w:before="0" w:after="0"/>
        <w:widowControl w:val="off"/>
        <w:rPr>
          <w:b/>
          <w:bCs/>
          <w:lang w:bidi="ru-RU"/>
        </w:rPr>
      </w:pPr>
      <w:r>
        <w:rPr>
          <w:b/>
          <w:bCs/>
          <w:lang w:bidi="ru-RU"/>
        </w:rPr>
        <w:t xml:space="preserve">Размер задатка для участия в аукционе, порядок его внесения и возврата, реквизиты счета для перечисления задатка</w:t>
      </w:r>
      <w:r>
        <w:rPr>
          <w:b/>
          <w:bCs/>
          <w:lang w:bidi="ru-RU"/>
        </w:rPr>
      </w:r>
      <w:r>
        <w:rPr>
          <w:b/>
          <w:bCs/>
          <w:lang w:bidi="ru-RU"/>
        </w:rPr>
      </w:r>
    </w:p>
    <w:p>
      <w:pPr>
        <w:pStyle w:val="697"/>
        <w:contextualSpacing/>
        <w:ind w:left="502"/>
        <w:jc w:val="center"/>
        <w:spacing w:before="0" w:after="0"/>
        <w:widowControl w:val="off"/>
        <w:rPr>
          <w:b/>
          <w:bCs/>
          <w:lang w:bidi="ru-RU"/>
        </w:rPr>
      </w:pPr>
      <w:r>
        <w:rPr>
          <w:b/>
          <w:bCs/>
          <w:lang w:bidi="ru-RU"/>
        </w:rPr>
      </w:r>
      <w:r>
        <w:rPr>
          <w:b/>
          <w:bCs/>
          <w:lang w:bidi="ru-RU"/>
        </w:rPr>
      </w:r>
      <w:r>
        <w:rPr>
          <w:b/>
          <w:bCs/>
          <w:lang w:bidi="ru-RU"/>
        </w:rPr>
      </w:r>
    </w:p>
    <w:p>
      <w:pPr>
        <w:pStyle w:val="791"/>
        <w:contextualSpacing/>
        <w:ind w:left="-567" w:firstLine="567"/>
        <w:jc w:val="both"/>
        <w:spacing w:before="0" w:after="0"/>
        <w:widowControl w:val="off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Оператора. </w:t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</w:p>
    <w:p>
      <w:pPr>
        <w:pStyle w:val="791"/>
        <w:contextualSpacing/>
        <w:ind w:left="-567" w:firstLine="567"/>
        <w:jc w:val="both"/>
        <w:spacing w:before="0" w:after="0"/>
        <w:widowControl w:val="off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В этом случае документы, подтверждающие внесение задатка, заявителем не представляются. </w:t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</w:p>
    <w:p>
      <w:pPr>
        <w:pStyle w:val="791"/>
        <w:contextualSpacing/>
        <w:ind w:left="-567" w:firstLine="567"/>
        <w:jc w:val="both"/>
        <w:spacing w:before="0" w:after="0"/>
        <w:widowControl w:val="off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Информация о внесении заявителем денежных средств в размере задатка направляется Оператором Организатору аукциона вместе с заявкой на участие в аукционе (далее - заявка). </w:t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</w:p>
    <w:p>
      <w:pPr>
        <w:pStyle w:val="791"/>
        <w:contextualSpacing/>
        <w:ind w:left="-567" w:firstLine="567"/>
        <w:jc w:val="both"/>
        <w:spacing w:before="0" w:after="0"/>
        <w:widowControl w:val="off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Блокирование денежных средств в размере задатка Оператором на расчетном счете Оператора признается заключением соглашения о задатке.</w:t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</w:p>
    <w:p>
      <w:pPr>
        <w:pStyle w:val="697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bCs/>
          <w:lang w:bidi="ru-RU"/>
        </w:rPr>
        <w:t xml:space="preserve">Сумма задатка для участия в аукционе определяется в размере 50 процентов от начальной цены предмета аукциона. Размер задатка в извещении о проведении аукциона указан по каждому лоту.</w:t>
      </w: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97"/>
        <w:contextualSpacing/>
        <w:ind w:left="-567" w:firstLine="567"/>
        <w:jc w:val="both"/>
        <w:spacing w:before="0" w:after="0"/>
        <w:widowControl w:val="off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  <w:r>
        <w:rPr>
          <w:b/>
          <w:bCs/>
          <w:lang w:bidi="ru-RU"/>
        </w:rPr>
      </w:r>
      <w:r>
        <w:rPr>
          <w:b/>
          <w:bCs/>
          <w:lang w:bidi="ru-RU"/>
        </w:rPr>
      </w:r>
    </w:p>
    <w:p>
      <w:pPr>
        <w:pStyle w:val="697"/>
        <w:ind w:left="-567" w:firstLine="567"/>
        <w:jc w:val="both"/>
        <w:widowControl w:val="off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 xml:space="preserve">Задаток перечисляется на реквизиты Оператора электронной площадки (</w:t>
      </w:r>
      <w:hyperlink r:id="rId26" w:tooltip="http://utp.sberbank-ast.ru/AP/Notice/653/Requisites" w:history="1">
        <w:r>
          <w:rPr>
            <w:rStyle w:val="780"/>
            <w:b/>
            <w:bCs/>
            <w:lang w:bidi="ru-RU"/>
          </w:rPr>
          <w:t xml:space="preserve">http://utp.sberbank-ast.ru/AP/Notice/653/Requisites</w:t>
        </w:r>
      </w:hyperlink>
      <w:r>
        <w:rPr>
          <w:b/>
          <w:bCs/>
          <w:lang w:bidi="ru-RU"/>
        </w:rPr>
        <w:t xml:space="preserve">).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697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Получатель: АО «Сбербанк-АСТ»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697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697"/>
        <w:spacing w:line="240" w:lineRule="exact"/>
      </w:pPr>
      <w:r>
        <w:rPr>
          <w:rFonts w:eastAsia="Calibri"/>
          <w:bCs/>
          <w:lang w:eastAsia="en-US"/>
        </w:rPr>
        <w:t xml:space="preserve">Банк получателя: ПАО «СБЕРБАНК РОССИИ» Г. МОСКВА</w:t>
      </w:r>
      <w:r/>
    </w:p>
    <w:p>
      <w:pPr>
        <w:pStyle w:val="697"/>
        <w:spacing w:line="240" w:lineRule="exact"/>
        <w:rPr>
          <w:rFonts w:eastAsia="Calibri"/>
          <w:bCs/>
          <w:lang w:eastAsia="en-US"/>
        </w:rPr>
      </w:pPr>
      <w:r>
        <w:t xml:space="preserve">Расчетный счет: </w:t>
      </w:r>
      <w:r>
        <w:rPr>
          <w:rFonts w:eastAsia="Calibri"/>
          <w:bCs/>
          <w:lang w:eastAsia="en-US"/>
        </w:rPr>
        <w:t xml:space="preserve">40702810300020038047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697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БИК: 044525225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697"/>
        <w:spacing w:line="240" w:lineRule="exact"/>
        <w:rPr>
          <w:bCs/>
          <w:lang w:bidi="ru-RU"/>
        </w:rPr>
      </w:pPr>
      <w:r>
        <w:rPr>
          <w:rFonts w:eastAsia="Calibri"/>
          <w:bCs/>
          <w:lang w:eastAsia="en-US"/>
        </w:rPr>
        <w:t xml:space="preserve">Корреспондентский счет: 30101810400000000225</w:t>
      </w: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97"/>
        <w:ind w:left="-567" w:firstLine="567"/>
        <w:jc w:val="both"/>
        <w:widowControl w:val="off"/>
        <w:rPr>
          <w:b/>
        </w:rPr>
      </w:pPr>
      <w:r>
        <w:rPr>
          <w:bCs/>
          <w:lang w:bidi="ru-RU"/>
        </w:rPr>
        <w:t xml:space="preserve">В платёжном поручении в части «Назначение платежа» необходимо указать: Задаток по лоту  № ___, ИНН плательщика. НДС не облагается.</w:t>
      </w:r>
      <w:r>
        <w:rPr>
          <w:b/>
        </w:rPr>
      </w:r>
      <w:r>
        <w:rPr>
          <w:b/>
        </w:rPr>
      </w:r>
    </w:p>
    <w:p>
      <w:pPr>
        <w:pStyle w:val="697"/>
        <w:ind w:left="-567" w:firstLine="567"/>
        <w:jc w:val="both"/>
        <w:widowControl w:val="off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 xml:space="preserve"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Cs/>
          <w:lang w:bidi="ru-RU"/>
        </w:rPr>
        <w:t xml:space="preserve">c 01.08.2026 по 25.08.2026.</w:t>
      </w: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97"/>
        <w:ind w:left="-567" w:firstLine="709"/>
        <w:jc w:val="both"/>
        <w:widowControl w:val="off"/>
        <w:rPr>
          <w:bCs/>
          <w:lang w:bidi="ru-RU"/>
        </w:rPr>
      </w:pPr>
      <w:r>
        <w:rPr>
          <w:bCs/>
          <w:lang w:bidi="ru-RU"/>
        </w:rPr>
      </w: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97"/>
        <w:ind w:left="-567" w:firstLine="709"/>
        <w:jc w:val="center"/>
        <w:widowControl w:val="off"/>
        <w:rPr>
          <w:b/>
          <w:bCs/>
          <w:highlight w:val="none"/>
          <w:lang w:bidi="ru-RU"/>
        </w:rPr>
      </w:pPr>
      <w:r>
        <w:rPr>
          <w:b/>
          <w:lang w:bidi="ru-RU"/>
        </w:rPr>
        <w:t xml:space="preserve">Порядок возврата задатка:</w:t>
      </w:r>
      <w:r>
        <w:rPr>
          <w:b/>
          <w:bCs/>
          <w:highlight w:val="none"/>
          <w:lang w:bidi="ru-RU"/>
        </w:rPr>
      </w:r>
      <w:r>
        <w:rPr>
          <w:b/>
          <w:bCs/>
          <w:highlight w:val="none"/>
          <w:lang w:bidi="ru-RU"/>
        </w:rPr>
      </w:r>
    </w:p>
    <w:p>
      <w:pPr>
        <w:ind w:left="-567" w:firstLine="709"/>
        <w:jc w:val="center"/>
        <w:widowControl w:val="off"/>
        <w:rPr>
          <w:b/>
          <w:bCs/>
          <w:lang w:bidi="ru-RU"/>
        </w:rPr>
      </w:pPr>
      <w:r>
        <w:rPr>
          <w:b/>
          <w:highlight w:val="none"/>
          <w:lang w:bidi="ru-RU"/>
        </w:rPr>
      </w:r>
      <w:r>
        <w:rPr>
          <w:b/>
          <w:bCs/>
          <w:lang w:bidi="ru-RU"/>
        </w:rPr>
      </w:r>
      <w:r>
        <w:rPr>
          <w:b/>
          <w:bCs/>
          <w:lang w:bidi="ru-RU"/>
        </w:rPr>
      </w:r>
    </w:p>
    <w:p>
      <w:pPr>
        <w:pStyle w:val="791"/>
        <w:ind w:left="-567" w:firstLine="709"/>
        <w:jc w:val="both"/>
        <w:widowControl w:val="off"/>
        <w:rPr>
          <w:b w:val="0"/>
          <w:sz w:val="24"/>
          <w:szCs w:val="24"/>
          <w:highlight w:val="none"/>
          <w:shd w:val="clear" w:color="auto" w:fill="auto"/>
          <w:lang w:bidi="ru-RU"/>
        </w:rPr>
      </w:pPr>
      <w:r>
        <w:rPr>
          <w:b w:val="0"/>
          <w:sz w:val="24"/>
          <w:szCs w:val="24"/>
          <w:shd w:val="clear" w:color="auto" w:fill="auto"/>
          <w:lang w:bidi="ru-RU"/>
        </w:rPr>
        <w:t xml:space="preserve">Оператор обеспечивает возврат заблокированных в размере задатка на расчетном счете Оператора денежных средств лицам, участвовавшим в электронн</w:t>
      </w:r>
      <w:r>
        <w:rPr>
          <w:b w:val="0"/>
          <w:sz w:val="24"/>
          <w:szCs w:val="24"/>
          <w:shd w:val="clear" w:color="auto" w:fill="auto"/>
          <w:lang w:bidi="ru-RU"/>
        </w:rPr>
        <w:t xml:space="preserve">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</w:t>
      </w:r>
      <w:r>
        <w:rPr>
          <w:b w:val="0"/>
          <w:sz w:val="24"/>
          <w:szCs w:val="24"/>
          <w:shd w:val="clear" w:color="auto" w:fill="auto"/>
          <w:lang w:bidi="ru-RU"/>
        </w:rPr>
        <w:t xml:space="preserve">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аренды земельного участка победителем аукциона.</w:t>
      </w:r>
      <w:r>
        <w:rPr>
          <w:b w:val="0"/>
          <w:sz w:val="24"/>
          <w:szCs w:val="24"/>
          <w:highlight w:val="none"/>
          <w:shd w:val="clear" w:color="auto" w:fill="auto"/>
          <w:lang w:bidi="ru-RU"/>
        </w:rPr>
      </w:r>
      <w:r>
        <w:rPr>
          <w:b w:val="0"/>
          <w:sz w:val="24"/>
          <w:szCs w:val="24"/>
          <w:highlight w:val="none"/>
          <w:shd w:val="clear" w:color="auto" w:fill="auto"/>
          <w:lang w:bidi="ru-RU"/>
        </w:rPr>
      </w:r>
    </w:p>
    <w:p>
      <w:pPr>
        <w:pStyle w:val="791"/>
        <w:ind w:left="-567" w:firstLine="709"/>
        <w:jc w:val="both"/>
        <w:widowControl w:val="off"/>
        <w:rPr>
          <w:sz w:val="24"/>
          <w:szCs w:val="24"/>
          <w:highlight w:val="none"/>
          <w:shd w:val="clear" w:color="auto" w:fill="auto"/>
        </w:rPr>
      </w:pPr>
      <w:r>
        <w:rPr>
          <w:b w:val="0"/>
          <w:sz w:val="24"/>
          <w:szCs w:val="24"/>
          <w:shd w:val="clear" w:color="auto" w:fill="auto"/>
          <w:lang w:bidi="ru-RU"/>
        </w:rPr>
        <w:t xml:space="preserve">Оператор обеспечивает во</w:t>
      </w:r>
      <w:r>
        <w:rPr>
          <w:b w:val="0"/>
          <w:sz w:val="24"/>
          <w:szCs w:val="24"/>
          <w:shd w:val="clear" w:color="auto" w:fill="auto"/>
          <w:lang w:bidi="ru-RU"/>
        </w:rPr>
        <w:t xml:space="preserve">зврат заблокированных в размере задатка на расчетном счете Оператора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</w:r>
      <w:r>
        <w:rPr>
          <w:sz w:val="24"/>
          <w:szCs w:val="24"/>
          <w:highlight w:val="none"/>
          <w:shd w:val="clear" w:color="auto" w:fill="auto"/>
        </w:rPr>
      </w:r>
      <w:r>
        <w:rPr>
          <w:sz w:val="24"/>
          <w:szCs w:val="24"/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val="clear" w:color="auto" w:fill="auto"/>
          <w:lang w:bidi="ru-RU"/>
        </w:rPr>
        <w:br w:type="textWrapping" w:clear="all"/>
      </w:r>
      <w:r>
        <w:rPr>
          <w:shd w:val="clear" w:color="auto" w:fill="auto"/>
          <w:lang w:bidi="ru-RU"/>
        </w:rPr>
        <w:t xml:space="preserve">в установленные сроки формирует поручение Оператору: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- о</w:t>
      </w:r>
      <w:r>
        <w:rPr>
          <w:shd w:val="clear" w:color="auto" w:fill="auto"/>
          <w:lang w:bidi="ru-RU"/>
        </w:rPr>
        <w:t xml:space="preserve">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пунктами 13, 14, 20 или 25 ст. 39.12 Земельного кодекса Российской </w:t>
      </w:r>
      <w:r>
        <w:rPr>
          <w:bCs/>
          <w:shd w:val="clear" w:color="auto" w:fill="auto"/>
          <w:lang w:bidi="ru-RU"/>
        </w:rPr>
        <w:t xml:space="preserve">Федерации, засчитываются 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jc w:val="both"/>
        <w:spacing w:line="276" w:lineRule="auto"/>
        <w:widowControl w:val="off"/>
        <w:rPr>
          <w:bCs/>
          <w:highlight w:val="none"/>
          <w:shd w:val="clear" w:color="auto" w:fill="auto"/>
          <w:lang w:bidi="ru-RU"/>
        </w:rPr>
      </w:pPr>
      <w:r>
        <w:rPr>
          <w:bCs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</w:p>
    <w:p>
      <w:pPr>
        <w:pStyle w:val="697"/>
        <w:jc w:val="center"/>
        <w:widowControl w:val="off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Организатор аукциона вправе: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jc w:val="center"/>
        <w:widowControl w:val="off"/>
        <w:rPr>
          <w:rFonts w:eastAsia="Courier New"/>
          <w:highlight w:val="none"/>
          <w:shd w:val="clear" w:color="auto" w:fill="auto"/>
          <w:lang w:bidi="ru-RU"/>
        </w:rPr>
      </w:pPr>
      <w:r>
        <w:rPr>
          <w:rFonts w:eastAsia="Courier New"/>
          <w:shd w:val="clear" w:color="auto" w:fill="auto"/>
          <w:lang w:bidi="ru-RU"/>
        </w:rPr>
      </w:r>
      <w:r>
        <w:rPr>
          <w:rFonts w:eastAsia="Courier New"/>
          <w:highlight w:val="none"/>
          <w:shd w:val="clear" w:color="auto" w:fill="auto"/>
          <w:lang w:bidi="ru-RU"/>
        </w:rPr>
      </w:r>
      <w:r>
        <w:rPr>
          <w:rFonts w:eastAsia="Courier New"/>
          <w:highlight w:val="none"/>
          <w:shd w:val="clear" w:color="auto" w:fill="auto"/>
          <w:lang w:bidi="ru-RU"/>
        </w:rPr>
      </w:r>
    </w:p>
    <w:p>
      <w:pPr>
        <w:pStyle w:val="791"/>
        <w:ind w:left="-567" w:firstLine="709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Не позднее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Информация о внесении изменений в извещение </w:t>
        <w:br/>
        <w:t xml:space="preserve">о проведении аукциона размещается на официальных сайтах </w:t>
      </w:r>
      <w:r>
        <w:rPr>
          <w:rFonts w:eastAsia="Droid Sans Fallback" w:cs="Lohit Devanagari"/>
          <w:b w:val="0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www.torgi.gov.ru,  www.gorodperm.ru.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1"/>
        <w:ind w:left="-567" w:firstLine="709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</w:t>
      </w: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ной заявки, организатор аукциона до момента окончания срока подачи заявок </w:t>
        <w:br/>
        <w:t xml:space="preserve">на участие в аукционе может принять решение о продлении срока подачи заявок в соответствии </w:t>
        <w:br/>
        <w:t xml:space="preserve">с правилами, предусмотренными п. 22.1  ст. 39.11 Земельного кодекса Российской Федерации.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</w:pPr>
      <w:r>
        <w:rPr>
          <w:shd w:val="clear" w:color="auto" w:fill="auto"/>
        </w:rPr>
        <w:t xml:space="preserve">В соответствии с п. 4 ст. 448 Гражданского кодекса Российской Федерации отказаться </w:t>
      </w:r>
      <w:r>
        <w:br w:type="textWrapping" w:clear="all"/>
      </w:r>
      <w:r>
        <w:t xml:space="preserve">от проведения аукциона в любое время, но не позднее чем за три дня до наступления даты </w:t>
      </w:r>
      <w:r>
        <w:br w:type="textWrapping" w:clear="all"/>
      </w:r>
      <w:r>
        <w:t xml:space="preserve">его проведения, указанной в извещении </w:t>
      </w:r>
      <w:r>
        <w:rPr>
          <w:shd w:val="clear" w:color="auto" w:fill="auto"/>
        </w:rPr>
        <w:t xml:space="preserve">о проведении аукциона. </w:t>
      </w:r>
      <w:r/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jc w:val="center"/>
        <w:widowControl w:val="off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Организатор аукциона обязан: 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Извещение об отказе в проведении аукциона размещается организатором аукциона </w:t>
        <w:br/>
        <w:t xml:space="preserve">на официальных сайтах </w:t>
      </w:r>
      <w:r>
        <w:rPr>
          <w:rFonts w:eastAsia="Droid Sans Fallback" w:cs="Lohit Devanagari"/>
          <w:b w:val="0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www.torgi.gov.ru, www.gorodperm.ru </w:t>
      </w:r>
      <w:r>
        <w:rPr>
          <w:shd w:val="clear" w:color="auto" w:fill="auto"/>
        </w:rPr>
        <w:t xml:space="preserve">и на электронной площадке в течение трех дней со дня принятия данного решения.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случае отказа от проведения аукциона организатором (в т. ч. одного или нескольких лотов) Оператор в течение одного часа прекращает блокирование денежных средств участников аукциона </w:t>
        <w:br/>
        <w:t xml:space="preserve">в размере задатка на их лицевых счетах на электронной площадке.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502"/>
        <w:jc w:val="center"/>
        <w:widowControl w:val="off"/>
        <w:rPr>
          <w:highlight w:val="none"/>
          <w:shd w:val="clear" w:color="auto" w:fill="auto"/>
        </w:rPr>
      </w:pPr>
      <w:r>
        <w:rPr>
          <w:rFonts w:eastAsia="Courier New"/>
          <w:b/>
          <w:shd w:val="clear" w:color="auto" w:fill="auto"/>
          <w:lang w:bidi="ru-RU"/>
        </w:rPr>
        <w:t xml:space="preserve">Порядок регистрации на электронной площадке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0"/>
        <w:jc w:val="both"/>
        <w:widowControl w:val="off"/>
        <w:rPr>
          <w:rFonts w:eastAsia="Courier New"/>
          <w:b/>
          <w:bCs/>
          <w:highlight w:val="none"/>
          <w:shd w:val="clear" w:color="auto" w:fill="auto"/>
          <w:lang w:bidi="ru-RU"/>
        </w:rPr>
      </w:pPr>
      <w:r>
        <w:rPr>
          <w:rFonts w:eastAsia="Courier New"/>
          <w:b/>
          <w:bCs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Регистрация на электронной площадке проводится в соответствии с регламентом электронной площадки.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01.08.2026 по 25.08.2026 с 9.00 до 18.00 по местному времени (7:00 – 16:00 МСК).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828"/>
        <w:jc w:val="center"/>
        <w:rPr>
          <w:b/>
          <w:bCs/>
          <w:color w:val="000000"/>
          <w:highlight w:val="none"/>
          <w:shd w:val="clear" w:color="auto" w:fill="auto"/>
        </w:rPr>
      </w:pPr>
      <w:r>
        <w:rPr>
          <w:b/>
          <w:color w:val="000000"/>
          <w:shd w:val="clear" w:color="auto" w:fill="auto"/>
        </w:rPr>
        <w:t xml:space="preserve">Разъяснение положений извещения о проведении аукциона</w:t>
      </w:r>
      <w:r>
        <w:rPr>
          <w:b/>
          <w:bCs/>
          <w:color w:val="000000"/>
          <w:highlight w:val="none"/>
          <w:shd w:val="clear" w:color="auto" w:fill="auto"/>
        </w:rPr>
      </w:r>
      <w:r>
        <w:rPr>
          <w:b/>
          <w:bCs/>
          <w:color w:val="000000"/>
          <w:highlight w:val="none"/>
          <w:shd w:val="clear" w:color="auto" w:fill="auto"/>
        </w:rPr>
      </w:r>
    </w:p>
    <w:p>
      <w:pPr>
        <w:pStyle w:val="795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по</w:t>
      </w:r>
      <w:r>
        <w:rPr>
          <w:bCs/>
          <w:shd w:val="clear" w:color="auto" w:fill="auto"/>
          <w:lang w:bidi="ru-RU"/>
        </w:rPr>
        <w:t xml:space="preserve">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 </w:t>
        <w:br/>
        <w:t xml:space="preserve">не рассматриваются.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5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709"/>
        <w:jc w:val="both"/>
        <w:spacing w:line="276" w:lineRule="auto"/>
        <w:widowControl w:val="off"/>
        <w:rPr>
          <w:bCs/>
          <w:highlight w:val="none"/>
          <w:shd w:val="clear" w:color="auto" w:fill="auto"/>
          <w:lang w:bidi="ru-RU"/>
        </w:rPr>
      </w:pPr>
      <w:r>
        <w:rPr>
          <w:bCs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</w:p>
    <w:p>
      <w:pPr>
        <w:pStyle w:val="697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/>
          <w:bCs/>
          <w:shd w:val="clear" w:color="auto" w:fill="auto"/>
        </w:rPr>
        <w:t xml:space="preserve">Требования к содержанию и составу заявки на участие в аукционе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b/>
          <w:bCs/>
          <w:highlight w:val="none"/>
          <w:shd w:val="clear" w:color="auto" w:fill="auto"/>
        </w:rPr>
        <w:outlineLvl w:val="0"/>
      </w:pPr>
      <w:r>
        <w:rPr>
          <w:b/>
          <w:bCs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rFonts w:eastAsia="Courier New"/>
          <w:shd w:val="clear" w:color="auto" w:fill="auto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val="clear" w:color="auto" w:fill="auto"/>
          <w:lang w:bidi="ru-RU"/>
        </w:rPr>
        <w:br w:type="textWrapping" w:clear="all"/>
      </w:r>
      <w:r>
        <w:rPr>
          <w:rFonts w:eastAsia="Courier New"/>
          <w:shd w:val="clear" w:color="auto" w:fill="auto"/>
          <w:lang w:bidi="ru-RU"/>
        </w:rPr>
        <w:t xml:space="preserve">о проведении аукциона срок следующие документы: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1) копии документов, удостоверяющих личность заявителя (для граждан), всех страниц;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2) надлежащим образом заверенный перевод на русский язык документов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jc w:val="both"/>
        <w:rPr>
          <w:rFonts w:eastAsia="Calibri"/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</w:p>
    <w:p>
      <w:pPr>
        <w:pStyle w:val="697"/>
        <w:ind w:firstLine="708"/>
        <w:jc w:val="center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Инструкция по заполнению и подаче заявки, порядок приема заявки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firstLine="708"/>
        <w:jc w:val="center"/>
        <w:rPr>
          <w:b/>
          <w:highlight w:val="none"/>
          <w:shd w:val="clear" w:color="auto" w:fill="auto"/>
        </w:rPr>
      </w:pPr>
      <w:r>
        <w:rPr>
          <w:b/>
          <w:shd w:val="clear" w:color="auto" w:fill="auto"/>
        </w:rPr>
      </w:r>
      <w:r>
        <w:rPr>
          <w:b/>
          <w:highlight w:val="none"/>
          <w:shd w:val="clear" w:color="auto" w:fill="auto"/>
        </w:rPr>
      </w:r>
      <w:r>
        <w:rPr>
          <w:b/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электронном аукционе с указанием банк</w:t>
      </w:r>
      <w:r>
        <w:rPr>
          <w:shd w:val="clear" w:color="auto" w:fill="auto"/>
        </w:rPr>
        <w:t xml:space="preserve">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2 - 3 пункта 1, пункте 1.1 статьи 39.12 Земельного кодекса Российской Федерации (копии </w:t>
      </w:r>
      <w:r>
        <w:rPr>
          <w:b w:val="0"/>
          <w:shd w:val="clear" w:color="auto" w:fill="auto"/>
        </w:rPr>
        <w:t xml:space="preserve">документов, удостоверяющих личность заявителя (для граждан) всех страниц; </w:t>
      </w:r>
      <w:r>
        <w:rPr>
          <w:b w:val="0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</w:rPr>
      </w:pPr>
      <w:r>
        <w:rPr>
          <w:sz w:val="24"/>
          <w:szCs w:val="24"/>
        </w:rPr>
        <w:t xml:space="preserve">На каждый лот представляется отдельный пакет документов.</w:t>
      </w:r>
      <w:r>
        <w:rPr>
          <w:highlight w:val="none"/>
        </w:rPr>
      </w:r>
      <w:r>
        <w:rPr>
          <w:highlight w:val="none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Заполнение заявки осуществляется в соответствии с порядком, определенным регламентом электронной площадки АО «Сбербанк-АСТ».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Все документы и сведения, связанные с получением регистрации на универсальной торговой пла</w:t>
      </w:r>
      <w:r>
        <w:rPr>
          <w:shd w:val="clear" w:color="auto" w:fill="auto"/>
        </w:rPr>
        <w:t xml:space="preserve">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Регламента Универсальной торговой платформы).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Заявка подается в виде электронного документа, подписанного электронной подписью заявителя (п. 3.2.2. Регламента торговой секции).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Заявитель заполняет электронную форму заявки, при</w:t>
      </w:r>
      <w:r>
        <w:rPr>
          <w:shd w:val="clear" w:color="auto" w:fill="auto"/>
        </w:rPr>
        <w:t xml:space="preserve">кладывает предусмотренные извещением </w:t>
        <w:br/>
        <w:t xml:space="preserve">о проведении аукциона файлы документов (при необходимости). Документы и сведения </w:t>
        <w:br/>
        <w:t xml:space="preserve">из регистрационных данн</w:t>
      </w:r>
      <w:r>
        <w:rPr>
          <w:shd w:val="clear" w:color="auto" w:fill="auto"/>
        </w:rPr>
        <w:t xml:space="preserve">ых заявителя на универсальной торговой платформе, актуальные на дату </w:t>
        <w:br/>
        <w:t xml:space="preserve">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Подача заявки осуществляется заявителем, зарегистрированным в торговой секции, 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из личного кабинета посредством штатного интерфейса отдельно по каждому лоту в сроки, установленные в извещении о проведении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вправе подать заявку в любое время с момента размещения извещения 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о проведении аукциона до предусмотренных указанным извещением даты и времени окончания срока подачи заявок.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Один заявитель вправе подать только одну заявку на участие в аукционе в отношении каждого лота.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аукционе, поступившая по истечении срока приема заявок, возвращается заявителю в день ее поступления.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Участие в аукционе возможно при наличии на лицевом счете заявителя денежных средств 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в размере не менее чем размер задатка на участие в аукционе, предусмотренный извещением 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о проведении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Все документы, входящие в состав заявки, должны иметь четко читаемый текст.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предоставляется организатору аукциона через Оператора.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0" w:firstLine="0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Заявка не может быть принята Оператором в случае: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а) отсутствия на лицевом счете заявителя достаточной суммы денежных средств </w:t>
      </w:r>
      <w:r>
        <w:rPr>
          <w:bCs/>
          <w:shd w:val="clear" w:color="auto" w:fill="auto"/>
        </w:rPr>
        <w:br w:type="textWrapping" w:clear="all"/>
      </w:r>
      <w:r>
        <w:rPr>
          <w:bCs/>
          <w:shd w:val="clear" w:color="auto" w:fill="auto"/>
        </w:rPr>
        <w:t xml:space="preserve">в размере задатка;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0" w:firstLine="0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в) подачи заявки по истечении установленного срока подачи заявок;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г) некорректного заполнения формы заявки, в том числе незаполнения полей, являющихся обязательными для заполнения.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enter" w:pos="284" w:leader="none"/>
          <w:tab w:val="clear" w:pos="708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Заявителям, признанным участниками аукциона, и зая</w:t>
      </w:r>
      <w:r>
        <w:rPr>
          <w:bCs/>
          <w:shd w:val="clear" w:color="auto" w:fill="auto"/>
        </w:rPr>
        <w:t xml:space="preserve">вителям, не допущенным к участию </w:t>
        <w:br/>
        <w:t xml:space="preserve">в аукционе, оператор электронной площадки направляет в электронной форме уведомления 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spacing w:line="276" w:lineRule="auto"/>
        <w:tabs>
          <w:tab w:val="center" w:pos="284" w:leader="none"/>
          <w:tab w:val="clear" w:pos="708" w:leader="none"/>
        </w:tabs>
        <w:rPr>
          <w:bCs/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</w:r>
      <w:r>
        <w:rPr>
          <w:bCs/>
          <w:highlight w:val="none"/>
          <w:shd w:val="clear" w:color="auto" w:fill="auto"/>
        </w:rPr>
      </w:r>
      <w:r>
        <w:rPr>
          <w:bCs/>
          <w:highlight w:val="none"/>
          <w:shd w:val="clear" w:color="auto" w:fill="auto"/>
        </w:rPr>
      </w:r>
    </w:p>
    <w:p>
      <w:pPr>
        <w:pStyle w:val="697"/>
        <w:ind w:left="502"/>
        <w:jc w:val="center"/>
        <w:widowControl w:val="off"/>
        <w:rPr>
          <w:highlight w:val="none"/>
          <w:shd w:val="clear" w:color="auto" w:fill="auto"/>
        </w:rPr>
      </w:pPr>
      <w:r>
        <w:rPr>
          <w:b/>
          <w:bCs/>
          <w:shd w:val="clear" w:color="auto" w:fill="auto"/>
          <w:lang w:bidi="ru-RU"/>
        </w:rPr>
        <w:t xml:space="preserve">Порядок и срок изменения, отзыва заявки на участие в аукционе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502"/>
        <w:widowControl w:val="off"/>
        <w:rPr>
          <w:b/>
          <w:bCs/>
          <w:highlight w:val="none"/>
          <w:shd w:val="clear" w:color="auto" w:fill="auto"/>
          <w:lang w:bidi="ru-RU"/>
        </w:rPr>
      </w:pPr>
      <w:r>
        <w:rPr>
          <w:b/>
          <w:bCs/>
          <w:shd w:val="clear" w:color="auto" w:fill="auto"/>
          <w:lang w:bidi="ru-RU"/>
        </w:rPr>
      </w:r>
      <w:r>
        <w:rPr>
          <w:b/>
          <w:bCs/>
          <w:highlight w:val="none"/>
          <w:shd w:val="clear" w:color="auto" w:fill="auto"/>
          <w:lang w:bidi="ru-RU"/>
        </w:rPr>
      </w:r>
      <w:r>
        <w:rPr>
          <w:b/>
          <w:bCs/>
          <w:highlight w:val="none"/>
          <w:shd w:val="clear" w:color="auto" w:fill="auto"/>
          <w:lang w:bidi="ru-RU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имеет право отозвать принятую организатором аукциона заявку на участие 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в аукционе до дня окончания</w:t>
      </w:r>
      <w:r>
        <w:rPr>
          <w:shd w:val="clear" w:color="auto" w:fill="auto"/>
        </w:rPr>
        <w:t xml:space="preserve">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ветствующее уведомление.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1"/>
        <w:ind w:left="-567" w:firstLine="567"/>
        <w:jc w:val="both"/>
        <w:widowControl w:val="off"/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 отзыва заявки заявителем до дня окончания срока приема заявок Оператор  обеспечивает возврат заявителю денежных средств, заблокированных в размере задатка на расчетном счете Оператора, в течение трех рабочих дней со дня отзыва заявки. </w:t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r>
    </w:p>
    <w:p>
      <w:pPr>
        <w:pStyle w:val="791"/>
        <w:ind w:left="-567" w:firstLine="567"/>
        <w:jc w:val="both"/>
        <w:widowControl w:val="off"/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отзыва заявки заявителем позднее дня окончания срока приема заявок денежные средства, заблокированные в размере задатка на расчетном счете Оператора, возвращаются в порядке, установленном пунктом 10.1 статьи 39.13  Земельного кодекса Российской Федерации.</w:t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jc w:val="center"/>
        <w:rPr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  <w:t xml:space="preserve">Определение участников аукциона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jc w:val="center"/>
        <w:rPr>
          <w:b/>
          <w:bCs/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val="clear" w:color="auto" w:fill="auto"/>
        </w:rPr>
        <w:br w:type="textWrapping" w:clear="all"/>
      </w:r>
      <w:r>
        <w:rPr>
          <w:bCs/>
          <w:shd w:val="clear" w:color="auto" w:fill="auto"/>
        </w:rPr>
        <w:t xml:space="preserve">к участию в аукционе или об отказе в допуске к участию в аукционе.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не допускается к участию в аукционе в следующих случаях: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z w:val="20"/>
          <w:shd w:val="clear" w:color="auto" w:fill="auto"/>
        </w:rPr>
        <w:t xml:space="preserve">1) </w:t>
      </w:r>
      <w:r>
        <w:rPr>
          <w:shd w:val="clear" w:color="auto" w:fill="auto"/>
        </w:rPr>
        <w:t xml:space="preserve">непредставление необходимых для участия в аукционе документов или представление недостоверных сведений;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2) непоступление задатка на дату рассмотрения заявок на участие в аукционе;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3) подача заяв</w:t>
      </w:r>
      <w:r>
        <w:rPr>
          <w:shd w:val="clear" w:color="auto" w:fill="auto"/>
        </w:rPr>
        <w:t xml:space="preserve">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</w:t>
        <w:br/>
        <w:t xml:space="preserve">в аренду;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4) наличие свед</w:t>
      </w:r>
      <w:r>
        <w:rPr>
          <w:shd w:val="clear" w:color="auto" w:fill="auto"/>
        </w:rPr>
        <w:t xml:space="preserve">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день при</w:t>
      </w:r>
      <w:r>
        <w:rPr>
          <w:shd w:val="clear" w:color="auto" w:fill="auto"/>
        </w:rPr>
        <w:t xml:space="preserve">знания заявителей участниками аукциона, указанный в извещении </w:t>
        <w:br/>
        <w:t xml:space="preserve"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приобретает статус участника аукциона с момента подписания протокола рассмотрения заявок.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Не позднее следующего рабочего дня п</w:t>
      </w:r>
      <w:r>
        <w:rPr>
          <w:shd w:val="clear" w:color="auto" w:fill="auto"/>
        </w:rPr>
        <w:t xml:space="preserve">осле дня подписания протокола рассмотрения заявок, всем заявителям оператором электронной площадки направляется в личные кабинеты уведомления </w:t>
        <w:br/>
        <w:t xml:space="preserve">о признании их участниками аукциона или об отказе в признании участниками аукциона с указанием оснований отказа.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заявка на участие в аукционе либо по результатам рассмотрения заявок на участие в аукционе принято решение об отказе в допуске к участию </w:t>
        <w:br/>
        <w:t xml:space="preserve">в аукционе всех заявителей или о допуске к участию в аукционе и признании участником аукциона только одного заявителя,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</w:t>
        <w:br/>
        <w:t xml:space="preserve">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емельного кодекса Российской Федерации.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widowControl w:val="off"/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val="clear" w:color="auto" w:fill="auto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val="clear" w:color="auto" w:fill="auto"/>
          <w:lang w:val="ru-RU" w:eastAsia="zh-CN" w:bidi="ar-SA"/>
        </w:rPr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val="clear" w:color="auto" w:fill="auto"/>
          <w:lang w:val="ru-RU" w:eastAsia="zh-CN" w:bidi="ar-SA"/>
        </w:rPr>
      </w:r>
    </w:p>
    <w:p>
      <w:pPr>
        <w:pStyle w:val="697"/>
        <w:jc w:val="center"/>
        <w:rPr>
          <w:b/>
          <w:bCs/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  <w:t xml:space="preserve">Порядок проведения аукциона</w:t>
      </w:r>
      <w:r>
        <w:rPr>
          <w:b/>
          <w:bCs/>
          <w:highlight w:val="none"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</w:p>
    <w:p>
      <w:pPr>
        <w:pStyle w:val="697"/>
        <w:ind w:left="502"/>
        <w:jc w:val="center"/>
        <w:widowControl w:val="off"/>
        <w:rPr>
          <w:rFonts w:eastAsia="Courier New"/>
          <w:b/>
          <w:bCs/>
          <w:highlight w:val="none"/>
          <w:shd w:val="clear" w:color="auto" w:fill="auto"/>
          <w:lang w:bidi="ru-RU"/>
        </w:rPr>
      </w:pPr>
      <w:r>
        <w:rPr>
          <w:rFonts w:eastAsia="Courier New"/>
          <w:b/>
          <w:bCs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5% от начальной цены предмета аукциона</w:t>
      </w:r>
      <w:r>
        <w:rPr>
          <w:rFonts w:eastAsia="Calibri"/>
          <w:shd w:val="clear" w:color="auto" w:fill="auto"/>
        </w:rPr>
        <w:t xml:space="preserve">, и не изменяется в течение всего времени подачи предложений о цене.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ходе проведения аукциона участники аукциона подают предложения о цене предмета аукциона в соответствии со следующими требованиями: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о цене предмета аукциона на величину «шага аукциона»;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Время для подачи предложений о цене аукциона определяется в следующем порядке: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Время ожидания предложения участника аукциона о цене предмета аукциона составляет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10 (десять) минут. При поступлении предложения участн</w:t>
      </w:r>
      <w:r>
        <w:rPr>
          <w:rFonts w:eastAsia="Calibri"/>
          <w:shd w:val="clear" w:color="auto" w:fill="auto"/>
        </w:rPr>
        <w:t xml:space="preserve">ика аукциона </w:t>
        <w:br/>
        <w:t xml:space="preserve"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Срок для подачи предложений о цене обновляется автоматически после улучшения текущего предложения о цене. Время срока подачи предложений </w:t>
      </w:r>
      <w:r>
        <w:rPr>
          <w:rFonts w:eastAsia="Calibri"/>
          <w:shd w:val="clear" w:color="auto" w:fill="auto"/>
        </w:rPr>
        <w:t xml:space="preserve">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в момент его поступления и соответствующее уведомление участника аукциона, в случаях, если: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предложение о цене аукциона предоставлено до начала или по истечении установленного времени для подачи предложений о цене аукциона;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ниже начальной цены;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равно нулю;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не соответствует увеличению текущей цены на величину «шага аукциона»;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предыдущее представленное данным участником аукциона предложение о цене аукциона является лучшим текущим предложением о цене;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участником аукциона предложение о цене аукциона меньше ранее представленных предложений.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Победителем аукциона признается участник аукциона, предложивший наибольшую цену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за земельный участок или наибольший размер ежегодной арендной платы за земельный участок.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Электронный аукцион признается несостоявшимся в случае, если в электронном аукционе участвовал один участник электронного аукциона, в ходе проведения электронного аукциона ни один из участников не подал предложение о цене предмета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rFonts w:eastAsia="Calibri"/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/>
          <w:bCs/>
          <w:shd w:val="clear" w:color="auto" w:fill="auto"/>
        </w:rPr>
        <w:t xml:space="preserve">Порядок и срок заключения договора</w:t>
      </w:r>
      <w:r>
        <w:rPr>
          <w:b/>
          <w:bCs/>
          <w:shd w:val="clear" w:color="auto" w:fill="auto"/>
        </w:rPr>
        <w:br w:type="textWrapping" w:clear="all"/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По результатам проведения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</w:t>
        <w:br/>
        <w:t xml:space="preserve">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ли аукцион признан несостоявшимся, либо протокола о результатах аукциона на официальных сайтах www.torgi.gov.ru,  www.gorodperm.ru.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</w:t>
      </w:r>
      <w:r>
        <w:rPr>
          <w:bCs/>
          <w:shd w:val="clear" w:color="auto" w:fill="auto"/>
        </w:rPr>
        <w:t xml:space="preserve"> направить победителю аукциона или иным лицам, с которыми в соответствии</w:t>
        <w:br/>
        <w:t xml:space="preserve">с пунктами 13, 14, 20 и 25 статьи 39.12 Земельного кодекса Российской Федерации заключается  договор аренды земельного участка, подписанный проект договора  аренды земельного участка.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По результатам проведения аукциона договор аренды земельного участка заключается</w:t>
        <w:br/>
        <w:t xml:space="preserve">в электронной форме и подписывается усиленной квалифицированной электронной подписью сторон такого договора.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Проекты договоров являются частью извещения и представлены в Приложении 1, 3</w:t>
        <w:br/>
        <w:t xml:space="preserve">к настоящему извещению.</w:t>
        <w:tab/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Если договор аренды земельного участка </w:t>
      </w:r>
      <w:r>
        <w:rPr>
          <w:b w:val="0"/>
          <w:bCs/>
          <w:shd w:val="clear" w:color="auto" w:fill="auto"/>
        </w:rPr>
        <w:t xml:space="preserve">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</w:t>
      </w:r>
      <w:r>
        <w:rPr>
          <w:b w:val="0"/>
          <w:bCs/>
          <w:shd w:val="clear" w:color="auto" w:fill="auto"/>
        </w:rPr>
        <w:t xml:space="preserve">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enter" w:pos="567" w:leader="none"/>
          <w:tab w:val="clear" w:pos="708" w:leader="none"/>
        </w:tabs>
        <w:rPr>
          <w:highlight w:val="none"/>
          <w:shd w:val="clear" w:color="auto" w:fill="auto"/>
        </w:rPr>
        <w:outlineLvl w:val="0"/>
      </w:pPr>
      <w:r>
        <w:rPr>
          <w:rFonts w:eastAsia="Courier New"/>
          <w:shd w:val="clear" w:color="auto" w:fill="auto"/>
          <w:lang w:bidi="ru-RU"/>
        </w:rPr>
        <w:t xml:space="preserve">Сведения о победителях аукционов, уклонившихся от заключения договора  аренды земельного участка, являющегося предмето</w:t>
      </w:r>
      <w:r>
        <w:rPr>
          <w:rFonts w:eastAsia="Courier New"/>
          <w:shd w:val="clear" w:color="auto" w:fill="auto"/>
          <w:lang w:bidi="ru-RU"/>
        </w:rPr>
        <w:t xml:space="preserve">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заключения, включаются в реестр недобросовестных участников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7"/>
        <w:numPr>
          <w:ilvl w:val="0"/>
          <w:numId w:val="0"/>
        </w:numPr>
        <w:ind w:left="-567" w:firstLine="567"/>
        <w:jc w:val="both"/>
        <w:tabs>
          <w:tab w:val="center" w:pos="567" w:leader="none"/>
          <w:tab w:val="clear" w:pos="708" w:leader="none"/>
        </w:tabs>
        <w:rPr>
          <w:highlight w:val="none"/>
          <w:shd w:val="clear" w:color="auto" w:fill="auto"/>
        </w:rPr>
        <w:outlineLvl w:val="0"/>
      </w:pPr>
      <w:r>
        <w:rPr>
          <w:rFonts w:eastAsia="Courier New"/>
          <w:shd w:val="clear" w:color="auto" w:fill="auto"/>
          <w:lang w:bidi="ru-RU"/>
        </w:rPr>
        <w:t xml:space="preserve">Информация и документы о заключении договора аренды земельного участка и (или) </w:t>
        <w:br/>
        <w:t xml:space="preserve">об оформлении иных документов по результатам проведения аукциона размещаются на ГИС Торги.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420" w:right="567" w:bottom="1134" w:left="1418" w:header="363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Open Sans">
    <w:panose1 w:val="020B0606030504020204"/>
  </w:font>
  <w:font w:name="Calibri Light">
    <w:panose1 w:val="020F0502020204030204"/>
  </w:font>
  <w:font w:name="Symbol">
    <w:panose1 w:val="05010000000000000000"/>
  </w:font>
  <w:font w:name="Arial">
    <w:panose1 w:val="020B0604020202020204"/>
  </w:font>
  <w:font w:name="Droid Sans Fallback">
    <w:panose1 w:val="020B0502000000000001"/>
  </w:font>
  <w:font w:name="OpenSymbol">
    <w:panose1 w:val="05010000000000000000"/>
  </w:font>
  <w:font w:name="Courier New">
    <w:panose1 w:val="02070309020205020404"/>
  </w:font>
  <w:font w:name="Lohit Devanagari">
    <w:panose1 w:val="020B0600000000000000"/>
  </w:font>
  <w:font w:name="Consultant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6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 xml:space="preserve">17</w:t>
    </w:r>
    <w:r>
      <w:rPr>
        <w:sz w:val="20"/>
        <w:szCs w:val="28"/>
      </w:rPr>
      <w:fldChar w:fldCharType="end"/>
    </w:r>
    <w:r>
      <w:rPr>
        <w:sz w:val="20"/>
        <w:szCs w:val="28"/>
      </w:rPr>
    </w:r>
    <w:r>
      <w:rPr>
        <w:sz w:val="20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9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70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color w:val="000000"/>
        <w:sz w:val="24"/>
        <w:szCs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  <w:color w:val="000000"/>
        <w:sz w:val="24"/>
        <w:szCs w:val="24"/>
        <w:u w:val="none"/>
        <w:lang w:val="ru-RU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  <w:sz w:val="24"/>
        <w:szCs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  <w:sz w:val="24"/>
        <w:szCs w:val="24"/>
        <w:lang w:val="ru-RU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  <w:lang w:bidi="ru-RU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  <w:lang w:eastAsia="en-U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  <w:bCs/>
        <w:lang w:eastAsia="en-US" w:bidi="ru-RU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  <w:b/>
        <w:bCs/>
        <w:lang w:bidi="ru-RU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color w:val="000000"/>
        <w:sz w:val="24"/>
        <w:szCs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  <w:color w:val="000000"/>
        <w:sz w:val="24"/>
        <w:szCs w:val="24"/>
        <w:u w:val="none"/>
        <w:lang w:val="ru-RU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  <w:sz w:val="24"/>
        <w:szCs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  <w:sz w:val="24"/>
        <w:szCs w:val="24"/>
        <w:lang w:val="ru-RU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  <w:lang w:bidi="ru-RU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  <w:lang w:eastAsia="en-U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  <w:bCs/>
        <w:lang w:eastAsia="en-US" w:bidi="ru-RU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  <w:b/>
        <w:bCs/>
        <w:lang w:bidi="ru-RU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2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71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43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15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7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59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1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3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752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color w:val="000000"/>
        <w:sz w:val="24"/>
        <w:szCs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  <w:color w:val="000000"/>
        <w:sz w:val="24"/>
        <w:szCs w:val="24"/>
        <w:u w:val="none"/>
        <w:lang w:val="ru-RU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  <w:sz w:val="24"/>
        <w:szCs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  <w:sz w:val="24"/>
        <w:szCs w:val="24"/>
        <w:lang w:val="ru-RU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  <w:lang w:bidi="ru-RU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  <w:lang w:eastAsia="en-U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  <w:bCs/>
        <w:lang w:eastAsia="en-US" w:bidi="ru-RU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  <w:b/>
        <w:bCs/>
        <w:lang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7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zh-CN" w:bidi="ar-SA"/>
    </w:rPr>
  </w:style>
  <w:style w:type="paragraph" w:styleId="698">
    <w:name w:val="Heading 1"/>
    <w:basedOn w:val="697"/>
    <w:qFormat/>
    <w:pPr>
      <w:numPr>
        <w:ilvl w:val="0"/>
        <w:numId w:val="1"/>
      </w:numPr>
      <w:jc w:val="center"/>
      <w:keepNext/>
      <w:outlineLvl w:val="0"/>
    </w:pPr>
    <w:rPr>
      <w:b/>
      <w:sz w:val="28"/>
      <w:szCs w:val="20"/>
    </w:rPr>
  </w:style>
  <w:style w:type="paragraph" w:styleId="699">
    <w:name w:val="Heading 2"/>
    <w:basedOn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0">
    <w:name w:val="Heading 3"/>
    <w:basedOn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1">
    <w:name w:val="Heading 4"/>
    <w:basedOn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03">
    <w:name w:val="Heading 6"/>
    <w:basedOn w:val="697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04">
    <w:name w:val="Heading 7"/>
    <w:basedOn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1 Char"/>
    <w:basedOn w:val="724"/>
    <w:uiPriority w:val="9"/>
    <w:qFormat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724"/>
    <w:uiPriority w:val="9"/>
    <w:qFormat/>
    <w:rPr>
      <w:rFonts w:ascii="Arial" w:hAnsi="Arial" w:eastAsia="Arial" w:cs="Arial"/>
      <w:sz w:val="34"/>
    </w:rPr>
  </w:style>
  <w:style w:type="character" w:styleId="709">
    <w:name w:val="Heading 3 Char"/>
    <w:basedOn w:val="724"/>
    <w:uiPriority w:val="9"/>
    <w:qFormat/>
    <w:rPr>
      <w:rFonts w:ascii="Arial" w:hAnsi="Arial" w:eastAsia="Arial" w:cs="Arial"/>
      <w:sz w:val="30"/>
      <w:szCs w:val="30"/>
    </w:rPr>
  </w:style>
  <w:style w:type="character" w:styleId="710">
    <w:name w:val="Heading 4 Char"/>
    <w:basedOn w:val="72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1">
    <w:name w:val="Heading 5 Char"/>
    <w:basedOn w:val="72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12">
    <w:name w:val="Heading 6 Char"/>
    <w:basedOn w:val="72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3">
    <w:name w:val="Heading 7 Char"/>
    <w:basedOn w:val="72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14">
    <w:name w:val="Heading 8 Char"/>
    <w:basedOn w:val="72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15">
    <w:name w:val="Heading 9 Char"/>
    <w:basedOn w:val="72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16">
    <w:name w:val="Title Char"/>
    <w:basedOn w:val="724"/>
    <w:uiPriority w:val="10"/>
    <w:qFormat/>
    <w:rPr>
      <w:sz w:val="48"/>
      <w:szCs w:val="48"/>
    </w:rPr>
  </w:style>
  <w:style w:type="character" w:styleId="717">
    <w:name w:val="Subtitle Char"/>
    <w:basedOn w:val="724"/>
    <w:uiPriority w:val="11"/>
    <w:qFormat/>
    <w:rPr>
      <w:sz w:val="24"/>
      <w:szCs w:val="24"/>
    </w:rPr>
  </w:style>
  <w:style w:type="character" w:styleId="718">
    <w:name w:val="Quote Char"/>
    <w:uiPriority w:val="29"/>
    <w:qFormat/>
    <w:rPr>
      <w:i/>
    </w:rPr>
  </w:style>
  <w:style w:type="character" w:styleId="719">
    <w:name w:val="Intense Quote Char"/>
    <w:uiPriority w:val="30"/>
    <w:qFormat/>
    <w:rPr>
      <w:i/>
    </w:rPr>
  </w:style>
  <w:style w:type="character" w:styleId="720">
    <w:name w:val="Header Char"/>
    <w:basedOn w:val="724"/>
    <w:uiPriority w:val="99"/>
    <w:qFormat/>
  </w:style>
  <w:style w:type="character" w:styleId="721">
    <w:name w:val="Caption Char"/>
    <w:uiPriority w:val="99"/>
    <w:qFormat/>
  </w:style>
  <w:style w:type="character" w:styleId="722">
    <w:name w:val="Footnote Text Char"/>
    <w:uiPriority w:val="99"/>
    <w:qFormat/>
    <w:rPr>
      <w:sz w:val="18"/>
    </w:rPr>
  </w:style>
  <w:style w:type="character" w:styleId="723">
    <w:name w:val="Endnote Text Char"/>
    <w:uiPriority w:val="99"/>
    <w:qFormat/>
    <w:rPr>
      <w:sz w:val="20"/>
    </w:rPr>
  </w:style>
  <w:style w:type="character" w:styleId="724" w:default="1">
    <w:name w:val="Default Paragraph Font"/>
    <w:uiPriority w:val="1"/>
    <w:semiHidden/>
    <w:unhideWhenUsed/>
    <w:qFormat/>
  </w:style>
  <w:style w:type="character" w:styleId="725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726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727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728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9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31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32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33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34" w:customStyle="1">
    <w:name w:val="Заголовок Знак1"/>
    <w:uiPriority w:val="10"/>
    <w:qFormat/>
    <w:rPr>
      <w:sz w:val="48"/>
      <w:szCs w:val="48"/>
    </w:rPr>
  </w:style>
  <w:style w:type="character" w:styleId="735" w:customStyle="1">
    <w:name w:val="Подзаголовок Знак"/>
    <w:uiPriority w:val="11"/>
    <w:qFormat/>
    <w:rPr>
      <w:sz w:val="24"/>
      <w:szCs w:val="24"/>
    </w:rPr>
  </w:style>
  <w:style w:type="character" w:styleId="736" w:customStyle="1">
    <w:name w:val="Цитата 2 Знак"/>
    <w:uiPriority w:val="29"/>
    <w:qFormat/>
    <w:rPr>
      <w:i/>
    </w:rPr>
  </w:style>
  <w:style w:type="character" w:styleId="737" w:customStyle="1">
    <w:name w:val="Выделенная цитата Знак"/>
    <w:uiPriority w:val="30"/>
    <w:qFormat/>
    <w:rPr>
      <w:i/>
    </w:rPr>
  </w:style>
  <w:style w:type="character" w:styleId="738" w:customStyle="1">
    <w:name w:val="Верхний колонтитул Знак1"/>
    <w:uiPriority w:val="99"/>
    <w:qFormat/>
  </w:style>
  <w:style w:type="character" w:styleId="739" w:customStyle="1">
    <w:name w:val="Footer Char"/>
    <w:uiPriority w:val="99"/>
    <w:qFormat/>
  </w:style>
  <w:style w:type="character" w:styleId="740" w:customStyle="1">
    <w:name w:val="Нижний колонтитул Знак1"/>
    <w:uiPriority w:val="99"/>
    <w:qFormat/>
  </w:style>
  <w:style w:type="character" w:styleId="741" w:customStyle="1">
    <w:name w:val="Текст сноски Знак"/>
    <w:uiPriority w:val="99"/>
    <w:qFormat/>
    <w:rPr>
      <w:sz w:val="18"/>
    </w:rPr>
  </w:style>
  <w:style w:type="character" w:styleId="742">
    <w:name w:val="Символ сноски"/>
    <w:uiPriority w:val="99"/>
    <w:unhideWhenUsed/>
    <w:qFormat/>
    <w:rPr>
      <w:vertAlign w:val="superscript"/>
    </w:rPr>
  </w:style>
  <w:style w:type="character" w:styleId="743">
    <w:name w:val="footnote reference"/>
    <w:rPr>
      <w:vertAlign w:val="superscript"/>
    </w:rPr>
  </w:style>
  <w:style w:type="character" w:styleId="744" w:customStyle="1">
    <w:name w:val="Текст концевой сноски Знак"/>
    <w:uiPriority w:val="99"/>
    <w:qFormat/>
    <w:rPr>
      <w:sz w:val="20"/>
    </w:rPr>
  </w:style>
  <w:style w:type="character" w:styleId="74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46">
    <w:name w:val="endnote reference"/>
    <w:rPr>
      <w:vertAlign w:val="superscript"/>
    </w:rPr>
  </w:style>
  <w:style w:type="character" w:styleId="747" w:customStyle="1">
    <w:name w:val="WW8Num2z0"/>
    <w:qFormat/>
    <w:rPr>
      <w:rFonts w:ascii="Symbol" w:hAnsi="Symbol" w:cs="Symbol"/>
    </w:rPr>
  </w:style>
  <w:style w:type="character" w:styleId="748" w:customStyle="1">
    <w:name w:val="WW8Num3z0"/>
    <w:qFormat/>
  </w:style>
  <w:style w:type="character" w:styleId="749" w:customStyle="1">
    <w:name w:val="WW8Num4z0"/>
    <w:qFormat/>
  </w:style>
  <w:style w:type="character" w:styleId="750" w:customStyle="1">
    <w:name w:val="WW8Num5z0"/>
    <w:qFormat/>
    <w:rPr>
      <w:sz w:val="16"/>
      <w:szCs w:val="16"/>
    </w:rPr>
  </w:style>
  <w:style w:type="character" w:styleId="751" w:customStyle="1">
    <w:name w:val="WW8Num6z0"/>
    <w:qFormat/>
  </w:style>
  <w:style w:type="character" w:styleId="752" w:customStyle="1">
    <w:name w:val="WW8Num7z0"/>
    <w:qFormat/>
  </w:style>
  <w:style w:type="character" w:styleId="753" w:customStyle="1">
    <w:name w:val="WW8Num8z0"/>
    <w:qFormat/>
  </w:style>
  <w:style w:type="character" w:styleId="754" w:customStyle="1">
    <w:name w:val="WW8Num9z0"/>
    <w:qFormat/>
  </w:style>
  <w:style w:type="character" w:styleId="755" w:customStyle="1">
    <w:name w:val="WW8Num10z0"/>
    <w:qFormat/>
  </w:style>
  <w:style w:type="character" w:styleId="756" w:customStyle="1">
    <w:name w:val="WW8Num11z0"/>
    <w:qFormat/>
  </w:style>
  <w:style w:type="character" w:styleId="757" w:customStyle="1">
    <w:name w:val="WW8Num12z0"/>
    <w:qFormat/>
  </w:style>
  <w:style w:type="character" w:styleId="758" w:customStyle="1">
    <w:name w:val="WW8Num13z0"/>
    <w:qFormat/>
  </w:style>
  <w:style w:type="character" w:styleId="759" w:customStyle="1">
    <w:name w:val="WW8Num14z0"/>
    <w:qFormat/>
  </w:style>
  <w:style w:type="character" w:styleId="760" w:customStyle="1">
    <w:name w:val="WW8Num15z0"/>
    <w:qFormat/>
  </w:style>
  <w:style w:type="character" w:styleId="761" w:customStyle="1">
    <w:name w:val="WW8Num18z0"/>
    <w:qFormat/>
  </w:style>
  <w:style w:type="character" w:styleId="762" w:customStyle="1">
    <w:name w:val="WW8Num19z0"/>
    <w:qFormat/>
  </w:style>
  <w:style w:type="character" w:styleId="763" w:customStyle="1">
    <w:name w:val="WW8Num20z0"/>
    <w:qFormat/>
  </w:style>
  <w:style w:type="character" w:styleId="764" w:customStyle="1">
    <w:name w:val="WW8Num21z0"/>
    <w:qFormat/>
  </w:style>
  <w:style w:type="character" w:styleId="765" w:customStyle="1">
    <w:name w:val="WW8Num22z0"/>
    <w:qFormat/>
  </w:style>
  <w:style w:type="character" w:styleId="766" w:customStyle="1">
    <w:name w:val="WW8Num23z0"/>
    <w:qFormat/>
  </w:style>
  <w:style w:type="character" w:styleId="767" w:customStyle="1">
    <w:name w:val="WW8Num25z0"/>
    <w:qFormat/>
  </w:style>
  <w:style w:type="character" w:styleId="768" w:customStyle="1">
    <w:name w:val="WW8Num26z0"/>
    <w:qFormat/>
  </w:style>
  <w:style w:type="character" w:styleId="769" w:customStyle="1">
    <w:name w:val="WW8Num27z0"/>
    <w:qFormat/>
  </w:style>
  <w:style w:type="character" w:styleId="770" w:customStyle="1">
    <w:name w:val="WW8Num29z0"/>
    <w:qFormat/>
    <w:rPr>
      <w:rFonts w:ascii="Symbol" w:hAnsi="Symbol" w:cs="Symbol"/>
    </w:rPr>
  </w:style>
  <w:style w:type="character" w:styleId="771" w:customStyle="1">
    <w:name w:val="WW8Num30z0"/>
    <w:qFormat/>
  </w:style>
  <w:style w:type="character" w:styleId="772" w:customStyle="1">
    <w:name w:val="WW8Num31z0"/>
    <w:qFormat/>
  </w:style>
  <w:style w:type="character" w:styleId="773" w:customStyle="1">
    <w:name w:val="WW8Num32z0"/>
    <w:qFormat/>
  </w:style>
  <w:style w:type="character" w:styleId="774" w:customStyle="1">
    <w:name w:val="WW8Num33z0"/>
    <w:qFormat/>
  </w:style>
  <w:style w:type="character" w:styleId="775" w:customStyle="1">
    <w:name w:val="WW8Num34z0"/>
    <w:qFormat/>
  </w:style>
  <w:style w:type="character" w:styleId="776">
    <w:name w:val="page number"/>
    <w:basedOn w:val="724"/>
    <w:qFormat/>
  </w:style>
  <w:style w:type="character" w:styleId="777" w:customStyle="1">
    <w:name w:val="Текст Знак"/>
    <w:qFormat/>
    <w:rPr>
      <w:rFonts w:ascii="Courier New" w:hAnsi="Courier New" w:cs="Courier New"/>
    </w:rPr>
  </w:style>
  <w:style w:type="character" w:styleId="778" w:customStyle="1">
    <w:name w:val="Верхний колонтитул Знак"/>
    <w:qFormat/>
    <w:rPr>
      <w:sz w:val="16"/>
      <w:lang w:val="ru-RU" w:bidi="ar-SA"/>
    </w:rPr>
  </w:style>
  <w:style w:type="character" w:styleId="779" w:customStyle="1">
    <w:name w:val="Основной текст с отступом 3 Знак"/>
    <w:qFormat/>
    <w:rPr>
      <w:sz w:val="16"/>
      <w:szCs w:val="16"/>
    </w:rPr>
  </w:style>
  <w:style w:type="character" w:styleId="780">
    <w:name w:val="Hyperlink"/>
    <w:rPr>
      <w:color w:val="0563c1"/>
      <w:u w:val="single"/>
    </w:rPr>
  </w:style>
  <w:style w:type="character" w:styleId="781" w:customStyle="1">
    <w:name w:val="Абзац списка Знак"/>
    <w:qFormat/>
    <w:rPr>
      <w:sz w:val="24"/>
      <w:szCs w:val="24"/>
    </w:rPr>
  </w:style>
  <w:style w:type="character" w:styleId="782" w:customStyle="1">
    <w:name w:val="Заголовок 6 Знак"/>
    <w:qFormat/>
    <w:rPr>
      <w:b/>
      <w:bCs/>
      <w:sz w:val="22"/>
      <w:szCs w:val="22"/>
    </w:rPr>
  </w:style>
  <w:style w:type="character" w:styleId="783" w:customStyle="1">
    <w:name w:val="Название Знак"/>
    <w:qFormat/>
    <w:rPr>
      <w:sz w:val="28"/>
      <w:lang w:val="ru-RU" w:bidi="ar-SA"/>
    </w:rPr>
  </w:style>
  <w:style w:type="character" w:styleId="784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785" w:customStyle="1">
    <w:name w:val="Нижний колонтитул Знак"/>
    <w:qFormat/>
  </w:style>
  <w:style w:type="character" w:styleId="786">
    <w:name w:val="FollowedHyperlink"/>
    <w:rPr>
      <w:color w:val="954f72"/>
      <w:u w:val="single"/>
    </w:rPr>
  </w:style>
  <w:style w:type="character" w:styleId="787" w:customStyle="1">
    <w:name w:val="Гиперссылка"/>
    <w:qFormat/>
    <w:rPr>
      <w:color w:val="0000ff"/>
      <w:u w:val="single"/>
    </w:rPr>
  </w:style>
  <w:style w:type="character" w:styleId="788">
    <w:name w:val="Символ нумерации"/>
    <w:qFormat/>
  </w:style>
  <w:style w:type="character" w:styleId="789">
    <w:name w:val="Маркеры"/>
    <w:qFormat/>
    <w:rPr>
      <w:rFonts w:ascii="OpenSymbol" w:hAnsi="OpenSymbol" w:eastAsia="OpenSymbol" w:cs="OpenSymbol"/>
    </w:rPr>
  </w:style>
  <w:style w:type="paragraph" w:styleId="790">
    <w:name w:val="Заголовок"/>
    <w:basedOn w:val="697"/>
    <w:next w:val="791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91">
    <w:name w:val="Body Text"/>
    <w:basedOn w:val="697"/>
    <w:pPr>
      <w:jc w:val="right"/>
    </w:pPr>
    <w:rPr>
      <w:sz w:val="28"/>
    </w:rPr>
  </w:style>
  <w:style w:type="paragraph" w:styleId="792">
    <w:name w:val="List"/>
    <w:basedOn w:val="791"/>
    <w:rPr>
      <w:rFonts w:cs="Lohit Devanagari"/>
    </w:rPr>
  </w:style>
  <w:style w:type="paragraph" w:styleId="793">
    <w:name w:val="Caption"/>
    <w:basedOn w:val="697"/>
    <w:link w:val="721"/>
    <w:qFormat/>
    <w:pPr>
      <w:spacing w:before="120" w:after="120"/>
      <w:suppressLineNumbers/>
    </w:pPr>
    <w:rPr>
      <w:rFonts w:cs="Lohit Devanagari"/>
      <w:i/>
      <w:iCs/>
    </w:rPr>
  </w:style>
  <w:style w:type="paragraph" w:styleId="794">
    <w:name w:val="Указатель"/>
    <w:basedOn w:val="697"/>
    <w:qFormat/>
    <w:pPr>
      <w:suppressLineNumbers/>
    </w:pPr>
    <w:rPr>
      <w:rFonts w:cs="Lohit Devanagari"/>
    </w:rPr>
  </w:style>
  <w:style w:type="paragraph" w:styleId="795">
    <w:name w:val="List Paragraph"/>
    <w:basedOn w:val="697"/>
    <w:qFormat/>
    <w:pPr>
      <w:ind w:left="708"/>
    </w:pPr>
  </w:style>
  <w:style w:type="paragraph" w:styleId="796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97">
    <w:name w:val="Title"/>
    <w:basedOn w:val="697"/>
    <w:qFormat/>
    <w:pPr>
      <w:jc w:val="center"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798">
    <w:name w:val="Subtitle"/>
    <w:basedOn w:val="697"/>
    <w:uiPriority w:val="11"/>
    <w:qFormat/>
    <w:pPr>
      <w:spacing w:before="200" w:after="200"/>
    </w:pPr>
  </w:style>
  <w:style w:type="paragraph" w:styleId="799">
    <w:name w:val="Quote"/>
    <w:basedOn w:val="697"/>
    <w:uiPriority w:val="29"/>
    <w:qFormat/>
    <w:pPr>
      <w:ind w:left="720" w:right="720"/>
    </w:pPr>
    <w:rPr>
      <w:i/>
    </w:rPr>
  </w:style>
  <w:style w:type="paragraph" w:styleId="800">
    <w:name w:val="Intense Quote"/>
    <w:basedOn w:val="69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01">
    <w:name w:val="footnote text"/>
    <w:basedOn w:val="697"/>
    <w:uiPriority w:val="99"/>
    <w:semiHidden/>
    <w:unhideWhenUsed/>
    <w:pPr>
      <w:spacing w:before="0" w:after="40"/>
    </w:pPr>
    <w:rPr>
      <w:sz w:val="18"/>
    </w:rPr>
  </w:style>
  <w:style w:type="paragraph" w:styleId="802">
    <w:name w:val="endnote text"/>
    <w:basedOn w:val="697"/>
    <w:uiPriority w:val="99"/>
    <w:semiHidden/>
    <w:unhideWhenUsed/>
    <w:rPr>
      <w:sz w:val="20"/>
    </w:rPr>
  </w:style>
  <w:style w:type="paragraph" w:styleId="803">
    <w:name w:val="toc 1"/>
    <w:basedOn w:val="697"/>
    <w:uiPriority w:val="39"/>
    <w:unhideWhenUsed/>
    <w:pPr>
      <w:spacing w:before="0" w:after="57"/>
    </w:pPr>
  </w:style>
  <w:style w:type="paragraph" w:styleId="804">
    <w:name w:val="toc 2"/>
    <w:basedOn w:val="697"/>
    <w:uiPriority w:val="39"/>
    <w:unhideWhenUsed/>
    <w:pPr>
      <w:ind w:left="283"/>
      <w:spacing w:before="0" w:after="57"/>
    </w:pPr>
  </w:style>
  <w:style w:type="paragraph" w:styleId="805">
    <w:name w:val="toc 3"/>
    <w:basedOn w:val="697"/>
    <w:uiPriority w:val="39"/>
    <w:unhideWhenUsed/>
    <w:pPr>
      <w:ind w:left="567"/>
      <w:spacing w:before="0" w:after="57"/>
    </w:pPr>
  </w:style>
  <w:style w:type="paragraph" w:styleId="806">
    <w:name w:val="toc 4"/>
    <w:basedOn w:val="697"/>
    <w:uiPriority w:val="39"/>
    <w:unhideWhenUsed/>
    <w:pPr>
      <w:ind w:left="850"/>
      <w:spacing w:before="0" w:after="57"/>
    </w:pPr>
  </w:style>
  <w:style w:type="paragraph" w:styleId="807">
    <w:name w:val="toc 5"/>
    <w:basedOn w:val="697"/>
    <w:uiPriority w:val="39"/>
    <w:unhideWhenUsed/>
    <w:pPr>
      <w:ind w:left="1134"/>
      <w:spacing w:before="0" w:after="57"/>
    </w:pPr>
  </w:style>
  <w:style w:type="paragraph" w:styleId="808">
    <w:name w:val="toc 6"/>
    <w:basedOn w:val="697"/>
    <w:uiPriority w:val="39"/>
    <w:unhideWhenUsed/>
    <w:pPr>
      <w:ind w:left="1417"/>
      <w:spacing w:before="0" w:after="57"/>
    </w:pPr>
  </w:style>
  <w:style w:type="paragraph" w:styleId="809">
    <w:name w:val="toc 7"/>
    <w:basedOn w:val="697"/>
    <w:uiPriority w:val="39"/>
    <w:unhideWhenUsed/>
    <w:pPr>
      <w:ind w:left="1701"/>
      <w:spacing w:before="0" w:after="57"/>
    </w:pPr>
  </w:style>
  <w:style w:type="paragraph" w:styleId="810">
    <w:name w:val="toc 8"/>
    <w:basedOn w:val="697"/>
    <w:uiPriority w:val="39"/>
    <w:unhideWhenUsed/>
    <w:pPr>
      <w:ind w:left="1984"/>
      <w:spacing w:before="0" w:after="57"/>
    </w:pPr>
  </w:style>
  <w:style w:type="paragraph" w:styleId="811">
    <w:name w:val="toc 9"/>
    <w:basedOn w:val="697"/>
    <w:uiPriority w:val="39"/>
    <w:unhideWhenUsed/>
    <w:pPr>
      <w:ind w:left="2268"/>
      <w:spacing w:before="0" w:after="57"/>
    </w:pPr>
  </w:style>
  <w:style w:type="paragraph" w:styleId="812">
    <w:name w:val="Index Heading"/>
    <w:basedOn w:val="790"/>
  </w:style>
  <w:style w:type="paragraph" w:styleId="813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814">
    <w:name w:val="table of figures"/>
    <w:basedOn w:val="697"/>
    <w:uiPriority w:val="99"/>
    <w:unhideWhenUsed/>
  </w:style>
  <w:style w:type="paragraph" w:styleId="815">
    <w:name w:val="index heading1"/>
    <w:basedOn w:val="697"/>
    <w:qFormat/>
    <w:pPr>
      <w:suppressLineNumbers/>
    </w:pPr>
    <w:rPr>
      <w:rFonts w:cs="Lohit Devanagari"/>
    </w:rPr>
  </w:style>
  <w:style w:type="paragraph" w:styleId="816" w:customStyle="1">
    <w:name w:val="Caption1"/>
    <w:basedOn w:val="697"/>
    <w:qFormat/>
    <w:pPr>
      <w:spacing w:before="120" w:after="120"/>
      <w:suppressLineNumbers/>
    </w:pPr>
    <w:rPr>
      <w:rFonts w:cs="Lohit Devanagari"/>
      <w:i/>
      <w:iCs/>
    </w:rPr>
  </w:style>
  <w:style w:type="paragraph" w:styleId="817">
    <w:name w:val="Plain Text"/>
    <w:basedOn w:val="697"/>
    <w:qFormat/>
    <w:rPr>
      <w:rFonts w:ascii="Courier New" w:hAnsi="Courier New" w:cs="Courier New"/>
      <w:sz w:val="20"/>
      <w:szCs w:val="20"/>
      <w:lang w:val="en-US"/>
    </w:rPr>
  </w:style>
  <w:style w:type="paragraph" w:styleId="818" w:customStyle="1">
    <w:name w:val="ConsNormal"/>
    <w:qFormat/>
    <w:pPr>
      <w:ind w:firstLine="720"/>
      <w:jc w:val="left"/>
      <w:spacing w:before="0" w:after="0"/>
      <w:widowControl/>
    </w:pPr>
    <w:rPr>
      <w:rFonts w:ascii="Consultant" w:hAnsi="Consultant" w:eastAsia="Droid Sans Fallback" w:cs="Consultant"/>
      <w:color w:val="auto"/>
      <w:sz w:val="20"/>
      <w:szCs w:val="20"/>
      <w:lang w:val="ru-RU" w:eastAsia="zh-CN" w:bidi="ar-SA"/>
    </w:rPr>
  </w:style>
  <w:style w:type="paragraph" w:styleId="819">
    <w:name w:val="Body Text 2"/>
    <w:basedOn w:val="697"/>
    <w:qFormat/>
    <w:pPr>
      <w:spacing w:before="0" w:after="120" w:line="480" w:lineRule="auto"/>
    </w:pPr>
  </w:style>
  <w:style w:type="paragraph" w:styleId="820">
    <w:name w:val="Body Text 3"/>
    <w:basedOn w:val="697"/>
    <w:qFormat/>
    <w:pPr>
      <w:spacing w:before="0" w:after="120"/>
    </w:pPr>
    <w:rPr>
      <w:sz w:val="16"/>
      <w:szCs w:val="16"/>
    </w:rPr>
  </w:style>
  <w:style w:type="paragraph" w:styleId="821" w:customStyle="1">
    <w:name w:val="Колонтитул"/>
    <w:basedOn w:val="697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22">
    <w:name w:val="Footer"/>
    <w:basedOn w:val="697"/>
    <w:pPr>
      <w:tabs>
        <w:tab w:val="clear" w:pos="708" w:leader="none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823">
    <w:name w:val="Balloon Text"/>
    <w:basedOn w:val="697"/>
    <w:qFormat/>
    <w:rPr>
      <w:rFonts w:ascii="Tahoma" w:hAnsi="Tahoma" w:cs="Tahoma"/>
      <w:sz w:val="16"/>
      <w:szCs w:val="16"/>
    </w:rPr>
  </w:style>
  <w:style w:type="paragraph" w:styleId="824" w:customStyle="1">
    <w:name w:val="Знак Знак Знак Знак Знак Знак Знак Знак Знак Знак Знак Знак"/>
    <w:basedOn w:val="697"/>
    <w:qFormat/>
    <w:rPr>
      <w:rFonts w:ascii="Verdana" w:hAnsi="Verdana" w:cs="Verdana"/>
      <w:sz w:val="20"/>
      <w:szCs w:val="20"/>
      <w:lang w:val="en-US"/>
    </w:rPr>
  </w:style>
  <w:style w:type="paragraph" w:styleId="825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Calibri" w:cs="Lohit Devanagari"/>
      <w:color w:val="auto"/>
      <w:sz w:val="20"/>
      <w:szCs w:val="20"/>
      <w:lang w:val="ru-RU" w:eastAsia="zh-CN" w:bidi="ar-SA"/>
    </w:rPr>
  </w:style>
  <w:style w:type="paragraph" w:styleId="826">
    <w:name w:val="Header"/>
    <w:pPr>
      <w:jc w:val="center"/>
      <w:spacing w:before="0" w:after="0"/>
      <w:widowControl/>
      <w:tabs>
        <w:tab w:val="clear" w:pos="708" w:leader="none"/>
        <w:tab w:val="center" w:pos="4153" w:leader="none"/>
        <w:tab w:val="right" w:pos="8306" w:leader="none"/>
      </w:tabs>
    </w:pPr>
    <w:rPr>
      <w:rFonts w:ascii="Times New Roman" w:hAnsi="Times New Roman" w:eastAsia="Droid Sans Fallback" w:cs="Lohit Devanagari"/>
      <w:color w:val="auto"/>
      <w:sz w:val="16"/>
      <w:szCs w:val="20"/>
      <w:lang w:val="ru-RU" w:eastAsia="zh-CN" w:bidi="ar-SA"/>
    </w:rPr>
  </w:style>
  <w:style w:type="paragraph" w:styleId="827">
    <w:name w:val="Body Text Indent 3"/>
    <w:basedOn w:val="697"/>
    <w:qFormat/>
    <w:pPr>
      <w:ind w:left="283"/>
      <w:spacing w:before="0" w:after="120"/>
    </w:pPr>
    <w:rPr>
      <w:sz w:val="16"/>
      <w:szCs w:val="16"/>
      <w:lang w:val="en-US"/>
    </w:rPr>
  </w:style>
  <w:style w:type="paragraph" w:styleId="828">
    <w:name w:val="Normal (Web)"/>
    <w:basedOn w:val="697"/>
    <w:qFormat/>
    <w:pPr>
      <w:spacing w:before="280" w:after="280"/>
    </w:pPr>
  </w:style>
  <w:style w:type="paragraph" w:styleId="829" w:customStyle="1">
    <w:name w:val="Default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000000"/>
      <w:sz w:val="24"/>
      <w:szCs w:val="24"/>
      <w:lang w:val="ru-RU" w:eastAsia="zh-CN" w:bidi="ar-SA"/>
    </w:rPr>
  </w:style>
  <w:style w:type="paragraph" w:styleId="830" w:customStyle="1">
    <w:name w:val="Содержимое таблицы"/>
    <w:basedOn w:val="697"/>
    <w:qFormat/>
    <w:pPr>
      <w:widowControl w:val="off"/>
      <w:suppressLineNumbers/>
    </w:pPr>
  </w:style>
  <w:style w:type="paragraph" w:styleId="831" w:customStyle="1">
    <w:name w:val="Заголовок таблицы"/>
    <w:basedOn w:val="830"/>
    <w:qFormat/>
    <w:pPr>
      <w:jc w:val="center"/>
    </w:pPr>
    <w:rPr>
      <w:b/>
      <w:bCs/>
    </w:rPr>
  </w:style>
  <w:style w:type="paragraph" w:styleId="832">
    <w:name w:val="Times New Roman"/>
    <w:qFormat/>
    <w:pPr>
      <w:ind w:left="0" w:right="0" w:firstLine="311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833" w:default="1">
    <w:name w:val="No List"/>
    <w:uiPriority w:val="99"/>
    <w:semiHidden/>
    <w:unhideWhenUsed/>
    <w:qFormat/>
  </w:style>
  <w:style w:type="table" w:styleId="834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5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6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7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8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39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40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1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8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63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64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65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66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67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68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69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76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8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8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83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8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9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00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01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02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3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4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2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3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4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5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6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7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8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5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32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39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40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41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42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43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44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45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46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47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48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49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50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51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52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53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54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5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56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57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58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59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6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://www.torgi.gov.ru/" TargetMode="External"/><Relationship Id="rId12" Type="http://schemas.openxmlformats.org/officeDocument/2006/relationships/hyperlink" Target="http://www.gorodperm.ru/" TargetMode="External"/><Relationship Id="rId13" Type="http://schemas.openxmlformats.org/officeDocument/2006/relationships/hyperlink" Target="http://utp.sberbank-ast.ru/" TargetMode="External"/><Relationship Id="rId14" Type="http://schemas.openxmlformats.org/officeDocument/2006/relationships/hyperlink" Target="http://utp.sberbank-ast.ru/" TargetMode="External"/><Relationship Id="rId15" Type="http://schemas.openxmlformats.org/officeDocument/2006/relationships/hyperlink" Target="https://utp.sberbank-ast.ru/Main/Notice/988/Reglament" TargetMode="External"/><Relationship Id="rId16" Type="http://schemas.openxmlformats.org/officeDocument/2006/relationships/hyperlink" Target="https://utp.sberbank-ast.ru/AP/Notice/1027/Instructions" TargetMode="External"/><Relationship Id="rId17" Type="http://schemas.openxmlformats.org/officeDocument/2006/relationships/hyperlink" Target="https://utp.sberbank-ast.ru/AP/Notice/652/Instructions" TargetMode="External"/><Relationship Id="rId18" Type="http://schemas.openxmlformats.org/officeDocument/2006/relationships/hyperlink" Target="http://www.gorodperm.ru/" TargetMode="External"/><Relationship Id="rId19" Type="http://schemas.openxmlformats.org/officeDocument/2006/relationships/hyperlink" Target="http://www.gorodperm.ru/" TargetMode="External"/><Relationship Id="rId20" Type="http://schemas.openxmlformats.org/officeDocument/2006/relationships/hyperlink" Target="https://" TargetMode="External"/><Relationship Id="rId21" Type="http://schemas.openxmlformats.org/officeDocument/2006/relationships/hyperlink" Target="http://post@pf.ugaz.ru" TargetMode="External"/><Relationship Id="rId22" Type="http://schemas.openxmlformats.org/officeDocument/2006/relationships/hyperlink" Target="mailto:perm-mail@ural.rt.ru." TargetMode="External"/><Relationship Id="rId23" Type="http://schemas.openxmlformats.org/officeDocument/2006/relationships/hyperlink" Target="http://www.gorodperm.ru/" TargetMode="External"/><Relationship Id="rId24" Type="http://schemas.openxmlformats.org/officeDocument/2006/relationships/hyperlink" Target="http://www.gorodperm.ru/" TargetMode="External"/><Relationship Id="rId25" Type="http://schemas.openxmlformats.org/officeDocument/2006/relationships/hyperlink" Target="http://perm-mail@ural.rt.ru" TargetMode="External"/><Relationship Id="rId26" Type="http://schemas.openxmlformats.org/officeDocument/2006/relationships/hyperlink" Target="http://utp.sberbank-ast.ru/AP/Notice/653/Requisite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 администрации города Перми</dc:title>
  <dc:subject/>
  <dc:creator>Tatyannikova</dc:creator>
  <dc:description/>
  <dc:language>ru-RU</dc:language>
  <cp:lastModifiedBy>chetina-yui</cp:lastModifiedBy>
  <cp:revision>464</cp:revision>
  <dcterms:created xsi:type="dcterms:W3CDTF">2023-10-30T09:15:00Z</dcterms:created>
  <dcterms:modified xsi:type="dcterms:W3CDTF">2026-07-31T10:00:15Z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