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6"/>
        <w:numPr>
          <w:ilvl w:val="0"/>
          <w:numId w:val="0"/>
        </w:numPr>
        <w:ind w:left="0" w:firstLine="0"/>
        <w:jc w:val="center"/>
        <w:spacing w:line="280" w:lineRule="exact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ПРОТОКОЛ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6"/>
        <w:numPr>
          <w:ilvl w:val="0"/>
          <w:numId w:val="0"/>
        </w:numPr>
        <w:ind w:left="0" w:firstLine="0"/>
        <w:spacing w:line="280" w:lineRule="exact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о признании аукциона на право заключения договора аренды муниципального имущества несостоявшимся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jc w:val="both"/>
        <w:spacing w:before="0" w:after="120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2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Адрес электронной площадки: </w:t>
      </w:r>
      <w:r>
        <w:rPr>
          <w:sz w:val="28"/>
          <w:szCs w:val="28"/>
        </w:rPr>
        <w:t xml:space="preserve">универсальная торговая платформа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АО «Сбербанк-АСТ», размещенная на сайте http://utp.sberbank-ast.ru в сети Интернет (торговая секция «Приватизация, аренда и продажа прав»).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rPr>
          <w:sz w:val="28"/>
          <w:szCs w:val="28"/>
        </w:rPr>
      </w:pPr>
      <w:r>
        <w:rPr>
          <w:b/>
          <w:sz w:val="28"/>
          <w:szCs w:val="28"/>
        </w:rPr>
        <w:t xml:space="preserve">Дата проведения электронного аукциона:</w:t>
      </w:r>
      <w:r>
        <w:rPr>
          <w:b w:val="0"/>
          <w:bCs w:val="0"/>
          <w:sz w:val="28"/>
          <w:szCs w:val="28"/>
        </w:rPr>
        <w:t xml:space="preserve"> 04</w:t>
      </w:r>
      <w:r>
        <w:rPr>
          <w:b w:val="0"/>
          <w:bCs w:val="0"/>
          <w:sz w:val="28"/>
          <w:szCs w:val="28"/>
        </w:rPr>
        <w:t xml:space="preserve">.08</w:t>
      </w:r>
      <w:r>
        <w:rPr>
          <w:b w:val="0"/>
          <w:bCs w:val="0"/>
          <w:sz w:val="28"/>
          <w:szCs w:val="28"/>
        </w:rPr>
        <w:t xml:space="preserve">.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rPr>
          <w:sz w:val="28"/>
          <w:szCs w:val="28"/>
        </w:rPr>
      </w:pPr>
      <w:r>
        <w:rPr>
          <w:b/>
          <w:sz w:val="28"/>
          <w:szCs w:val="28"/>
        </w:rPr>
        <w:t xml:space="preserve">Время проведения электронного аукциона:</w:t>
      </w:r>
      <w:r>
        <w:rPr>
          <w:sz w:val="28"/>
          <w:szCs w:val="28"/>
        </w:rPr>
        <w:t xml:space="preserve"> 09:00 по местному времени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rPr>
          <w:sz w:val="28"/>
          <w:szCs w:val="28"/>
        </w:rPr>
      </w:pPr>
      <w:r>
        <w:rPr>
          <w:sz w:val="28"/>
          <w:szCs w:val="28"/>
        </w:rPr>
        <w:t xml:space="preserve">(07:00 МСК).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jc w:val="both"/>
        <w:spacing w:before="0" w:after="12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1"/>
        <w:jc w:val="both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каб.2                      </w:t>
        <w:tab/>
        <w:t xml:space="preserve">                                04</w:t>
      </w:r>
      <w:r>
        <w:rPr>
          <w:sz w:val="28"/>
          <w:szCs w:val="28"/>
        </w:rPr>
        <w:t xml:space="preserve">.08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jc w:val="both"/>
        <w:spacing w:before="0" w:after="12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1"/>
        <w:ind w:left="3061" w:right="0" w:hanging="3061"/>
        <w:jc w:val="both"/>
        <w:spacing w:before="0" w:after="0" w:line="276" w:lineRule="auto"/>
        <w:widowControl/>
      </w:pPr>
      <w:r>
        <w:rPr>
          <w:sz w:val="28"/>
          <w:szCs w:val="28"/>
        </w:rPr>
        <w:t xml:space="preserve">Председатель комиссии: Меденникова С.В., заместитель начальника управления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по распоряжению муниципальным имуществом – начальник отдела по распоряжению муниципальным имуществом. </w:t>
      </w:r>
      <w:r/>
    </w:p>
    <w:p>
      <w:pPr>
        <w:pStyle w:val="821"/>
        <w:ind w:left="2880" w:hanging="2880"/>
        <w:jc w:val="both"/>
        <w:spacing w:line="276" w:lineRule="auto"/>
      </w:pPr>
      <w:r>
        <w:rPr>
          <w:sz w:val="28"/>
          <w:szCs w:val="28"/>
        </w:rPr>
        <w:t xml:space="preserve">Секретарь комиссии: Павлова О.И., консультант отдела по распоряжению</w:t>
      </w:r>
      <w:r/>
    </w:p>
    <w:p>
      <w:pPr>
        <w:pStyle w:val="821"/>
        <w:ind w:left="2608" w:right="0" w:firstLine="0"/>
        <w:jc w:val="both"/>
        <w:spacing w:before="0" w:after="0" w:line="276" w:lineRule="auto"/>
        <w:widowControl/>
      </w:pPr>
      <w:r>
        <w:rPr>
          <w:sz w:val="28"/>
          <w:szCs w:val="28"/>
        </w:rPr>
        <w:t xml:space="preserve">муниципальным имуществом управления по распоряжению муниципальным имуществом.</w:t>
      </w:r>
      <w:r/>
    </w:p>
    <w:p>
      <w:pPr>
        <w:pStyle w:val="821"/>
        <w:ind w:left="2880" w:hanging="2880"/>
        <w:jc w:val="both"/>
        <w:spacing w:line="276" w:lineRule="auto"/>
      </w:pPr>
      <w:r>
        <w:rPr>
          <w:sz w:val="28"/>
          <w:szCs w:val="28"/>
        </w:rPr>
        <w:t xml:space="preserve">Члены комиссии: Доценко Е.В., консультант отдела по распоряжению</w:t>
      </w:r>
      <w:r/>
    </w:p>
    <w:p>
      <w:pPr>
        <w:pStyle w:val="821"/>
        <w:ind w:left="2154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муниципальным имуществом управления по распоряжению муниципальным имуществом;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21"/>
        <w:ind w:left="2891" w:right="0" w:hanging="737"/>
        <w:jc w:val="both"/>
        <w:spacing w:before="0" w:after="0" w:line="276" w:lineRule="auto"/>
        <w:widowControl/>
      </w:pPr>
      <w:r>
        <w:rPr>
          <w:sz w:val="28"/>
          <w:szCs w:val="28"/>
        </w:rPr>
        <w:t xml:space="preserve">Удавихина С.В., консультант отдела по распоряжению</w:t>
      </w:r>
      <w:r/>
    </w:p>
    <w:p>
      <w:pPr>
        <w:pStyle w:val="821"/>
        <w:ind w:left="2127"/>
        <w:jc w:val="both"/>
        <w:spacing w:line="276" w:lineRule="auto"/>
      </w:pPr>
      <w:r>
        <w:rPr>
          <w:sz w:val="28"/>
          <w:szCs w:val="28"/>
        </w:rPr>
        <w:t xml:space="preserve">муниципальным имуществом управления по распоряжению муниципальным имуществом;</w:t>
      </w:r>
      <w:r/>
    </w:p>
    <w:p>
      <w:pPr>
        <w:pStyle w:val="821"/>
        <w:ind w:left="2880" w:hanging="753"/>
        <w:jc w:val="both"/>
        <w:spacing w:line="276" w:lineRule="auto"/>
      </w:pPr>
      <w:r>
        <w:rPr>
          <w:sz w:val="28"/>
          <w:szCs w:val="28"/>
        </w:rPr>
        <w:t xml:space="preserve">Четина Ю.И., заместитель начальника отдела по распоряжению</w:t>
      </w:r>
      <w:r/>
    </w:p>
    <w:p>
      <w:pPr>
        <w:pStyle w:val="821"/>
        <w:ind w:left="2127"/>
        <w:jc w:val="both"/>
        <w:spacing w:line="276" w:lineRule="auto"/>
      </w:pPr>
      <w:r>
        <w:rPr>
          <w:sz w:val="28"/>
          <w:szCs w:val="28"/>
        </w:rPr>
        <w:t xml:space="preserve">муниципальным имуществом управления по распоряжению муниципальным имуществом.</w:t>
      </w:r>
      <w:r/>
    </w:p>
    <w:p>
      <w:pPr>
        <w:pStyle w:val="821"/>
        <w:ind w:left="212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ind w:left="0" w:firstLine="709"/>
        <w:jc w:val="both"/>
        <w:spacing w:before="0" w:after="0"/>
        <w:rPr>
          <w:sz w:val="28"/>
          <w:szCs w:val="28"/>
        </w:rPr>
      </w:pPr>
      <w:r>
        <w:rPr>
          <w:sz w:val="28"/>
        </w:rPr>
        <w:t xml:space="preserve">Комиссия установила, что по окончании срока подачи заявок на участие </w:t>
      </w:r>
      <w:r>
        <w:rPr>
          <w:sz w:val="28"/>
        </w:rPr>
        <w:br w:type="textWrapping" w:clear="all"/>
      </w:r>
      <w:r>
        <w:rPr>
          <w:sz w:val="28"/>
        </w:rPr>
        <w:t xml:space="preserve">в аукционе на право заключения договора аренды муниципального имущества, назначенном на 04</w:t>
      </w:r>
      <w:r>
        <w:rPr>
          <w:sz w:val="28"/>
        </w:rPr>
        <w:t xml:space="preserve">.08</w:t>
      </w:r>
      <w:r>
        <w:rPr>
          <w:sz w:val="28"/>
        </w:rPr>
        <w:t xml:space="preserve">.2026 (процедур</w:t>
      </w:r>
      <w:r>
        <w:rPr>
          <w:rFonts w:eastAsia="Droid Sans Fallback" w:cs="Lohit Devanagari"/>
          <w:color w:val="auto"/>
          <w:sz w:val="28"/>
          <w:szCs w:val="24"/>
          <w:lang w:val="ru-RU" w:eastAsia="ru-RU" w:bidi="ar-SA"/>
        </w:rPr>
        <w:t xml:space="preserve">а №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SBR012-2607100028)</w:t>
      </w:r>
      <w:r>
        <w:rPr>
          <w:rFonts w:eastAsia="Droid Sans Fallback" w:cs="Lohit Devanagari"/>
          <w:color w:val="auto"/>
          <w:sz w:val="28"/>
          <w:szCs w:val="24"/>
          <w:lang w:val="ru-RU" w:eastAsia="ru-RU" w:bidi="ar-SA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jc w:val="both"/>
        <w:spacing w:before="0" w:after="0" w:line="240" w:lineRule="auto"/>
        <w:rPr>
          <w:rFonts w:ascii="Times New Roman" w:hAnsi="Times New Roman" w:eastAsia="Droid Sans Fallback" w:cs="Lohit Devanagari"/>
          <w:color w:val="auto"/>
          <w:sz w:val="28"/>
          <w:szCs w:val="24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4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4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4"/>
          <w:lang w:val="ru-RU" w:eastAsia="ru-RU" w:bidi="ar-SA"/>
        </w:rPr>
      </w:r>
    </w:p>
    <w:p>
      <w:pPr>
        <w:pStyle w:val="891"/>
        <w:jc w:val="both"/>
        <w:spacing w:before="0" w:after="0" w:line="240" w:lineRule="auto"/>
        <w:rPr>
          <w:rFonts w:ascii="Times New Roman" w:hAnsi="Times New Roman" w:eastAsia="Droid Sans Fallback" w:cs="Lohit Devanagari"/>
          <w:color w:val="auto"/>
          <w:sz w:val="28"/>
          <w:szCs w:val="24"/>
          <w:lang w:val="ru-RU" w:eastAsia="ru-RU" w:bidi="ar-SA"/>
        </w:rPr>
      </w:pPr>
      <w:r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  <w:t xml:space="preserve">Лот № 1.</w:t>
      </w:r>
      <w:r>
        <w:rPr>
          <w:rFonts w:eastAsia="Droid Sans Fallback" w:cs="Lohit Devanagari"/>
          <w:color w:val="auto"/>
          <w:sz w:val="28"/>
          <w:szCs w:val="24"/>
          <w:lang w:val="ru-RU" w:eastAsia="ru-RU" w:bidi="ar-SA"/>
        </w:rPr>
        <w:t xml:space="preserve"> </w:t>
      </w:r>
      <w:r>
        <w:rPr>
          <w:rFonts w:ascii="Times New Roman" w:hAnsi="Times New Roman" w:eastAsia="Droid Sans Fallback" w:cs="Lohit Devanagari"/>
          <w:color w:val="auto"/>
          <w:sz w:val="28"/>
          <w:szCs w:val="24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4"/>
          <w:lang w:val="ru-RU" w:eastAsia="ru-RU" w:bidi="ar-SA"/>
        </w:rPr>
      </w:r>
    </w:p>
    <w:p>
      <w:pPr>
        <w:pStyle w:val="821"/>
        <w:ind w:left="0" w:right="0" w:firstLine="737"/>
        <w:jc w:val="both"/>
        <w:spacing w:before="0" w:after="0" w:line="276" w:lineRule="auto"/>
        <w:widowControl/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Размер годового платежа за право в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ладения или пользования – арендная плата по договору (без учета НДС) за нежилые помещения площадью 25 кв.м (кадастровый номер 59:01:4410222:1402) в подвале жилого дома по адресу:                     г. Пермь, Дзержинский район, ул. Екатерининская, д. 220.</w:t>
      </w:r>
      <w:r/>
    </w:p>
    <w:p>
      <w:pPr>
        <w:pStyle w:val="888"/>
        <w:ind w:firstLine="709"/>
        <w:jc w:val="both"/>
        <w:spacing w:line="276" w:lineRule="auto"/>
      </w:pP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В связи с тем, что на участие в аукционе по лоту </w:t>
      </w:r>
      <w:r>
        <w:rPr>
          <w:rFonts w:ascii="Times New Roman" w:hAnsi="Times New Roman"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№ 1 </w:t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не подано ни одной заявки, аукцион по данному лоту признан несостоявшимся.</w:t>
      </w:r>
      <w:r/>
    </w:p>
    <w:p>
      <w:pPr>
        <w:pStyle w:val="888"/>
        <w:ind w:firstLine="709"/>
        <w:jc w:val="both"/>
        <w:spacing w:line="276" w:lineRule="auto"/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pStyle w:val="891"/>
        <w:jc w:val="both"/>
        <w:spacing w:before="0" w:after="0" w:line="276" w:lineRule="auto"/>
      </w:pP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Лот № 2. </w:t>
      </w:r>
      <w:r/>
    </w:p>
    <w:p>
      <w:pPr>
        <w:pStyle w:val="821"/>
        <w:ind w:left="0" w:right="0" w:firstLine="737"/>
        <w:jc w:val="both"/>
        <w:spacing w:before="0" w:after="0" w:line="276" w:lineRule="auto"/>
        <w:widowControl/>
      </w:pPr>
      <w:r>
        <w:rPr>
          <w:rFonts w:eastAsia="Droid Sans Fallback" w:cs="Lohit Devanagari"/>
          <w:b w:val="0"/>
          <w:bCs/>
          <w:color w:val="auto"/>
          <w:sz w:val="28"/>
          <w:szCs w:val="28"/>
          <w:lang w:val="ru-RU" w:eastAsia="ru-RU" w:bidi="ar-SA"/>
        </w:rPr>
        <w:t xml:space="preserve">Р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азмер годового платежа за право владени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я или пользования – арендная плата по договору (без учета НДС) за нежилые помещения площадью 292,5 кв.м (кадастровый номер 59:01:4410846:688) в подвале жилого дома по адресу:                    г. Пермь, Индустриальный район, ул. Космонавта Леонова, д. 23.</w:t>
      </w:r>
      <w:r/>
    </w:p>
    <w:p>
      <w:pPr>
        <w:pStyle w:val="888"/>
        <w:ind w:firstLine="709"/>
        <w:jc w:val="both"/>
        <w:spacing w:line="276" w:lineRule="auto"/>
      </w:pP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В связи с тем, что на участие в аукционе по лоту </w:t>
      </w:r>
      <w:r>
        <w:rPr>
          <w:rFonts w:ascii="Times New Roman" w:hAnsi="Times New Roman"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№ 2</w:t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 не подано ни одной заявки, аукцион по данному лоту признан несостоявшимся.</w:t>
      </w:r>
      <w:r/>
    </w:p>
    <w:p>
      <w:pPr>
        <w:pStyle w:val="888"/>
        <w:ind w:firstLine="709"/>
        <w:jc w:val="both"/>
        <w:spacing w:line="276" w:lineRule="auto"/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pStyle w:val="891"/>
        <w:jc w:val="both"/>
        <w:spacing w:before="0" w:after="0" w:line="276" w:lineRule="auto"/>
      </w:pP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Лот № 3. </w:t>
      </w:r>
      <w:r/>
    </w:p>
    <w:p>
      <w:pPr>
        <w:pStyle w:val="821"/>
        <w:ind w:left="0" w:right="0" w:firstLine="737"/>
        <w:jc w:val="both"/>
        <w:spacing w:before="0" w:after="0" w:line="276" w:lineRule="auto"/>
        <w:widowControl/>
      </w:pPr>
      <w:r>
        <w:rPr>
          <w:rFonts w:eastAsia="Droid Sans Fallback" w:cs="Lohit Devanagari"/>
          <w:b w:val="0"/>
          <w:bCs/>
          <w:color w:val="auto"/>
          <w:sz w:val="28"/>
          <w:szCs w:val="28"/>
          <w:lang w:val="ru-RU" w:eastAsia="ru-RU" w:bidi="ar-SA"/>
        </w:rPr>
        <w:t xml:space="preserve">Р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азмер годового платежа за право вла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дения или пользования – арендная плата по договору (без учета НДС) за нежилые помещения площадью 126,7 кв.м (кадастровый номер 59:01:1713014:296) в подвале жилого дома по адресу:                     г. Пермь, Кировский район, ул. Александра Невского, д. 27</w:t>
      </w:r>
      <w:r/>
    </w:p>
    <w:p>
      <w:pPr>
        <w:pStyle w:val="888"/>
        <w:ind w:firstLine="709"/>
        <w:jc w:val="both"/>
        <w:spacing w:line="276" w:lineRule="auto"/>
      </w:pP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В связи с тем, что на участие в аукционе по лоту </w:t>
      </w:r>
      <w:r>
        <w:rPr>
          <w:rFonts w:ascii="Times New Roman" w:hAnsi="Times New Roman"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№ 3</w:t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 не подано ни одной заявки, аукцион по данному лоту признан несостоявшимся.</w:t>
      </w:r>
      <w:r/>
    </w:p>
    <w:p>
      <w:pPr>
        <w:pStyle w:val="888"/>
        <w:ind w:firstLine="709"/>
        <w:jc w:val="both"/>
        <w:spacing w:line="276" w:lineRule="auto"/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pStyle w:val="891"/>
        <w:jc w:val="both"/>
        <w:spacing w:before="0" w:after="0" w:line="276" w:lineRule="auto"/>
      </w:pP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Лот № 4. </w:t>
      </w:r>
      <w:r/>
    </w:p>
    <w:p>
      <w:pPr>
        <w:pStyle w:val="821"/>
        <w:ind w:left="0" w:right="0" w:firstLine="737"/>
        <w:jc w:val="both"/>
        <w:spacing w:before="0" w:after="0" w:line="276" w:lineRule="auto"/>
        <w:widowControl/>
      </w:pPr>
      <w:r>
        <w:rPr>
          <w:rFonts w:eastAsia="Droid Sans Fallback" w:cs="Lohit Devanagari"/>
          <w:b w:val="0"/>
          <w:bCs/>
          <w:color w:val="auto"/>
          <w:sz w:val="28"/>
          <w:szCs w:val="28"/>
          <w:lang w:val="ru-RU" w:eastAsia="ru-RU" w:bidi="ar-SA"/>
        </w:rPr>
        <w:t xml:space="preserve">Р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азмер годового платежа за прав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о владения или пользования – арендная плата по договору (без учета НДС) за нежилые помещения площадью 256,1 кв.м (кадастровый номер 59:01:4311736:865) в подвале жилого дома по адресу:                    г. Пермь, Мотовилихинский район, ул. Лебедева, д. 43.</w:t>
      </w:r>
      <w:r/>
    </w:p>
    <w:p>
      <w:pPr>
        <w:pStyle w:val="888"/>
        <w:ind w:firstLine="709"/>
        <w:jc w:val="both"/>
        <w:spacing w:line="276" w:lineRule="auto"/>
      </w:pP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В связи с тем, что на участие в аукционе по лоту </w:t>
      </w:r>
      <w:r>
        <w:rPr>
          <w:rFonts w:ascii="Times New Roman" w:hAnsi="Times New Roman"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№ 4</w:t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 не подано ни одной заявки, аукцион по данному лоту признан несостоявшимся.</w:t>
      </w:r>
      <w:r/>
    </w:p>
    <w:p>
      <w:pPr>
        <w:pStyle w:val="888"/>
        <w:ind w:firstLine="709"/>
        <w:jc w:val="both"/>
        <w:spacing w:line="276" w:lineRule="auto"/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pStyle w:val="891"/>
        <w:jc w:val="both"/>
        <w:spacing w:before="0" w:after="0" w:line="276" w:lineRule="auto"/>
        <w:rPr>
          <w:highlight w:val="none"/>
        </w:rPr>
      </w:pP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Лот № 5. </w:t>
      </w:r>
      <w:r>
        <w:rPr>
          <w:highlight w:val="none"/>
        </w:rPr>
      </w:r>
    </w:p>
    <w:p>
      <w:pPr>
        <w:pStyle w:val="891"/>
        <w:ind w:firstLine="708"/>
        <w:jc w:val="both"/>
        <w:spacing w:before="0" w:after="0" w:line="276" w:lineRule="auto"/>
      </w:pPr>
      <w:r>
        <w:rPr>
          <w:highlight w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азмер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 годового платежа за право владения </w:t>
        <w:br/>
        <w:t xml:space="preserve">или пользования – арендная плата по договору (без учета НДС) за встроенные нежилые помещения в подвале жилого дома основной площадью 136,6 кв. м (кадастровый номер 59:01:4416003:1692) и площадью помещений, предоставляем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ых Арендатору в совместное пользование с 3-ми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 л., что для цели исчисления арендной платы составляет 142,5 кв. м (136,6 кв. м – основная площадь, 5,9 кв. м – доля от площади помещений, предоставляемых Арендатору </w:t>
        <w:br/>
        <w:t xml:space="preserve">в совместное пользование с третьими лицами) по адресу: г. Пермь, </w:t>
        <w:br/>
        <w:t xml:space="preserve">ул. Кавалерийская, д. 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.</w:t>
      </w:r>
      <w:r>
        <w:rPr>
          <w:highlight w:val="none"/>
        </w:rPr>
      </w:r>
      <w:r/>
    </w:p>
    <w:p>
      <w:pPr>
        <w:pStyle w:val="821"/>
        <w:jc w:val="both"/>
        <w:spacing w:line="276" w:lineRule="auto"/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Начальная цена – 465 000,00 руб.</w:t>
      </w:r>
      <w:r/>
    </w:p>
    <w:p>
      <w:pPr>
        <w:pStyle w:val="821"/>
        <w:jc w:val="both"/>
        <w:spacing w:line="276" w:lineRule="auto"/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На участие в аукционе подана одна заявка.</w:t>
      </w:r>
      <w:r/>
    </w:p>
    <w:p>
      <w:pPr>
        <w:pStyle w:val="821"/>
        <w:jc w:val="both"/>
        <w:spacing w:line="276" w:lineRule="auto"/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Единственный заявитель – и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ндивидуальный предприниматель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Быховская Наталья Александровна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.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/>
    </w:p>
    <w:p>
      <w:pPr>
        <w:pStyle w:val="821"/>
        <w:jc w:val="both"/>
        <w:spacing w:line="276" w:lineRule="auto"/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Заявка на участие в аукционе, поданная единственным заявителем, соответствует требованиям и условиям, предусмотренным документацией об аукционе. </w:t>
      </w:r>
      <w:r/>
    </w:p>
    <w:p>
      <w:pPr>
        <w:pStyle w:val="821"/>
        <w:jc w:val="both"/>
        <w:spacing w:line="276" w:lineRule="auto"/>
        <w:tabs>
          <w:tab w:val="clear" w:pos="708" w:leader="none"/>
          <w:tab w:val="left" w:pos="709" w:leader="none"/>
        </w:tabs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Единственный заявитель допущен к участию в аукционе и признан единственным участником аукциона.</w:t>
      </w:r>
      <w:r/>
    </w:p>
    <w:p>
      <w:pPr>
        <w:pStyle w:val="821"/>
        <w:jc w:val="both"/>
        <w:spacing w:line="276" w:lineRule="auto"/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В связи с тем, что на участие в аукционе по лоту </w:t>
      </w: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№ 5 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подана только одна заявка, аукцион по данному лоту признан несостоявшимся.</w:t>
      </w:r>
      <w:r/>
    </w:p>
    <w:p>
      <w:pPr>
        <w:pStyle w:val="821"/>
        <w:ind w:firstLine="709"/>
        <w:jc w:val="both"/>
        <w:spacing w:line="276" w:lineRule="auto"/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В соответствии с пунктом 15 части 1 статьи 17.1 Федерального Закона Российской Федерации от 26.07.2006 № 135-ФЗ «О защите конкуренции», п.121 Порядка проведения конк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</w:t>
        <w:br/>
        <w:t xml:space="preserve">в отношении государственного или муниципального имущества, утвер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жденного Приказом ФАС России № 147/23 от 21.03.2023, комиссией принято решение заключить договор  аренды муниципального имущества с лицом, подавшим единственную заявку на участие в аукционе, на условиях и по цене, предусмотренных документацией об аукционе:</w:t>
      </w:r>
      <w:r/>
    </w:p>
    <w:p>
      <w:pPr>
        <w:pStyle w:val="821"/>
        <w:ind w:firstLine="709"/>
        <w:jc w:val="both"/>
        <w:spacing w:line="276" w:lineRule="auto"/>
      </w:pP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по лоту № 5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 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г. Пермь, ул. Кавалерийская, д. 3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) – с и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ндивидуальным предпринимателем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Быховской Натальей Александровной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 по цене 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465 000,00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 руб.</w:t>
      </w:r>
      <w:r/>
    </w:p>
    <w:p>
      <w:pPr>
        <w:pStyle w:val="860"/>
        <w:ind w:left="0" w:right="0"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pStyle w:val="891"/>
        <w:jc w:val="both"/>
        <w:spacing w:before="0" w:after="0" w:line="276" w:lineRule="auto"/>
        <w:rPr>
          <w:highlight w:val="none"/>
        </w:rPr>
      </w:pP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Лот № 6. </w:t>
      </w:r>
      <w:r>
        <w:rPr>
          <w:highlight w:val="none"/>
        </w:rPr>
      </w:r>
    </w:p>
    <w:p>
      <w:pPr>
        <w:pStyle w:val="891"/>
        <w:ind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Размер годового 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тежа за право владения </w:t>
        <w:br/>
        <w:t xml:space="preserve">или пользования – арендная плата по договору (без учета НДС) за нежилые помещения площадью 66,0 кв. м (кадастровый номер 59:01:4410656:805) </w:t>
        <w:br/>
        <w:t xml:space="preserve">в подвале жилого дома по адресу: г. Пермь, Индустриальный район, проспект Декабристов, д. 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.</w:t>
      </w:r>
      <w:r>
        <w:rPr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none"/>
        </w:rPr>
      </w:r>
    </w:p>
    <w:p>
      <w:pPr>
        <w:pStyle w:val="888"/>
        <w:ind w:firstLine="709"/>
        <w:jc w:val="both"/>
        <w:spacing w:line="276" w:lineRule="auto"/>
      </w:pP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В связи с тем, что на участие в аукционе по лоту </w:t>
      </w:r>
      <w:r>
        <w:rPr>
          <w:rFonts w:ascii="Times New Roman" w:hAnsi="Times New Roman"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№ 6</w:t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 не подано ни одной заявки, аукцион по данному лоту признан несостоявшимся.</w:t>
      </w:r>
      <w:r/>
    </w:p>
    <w:p>
      <w:pPr>
        <w:pStyle w:val="891"/>
        <w:ind w:firstLine="708"/>
        <w:jc w:val="both"/>
        <w:spacing w:before="0" w:after="0" w:line="276" w:lineRule="auto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</w:r>
      <w:r/>
    </w:p>
    <w:p>
      <w:pPr>
        <w:jc w:val="left"/>
        <w:spacing w:before="0" w:after="0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21"/>
        <w:jc w:val="left"/>
        <w:spacing w:before="0" w:after="0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89"/>
        <w:ind w:left="5610" w:hanging="5610"/>
        <w:jc w:val="left"/>
        <w:spacing w:before="0" w:after="0" w:line="240" w:lineRule="auto"/>
        <w:tabs>
          <w:tab w:val="clear" w:pos="708" w:leader="none"/>
          <w:tab w:val="left" w:pos="751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</w:t>
        <w:tab/>
        <w:tab/>
        <w:t xml:space="preserve">С.В. Меденникова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ind w:left="5610" w:hanging="5610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ind w:left="5610" w:hanging="5610"/>
        <w:spacing w:line="276" w:lineRule="auto"/>
        <w:tabs>
          <w:tab w:val="clear" w:pos="708" w:leader="none"/>
          <w:tab w:val="left" w:pos="751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</w:t>
        <w:tab/>
        <w:tab/>
        <w:t xml:space="preserve">О.И. Павлова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ind w:left="5610" w:hanging="5610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ab/>
        <w:tab/>
        <w:tab/>
        <w:tab/>
        <w:tab/>
        <w:tab/>
        <w:t xml:space="preserve">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9"/>
        <w:ind w:left="5610" w:hanging="5610"/>
        <w:spacing w:line="276" w:lineRule="auto"/>
        <w:tabs>
          <w:tab w:val="clear" w:pos="708" w:leader="none"/>
          <w:tab w:val="left" w:pos="751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Члены комиссии </w:t>
        <w:tab/>
        <w:t xml:space="preserve">                           Е.В. Доценко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9"/>
        <w:ind w:left="0" w:firstLine="7088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ind w:left="0" w:right="0" w:firstLine="7512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С.В. Удавихина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9"/>
        <w:ind w:left="0" w:right="0" w:firstLine="7512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ind w:left="5610" w:right="0" w:firstLine="1902"/>
        <w:spacing w:line="276" w:lineRule="auto"/>
        <w:rPr>
          <w:sz w:val="28"/>
          <w:szCs w:val="28"/>
          <w:highlight w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Ю.И. Четина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footerReference w:type="default" r:id="rId8"/>
      <w:footerReference w:type="even" r:id="rId9"/>
      <w:footerReference w:type="first" r:id="rId10"/>
      <w:footnotePr/>
      <w:endnotePr/>
      <w:type w:val="nextPage"/>
      <w:pgSz w:w="11906" w:h="16838" w:orient="portrait"/>
      <w:pgMar w:top="862" w:right="567" w:bottom="777" w:left="1418" w:header="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Open Sans">
    <w:panose1 w:val="020B06060305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jc w:val="right"/>
    </w:pPr>
    <w:fldSimple w:instr="PAGE \* MERGEFORMAT">
      <w:r>
        <w:t xml:space="preserve">1</w:t>
      </w:r>
    </w:fldSimple>
    <w:r/>
    <w:r/>
  </w:p>
  <w:p>
    <w:pPr>
      <w:pStyle w:val="87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beve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2"/>
                            <w:rPr>
                              <w:rStyle w:val="855"/>
                            </w:rPr>
                          </w:pPr>
                          <w:r>
                            <w:rPr>
                              <w:rStyle w:val="85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5"/>
                            </w:rPr>
                          </w:r>
                          <w:r>
                            <w:rPr>
                              <w:rStyle w:val="855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2"/>
                      <w:rPr>
                        <w:rStyle w:val="855"/>
                      </w:rPr>
                    </w:pPr>
                    <w:r>
                      <w:rPr>
                        <w:rStyle w:val="855"/>
                        <w:color w:val="000000"/>
                      </w:rPr>
                      <w:fldChar w:fldCharType="begin"/>
                    </w:r>
                    <w:r>
                      <w:rPr>
                        <w:rStyle w:val="85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5"/>
                        <w:color w:val="000000"/>
                      </w:rPr>
                      <w:fldChar w:fldCharType="separate"/>
                    </w:r>
                    <w:r>
                      <w:rPr>
                        <w:rStyle w:val="855"/>
                        <w:color w:val="000000"/>
                      </w:rPr>
                      <w:t xml:space="preserve">0</w:t>
                    </w:r>
                    <w:r>
                      <w:rPr>
                        <w:rStyle w:val="855"/>
                        <w:color w:val="000000"/>
                      </w:rPr>
                      <w:fldChar w:fldCharType="end"/>
                    </w:r>
                    <w:r>
                      <w:rPr>
                        <w:rStyle w:val="855"/>
                      </w:rPr>
                    </w:r>
                    <w:r>
                      <w:rPr>
                        <w:rStyle w:val="855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2"/>
                            <w:rPr>
                              <w:rStyle w:val="855"/>
                            </w:rPr>
                          </w:pPr>
                          <w:r>
                            <w:rPr>
                              <w:rStyle w:val="85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5"/>
                            </w:rPr>
                          </w:r>
                          <w:r>
                            <w:rPr>
                              <w:rStyle w:val="855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2"/>
                      <w:rPr>
                        <w:rStyle w:val="855"/>
                      </w:rPr>
                    </w:pPr>
                    <w:r>
                      <w:rPr>
                        <w:rStyle w:val="855"/>
                        <w:color w:val="000000"/>
                      </w:rPr>
                      <w:fldChar w:fldCharType="begin"/>
                    </w:r>
                    <w:r>
                      <w:rPr>
                        <w:rStyle w:val="85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5"/>
                        <w:color w:val="000000"/>
                      </w:rPr>
                      <w:fldChar w:fldCharType="separate"/>
                    </w:r>
                    <w:r>
                      <w:rPr>
                        <w:rStyle w:val="855"/>
                        <w:color w:val="000000"/>
                      </w:rPr>
                      <w:t xml:space="preserve">0</w:t>
                    </w:r>
                    <w:r>
                      <w:rPr>
                        <w:rStyle w:val="855"/>
                        <w:color w:val="000000"/>
                      </w:rPr>
                      <w:fldChar w:fldCharType="end"/>
                    </w:r>
                    <w:r>
                      <w:rPr>
                        <w:rStyle w:val="855"/>
                      </w:rPr>
                    </w:r>
                    <w:r>
                      <w:rPr>
                        <w:rStyle w:val="855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9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2"/>
                            <w:rPr>
                              <w:rStyle w:val="855"/>
                            </w:rPr>
                          </w:pPr>
                          <w:r>
                            <w:rPr>
                              <w:rStyle w:val="85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5"/>
                            </w:rPr>
                          </w:r>
                          <w:r>
                            <w:rPr>
                              <w:rStyle w:val="855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9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2"/>
                      <w:rPr>
                        <w:rStyle w:val="855"/>
                      </w:rPr>
                    </w:pPr>
                    <w:r>
                      <w:rPr>
                        <w:rStyle w:val="855"/>
                        <w:color w:val="000000"/>
                      </w:rPr>
                      <w:fldChar w:fldCharType="begin"/>
                    </w:r>
                    <w:r>
                      <w:rPr>
                        <w:rStyle w:val="85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5"/>
                        <w:color w:val="000000"/>
                      </w:rPr>
                      <w:fldChar w:fldCharType="separate"/>
                    </w:r>
                    <w:r>
                      <w:rPr>
                        <w:rStyle w:val="855"/>
                        <w:color w:val="000000"/>
                      </w:rPr>
                      <w:t xml:space="preserve">0</w:t>
                    </w:r>
                    <w:r>
                      <w:rPr>
                        <w:rStyle w:val="855"/>
                        <w:color w:val="000000"/>
                      </w:rPr>
                      <w:fldChar w:fldCharType="end"/>
                    </w:r>
                    <w:r>
                      <w:rPr>
                        <w:rStyle w:val="855"/>
                      </w:rPr>
                    </w:r>
                    <w:r>
                      <w:rPr>
                        <w:rStyle w:val="855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2"/>
                            <w:rPr>
                              <w:rStyle w:val="855"/>
                            </w:rPr>
                          </w:pPr>
                          <w:r>
                            <w:rPr>
                              <w:rStyle w:val="85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5"/>
                            </w:rPr>
                          </w:r>
                          <w:r>
                            <w:rPr>
                              <w:rStyle w:val="855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10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2"/>
                      <w:rPr>
                        <w:rStyle w:val="855"/>
                      </w:rPr>
                    </w:pPr>
                    <w:r>
                      <w:rPr>
                        <w:rStyle w:val="855"/>
                        <w:color w:val="000000"/>
                      </w:rPr>
                      <w:fldChar w:fldCharType="begin"/>
                    </w:r>
                    <w:r>
                      <w:rPr>
                        <w:rStyle w:val="85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5"/>
                        <w:color w:val="000000"/>
                      </w:rPr>
                      <w:fldChar w:fldCharType="separate"/>
                    </w:r>
                    <w:r>
                      <w:rPr>
                        <w:rStyle w:val="855"/>
                        <w:color w:val="000000"/>
                      </w:rPr>
                      <w:t xml:space="preserve">0</w:t>
                    </w:r>
                    <w:r>
                      <w:rPr>
                        <w:rStyle w:val="855"/>
                        <w:color w:val="000000"/>
                      </w:rPr>
                      <w:fldChar w:fldCharType="end"/>
                    </w:r>
                    <w:r>
                      <w:rPr>
                        <w:rStyle w:val="855"/>
                      </w:rPr>
                    </w:r>
                    <w:r>
                      <w:rPr>
                        <w:rStyle w:val="85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ind w:right="360"/>
      <w:jc w:val="righ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7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5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2"/>
                            <w:rPr>
                              <w:rStyle w:val="855"/>
                            </w:rPr>
                          </w:pPr>
                          <w:r>
                            <w:rPr>
                              <w:rStyle w:val="85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t xml:space="preserve">2</w:t>
                          </w:r>
                          <w:r>
                            <w:rPr>
                              <w:rStyle w:val="85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5"/>
                            </w:rPr>
                          </w:r>
                          <w:r>
                            <w:rPr>
                              <w:rStyle w:val="855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-7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2"/>
                      <w:rPr>
                        <w:rStyle w:val="855"/>
                      </w:rPr>
                    </w:pPr>
                    <w:r>
                      <w:rPr>
                        <w:rStyle w:val="855"/>
                        <w:color w:val="000000"/>
                      </w:rPr>
                      <w:fldChar w:fldCharType="begin"/>
                    </w:r>
                    <w:r>
                      <w:rPr>
                        <w:rStyle w:val="85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5"/>
                        <w:color w:val="000000"/>
                      </w:rPr>
                      <w:fldChar w:fldCharType="separate"/>
                    </w:r>
                    <w:r>
                      <w:rPr>
                        <w:rStyle w:val="855"/>
                        <w:color w:val="000000"/>
                      </w:rPr>
                      <w:t xml:space="preserve">2</w:t>
                    </w:r>
                    <w:r>
                      <w:rPr>
                        <w:rStyle w:val="855"/>
                        <w:color w:val="000000"/>
                      </w:rPr>
                      <w:fldChar w:fldCharType="end"/>
                    </w:r>
                    <w:r>
                      <w:rPr>
                        <w:rStyle w:val="855"/>
                      </w:rPr>
                    </w:r>
                    <w:r>
                      <w:rPr>
                        <w:rStyle w:val="85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1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822">
    <w:name w:val="Heading 1"/>
    <w:basedOn w:val="821"/>
    <w:qFormat/>
    <w:pPr>
      <w:jc w:val="center"/>
      <w:keepNext/>
      <w:outlineLvl w:val="0"/>
    </w:pPr>
    <w:rPr>
      <w:b/>
      <w:bCs/>
      <w:szCs w:val="20"/>
    </w:rPr>
  </w:style>
  <w:style w:type="paragraph" w:styleId="823">
    <w:name w:val="Heading 2"/>
    <w:basedOn w:val="8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4">
    <w:name w:val="Heading 3"/>
    <w:basedOn w:val="821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25">
    <w:name w:val="Heading 4"/>
    <w:basedOn w:val="8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6">
    <w:name w:val="Heading 5"/>
    <w:basedOn w:val="8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7">
    <w:name w:val="Heading 6"/>
    <w:basedOn w:val="8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8">
    <w:name w:val="Heading 7"/>
    <w:basedOn w:val="8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9">
    <w:name w:val="Heading 8"/>
    <w:basedOn w:val="8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0">
    <w:name w:val="Heading 9"/>
    <w:basedOn w:val="8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32">
    <w:name w:val="Heading 2 Char"/>
    <w:uiPriority w:val="9"/>
    <w:qFormat/>
    <w:rPr>
      <w:rFonts w:ascii="Arial" w:hAnsi="Arial" w:eastAsia="Arial" w:cs="Arial"/>
      <w:sz w:val="34"/>
    </w:rPr>
  </w:style>
  <w:style w:type="character" w:styleId="83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3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3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3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3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3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40">
    <w:name w:val="Title Char"/>
    <w:uiPriority w:val="10"/>
    <w:qFormat/>
    <w:rPr>
      <w:sz w:val="48"/>
      <w:szCs w:val="48"/>
    </w:rPr>
  </w:style>
  <w:style w:type="character" w:styleId="841">
    <w:name w:val="Subtitle Char"/>
    <w:uiPriority w:val="11"/>
    <w:qFormat/>
    <w:rPr>
      <w:sz w:val="24"/>
      <w:szCs w:val="24"/>
    </w:rPr>
  </w:style>
  <w:style w:type="character" w:styleId="842">
    <w:name w:val="Quote Char"/>
    <w:uiPriority w:val="29"/>
    <w:qFormat/>
    <w:rPr>
      <w:i/>
    </w:rPr>
  </w:style>
  <w:style w:type="character" w:styleId="843">
    <w:name w:val="Intense Quote Char"/>
    <w:uiPriority w:val="30"/>
    <w:qFormat/>
    <w:rPr>
      <w:i/>
    </w:rPr>
  </w:style>
  <w:style w:type="character" w:styleId="844">
    <w:name w:val="Header Char"/>
    <w:uiPriority w:val="99"/>
    <w:qFormat/>
  </w:style>
  <w:style w:type="character" w:styleId="845">
    <w:name w:val="Footer Char"/>
    <w:uiPriority w:val="99"/>
    <w:qFormat/>
  </w:style>
  <w:style w:type="character" w:styleId="846">
    <w:name w:val="Caption Char"/>
    <w:uiPriority w:val="99"/>
    <w:qFormat/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character" w:styleId="848">
    <w:name w:val="Footnote Text Char"/>
    <w:uiPriority w:val="99"/>
    <w:qFormat/>
    <w:rPr>
      <w:sz w:val="18"/>
    </w:rPr>
  </w:style>
  <w:style w:type="character" w:styleId="849">
    <w:name w:val="Символ сноски"/>
    <w:uiPriority w:val="99"/>
    <w:unhideWhenUsed/>
    <w:qFormat/>
    <w:rPr>
      <w:vertAlign w:val="superscript"/>
    </w:rPr>
  </w:style>
  <w:style w:type="character" w:styleId="850">
    <w:name w:val="footnote reference"/>
    <w:rPr>
      <w:vertAlign w:val="superscript"/>
    </w:rPr>
  </w:style>
  <w:style w:type="character" w:styleId="851">
    <w:name w:val="Endnote Text Char"/>
    <w:uiPriority w:val="99"/>
    <w:qFormat/>
    <w:rPr>
      <w:sz w:val="20"/>
    </w:rPr>
  </w:style>
  <w:style w:type="character" w:styleId="85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53">
    <w:name w:val="endnote reference"/>
    <w:rPr>
      <w:vertAlign w:val="superscript"/>
    </w:rPr>
  </w:style>
  <w:style w:type="character" w:styleId="854">
    <w:name w:val="Основной шрифт абзаца"/>
    <w:semiHidden/>
    <w:qFormat/>
  </w:style>
  <w:style w:type="character" w:styleId="855">
    <w:name w:val="Page Number"/>
    <w:basedOn w:val="854"/>
  </w:style>
  <w:style w:type="character" w:styleId="856">
    <w:name w:val="Текст Знак"/>
    <w:qFormat/>
    <w:rPr>
      <w:rFonts w:ascii="Courier New" w:hAnsi="Courier New"/>
    </w:rPr>
  </w:style>
  <w:style w:type="character" w:styleId="857">
    <w:name w:val="Основной текст 2 Знак"/>
    <w:qFormat/>
    <w:rPr>
      <w:sz w:val="24"/>
      <w:szCs w:val="24"/>
    </w:rPr>
  </w:style>
  <w:style w:type="character" w:styleId="858" w:default="1">
    <w:name w:val="Default Paragraph Font"/>
    <w:uiPriority w:val="1"/>
    <w:semiHidden/>
    <w:unhideWhenUsed/>
    <w:qFormat/>
  </w:style>
  <w:style w:type="paragraph" w:styleId="859">
    <w:name w:val="Заголовок"/>
    <w:basedOn w:val="821"/>
    <w:next w:val="860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60">
    <w:name w:val="Body Text"/>
    <w:basedOn w:val="821"/>
    <w:pPr>
      <w:jc w:val="right"/>
    </w:pPr>
    <w:rPr>
      <w:sz w:val="28"/>
    </w:rPr>
  </w:style>
  <w:style w:type="paragraph" w:styleId="861">
    <w:name w:val="List"/>
    <w:basedOn w:val="860"/>
    <w:rPr>
      <w:rFonts w:cs="Lohit Devanagari"/>
    </w:rPr>
  </w:style>
  <w:style w:type="paragraph" w:styleId="862">
    <w:name w:val="Caption"/>
    <w:basedOn w:val="821"/>
    <w:link w:val="846"/>
    <w:qFormat/>
    <w:pPr>
      <w:ind w:firstLine="567"/>
      <w:jc w:val="center"/>
    </w:pPr>
    <w:rPr>
      <w:b/>
      <w:szCs w:val="20"/>
    </w:rPr>
  </w:style>
  <w:style w:type="paragraph" w:styleId="863">
    <w:name w:val="Указатель"/>
    <w:basedOn w:val="821"/>
    <w:qFormat/>
    <w:pPr>
      <w:suppressLineNumbers/>
    </w:pPr>
    <w:rPr>
      <w:rFonts w:cs="Lohit Devanagari"/>
    </w:rPr>
  </w:style>
  <w:style w:type="paragraph" w:styleId="864">
    <w:name w:val="List Paragraph"/>
    <w:basedOn w:val="821"/>
    <w:uiPriority w:val="34"/>
    <w:qFormat/>
    <w:pPr>
      <w:contextualSpacing/>
      <w:ind w:left="720"/>
      <w:spacing w:before="0" w:after="0"/>
    </w:pPr>
  </w:style>
  <w:style w:type="paragraph" w:styleId="865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66">
    <w:name w:val="Title"/>
    <w:basedOn w:val="82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7">
    <w:name w:val="Subtitle"/>
    <w:basedOn w:val="821"/>
    <w:uiPriority w:val="11"/>
    <w:qFormat/>
    <w:pPr>
      <w:spacing w:before="200" w:after="200"/>
    </w:pPr>
    <w:rPr>
      <w:sz w:val="24"/>
      <w:szCs w:val="24"/>
    </w:rPr>
  </w:style>
  <w:style w:type="paragraph" w:styleId="868">
    <w:name w:val="Quote"/>
    <w:basedOn w:val="821"/>
    <w:uiPriority w:val="29"/>
    <w:qFormat/>
    <w:pPr>
      <w:ind w:left="720" w:right="720"/>
    </w:pPr>
    <w:rPr>
      <w:i/>
    </w:rPr>
  </w:style>
  <w:style w:type="paragraph" w:styleId="869">
    <w:name w:val="Intense Quote"/>
    <w:basedOn w:val="821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70">
    <w:name w:val="Колонтитул"/>
    <w:basedOn w:val="821"/>
    <w:qFormat/>
  </w:style>
  <w:style w:type="paragraph" w:styleId="871">
    <w:name w:val="Header"/>
    <w:basedOn w:val="82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72">
    <w:name w:val="Footer"/>
    <w:basedOn w:val="821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3">
    <w:name w:val="footnote text"/>
    <w:basedOn w:val="82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4">
    <w:name w:val="endnote text"/>
    <w:basedOn w:val="82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5">
    <w:name w:val="toc 1"/>
    <w:basedOn w:val="821"/>
    <w:uiPriority w:val="39"/>
    <w:unhideWhenUsed/>
    <w:pPr>
      <w:ind w:left="0" w:right="0" w:firstLine="0"/>
      <w:spacing w:before="0" w:after="57"/>
    </w:pPr>
  </w:style>
  <w:style w:type="paragraph" w:styleId="876">
    <w:name w:val="toc 2"/>
    <w:basedOn w:val="821"/>
    <w:uiPriority w:val="39"/>
    <w:unhideWhenUsed/>
    <w:pPr>
      <w:ind w:left="283" w:right="0" w:firstLine="0"/>
      <w:spacing w:before="0" w:after="57"/>
    </w:pPr>
  </w:style>
  <w:style w:type="paragraph" w:styleId="877">
    <w:name w:val="toc 3"/>
    <w:basedOn w:val="821"/>
    <w:uiPriority w:val="39"/>
    <w:unhideWhenUsed/>
    <w:pPr>
      <w:ind w:left="567" w:right="0" w:firstLine="0"/>
      <w:spacing w:before="0" w:after="57"/>
    </w:pPr>
  </w:style>
  <w:style w:type="paragraph" w:styleId="878">
    <w:name w:val="toc 4"/>
    <w:basedOn w:val="821"/>
    <w:uiPriority w:val="39"/>
    <w:unhideWhenUsed/>
    <w:pPr>
      <w:ind w:left="850" w:right="0" w:firstLine="0"/>
      <w:spacing w:before="0" w:after="57"/>
    </w:pPr>
  </w:style>
  <w:style w:type="paragraph" w:styleId="879">
    <w:name w:val="toc 5"/>
    <w:basedOn w:val="821"/>
    <w:uiPriority w:val="39"/>
    <w:unhideWhenUsed/>
    <w:pPr>
      <w:ind w:left="1134" w:right="0" w:firstLine="0"/>
      <w:spacing w:before="0" w:after="57"/>
    </w:pPr>
  </w:style>
  <w:style w:type="paragraph" w:styleId="880">
    <w:name w:val="toc 6"/>
    <w:basedOn w:val="821"/>
    <w:uiPriority w:val="39"/>
    <w:unhideWhenUsed/>
    <w:pPr>
      <w:ind w:left="1417" w:right="0" w:firstLine="0"/>
      <w:spacing w:before="0" w:after="57"/>
    </w:pPr>
  </w:style>
  <w:style w:type="paragraph" w:styleId="881">
    <w:name w:val="toc 7"/>
    <w:basedOn w:val="821"/>
    <w:uiPriority w:val="39"/>
    <w:unhideWhenUsed/>
    <w:pPr>
      <w:ind w:left="1701" w:right="0" w:firstLine="0"/>
      <w:spacing w:before="0" w:after="57"/>
    </w:pPr>
  </w:style>
  <w:style w:type="paragraph" w:styleId="882">
    <w:name w:val="toc 8"/>
    <w:basedOn w:val="821"/>
    <w:uiPriority w:val="39"/>
    <w:unhideWhenUsed/>
    <w:pPr>
      <w:ind w:left="1984" w:right="0" w:firstLine="0"/>
      <w:spacing w:before="0" w:after="57"/>
    </w:pPr>
  </w:style>
  <w:style w:type="paragraph" w:styleId="883">
    <w:name w:val="toc 9"/>
    <w:basedOn w:val="821"/>
    <w:uiPriority w:val="39"/>
    <w:unhideWhenUsed/>
    <w:pPr>
      <w:ind w:left="2268" w:right="0" w:firstLine="0"/>
      <w:spacing w:before="0" w:after="57"/>
    </w:pPr>
  </w:style>
  <w:style w:type="paragraph" w:styleId="884">
    <w:name w:val="Index Heading"/>
    <w:basedOn w:val="859"/>
  </w:style>
  <w:style w:type="paragraph" w:styleId="885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86">
    <w:name w:val="table of figures"/>
    <w:basedOn w:val="821"/>
    <w:uiPriority w:val="99"/>
    <w:unhideWhenUsed/>
    <w:pPr>
      <w:spacing w:before="0" w:after="0" w:afterAutospacing="0"/>
    </w:pPr>
  </w:style>
  <w:style w:type="paragraph" w:styleId="887">
    <w:name w:val="Основной текст с отступом 2"/>
    <w:basedOn w:val="821"/>
    <w:qFormat/>
    <w:pPr>
      <w:ind w:left="4962" w:hanging="4395"/>
      <w:jc w:val="both"/>
    </w:pPr>
    <w:rPr>
      <w:szCs w:val="20"/>
    </w:rPr>
  </w:style>
  <w:style w:type="paragraph" w:styleId="888">
    <w:name w:val="Текст"/>
    <w:basedOn w:val="821"/>
    <w:qFormat/>
    <w:rPr>
      <w:rFonts w:ascii="Courier New" w:hAnsi="Courier New"/>
      <w:sz w:val="20"/>
      <w:szCs w:val="20"/>
      <w:lang w:val="en-US" w:eastAsia="en-US"/>
    </w:rPr>
  </w:style>
  <w:style w:type="paragraph" w:styleId="889">
    <w:name w:val="Основной текст с отступом 3"/>
    <w:basedOn w:val="821"/>
    <w:qFormat/>
    <w:pPr>
      <w:ind w:left="5610"/>
    </w:pPr>
  </w:style>
  <w:style w:type="paragraph" w:styleId="890">
    <w:name w:val="Body Text Indent"/>
    <w:basedOn w:val="821"/>
    <w:pPr>
      <w:ind w:left="283"/>
      <w:spacing w:before="0" w:after="120"/>
    </w:pPr>
  </w:style>
  <w:style w:type="paragraph" w:styleId="891">
    <w:name w:val="Основной текст 2"/>
    <w:basedOn w:val="821"/>
    <w:qFormat/>
    <w:pPr>
      <w:spacing w:before="0" w:after="120" w:line="480" w:lineRule="auto"/>
    </w:pPr>
    <w:rPr>
      <w:lang w:val="en-US" w:eastAsia="en-US"/>
    </w:rPr>
  </w:style>
  <w:style w:type="paragraph" w:styleId="892">
    <w:name w:val="Основной текст 3"/>
    <w:basedOn w:val="821"/>
    <w:qFormat/>
    <w:pPr>
      <w:spacing w:before="0" w:after="120"/>
    </w:pPr>
    <w:rPr>
      <w:sz w:val="16"/>
      <w:szCs w:val="16"/>
    </w:rPr>
  </w:style>
  <w:style w:type="paragraph" w:styleId="893">
    <w:name w:val="Текст выноски"/>
    <w:basedOn w:val="821"/>
    <w:semiHidden/>
    <w:qFormat/>
    <w:rPr>
      <w:rFonts w:ascii="Tahoma" w:hAnsi="Tahoma" w:cs="Tahoma"/>
      <w:sz w:val="16"/>
      <w:szCs w:val="16"/>
    </w:rPr>
  </w:style>
  <w:style w:type="paragraph" w:styleId="894">
    <w:name w:val=" Знак Знак Знак Знак Знак Знак Знак Знак Знак Знак Знак Знак"/>
    <w:basedOn w:val="821"/>
    <w:qFormat/>
    <w:rPr>
      <w:rFonts w:ascii="Verdana" w:hAnsi="Verdana" w:cs="Verdana"/>
      <w:sz w:val="20"/>
      <w:szCs w:val="20"/>
      <w:lang w:val="en-US" w:eastAsia="en-US"/>
    </w:rPr>
  </w:style>
  <w:style w:type="paragraph" w:styleId="895">
    <w:name w:val="Знак Знак Знак Знак Знак Знак Знак Знак Знак Знак Знак Знак"/>
    <w:basedOn w:val="821"/>
    <w:qFormat/>
    <w:rPr>
      <w:rFonts w:ascii="Verdana" w:hAnsi="Verdana" w:cs="Verdana"/>
      <w:sz w:val="20"/>
      <w:szCs w:val="20"/>
      <w:lang w:val="en-US" w:eastAsia="en-US"/>
    </w:rPr>
  </w:style>
  <w:style w:type="paragraph" w:styleId="896">
    <w:name w:val="UserStyle_4"/>
    <w:basedOn w:val="821"/>
    <w:qFormat/>
    <w:pPr>
      <w:ind w:firstLine="567"/>
      <w:jc w:val="center"/>
    </w:pPr>
    <w:rPr>
      <w:b/>
      <w:szCs w:val="20"/>
    </w:rPr>
  </w:style>
  <w:style w:type="paragraph" w:styleId="897">
    <w:name w:val="Содержимое врезки"/>
    <w:basedOn w:val="821"/>
    <w:qFormat/>
  </w:style>
  <w:style w:type="numbering" w:styleId="898">
    <w:name w:val="Нет списка"/>
    <w:semiHidden/>
    <w:qFormat/>
  </w:style>
  <w:style w:type="numbering" w:styleId="899" w:default="1">
    <w:name w:val="No List"/>
    <w:uiPriority w:val="99"/>
    <w:semiHidden/>
    <w:unhideWhenUsed/>
    <w:qFormat/>
  </w:style>
  <w:style w:type="table" w:styleId="90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0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3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3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3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3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3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3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3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3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3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3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4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4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4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4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4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4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4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4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6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6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6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6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6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6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7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9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9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9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9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9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9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9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9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100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100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100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100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100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1005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06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07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08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09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10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11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12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13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14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15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16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17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18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1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2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2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2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2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2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2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bna</dc:creator>
  <dc:description/>
  <dc:language>ru-RU</dc:language>
  <cp:lastModifiedBy>chetina-yui</cp:lastModifiedBy>
  <cp:revision>31</cp:revision>
  <dcterms:created xsi:type="dcterms:W3CDTF">2024-07-29T05:49:00Z</dcterms:created>
  <dcterms:modified xsi:type="dcterms:W3CDTF">2026-08-04T12:21:31Z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