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98"/>
        <w:numPr>
          <w:ilvl w:val="0"/>
          <w:numId w:val="0"/>
        </w:numPr>
        <w:ind w:left="0" w:firstLine="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Департамент имущественных отношений администрации города Перми</w:t>
      </w:r>
      <w:r>
        <w:rPr>
          <w:sz w:val="28"/>
          <w:szCs w:val="28"/>
        </w:rPr>
      </w:r>
    </w:p>
    <w:p>
      <w:pPr>
        <w:pStyle w:val="79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8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Протокол рассмотрения заявок на участие в электронных аукционах </w:t>
      </w:r>
      <w:r>
        <w:rPr>
          <w:b/>
          <w:sz w:val="28"/>
          <w:szCs w:val="28"/>
        </w:rPr>
      </w:r>
    </w:p>
    <w:p>
      <w:pPr>
        <w:pStyle w:val="798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 xml:space="preserve">по продаже зем</w:t>
      </w:r>
      <w:r>
        <w:rPr>
          <w:b/>
          <w:sz w:val="28"/>
          <w:szCs w:val="28"/>
        </w:rPr>
        <w:t xml:space="preserve">ельных участков</w:t>
      </w:r>
      <w:r>
        <w:rPr>
          <w:b/>
          <w:sz w:val="28"/>
          <w:szCs w:val="28"/>
        </w:rPr>
      </w:r>
    </w:p>
    <w:p>
      <w:pPr>
        <w:pStyle w:val="798"/>
        <w:numPr>
          <w:ilvl w:val="0"/>
          <w:numId w:val="0"/>
        </w:numPr>
        <w:ind w:left="0" w:firstLine="0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кабинет 2                      </w:t>
        <w:tab/>
        <w:t xml:space="preserve">                               </w:t>
      </w:r>
      <w:r>
        <w:rPr>
          <w:sz w:val="28"/>
          <w:szCs w:val="28"/>
        </w:rPr>
        <w:t xml:space="preserve">05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</w:rPr>
      </w:r>
    </w:p>
    <w:p>
      <w:pPr>
        <w:pStyle w:val="798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8"/>
        <w:ind w:firstLine="720"/>
        <w:jc w:val="both"/>
        <w:spacing w:before="0" w:after="0" w:line="276" w:lineRule="auto"/>
        <w:tabs>
          <w:tab w:val="clear" w:pos="708" w:leader="none"/>
          <w:tab w:val="left" w:pos="2805" w:leader="none"/>
        </w:tabs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</w:t>
      </w:r>
      <w:r>
        <w:rPr>
          <w:sz w:val="28"/>
          <w:szCs w:val="28"/>
        </w:rPr>
        <w:t xml:space="preserve">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</w:t>
      </w:r>
      <w:r>
        <w:rPr>
          <w:sz w:val="28"/>
          <w:szCs w:val="28"/>
        </w:rPr>
        <w:t xml:space="preserve">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  <w:r/>
    </w:p>
    <w:p>
      <w:pPr>
        <w:pStyle w:val="798"/>
        <w:jc w:val="both"/>
        <w:spacing w:before="0" w:after="0" w:line="276" w:lineRule="auto"/>
      </w:pPr>
      <w:r>
        <w:rPr>
          <w:sz w:val="28"/>
          <w:szCs w:val="28"/>
          <w:highlight w:val="yellow"/>
        </w:rPr>
        <w:t xml:space="preserve">             </w:t>
      </w:r>
      <w:r/>
    </w:p>
    <w:p>
      <w:pPr>
        <w:pStyle w:val="798"/>
        <w:ind w:left="3000" w:right="0" w:hanging="3000"/>
        <w:jc w:val="both"/>
        <w:spacing w:before="0" w:after="120" w:line="276" w:lineRule="auto"/>
        <w:widowControl/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  <w:r/>
    </w:p>
    <w:p>
      <w:pPr>
        <w:pStyle w:val="798"/>
        <w:ind w:left="4680" w:right="0" w:hanging="4680"/>
        <w:jc w:val="both"/>
        <w:spacing w:before="0" w:after="120" w:line="276" w:lineRule="auto"/>
        <w:widowControl/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  <w:r/>
    </w:p>
    <w:p>
      <w:pPr>
        <w:pStyle w:val="798"/>
        <w:ind w:left="2880" w:right="0" w:hanging="2880"/>
        <w:jc w:val="both"/>
        <w:spacing w:before="0" w:after="120" w:line="276" w:lineRule="auto"/>
        <w:widowControl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Секретарь комиссии: Павлова О.И., консультант отдела по распоряжению муниципальным имуществом управления                            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  <w:r/>
    </w:p>
    <w:p>
      <w:pPr>
        <w:pStyle w:val="798"/>
        <w:ind w:left="2126" w:right="0" w:hanging="2126"/>
        <w:jc w:val="both"/>
        <w:spacing w:before="0" w:after="0" w:line="276" w:lineRule="auto"/>
        <w:widowControl/>
        <w:tabs>
          <w:tab w:val="clear" w:pos="708" w:leader="none"/>
          <w:tab w:val="left" w:pos="2100" w:leader="none"/>
        </w:tabs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ru-RU" w:bidi="ar-SA"/>
        </w:rPr>
        <w:t xml:space="preserve">Члены комиссии: Союстова А.А., заместитель начальника отдела сопровождения договоров департамента земельных отношений администрации города Перми;</w:t>
      </w:r>
      <w:r/>
    </w:p>
    <w:p>
      <w:pPr>
        <w:pStyle w:val="798"/>
        <w:ind w:left="2126" w:right="0" w:firstLine="0"/>
        <w:jc w:val="both"/>
        <w:spacing w:before="0" w:after="0" w:line="276" w:lineRule="auto"/>
        <w:widowControl/>
        <w:tabs>
          <w:tab w:val="left" w:pos="708" w:leader="none"/>
        </w:tabs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r>
    </w:p>
    <w:p>
      <w:pPr>
        <w:pStyle w:val="798"/>
        <w:ind w:left="2126" w:right="0" w:firstLine="0"/>
        <w:jc w:val="both"/>
        <w:spacing w:before="0" w:after="0" w:line="276" w:lineRule="auto"/>
        <w:widowControl/>
        <w:tabs>
          <w:tab w:val="left" w:pos="708" w:leader="none"/>
        </w:tabs>
      </w:pPr>
      <w:r/>
      <w:r/>
    </w:p>
    <w:p>
      <w:pPr>
        <w:pStyle w:val="798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pPr>
      <w:r>
        <w:rPr>
          <w:sz w:val="28"/>
          <w:szCs w:val="28"/>
        </w:rPr>
        <w:t xml:space="preserve">рассмотрев заявки на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 участие в электронных аукционах, назначенных                           на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06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.0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8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.2026 (процедура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 № SBR012-2607060037), решил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а: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</w:p>
    <w:p>
      <w:pPr>
        <w:pStyle w:val="798"/>
        <w:ind w:left="0" w:right="0" w:firstLine="0"/>
        <w:jc w:val="left"/>
        <w:spacing w:before="0" w:after="0" w:line="276" w:lineRule="auto"/>
      </w:pPr>
      <w:r/>
      <w:r/>
    </w:p>
    <w:p>
      <w:pPr>
        <w:pStyle w:val="798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pPr>
      <w:r>
        <w:rPr>
          <w:b/>
          <w:sz w:val="28"/>
          <w:szCs w:val="28"/>
        </w:rPr>
        <w:t xml:space="preserve">Лот № 1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земельный участок с кадастровым номером, государственная собственность на который не разграничена, 59:01:3812839:178 площадью 733 кв. м, расположенный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по адресу: Российская Федерация, Пермский край, городской округ Пермский, город Пермь, улица 1-я Логовая, з/у 1д, для индивидуального жилищного строительства. Разрешенное использование земельного участка – для индивидуального жилищного строительства (2.1).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</w:p>
    <w:p>
      <w:pPr>
        <w:pStyle w:val="798"/>
        <w:ind w:firstLine="708"/>
        <w:jc w:val="both"/>
        <w:spacing w:before="0" w:after="0" w:line="276" w:lineRule="auto"/>
        <w:rPr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>
        <w:rPr>
          <w:sz w:val="28"/>
          <w:szCs w:val="28"/>
        </w:rPr>
      </w:r>
    </w:p>
    <w:p>
      <w:pPr>
        <w:pStyle w:val="798"/>
        <w:ind w:firstLine="708"/>
        <w:jc w:val="both"/>
        <w:spacing w:before="0" w:after="0" w:line="276" w:lineRule="auto"/>
        <w:rPr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>
        <w:rPr>
          <w:sz w:val="28"/>
          <w:szCs w:val="28"/>
        </w:rPr>
      </w:r>
    </w:p>
    <w:p>
      <w:pPr>
        <w:pStyle w:val="798"/>
        <w:ind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</w:rPr>
      </w:r>
    </w:p>
    <w:p>
      <w:pPr>
        <w:pStyle w:val="798"/>
        <w:jc w:val="both"/>
        <w:spacing w:before="0" w:after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Лот № 2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земельный участок с кадастровым номером, государственная собственность на который не разграничена, 59:01:3810190:153 площадью 1952 кв. м, расположенный п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о адресу: Российская Федерация, Пермский край, городской округ Пермский, город Пермь, улица 1-я Логовая, з/у 25в, для индивидуального жилищного строительства. Разрешенное использование земельного участка – для индивидуального жилищного строительства (2.1).</w:t>
      </w:r>
      <w:r>
        <w:rPr>
          <w:sz w:val="28"/>
          <w:szCs w:val="28"/>
        </w:rPr>
      </w:r>
    </w:p>
    <w:p>
      <w:pPr>
        <w:pStyle w:val="798"/>
        <w:ind w:firstLine="708"/>
        <w:jc w:val="both"/>
        <w:spacing w:before="0" w:after="0" w:line="276" w:lineRule="auto"/>
        <w:rPr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>
        <w:rPr>
          <w:sz w:val="28"/>
          <w:szCs w:val="28"/>
        </w:rPr>
      </w:r>
    </w:p>
    <w:p>
      <w:pPr>
        <w:pStyle w:val="798"/>
        <w:ind w:firstLine="708"/>
        <w:jc w:val="both"/>
        <w:spacing w:before="0" w:after="0" w:line="276" w:lineRule="auto"/>
        <w:rPr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>
        <w:rPr>
          <w:sz w:val="28"/>
          <w:szCs w:val="28"/>
        </w:rPr>
      </w:r>
    </w:p>
    <w:p>
      <w:pPr>
        <w:pStyle w:val="798"/>
        <w:ind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</w:rPr>
      </w:pPr>
      <w:r>
        <w:rPr>
          <w:rFonts w:eastAsia="Droid Sans Fallback" w:cs="Lohit Devanagari"/>
          <w:color w:val="auto"/>
          <w:sz w:val="28"/>
          <w:szCs w:val="28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</w:rPr>
      </w:r>
    </w:p>
    <w:p>
      <w:pPr>
        <w:pStyle w:val="798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pPr>
      <w:r>
        <w:rPr>
          <w:b/>
          <w:sz w:val="28"/>
          <w:szCs w:val="28"/>
        </w:rPr>
        <w:t xml:space="preserve">Лот № 3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земельный участок, государственная собственность на который не разграничена, с кадастровым номером 59:01:1810045:182 площадью 1185 кв. м, расположенный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 по адресу: Российская Федерация, Пермский край, городской округ Пермский, город Пермь, улица Башкирская, з/у 50, для индивидуального жилищного строительства. Разрешенное использование земельного участка – для индивидуального жилищного строительства (2.1).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</w:p>
    <w:p>
      <w:pPr>
        <w:pStyle w:val="798"/>
        <w:ind w:firstLine="708"/>
        <w:jc w:val="both"/>
        <w:spacing w:before="0" w:after="0" w:line="276" w:lineRule="auto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/>
    </w:p>
    <w:p>
      <w:pPr>
        <w:pStyle w:val="798"/>
        <w:ind w:firstLine="708"/>
        <w:jc w:val="both"/>
        <w:spacing w:before="0" w:after="0" w:line="276" w:lineRule="auto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/>
    </w:p>
    <w:p>
      <w:pPr>
        <w:pStyle w:val="798"/>
        <w:jc w:val="both"/>
        <w:spacing w:line="276" w:lineRule="auto"/>
      </w:pPr>
      <w:r/>
      <w:r/>
    </w:p>
    <w:p>
      <w:pPr>
        <w:pStyle w:val="798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pPr>
      <w:r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земельный участок, государственная собственность на который не разграничена, с кадастровым номером 59:01:5010017:166 площадью 1074 кв. м, расположенный по адресу: Российска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я Федерация, Пермский край, городской округ Пермский, город Пермь, жилой район Ново-Бродовский, улица Грибная,  з/у 51,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</w:p>
    <w:p>
      <w:pPr>
        <w:pStyle w:val="798"/>
        <w:ind w:firstLine="708"/>
        <w:jc w:val="both"/>
        <w:spacing w:before="0" w:after="0" w:line="276" w:lineRule="auto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/>
    </w:p>
    <w:p>
      <w:pPr>
        <w:pStyle w:val="798"/>
        <w:ind w:firstLine="708"/>
        <w:jc w:val="both"/>
        <w:spacing w:before="0" w:after="0" w:line="276" w:lineRule="auto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/>
    </w:p>
    <w:p>
      <w:pPr>
        <w:pStyle w:val="798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798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798"/>
        <w:jc w:val="both"/>
        <w:spacing w:line="276" w:lineRule="auto"/>
      </w:pPr>
      <w:r>
        <w:rPr>
          <w:sz w:val="28"/>
          <w:szCs w:val="28"/>
        </w:rPr>
        <w:t xml:space="preserve">Председатель комиссии                                                                        </w:t>
      </w:r>
      <w:r>
        <w:rPr>
          <w:sz w:val="28"/>
          <w:szCs w:val="28"/>
          <w:highlight w:val="white"/>
        </w:rPr>
        <w:t xml:space="preserve">А.А. Хаткевич</w:t>
      </w:r>
      <w:r/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798"/>
        <w:ind w:left="5610" w:hanging="5610"/>
        <w:spacing w:before="120" w:after="120" w:line="276" w:lineRule="auto"/>
      </w:pPr>
      <w:r>
        <w:rPr>
          <w:sz w:val="28"/>
          <w:szCs w:val="28"/>
          <w:lang w:eastAsia="en-US"/>
        </w:rPr>
        <w:t xml:space="preserve"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Шафранова</w:t>
      </w:r>
      <w:r/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798"/>
        <w:ind w:left="5610" w:hanging="5610"/>
        <w:spacing w:before="120" w:after="120" w:line="276" w:lineRule="auto"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Секретарь комиссии </w:t>
        <w:tab/>
        <w:tab/>
        <w:tab/>
        <w:tab/>
        <w:t xml:space="preserve">            О.И. Павлова</w:t>
      </w:r>
      <w:r/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798"/>
        <w:spacing w:before="120" w:after="120" w:line="276" w:lineRule="auto"/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А.А. Союстова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  <w:r/>
      <w:r/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</w:p>
    <w:p>
      <w:pPr>
        <w:pStyle w:val="798"/>
        <w:ind w:left="7080" w:right="0" w:firstLine="857"/>
        <w:jc w:val="left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en-US" w:bidi="ar-SA"/>
        </w:rPr>
        <w:t xml:space="preserve">Ю.И. Четина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  <w:r/>
      <w:r/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786" w:right="567" w:bottom="766" w:left="1418" w:header="0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6030504020204"/>
  </w:font>
  <w:font w:name="Open Sans">
    <w:panose1 w:val="020B0606030504020204"/>
  </w:font>
  <w:font w:name="Tahoma">
    <w:panose1 w:val="020B0606030504020204"/>
  </w:font>
  <w:font w:name="Arial">
    <w:panose1 w:val="020B0604020202020204"/>
  </w:font>
  <w:font w:name="Droid Sans Fallback">
    <w:panose1 w:val="020B0502000000000001"/>
  </w:font>
  <w:font w:name="Courier New">
    <w:panose1 w:val="020704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4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635" distL="0" distR="635" simplePos="0" relativeHeight="6" behindDoc="1" locked="0" layoutInCell="0" allowOverlap="1">
              <wp:simplePos x="0" y="0"/>
              <wp:positionH relativeFrom="margin">
                <wp:posOffset>6223000</wp:posOffset>
              </wp:positionH>
              <wp:positionV relativeFrom="paragraph">
                <wp:posOffset>15240</wp:posOffset>
              </wp:positionV>
              <wp:extent cx="144780" cy="24701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4719" cy="246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54"/>
                            <w:rPr>
                              <w:rStyle w:val="835"/>
                            </w:rPr>
                          </w:pPr>
                          <w:r>
                            <w:rPr>
                              <w:rStyle w:val="835"/>
                              <w:color w:val="000000"/>
                            </w:rPr>
                            <w:t xml:space="preserve">2</w:t>
                          </w:r>
                          <w:r>
                            <w:rPr>
                              <w:rStyle w:val="835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6;o:allowoverlap:true;o:allowincell:false;mso-position-horizontal-relative:margin;margin-left:490.00pt;mso-position-horizontal:absolute;mso-position-vertical-relative:text;margin-top:1.20pt;mso-position-vertical:absolute;width:11.40pt;height:19.45pt;mso-wrap-distance-left:0.00pt;mso-wrap-distance-top:0.00pt;mso-wrap-distance-right:0.05pt;mso-wrap-distance-bottom:0.05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54"/>
                      <w:rPr>
                        <w:rStyle w:val="835"/>
                      </w:rPr>
                    </w:pPr>
                    <w:r>
                      <w:rPr>
                        <w:rStyle w:val="835"/>
                        <w:color w:val="000000"/>
                      </w:rPr>
                      <w:t xml:space="preserve">2</w:t>
                    </w:r>
                    <w:r>
                      <w:rPr>
                        <w:rStyle w:val="835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4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54"/>
                            <w:ind w:right="360"/>
                            <w:rPr>
                              <w:rStyle w:val="835"/>
                            </w:rPr>
                          </w:pPr>
                          <w:r>
                            <w:rPr>
                              <w:rStyle w:val="83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35"/>
                            </w:rPr>
                          </w:r>
                        </w:p>
                      </w:txbxContent>
                    </wps:txbx>
                    <wps:bodyPr lIns="36360" tIns="-21240" rIns="36360" bIns="-21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54"/>
                      <w:ind w:right="360"/>
                      <w:rPr>
                        <w:rStyle w:val="835"/>
                      </w:rPr>
                    </w:pPr>
                    <w:r>
                      <w:rPr>
                        <w:rStyle w:val="835"/>
                        <w:color w:val="000000"/>
                      </w:rPr>
                      <w:fldChar w:fldCharType="begin"/>
                    </w:r>
                    <w:r>
                      <w:rPr>
                        <w:rStyle w:val="83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35"/>
                        <w:color w:val="000000"/>
                      </w:rPr>
                      <w:fldChar w:fldCharType="separate"/>
                    </w:r>
                    <w:r>
                      <w:rPr>
                        <w:rStyle w:val="835"/>
                        <w:color w:val="000000"/>
                      </w:rPr>
                      <w:t xml:space="preserve">0</w:t>
                    </w:r>
                    <w:r>
                      <w:rPr>
                        <w:rStyle w:val="835"/>
                        <w:color w:val="000000"/>
                      </w:rPr>
                      <w:fldChar w:fldCharType="end"/>
                    </w:r>
                    <w:r>
                      <w:rPr>
                        <w:rStyle w:val="835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54"/>
                            <w:rPr>
                              <w:rStyle w:val="835"/>
                            </w:rPr>
                          </w:pPr>
                          <w:r>
                            <w:rPr>
                              <w:rStyle w:val="83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35"/>
                            </w:rPr>
                          </w:r>
                        </w:p>
                      </w:txbxContent>
                    </wps:txbx>
                    <wps:bodyPr lIns="36360" tIns="-21240" rIns="36360" bIns="-21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3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54"/>
                      <w:rPr>
                        <w:rStyle w:val="835"/>
                      </w:rPr>
                    </w:pPr>
                    <w:r>
                      <w:rPr>
                        <w:rStyle w:val="835"/>
                        <w:color w:val="000000"/>
                      </w:rPr>
                      <w:fldChar w:fldCharType="begin"/>
                    </w:r>
                    <w:r>
                      <w:rPr>
                        <w:rStyle w:val="83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35"/>
                        <w:color w:val="000000"/>
                      </w:rPr>
                      <w:fldChar w:fldCharType="separate"/>
                    </w:r>
                    <w:r>
                      <w:rPr>
                        <w:rStyle w:val="835"/>
                        <w:color w:val="000000"/>
                      </w:rPr>
                      <w:t xml:space="preserve">0</w:t>
                    </w:r>
                    <w:r>
                      <w:rPr>
                        <w:rStyle w:val="835"/>
                        <w:color w:val="000000"/>
                      </w:rPr>
                      <w:fldChar w:fldCharType="end"/>
                    </w:r>
                    <w:r>
                      <w:rPr>
                        <w:rStyle w:val="835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4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54"/>
                            <w:rPr>
                              <w:rStyle w:val="835"/>
                            </w:rPr>
                          </w:pPr>
                          <w:r>
                            <w:rPr>
                              <w:rStyle w:val="83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35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35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-8;o:allowoverlap:true;o:allowincell:false;mso-position-horizontal-relative:margin;mso-position-horizontal:right;mso-position-vertical-relative:text;margin-top:0.05pt;mso-position-vertical:absolute;width:6.05pt;height:13.7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54"/>
                      <w:rPr>
                        <w:rStyle w:val="835"/>
                      </w:rPr>
                    </w:pPr>
                    <w:r>
                      <w:rPr>
                        <w:rStyle w:val="835"/>
                        <w:color w:val="000000"/>
                      </w:rPr>
                      <w:fldChar w:fldCharType="begin"/>
                    </w:r>
                    <w:r>
                      <w:rPr>
                        <w:rStyle w:val="83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35"/>
                        <w:color w:val="000000"/>
                      </w:rPr>
                      <w:fldChar w:fldCharType="separate"/>
                    </w:r>
                    <w:r>
                      <w:rPr>
                        <w:rStyle w:val="835"/>
                        <w:color w:val="000000"/>
                      </w:rPr>
                      <w:t xml:space="preserve">0</w:t>
                    </w:r>
                    <w:r>
                      <w:rPr>
                        <w:rStyle w:val="835"/>
                        <w:color w:val="000000"/>
                      </w:rPr>
                      <w:fldChar w:fldCharType="end"/>
                    </w:r>
                    <w:r>
                      <w:rPr>
                        <w:rStyle w:val="835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635" distL="0" distR="635" simplePos="0" relativeHeight="9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44780" cy="247015"/>
              <wp:effectExtent l="0" t="0" r="0" b="0"/>
              <wp:wrapSquare wrapText="bothSides"/>
              <wp:docPr id="5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4719" cy="246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54"/>
                            <w:rPr>
                              <w:rStyle w:val="835"/>
                            </w:rPr>
                          </w:pPr>
                          <w:r>
                            <w:rPr>
                              <w:rStyle w:val="835"/>
                              <w:color w:val="000000"/>
                            </w:rPr>
                            <w:t xml:space="preserve">2</w:t>
                          </w:r>
                          <w:r>
                            <w:rPr>
                              <w:rStyle w:val="835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-9;o:allowoverlap:true;o:allowincell:false;mso-position-horizontal-relative:margin;margin-left:0.00pt;mso-position-horizontal:absolute;mso-position-vertical-relative:text;margin-top:0.05pt;mso-position-vertical:absolute;width:11.40pt;height:19.45pt;mso-wrap-distance-left:0.00pt;mso-wrap-distance-top:0.00pt;mso-wrap-distance-right:0.05pt;mso-wrap-distance-bottom:0.05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54"/>
                      <w:rPr>
                        <w:rStyle w:val="835"/>
                      </w:rPr>
                    </w:pPr>
                    <w:r>
                      <w:rPr>
                        <w:rStyle w:val="835"/>
                        <w:color w:val="000000"/>
                      </w:rPr>
                      <w:t xml:space="preserve">2</w:t>
                    </w:r>
                    <w:r>
                      <w:rPr>
                        <w:rStyle w:val="835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4"/>
      <w:jc w:val="right"/>
    </w:pPr>
    <w:r/>
    <w:r/>
  </w:p>
  <w:p>
    <w:pPr>
      <w:pStyle w:val="85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8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ru-RU" w:bidi="ar-SA"/>
    </w:rPr>
  </w:style>
  <w:style w:type="paragraph" w:styleId="799">
    <w:name w:val="Heading 1"/>
    <w:basedOn w:val="79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00">
    <w:name w:val="Heading 2"/>
    <w:basedOn w:val="79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01">
    <w:name w:val="Heading 3"/>
    <w:basedOn w:val="79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02">
    <w:name w:val="Heading 4"/>
    <w:basedOn w:val="7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3">
    <w:name w:val="Heading 5"/>
    <w:basedOn w:val="79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4">
    <w:name w:val="Heading 6"/>
    <w:basedOn w:val="79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5">
    <w:name w:val="Heading 7"/>
    <w:basedOn w:val="7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6">
    <w:name w:val="Heading 8"/>
    <w:basedOn w:val="7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7">
    <w:name w:val="Heading 9"/>
    <w:basedOn w:val="7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8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09">
    <w:name w:val="Heading 2 Char"/>
    <w:uiPriority w:val="9"/>
    <w:qFormat/>
    <w:rPr>
      <w:rFonts w:ascii="Arial" w:hAnsi="Arial" w:eastAsia="Arial" w:cs="Arial"/>
      <w:sz w:val="34"/>
    </w:rPr>
  </w:style>
  <w:style w:type="character" w:styleId="810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1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12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13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14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5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16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17">
    <w:name w:val="Title Char"/>
    <w:uiPriority w:val="10"/>
    <w:qFormat/>
    <w:rPr>
      <w:sz w:val="48"/>
      <w:szCs w:val="48"/>
    </w:rPr>
  </w:style>
  <w:style w:type="character" w:styleId="818">
    <w:name w:val="Subtitle Char"/>
    <w:uiPriority w:val="11"/>
    <w:qFormat/>
    <w:rPr>
      <w:sz w:val="24"/>
      <w:szCs w:val="24"/>
    </w:rPr>
  </w:style>
  <w:style w:type="character" w:styleId="819">
    <w:name w:val="Quote Char"/>
    <w:uiPriority w:val="29"/>
    <w:qFormat/>
    <w:rPr>
      <w:i/>
    </w:rPr>
  </w:style>
  <w:style w:type="character" w:styleId="820">
    <w:name w:val="Intense Quote Char"/>
    <w:uiPriority w:val="30"/>
    <w:qFormat/>
    <w:rPr>
      <w:i/>
    </w:rPr>
  </w:style>
  <w:style w:type="character" w:styleId="821">
    <w:name w:val="Header Char"/>
    <w:uiPriority w:val="99"/>
    <w:qFormat/>
  </w:style>
  <w:style w:type="character" w:styleId="822">
    <w:name w:val="Footer Char"/>
    <w:uiPriority w:val="99"/>
    <w:qFormat/>
  </w:style>
  <w:style w:type="character" w:styleId="823">
    <w:name w:val="Caption Char"/>
    <w:uiPriority w:val="99"/>
    <w:qFormat/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character" w:styleId="825">
    <w:name w:val="Footnote Text Char"/>
    <w:uiPriority w:val="99"/>
    <w:qFormat/>
    <w:rPr>
      <w:sz w:val="18"/>
    </w:rPr>
  </w:style>
  <w:style w:type="character" w:styleId="826">
    <w:name w:val="Символ сноски"/>
    <w:uiPriority w:val="99"/>
    <w:unhideWhenUsed/>
    <w:qFormat/>
    <w:rPr>
      <w:vertAlign w:val="superscript"/>
    </w:rPr>
  </w:style>
  <w:style w:type="character" w:styleId="827">
    <w:name w:val="footnote reference"/>
    <w:rPr>
      <w:vertAlign w:val="superscript"/>
    </w:rPr>
  </w:style>
  <w:style w:type="character" w:styleId="828">
    <w:name w:val="Endnote Text Char"/>
    <w:uiPriority w:val="99"/>
    <w:qFormat/>
    <w:rPr>
      <w:sz w:val="20"/>
    </w:rPr>
  </w:style>
  <w:style w:type="character" w:styleId="829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30">
    <w:name w:val="endnote reference"/>
    <w:rPr>
      <w:vertAlign w:val="superscript"/>
    </w:rPr>
  </w:style>
  <w:style w:type="character" w:styleId="831">
    <w:name w:val="Основной шрифт абзаца"/>
    <w:semiHidden/>
    <w:qFormat/>
  </w:style>
  <w:style w:type="character" w:styleId="832">
    <w:name w:val="Основной текст с отступом 3 Знак"/>
    <w:qFormat/>
    <w:rPr>
      <w:sz w:val="16"/>
      <w:szCs w:val="16"/>
    </w:rPr>
  </w:style>
  <w:style w:type="character" w:styleId="833">
    <w:name w:val="Текст Знак"/>
    <w:qFormat/>
    <w:rPr>
      <w:rFonts w:ascii="Courier New" w:hAnsi="Courier New"/>
    </w:rPr>
  </w:style>
  <w:style w:type="character" w:styleId="834">
    <w:name w:val="Текст выноски Знак"/>
    <w:qFormat/>
    <w:rPr>
      <w:rFonts w:ascii="Tahoma" w:hAnsi="Tahoma" w:cs="Tahoma"/>
      <w:sz w:val="16"/>
      <w:szCs w:val="16"/>
    </w:rPr>
  </w:style>
  <w:style w:type="character" w:styleId="835">
    <w:name w:val="Основной текст с отступом Знак"/>
    <w:qFormat/>
    <w:rPr>
      <w:sz w:val="24"/>
      <w:szCs w:val="24"/>
    </w:rPr>
  </w:style>
  <w:style w:type="character" w:styleId="836">
    <w:name w:val="Верхний колонтитул Знак"/>
    <w:qFormat/>
    <w:rPr>
      <w:sz w:val="24"/>
      <w:szCs w:val="24"/>
    </w:rPr>
  </w:style>
  <w:style w:type="character" w:styleId="837">
    <w:name w:val="Нижний колонтитул Знак"/>
    <w:qFormat/>
    <w:rPr>
      <w:sz w:val="24"/>
      <w:szCs w:val="24"/>
    </w:rPr>
  </w:style>
  <w:style w:type="character" w:styleId="838">
    <w:name w:val="Текст сноски Знак"/>
    <w:basedOn w:val="831"/>
    <w:qFormat/>
  </w:style>
  <w:style w:type="character" w:styleId="839">
    <w:name w:val="Знак сноски"/>
    <w:qFormat/>
    <w:rPr>
      <w:vertAlign w:val="superscript"/>
    </w:rPr>
  </w:style>
  <w:style w:type="character" w:styleId="840" w:default="1">
    <w:name w:val="Default Paragraph Font"/>
    <w:uiPriority w:val="1"/>
    <w:semiHidden/>
    <w:unhideWhenUsed/>
    <w:qFormat/>
  </w:style>
  <w:style w:type="paragraph" w:styleId="841">
    <w:name w:val="Заголовок"/>
    <w:basedOn w:val="798"/>
    <w:next w:val="842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42">
    <w:name w:val="Body Text"/>
    <w:basedOn w:val="798"/>
    <w:pPr>
      <w:spacing w:before="0" w:after="140" w:line="276" w:lineRule="auto"/>
    </w:pPr>
  </w:style>
  <w:style w:type="paragraph" w:styleId="843">
    <w:name w:val="List"/>
    <w:basedOn w:val="842"/>
    <w:rPr>
      <w:rFonts w:cs="Lohit Devanagari"/>
    </w:rPr>
  </w:style>
  <w:style w:type="paragraph" w:styleId="844">
    <w:name w:val="Caption"/>
    <w:basedOn w:val="798"/>
    <w:link w:val="8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45">
    <w:name w:val="Указатель"/>
    <w:basedOn w:val="798"/>
    <w:qFormat/>
    <w:pPr>
      <w:suppressLineNumbers/>
    </w:pPr>
    <w:rPr>
      <w:rFonts w:cs="Lohit Devanagari"/>
    </w:rPr>
  </w:style>
  <w:style w:type="paragraph" w:styleId="846">
    <w:name w:val="List Paragraph"/>
    <w:basedOn w:val="798"/>
    <w:uiPriority w:val="34"/>
    <w:qFormat/>
    <w:pPr>
      <w:contextualSpacing/>
      <w:ind w:left="720"/>
      <w:spacing w:before="0" w:after="0"/>
    </w:pPr>
  </w:style>
  <w:style w:type="paragraph" w:styleId="847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48">
    <w:name w:val="Title"/>
    <w:basedOn w:val="798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49">
    <w:name w:val="Subtitle"/>
    <w:basedOn w:val="798"/>
    <w:uiPriority w:val="11"/>
    <w:qFormat/>
    <w:pPr>
      <w:spacing w:before="200" w:after="200"/>
    </w:pPr>
    <w:rPr>
      <w:sz w:val="24"/>
      <w:szCs w:val="24"/>
    </w:rPr>
  </w:style>
  <w:style w:type="paragraph" w:styleId="850">
    <w:name w:val="Quote"/>
    <w:basedOn w:val="798"/>
    <w:uiPriority w:val="29"/>
    <w:qFormat/>
    <w:pPr>
      <w:ind w:left="720" w:right="720"/>
    </w:pPr>
    <w:rPr>
      <w:i/>
    </w:rPr>
  </w:style>
  <w:style w:type="paragraph" w:styleId="851">
    <w:name w:val="Intense Quote"/>
    <w:basedOn w:val="798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52">
    <w:name w:val="Колонтитул"/>
    <w:basedOn w:val="798"/>
    <w:qFormat/>
  </w:style>
  <w:style w:type="paragraph" w:styleId="853">
    <w:name w:val="Header"/>
    <w:basedOn w:val="798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54">
    <w:name w:val="Footer"/>
    <w:basedOn w:val="798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55">
    <w:name w:val="footnote text"/>
    <w:basedOn w:val="798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56">
    <w:name w:val="endnote text"/>
    <w:basedOn w:val="798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57">
    <w:name w:val="toc 1"/>
    <w:basedOn w:val="798"/>
    <w:uiPriority w:val="39"/>
    <w:unhideWhenUsed/>
    <w:pPr>
      <w:ind w:left="0" w:right="0" w:firstLine="0"/>
      <w:spacing w:before="0" w:after="57"/>
    </w:pPr>
  </w:style>
  <w:style w:type="paragraph" w:styleId="858">
    <w:name w:val="toc 2"/>
    <w:basedOn w:val="798"/>
    <w:uiPriority w:val="39"/>
    <w:unhideWhenUsed/>
    <w:pPr>
      <w:ind w:left="283" w:right="0" w:firstLine="0"/>
      <w:spacing w:before="0" w:after="57"/>
    </w:pPr>
  </w:style>
  <w:style w:type="paragraph" w:styleId="859">
    <w:name w:val="toc 3"/>
    <w:basedOn w:val="798"/>
    <w:uiPriority w:val="39"/>
    <w:unhideWhenUsed/>
    <w:pPr>
      <w:ind w:left="567" w:right="0" w:firstLine="0"/>
      <w:spacing w:before="0" w:after="57"/>
    </w:pPr>
  </w:style>
  <w:style w:type="paragraph" w:styleId="860">
    <w:name w:val="toc 4"/>
    <w:basedOn w:val="798"/>
    <w:uiPriority w:val="39"/>
    <w:unhideWhenUsed/>
    <w:pPr>
      <w:ind w:left="850" w:right="0" w:firstLine="0"/>
      <w:spacing w:before="0" w:after="57"/>
    </w:pPr>
  </w:style>
  <w:style w:type="paragraph" w:styleId="861">
    <w:name w:val="toc 5"/>
    <w:basedOn w:val="798"/>
    <w:uiPriority w:val="39"/>
    <w:unhideWhenUsed/>
    <w:pPr>
      <w:ind w:left="1134" w:right="0" w:firstLine="0"/>
      <w:spacing w:before="0" w:after="57"/>
    </w:pPr>
  </w:style>
  <w:style w:type="paragraph" w:styleId="862">
    <w:name w:val="toc 6"/>
    <w:basedOn w:val="798"/>
    <w:uiPriority w:val="39"/>
    <w:unhideWhenUsed/>
    <w:pPr>
      <w:ind w:left="1417" w:right="0" w:firstLine="0"/>
      <w:spacing w:before="0" w:after="57"/>
    </w:pPr>
  </w:style>
  <w:style w:type="paragraph" w:styleId="863">
    <w:name w:val="toc 7"/>
    <w:basedOn w:val="798"/>
    <w:uiPriority w:val="39"/>
    <w:unhideWhenUsed/>
    <w:pPr>
      <w:ind w:left="1701" w:right="0" w:firstLine="0"/>
      <w:spacing w:before="0" w:after="57"/>
    </w:pPr>
  </w:style>
  <w:style w:type="paragraph" w:styleId="864">
    <w:name w:val="toc 8"/>
    <w:basedOn w:val="798"/>
    <w:uiPriority w:val="39"/>
    <w:unhideWhenUsed/>
    <w:pPr>
      <w:ind w:left="1984" w:right="0" w:firstLine="0"/>
      <w:spacing w:before="0" w:after="57"/>
    </w:pPr>
  </w:style>
  <w:style w:type="paragraph" w:styleId="865">
    <w:name w:val="toc 9"/>
    <w:basedOn w:val="798"/>
    <w:uiPriority w:val="39"/>
    <w:unhideWhenUsed/>
    <w:pPr>
      <w:ind w:left="2268" w:right="0" w:firstLine="0"/>
      <w:spacing w:before="0" w:after="57"/>
    </w:pPr>
  </w:style>
  <w:style w:type="paragraph" w:styleId="866">
    <w:name w:val="Index Heading"/>
    <w:basedOn w:val="841"/>
  </w:style>
  <w:style w:type="paragraph" w:styleId="86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68">
    <w:name w:val="table of figures"/>
    <w:basedOn w:val="798"/>
    <w:uiPriority w:val="99"/>
    <w:unhideWhenUsed/>
    <w:pPr>
      <w:spacing w:before="0" w:after="0" w:afterAutospacing="0"/>
    </w:pPr>
  </w:style>
  <w:style w:type="paragraph" w:styleId="869">
    <w:name w:val="Body Text Indent"/>
    <w:basedOn w:val="798"/>
    <w:pPr>
      <w:ind w:left="283"/>
      <w:spacing w:before="0" w:after="120"/>
    </w:pPr>
    <w:rPr>
      <w:lang w:val="en-US" w:eastAsia="en-US"/>
    </w:rPr>
  </w:style>
  <w:style w:type="paragraph" w:styleId="870">
    <w:name w:val="Текст"/>
    <w:basedOn w:val="798"/>
    <w:qFormat/>
    <w:rPr>
      <w:rFonts w:ascii="Courier New" w:hAnsi="Courier New"/>
      <w:sz w:val="20"/>
      <w:szCs w:val="20"/>
      <w:lang w:val="en-US" w:eastAsia="en-US"/>
    </w:rPr>
  </w:style>
  <w:style w:type="paragraph" w:styleId="871">
    <w:name w:val="Знак Знак Знак Знак Знак Знак Знак Знак Знак Знак Знак Знак"/>
    <w:basedOn w:val="798"/>
    <w:qFormat/>
    <w:rPr>
      <w:rFonts w:ascii="Verdana" w:hAnsi="Verdana" w:cs="Verdana"/>
      <w:sz w:val="20"/>
      <w:szCs w:val="20"/>
      <w:lang w:val="en-US" w:eastAsia="en-US"/>
    </w:rPr>
  </w:style>
  <w:style w:type="paragraph" w:styleId="872">
    <w:name w:val="Основной текст с отступом 3"/>
    <w:basedOn w:val="798"/>
    <w:qFormat/>
    <w:pPr>
      <w:ind w:left="283"/>
      <w:spacing w:before="0" w:after="120"/>
    </w:pPr>
    <w:rPr>
      <w:sz w:val="16"/>
      <w:szCs w:val="16"/>
      <w:lang w:val="en-US" w:eastAsia="en-US"/>
    </w:rPr>
  </w:style>
  <w:style w:type="paragraph" w:styleId="873">
    <w:name w:val="Текст выноски"/>
    <w:basedOn w:val="798"/>
    <w:qFormat/>
    <w:rPr>
      <w:rFonts w:ascii="Tahoma" w:hAnsi="Tahoma"/>
      <w:sz w:val="16"/>
      <w:szCs w:val="16"/>
      <w:lang w:val="en-US" w:eastAsia="en-US"/>
    </w:rPr>
  </w:style>
  <w:style w:type="paragraph" w:styleId="874">
    <w:name w:val="Текст сноски"/>
    <w:basedOn w:val="798"/>
    <w:qFormat/>
    <w:rPr>
      <w:sz w:val="20"/>
      <w:szCs w:val="20"/>
    </w:rPr>
  </w:style>
  <w:style w:type="paragraph" w:styleId="875">
    <w:name w:val="Содержимое врезки"/>
    <w:basedOn w:val="798"/>
    <w:qFormat/>
  </w:style>
  <w:style w:type="paragraph" w:styleId="876">
    <w:name w:val="Содержимое таблицы"/>
    <w:basedOn w:val="798"/>
    <w:qFormat/>
    <w:pPr>
      <w:widowControl w:val="off"/>
      <w:suppressLineNumbers/>
    </w:pPr>
  </w:style>
  <w:style w:type="paragraph" w:styleId="877">
    <w:name w:val="Заголовок таблицы"/>
    <w:basedOn w:val="876"/>
    <w:qFormat/>
    <w:pPr>
      <w:jc w:val="center"/>
      <w:suppressLineNumbers/>
    </w:pPr>
    <w:rPr>
      <w:b/>
      <w:bCs/>
    </w:rPr>
  </w:style>
  <w:style w:type="numbering" w:styleId="878">
    <w:name w:val="Нет списка"/>
    <w:semiHidden/>
    <w:qFormat/>
  </w:style>
  <w:style w:type="numbering" w:styleId="879" w:default="1">
    <w:name w:val="No List"/>
    <w:uiPriority w:val="99"/>
    <w:semiHidden/>
    <w:unhideWhenUsed/>
    <w:qFormat/>
  </w:style>
  <w:style w:type="table" w:styleId="880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1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2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83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84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85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86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7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4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09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910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911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912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913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914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915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1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91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91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91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92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92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922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2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92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2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92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2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2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29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44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45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46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47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48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49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50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1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2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3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4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5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6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7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8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9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0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1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2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3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4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7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71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7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7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7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7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7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7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78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7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8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8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8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8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8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85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86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87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88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89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90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91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92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93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94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95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96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97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98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99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00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01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1002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1003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1004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1005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100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Деп. имущественных отношений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</dc:title>
  <dc:subject/>
  <dc:creator>bna</dc:creator>
  <dc:description/>
  <dc:language>ru-RU</dc:language>
  <cp:revision>1126</cp:revision>
  <dcterms:created xsi:type="dcterms:W3CDTF">2015-07-02T10:18:00Z</dcterms:created>
  <dcterms:modified xsi:type="dcterms:W3CDTF">2026-08-05T04:23:15Z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