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91"/>
        <w:numPr>
          <w:ilvl w:val="0"/>
          <w:numId w:val="0"/>
        </w:numPr>
        <w:ind w:left="0" w:firstLine="0"/>
        <w:jc w:val="center"/>
        <w:rPr>
          <w:sz w:val="28"/>
          <w:szCs w:val="28"/>
        </w:rPr>
        <w:outlineLvl w:val="0"/>
      </w:pPr>
      <w:r>
        <w:rPr>
          <w:sz w:val="28"/>
          <w:szCs w:val="28"/>
        </w:rPr>
        <w:t xml:space="preserve">Департамент имущественных отношений администрации города Перми</w:t>
      </w:r>
      <w:r>
        <w:rPr>
          <w:sz w:val="28"/>
          <w:szCs w:val="28"/>
        </w:rPr>
      </w:r>
    </w:p>
    <w:p>
      <w:pPr>
        <w:pStyle w:val="79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91"/>
        <w:numPr>
          <w:ilvl w:val="0"/>
          <w:numId w:val="0"/>
        </w:numPr>
        <w:ind w:left="0" w:firstLine="0"/>
        <w:jc w:val="center"/>
        <w:rPr>
          <w:b/>
          <w:sz w:val="28"/>
          <w:szCs w:val="28"/>
        </w:rPr>
        <w:outlineLvl w:val="0"/>
      </w:pPr>
      <w:r>
        <w:rPr>
          <w:b/>
          <w:sz w:val="28"/>
          <w:szCs w:val="28"/>
        </w:rPr>
        <w:t xml:space="preserve">Протокол рассмотрения заявок на участие в электронных аукционах </w:t>
      </w:r>
      <w:r>
        <w:rPr>
          <w:b/>
          <w:sz w:val="28"/>
          <w:szCs w:val="28"/>
        </w:rPr>
      </w:r>
    </w:p>
    <w:p>
      <w:pPr>
        <w:pStyle w:val="791"/>
        <w:numPr>
          <w:ilvl w:val="0"/>
          <w:numId w:val="0"/>
        </w:numPr>
        <w:ind w:left="0" w:firstLine="0"/>
        <w:jc w:val="center"/>
        <w:rPr>
          <w:b/>
          <w:sz w:val="28"/>
          <w:szCs w:val="28"/>
        </w:rPr>
        <w:outlineLvl w:val="0"/>
      </w:pPr>
      <w:r>
        <w:rPr>
          <w:b/>
          <w:sz w:val="28"/>
          <w:szCs w:val="28"/>
        </w:rPr>
        <w:t xml:space="preserve">на право</w:t>
      </w:r>
      <w:r>
        <w:rPr>
          <w:rFonts w:eastAsia="Droid Sans Fallback" w:cs="Lohit Devanagari"/>
          <w:b/>
          <w:color w:val="auto"/>
          <w:sz w:val="28"/>
          <w:szCs w:val="28"/>
          <w:lang w:val="ru-RU" w:eastAsia="ru-RU" w:bidi="ar-SA"/>
        </w:rPr>
        <w:t xml:space="preserve"> заключения договоров аренды  зем</w:t>
      </w:r>
      <w:r>
        <w:rPr>
          <w:b/>
          <w:sz w:val="28"/>
          <w:szCs w:val="28"/>
        </w:rPr>
        <w:t xml:space="preserve">ельных участков</w:t>
      </w:r>
      <w:r>
        <w:rPr>
          <w:b/>
          <w:sz w:val="28"/>
          <w:szCs w:val="28"/>
        </w:rPr>
      </w:r>
    </w:p>
    <w:p>
      <w:pPr>
        <w:pStyle w:val="791"/>
        <w:numPr>
          <w:ilvl w:val="0"/>
          <w:numId w:val="0"/>
        </w:numPr>
        <w:ind w:left="0" w:firstLine="0"/>
        <w:rPr>
          <w:sz w:val="28"/>
          <w:szCs w:val="28"/>
        </w:rPr>
        <w:outlineLvl w:val="0"/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9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г. Пермь, ул. Сибирская, д.14, каб. 2                      </w:t>
        <w:tab/>
        <w:t xml:space="preserve">                               </w:t>
      </w:r>
      <w:r>
        <w:rPr>
          <w:sz w:val="28"/>
          <w:szCs w:val="28"/>
        </w:rPr>
        <w:t xml:space="preserve">05</w:t>
      </w:r>
      <w:r>
        <w:rPr>
          <w:sz w:val="28"/>
          <w:szCs w:val="28"/>
        </w:rPr>
        <w:t xml:space="preserve">.0</w:t>
      </w: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.2026 </w:t>
      </w:r>
      <w:r>
        <w:rPr>
          <w:sz w:val="28"/>
          <w:szCs w:val="28"/>
        </w:rPr>
      </w:r>
    </w:p>
    <w:p>
      <w:pPr>
        <w:pStyle w:val="791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91"/>
        <w:ind w:firstLine="720"/>
        <w:jc w:val="both"/>
        <w:spacing w:line="276" w:lineRule="auto"/>
        <w:tabs>
          <w:tab w:val="clear" w:pos="708" w:leader="none"/>
          <w:tab w:val="left" w:pos="2805" w:leader="none"/>
        </w:tabs>
        <w:rPr>
          <w:highlight w:val="white"/>
        </w:rPr>
      </w:pPr>
      <w:r>
        <w:rPr>
          <w:sz w:val="28"/>
          <w:szCs w:val="28"/>
          <w:highlight w:val="white"/>
        </w:rPr>
        <w:t xml:space="preserve">Комиссия по проведению аукционов по продаже земельных участков, находящихся в муниципальной собственности города Перми, и участков, собственность на котор</w:t>
      </w:r>
      <w:r>
        <w:rPr>
          <w:sz w:val="28"/>
          <w:szCs w:val="28"/>
          <w:highlight w:val="white"/>
        </w:rPr>
        <w:t xml:space="preserve">ые не разграничена, объектов незавершенного строительства, расположенных на земельных участках, находящихся                              в муниципальной собственности города Перми, и участках, собственность                  на которые не разграничена, или </w:t>
      </w:r>
      <w:r>
        <w:rPr>
          <w:sz w:val="28"/>
          <w:szCs w:val="28"/>
          <w:highlight w:val="white"/>
        </w:rPr>
        <w:t xml:space="preserve">на право заключения договоров аренды земельных участков, находящихся в муниципальной собственности города Перми, и участков, собственность на которые не разграничена, утвержденная постановлением администрации города Перми от 20.11.2008 № 1089, в  составе: </w:t>
      </w:r>
      <w:r>
        <w:rPr>
          <w:highlight w:val="white"/>
        </w:rPr>
      </w:r>
    </w:p>
    <w:p>
      <w:pPr>
        <w:pStyle w:val="791"/>
        <w:jc w:val="both"/>
        <w:spacing w:line="276" w:lineRule="auto"/>
        <w:rPr>
          <w:highlight w:val="white"/>
        </w:rPr>
      </w:pPr>
      <w:r>
        <w:rPr>
          <w:sz w:val="28"/>
          <w:szCs w:val="28"/>
          <w:highlight w:val="white"/>
        </w:rPr>
        <w:t xml:space="preserve">             </w:t>
      </w:r>
      <w:r>
        <w:rPr>
          <w:highlight w:val="white"/>
        </w:rPr>
      </w:r>
    </w:p>
    <w:p>
      <w:pPr>
        <w:pStyle w:val="791"/>
        <w:ind w:left="3000" w:right="0" w:hanging="3000"/>
        <w:jc w:val="both"/>
        <w:spacing w:before="0" w:after="120" w:line="276" w:lineRule="auto"/>
        <w:widowControl/>
        <w:rPr>
          <w:highlight w:val="white"/>
        </w:rPr>
      </w:pPr>
      <w:r>
        <w:rPr>
          <w:sz w:val="28"/>
          <w:szCs w:val="28"/>
          <w:highlight w:val="white"/>
          <w:lang w:eastAsia="en-US"/>
        </w:rPr>
        <w:t xml:space="preserve">Председатель комиссии: Хаткевич А.А., начальник департамента имущественных отношений администрации города Перми;   </w:t>
      </w:r>
      <w:r>
        <w:rPr>
          <w:highlight w:val="white"/>
        </w:rPr>
      </w:r>
    </w:p>
    <w:p>
      <w:pPr>
        <w:pStyle w:val="791"/>
        <w:ind w:left="4680" w:right="0" w:hanging="4680"/>
        <w:jc w:val="both"/>
        <w:spacing w:before="0" w:after="120" w:line="276" w:lineRule="auto"/>
        <w:widowControl/>
        <w:rPr>
          <w:highlight w:val="white"/>
        </w:rPr>
      </w:pPr>
      <w:r>
        <w:rPr>
          <w:sz w:val="28"/>
          <w:szCs w:val="28"/>
          <w:highlight w:val="white"/>
          <w:lang w:eastAsia="en-US"/>
        </w:rPr>
        <w:t xml:space="preserve">Заместитель председателя комиссии: </w:t>
      </w:r>
      <w:r>
        <w:rPr>
          <w:rFonts w:eastAsia="Droid Sans Fallback" w:cs="Lohit Devanagari"/>
          <w:color w:val="auto"/>
          <w:sz w:val="28"/>
          <w:szCs w:val="28"/>
          <w:highlight w:val="white"/>
          <w:lang w:val="ru-RU" w:eastAsia="en-US" w:bidi="ar-SA"/>
        </w:rPr>
        <w:t xml:space="preserve">Шафранова Е.П.,</w:t>
      </w:r>
      <w:r>
        <w:rPr>
          <w:sz w:val="28"/>
          <w:szCs w:val="28"/>
          <w:highlight w:val="white"/>
          <w:lang w:eastAsia="en-US"/>
        </w:rPr>
        <w:t xml:space="preserve"> заместитель начальника департамента земельных отношений администрации города Перми;  </w:t>
      </w:r>
      <w:r>
        <w:rPr>
          <w:highlight w:val="white"/>
        </w:rPr>
      </w:r>
    </w:p>
    <w:p>
      <w:pPr>
        <w:pStyle w:val="791"/>
        <w:ind w:left="2880" w:right="0" w:hanging="2880"/>
        <w:jc w:val="both"/>
        <w:spacing w:before="0" w:after="120" w:line="276" w:lineRule="auto"/>
        <w:widowControl/>
      </w:pPr>
      <w:r>
        <w:rPr>
          <w:rFonts w:eastAsia="Droid Sans Fallback" w:cs="Lohit Devanagari"/>
          <w:color w:val="auto"/>
          <w:sz w:val="28"/>
          <w:szCs w:val="28"/>
          <w:highlight w:val="white"/>
          <w:lang w:val="ru-RU" w:eastAsia="en-US" w:bidi="ar-SA"/>
        </w:rPr>
        <w:t xml:space="preserve">Секретарь комиссии: Павлова О.И., консультант отдела по распоряжению муниципальным имуществом управления                             по распоряжению муниципальным имуществом департамента имущественных отношений администрации города Перми;</w:t>
      </w:r>
      <w:r>
        <w:rPr>
          <w:sz w:val="28"/>
          <w:szCs w:val="28"/>
          <w:highlight w:val="white"/>
          <w:lang w:eastAsia="en-US"/>
        </w:rPr>
        <w:t xml:space="preserve"> </w:t>
      </w:r>
      <w:r/>
    </w:p>
    <w:p>
      <w:pPr>
        <w:pStyle w:val="791"/>
        <w:ind w:left="2268" w:right="0" w:hanging="2268"/>
        <w:jc w:val="both"/>
        <w:spacing w:before="0" w:after="0" w:line="276" w:lineRule="auto"/>
        <w:widowControl/>
        <w:tabs>
          <w:tab w:val="clear" w:pos="708" w:leader="none"/>
          <w:tab w:val="left" w:pos="2100" w:leader="none"/>
        </w:tabs>
      </w:pPr>
      <w:r>
        <w:rPr>
          <w:rFonts w:eastAsia="Droid Sans Fallback" w:cs="Lohit Devanagari"/>
          <w:color w:val="000000"/>
          <w:sz w:val="28"/>
          <w:szCs w:val="28"/>
          <w:shd w:val="clear" w:color="auto" w:fill="auto"/>
          <w:lang w:val="ru-RU" w:eastAsia="ru-RU" w:bidi="ar-SA"/>
        </w:rPr>
        <w:t xml:space="preserve">Члены комиссии:  Союстова А.А., заместитель начальника отдела сопровождения договоров департамента земельных отношений администрации города Перми;</w:t>
      </w:r>
      <w:r/>
    </w:p>
    <w:p>
      <w:pPr>
        <w:pStyle w:val="791"/>
        <w:ind w:left="2268" w:right="0" w:firstLine="0"/>
        <w:jc w:val="both"/>
        <w:spacing w:before="0" w:after="0" w:line="276" w:lineRule="auto"/>
        <w:widowControl/>
        <w:tabs>
          <w:tab w:val="left" w:pos="708" w:leader="none"/>
        </w:tabs>
        <w:rPr>
          <w:rFonts w:eastAsia="Droid Sans Fallback" w:cs="Lohit Devanagari"/>
          <w:color w:val="000000"/>
          <w:sz w:val="28"/>
          <w:szCs w:val="28"/>
          <w:highlight w:val="none"/>
          <w:lang w:val="ru-RU" w:eastAsia="ru-RU" w:bidi="ar-SA"/>
        </w:rPr>
      </w:pPr>
      <w:r>
        <w:rPr>
          <w:rFonts w:eastAsia="Droid Sans Fallback" w:cs="Lohit Devanagari"/>
          <w:color w:val="000000"/>
          <w:sz w:val="28"/>
          <w:szCs w:val="28"/>
          <w:highlight w:val="white"/>
          <w:shd w:val="clear" w:color="auto" w:fill="auto"/>
          <w:lang w:val="ru-RU" w:eastAsia="ru-RU" w:bidi="ar-SA"/>
        </w:rPr>
        <w:t xml:space="preserve">Четина Ю.И., заместитель начальника отдела по распоряжению муниципальным имуществом управления по распоряжению муниципальным имуществом департамента имущественных отношений администрации города Перми;</w:t>
      </w:r>
      <w:r>
        <w:rPr>
          <w:rFonts w:eastAsia="Droid Sans Fallback" w:cs="Lohit Devanagari"/>
          <w:color w:val="000000"/>
          <w:sz w:val="28"/>
          <w:szCs w:val="28"/>
          <w:highlight w:val="none"/>
          <w:lang w:val="ru-RU" w:eastAsia="ru-RU" w:bidi="ar-SA"/>
        </w:rPr>
      </w:r>
    </w:p>
    <w:p>
      <w:pPr>
        <w:pStyle w:val="791"/>
        <w:ind w:left="2160" w:right="0" w:firstLine="0"/>
        <w:jc w:val="both"/>
        <w:spacing w:before="0" w:after="0" w:line="276" w:lineRule="auto"/>
        <w:widowControl/>
        <w:rPr>
          <w:rFonts w:ascii="Times New Roman" w:hAnsi="Times New Roman" w:eastAsia="Droid Sans Fallback" w:cs="Lohit Devanagari"/>
          <w:sz w:val="28"/>
          <w:szCs w:val="28"/>
          <w:lang w:val="ru-RU" w:eastAsia="en-US" w:bidi="ar-SA"/>
        </w:rPr>
      </w:pPr>
      <w:r>
        <w:rPr>
          <w:rFonts w:eastAsia="Droid Sans Fallback" w:cs="Lohit Devanagari"/>
          <w:sz w:val="28"/>
          <w:szCs w:val="28"/>
          <w:lang w:val="ru-RU" w:eastAsia="en-US" w:bidi="ar-SA"/>
        </w:rPr>
      </w:r>
      <w:r>
        <w:rPr>
          <w:rFonts w:ascii="Times New Roman" w:hAnsi="Times New Roman" w:eastAsia="Droid Sans Fallback" w:cs="Lohit Devanagari"/>
          <w:sz w:val="28"/>
          <w:szCs w:val="28"/>
          <w:lang w:val="ru-RU" w:eastAsia="en-US" w:bidi="ar-SA"/>
        </w:rPr>
      </w:r>
    </w:p>
    <w:p>
      <w:pPr>
        <w:pStyle w:val="791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</w:rPr>
      </w:pPr>
      <w:r>
        <w:rPr>
          <w:sz w:val="28"/>
          <w:szCs w:val="28"/>
        </w:rPr>
        <w:t xml:space="preserve">рассмотрев заявки на 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участие в электронных аукционах, назначенных                           на 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06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.0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8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.2026 (процедур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а № SBR012-2607030143),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 решила: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</w:rPr>
      </w:r>
    </w:p>
    <w:p>
      <w:pPr>
        <w:pStyle w:val="791"/>
        <w:ind w:left="0" w:right="0" w:firstLine="0"/>
        <w:jc w:val="both"/>
        <w:spacing w:before="0" w:after="0" w:line="276" w:lineRule="auto"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r>
    </w:p>
    <w:p>
      <w:pPr>
        <w:pStyle w:val="791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</w:rPr>
      </w:pPr>
      <w:r>
        <w:rPr>
          <w:b/>
          <w:sz w:val="28"/>
          <w:szCs w:val="28"/>
        </w:rPr>
        <w:t xml:space="preserve">Лот № 1 </w:t>
      </w:r>
      <w:r>
        <w:rPr>
          <w:rFonts w:eastAsia="Droid Sans Fallback" w:cs="Lohit Devanagari"/>
          <w:b w:val="0"/>
          <w:bCs w:val="0"/>
          <w:color w:val="auto"/>
          <w:sz w:val="28"/>
          <w:szCs w:val="28"/>
          <w:lang w:val="ru-RU" w:eastAsia="ru-RU" w:bidi="ar-SA"/>
        </w:rPr>
        <w:t xml:space="preserve">– п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</w:rPr>
        <w:t xml:space="preserve">раво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  <w:lang w:val="ru-RU" w:eastAsia="ru-RU" w:bidi="ar-SA"/>
        </w:rPr>
        <w:t xml:space="preserve"> 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  <w:lang w:val="ru-RU" w:eastAsia="ru-RU" w:bidi="ar-SA"/>
        </w:rPr>
        <w:t xml:space="preserve">заключения договора аренды земельного участка, государственная собственность на который не разграничена, с кадастровым номером 59:01:4613889:201 площадью 1136 кв. м, расположенн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  <w:lang w:val="ru-RU" w:eastAsia="ru-RU" w:bidi="ar-SA"/>
        </w:rPr>
        <w:t xml:space="preserve">ого по адресу: Российская Федерация, Пермский край, городской округ Пермский, город Пермь, улица 2-я Урожайная, з/у 1а, для индивидуального жилищного строительства. Разрешенное использование земельного участка – для индивидуального жилищного строительства.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</w:rPr>
      </w:r>
    </w:p>
    <w:p>
      <w:pPr>
        <w:pStyle w:val="791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</w:rPr>
      </w:pP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/>
        </w:rPr>
      </w:r>
    </w:p>
    <w:tbl>
      <w:tblPr>
        <w:tblW w:w="10140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16"/>
        <w:gridCol w:w="2469"/>
        <w:gridCol w:w="2335"/>
        <w:gridCol w:w="2259"/>
        <w:gridCol w:w="2261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16" w:type="dxa"/>
            <w:textDirection w:val="lrTb"/>
            <w:noWrap w:val="false"/>
          </w:tcPr>
          <w:p>
            <w:pPr>
              <w:pStyle w:val="791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п/п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69" w:type="dxa"/>
            <w:textDirection w:val="lrTb"/>
            <w:noWrap w:val="false"/>
          </w:tcPr>
          <w:p>
            <w:pPr>
              <w:pStyle w:val="791"/>
              <w:jc w:val="center"/>
              <w:spacing w:before="0" w:after="0" w:line="240" w:lineRule="auto"/>
              <w:rPr>
                <w:rFonts w:eastAsia="Droid Sans Fallback" w:cs="Lohit Devanagari"/>
                <w:iCs w:val="0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iCs w:val="0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 xml:space="preserve">Сведения              о заявителе,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  <w:p>
            <w:pPr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 xml:space="preserve">номер заявки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35" w:type="dxa"/>
            <w:textDirection w:val="lrTb"/>
            <w:noWrap w:val="false"/>
          </w:tcPr>
          <w:p>
            <w:pPr>
              <w:pStyle w:val="791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Дата и время подачи заявки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59" w:type="dxa"/>
            <w:textDirection w:val="lrTb"/>
            <w:noWrap w:val="false"/>
          </w:tcPr>
          <w:p>
            <w:pPr>
              <w:pStyle w:val="791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Сведения               о внесенном задатке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61" w:type="dxa"/>
            <w:textDirection w:val="lrTb"/>
            <w:noWrap w:val="false"/>
          </w:tcPr>
          <w:p>
            <w:pPr>
              <w:pStyle w:val="791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Решение комиссии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816" w:type="dxa"/>
            <w:textDirection w:val="lrTb"/>
            <w:noWrap w:val="false"/>
          </w:tcPr>
          <w:p>
            <w:pPr>
              <w:pStyle w:val="791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69" w:type="dxa"/>
            <w:textDirection w:val="lrTb"/>
            <w:noWrap w:val="false"/>
          </w:tcPr>
          <w:p>
            <w:pPr>
              <w:pStyle w:val="791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Галеев Владимир Леонидович,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  <w:p>
            <w:pPr>
              <w:pStyle w:val="791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4777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35" w:type="dxa"/>
            <w:textDirection w:val="lrTb"/>
            <w:noWrap w:val="false"/>
          </w:tcPr>
          <w:p>
            <w:pPr>
              <w:pStyle w:val="791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31.07.2026 09:34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59" w:type="dxa"/>
            <w:textDirection w:val="lrTb"/>
            <w:noWrap w:val="false"/>
          </w:tcPr>
          <w:p>
            <w:pPr>
              <w:pStyle w:val="791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278 600,00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61" w:type="dxa"/>
            <w:textDirection w:val="lrTb"/>
            <w:noWrap w:val="false"/>
          </w:tcPr>
          <w:p>
            <w:pPr>
              <w:pStyle w:val="791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Допустить                к участию                 в аукционе              и признать участником аукциона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</w:tr>
    </w:tbl>
    <w:p>
      <w:pPr>
        <w:pStyle w:val="791"/>
        <w:ind w:firstLine="0"/>
        <w:jc w:val="both"/>
        <w:spacing w:line="240" w:lineRule="auto"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r>
    </w:p>
    <w:p>
      <w:pPr>
        <w:pStyle w:val="791"/>
        <w:jc w:val="both"/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0205" w:type="dxa"/>
        <w:tblInd w:w="-87" w:type="dxa"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866"/>
        <w:gridCol w:w="2109"/>
        <w:gridCol w:w="1843"/>
        <w:gridCol w:w="1556"/>
        <w:gridCol w:w="1297"/>
        <w:gridCol w:w="2533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866" w:type="dxa"/>
            <w:textDirection w:val="lrTb"/>
            <w:noWrap w:val="false"/>
          </w:tcPr>
          <w:p>
            <w:pPr>
              <w:pStyle w:val="869"/>
              <w:jc w:val="center"/>
              <w:spacing w:line="276" w:lineRule="auto"/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 xml:space="preserve">№ </w:t>
            </w: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 xml:space="preserve">п/п</w:t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109" w:type="dxa"/>
            <w:textDirection w:val="lrTb"/>
            <w:noWrap w:val="false"/>
          </w:tcPr>
          <w:p>
            <w:pPr>
              <w:pStyle w:val="869"/>
              <w:jc w:val="center"/>
              <w:spacing w:line="276" w:lineRule="auto"/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 xml:space="preserve">Сведения              о заявителе, номер заявки</w:t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91"/>
              <w:jc w:val="center"/>
              <w:spacing w:before="0" w:after="0" w:line="276" w:lineRule="auto"/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 xml:space="preserve">Дата и время подачи заявки</w:t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556" w:type="dxa"/>
            <w:textDirection w:val="lrTb"/>
            <w:noWrap w:val="false"/>
          </w:tcPr>
          <w:p>
            <w:pPr>
              <w:pStyle w:val="791"/>
              <w:jc w:val="center"/>
              <w:spacing w:before="0" w:after="0" w:line="276" w:lineRule="auto"/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 xml:space="preserve">Сведения о внесенном задатке</w:t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297" w:type="dxa"/>
            <w:textDirection w:val="lrTb"/>
            <w:noWrap w:val="false"/>
          </w:tcPr>
          <w:p>
            <w:pPr>
              <w:pStyle w:val="791"/>
              <w:jc w:val="center"/>
              <w:spacing w:before="0" w:after="0" w:line="276" w:lineRule="auto"/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 xml:space="preserve">Решение комиссии</w:t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3" w:type="dxa"/>
            <w:textDirection w:val="lrTb"/>
            <w:noWrap w:val="false"/>
          </w:tcPr>
          <w:p>
            <w:pPr>
              <w:pStyle w:val="869"/>
              <w:jc w:val="center"/>
              <w:spacing w:line="276" w:lineRule="auto"/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 xml:space="preserve">Причина отказа</w:t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</w:p>
          <w:p>
            <w:pPr>
              <w:pStyle w:val="869"/>
              <w:jc w:val="center"/>
              <w:spacing w:line="276" w:lineRule="auto"/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 xml:space="preserve">в допуске</w:t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</w:p>
          <w:p>
            <w:pPr>
              <w:pStyle w:val="869"/>
              <w:jc w:val="center"/>
              <w:spacing w:line="276" w:lineRule="auto"/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 xml:space="preserve">к участию</w:t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</w:p>
          <w:p>
            <w:pPr>
              <w:pStyle w:val="869"/>
              <w:jc w:val="center"/>
              <w:spacing w:line="276" w:lineRule="auto"/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 xml:space="preserve">в аукционе</w:t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866" w:type="dxa"/>
            <w:textDirection w:val="lrTb"/>
            <w:noWrap w:val="false"/>
          </w:tcPr>
          <w:p>
            <w:pPr>
              <w:pStyle w:val="869"/>
              <w:jc w:val="center"/>
              <w:spacing w:line="276" w:lineRule="auto"/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 xml:space="preserve">1</w:t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109" w:type="dxa"/>
            <w:textDirection w:val="lrTb"/>
            <w:noWrap w:val="false"/>
          </w:tcPr>
          <w:p>
            <w:pPr>
              <w:pStyle w:val="791"/>
              <w:jc w:val="center"/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 xml:space="preserve">Ситникова Оксана Валерьевна,</w:t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</w:p>
          <w:p>
            <w:pPr>
              <w:pStyle w:val="791"/>
              <w:jc w:val="center"/>
              <w:spacing w:before="0" w:after="0"/>
              <w:widowControl/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 xml:space="preserve">496</w:t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Style w:val="791"/>
              <w:jc w:val="center"/>
              <w:spacing w:before="0" w:after="0"/>
              <w:widowControl/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 xml:space="preserve">29.07.2026 09:58</w:t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</w:p>
          <w:p>
            <w:pPr>
              <w:pStyle w:val="791"/>
              <w:jc w:val="center"/>
              <w:spacing w:before="0" w:after="0"/>
              <w:widowControl/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556" w:type="dxa"/>
            <w:textDirection w:val="lrTb"/>
            <w:noWrap w:val="false"/>
          </w:tcPr>
          <w:p>
            <w:pPr>
              <w:pStyle w:val="791"/>
              <w:jc w:val="center"/>
              <w:spacing w:before="0" w:after="0" w:line="276" w:lineRule="auto"/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 xml:space="preserve">00,00</w:t>
            </w:r>
            <w:r>
              <w:rPr>
                <w:rFonts w:ascii="Times New Roman" w:hAnsi="Times New Roman"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297" w:type="dxa"/>
            <w:textDirection w:val="lrTb"/>
            <w:noWrap w:val="false"/>
          </w:tcPr>
          <w:p>
            <w:pPr>
              <w:pStyle w:val="791"/>
              <w:ind w:left="0" w:right="0" w:firstLine="0"/>
              <w:jc w:val="center"/>
              <w:spacing w:before="0" w:after="0" w:line="276" w:lineRule="auto"/>
              <w:widowControl/>
            </w:pP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 xml:space="preserve">Отказать            в допуске            к участию          в аукционе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33" w:type="dxa"/>
            <w:textDirection w:val="lrTb"/>
            <w:noWrap w:val="false"/>
          </w:tcPr>
          <w:p>
            <w:pPr>
              <w:pStyle w:val="791"/>
              <w:ind w:firstLine="0"/>
              <w:jc w:val="center"/>
              <w:spacing w:line="276" w:lineRule="auto"/>
            </w:pPr>
            <w:r>
              <w:rPr>
                <w:rFonts w:eastAsia="Droid Sans Fallback" w:cs="Lohit Devanagari"/>
                <w:color w:val="auto"/>
                <w:sz w:val="28"/>
                <w:szCs w:val="28"/>
                <w:u w:val="none"/>
                <w:lang w:val="ru-RU" w:eastAsia="ru-RU" w:bidi="ar-SA"/>
              </w:rPr>
              <w:t xml:space="preserve">Н</w:t>
            </w:r>
            <w:hyperlink r:id="rId12" w:tooltip="https://utp.sberbank-ast.ru/AP/List/DictionaryGISRefusalAdmissionReason/1002109" w:history="1">
              <w:r>
                <w:rPr>
                  <w:rStyle w:val="817"/>
                  <w:rFonts w:eastAsia="Droid Sans Fallback" w:cs="Lohit Devanagari"/>
                  <w:color w:val="auto"/>
                  <w:sz w:val="28"/>
                  <w:szCs w:val="28"/>
                  <w:u w:val="none"/>
                  <w:lang w:val="ru-RU" w:eastAsia="ru-RU" w:bidi="ar-SA"/>
                </w:rPr>
                <w:t xml:space="preserve">епоступление задатка на дату рассмотрения заявок на участие                       в аукционе                  </w:t>
              </w:r>
            </w:hyperlink>
            <w:r>
              <w:rPr>
                <w:rStyle w:val="817"/>
                <w:rFonts w:eastAsia="Droid Sans Fallback" w:cs="Lohit Devanagari"/>
                <w:color w:val="000000"/>
                <w:sz w:val="28"/>
                <w:szCs w:val="28"/>
                <w:u w:val="none"/>
                <w:lang w:val="ru-RU" w:eastAsia="ru-RU" w:bidi="ar-SA"/>
              </w:rPr>
              <w:t xml:space="preserve">(ч.8 ст.39.12 Земельного кодекса Российской Федерации)</w:t>
            </w:r>
            <w:r/>
          </w:p>
          <w:p>
            <w:pPr>
              <w:pStyle w:val="791"/>
              <w:ind w:firstLine="0"/>
              <w:jc w:val="center"/>
              <w:spacing w:line="276" w:lineRule="auto"/>
            </w:pPr>
            <w:r/>
            <w:r/>
          </w:p>
        </w:tc>
      </w:tr>
    </w:tbl>
    <w:p>
      <w:pPr>
        <w:pStyle w:val="791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caps w:val="0"/>
          <w:smallCaps w:val="0"/>
          <w:color w:val="000000"/>
          <w:sz w:val="28"/>
          <w:szCs w:val="28"/>
        </w:rPr>
      </w:pPr>
      <w:r>
        <w:rPr>
          <w:rFonts w:eastAsia="Times New Roman" w:cs="Times New Roman"/>
          <w:b w:val="0"/>
          <w:bCs w:val="0"/>
          <w:i w:val="0"/>
          <w:caps w:val="0"/>
          <w:smallCaps w:val="0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caps w:val="0"/>
          <w:smallCaps w:val="0"/>
          <w:color w:val="000000"/>
          <w:sz w:val="28"/>
          <w:szCs w:val="28"/>
        </w:rPr>
      </w:r>
    </w:p>
    <w:p>
      <w:pPr>
        <w:pStyle w:val="791"/>
        <w:ind w:firstLine="708"/>
        <w:jc w:val="both"/>
        <w:spacing w:line="276" w:lineRule="auto"/>
      </w:pP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</w:rPr>
        <w:t xml:space="preserve">Признать аукцион несостоявшимся по лоту </w:t>
      </w:r>
      <w:r>
        <w:rPr>
          <w:rFonts w:eastAsia="Times New Roman" w:cs="Times New Roman"/>
          <w:b/>
          <w:bCs/>
          <w:i w:val="0"/>
          <w:iCs w:val="0"/>
          <w:caps w:val="0"/>
          <w:smallCaps w:val="0"/>
          <w:color w:val="000000"/>
          <w:sz w:val="28"/>
          <w:szCs w:val="28"/>
        </w:rPr>
        <w:t xml:space="preserve">№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 w:val="0"/>
          <w:iCs w:val="0"/>
          <w:caps w:val="0"/>
          <w:smallCaps w:val="0"/>
          <w:color w:val="000000"/>
          <w:sz w:val="28"/>
          <w:szCs w:val="28"/>
        </w:rPr>
        <w:t xml:space="preserve">1 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</w:rPr>
        <w:t xml:space="preserve">в связи с тем, 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  <w:lang w:val="ru-RU" w:eastAsia="ru-RU" w:bidi="ar-SA"/>
        </w:rPr>
        <w:t xml:space="preserve">что                      по результатам рассмотрения заявок на участие в аукционе по данному лоту принято решение об отказе в допуске к участию в аукционе и признании участником аукциона только одного заявителя. </w:t>
      </w:r>
      <w:r/>
    </w:p>
    <w:p>
      <w:pPr>
        <w:pStyle w:val="835"/>
        <w:ind w:left="0" w:right="0" w:firstLine="708"/>
        <w:jc w:val="both"/>
        <w:spacing w:before="0" w:after="0" w:line="276" w:lineRule="auto"/>
      </w:pPr>
      <w:r>
        <w:rPr>
          <w:rFonts w:eastAsia="Droid Sans Fallback" w:cs="Lohit Devanagari"/>
          <w:b w:val="0"/>
          <w:bCs w:val="0"/>
          <w:color w:val="auto"/>
          <w:sz w:val="28"/>
          <w:szCs w:val="28"/>
          <w:highlight w:val="white"/>
          <w:lang w:val="ru-RU" w:eastAsia="ru-RU" w:bidi="ar-SA"/>
        </w:rPr>
        <w:t xml:space="preserve">В соответствии с пунктом 12 статьи 39.13 Земельного кодекса Российской Федерации уполномоченный орган  в течение пяти дней со дня истечения срока, предусмотренного п. 11 ст. 39.13 Земельного кодекса Российской Федерации обязан направить</w:t>
      </w:r>
      <w:r>
        <w:rPr>
          <w:rFonts w:eastAsia="Droid Sans Fallback" w:cs="Lohit Devanagari"/>
          <w:b w:val="0"/>
          <w:bCs w:val="0"/>
          <w:color w:val="auto"/>
          <w:sz w:val="28"/>
          <w:szCs w:val="28"/>
          <w:highlight w:val="white"/>
          <w:lang w:val="ru-RU" w:eastAsia="ru-RU" w:bidi="ar-SA"/>
        </w:rPr>
        <w:t xml:space="preserve"> заявителю, признанному единственным участником аукциона, подписанный проект 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аукциона:</w:t>
      </w:r>
      <w:r/>
    </w:p>
    <w:p>
      <w:pPr>
        <w:pStyle w:val="835"/>
        <w:ind w:left="0" w:right="0" w:firstLine="708"/>
        <w:jc w:val="both"/>
        <w:spacing w:before="0" w:after="0" w:line="276" w:lineRule="auto"/>
      </w:pPr>
      <w:r>
        <w:rPr>
          <w:b/>
          <w:color w:val="000000"/>
          <w:sz w:val="28"/>
          <w:szCs w:val="28"/>
        </w:rPr>
        <w:t xml:space="preserve">по лоту </w:t>
      </w:r>
      <w:r>
        <w:rPr>
          <w:rFonts w:eastAsia="Droid Sans Fallback" w:cs="Lohit Devanagari"/>
          <w:b/>
          <w:color w:val="000000"/>
          <w:sz w:val="28"/>
          <w:szCs w:val="28"/>
          <w:lang w:val="ru-RU" w:eastAsia="ru-RU" w:bidi="ar-SA"/>
        </w:rPr>
        <w:t xml:space="preserve">№ 1 ( </w:t>
      </w:r>
      <w:r>
        <w:rPr>
          <w:rFonts w:eastAsia="Droid Sans Fallback" w:cs="Lohit Devanagari"/>
          <w:b/>
          <w:color w:val="000000"/>
          <w:sz w:val="28"/>
          <w:szCs w:val="28"/>
          <w:lang w:val="ru-RU" w:eastAsia="ru-RU" w:bidi="ar-SA"/>
        </w:rPr>
        <w:t xml:space="preserve">ул. </w:t>
      </w:r>
      <w:r>
        <w:rPr>
          <w:rFonts w:eastAsia="Droid Sans Fallback" w:cs="Lohit Devanagari"/>
          <w:b/>
          <w:color w:val="000000"/>
          <w:sz w:val="28"/>
          <w:szCs w:val="28"/>
          <w:lang w:val="ru-RU" w:eastAsia="ru-RU" w:bidi="ar-SA"/>
        </w:rPr>
        <w:t xml:space="preserve">2-я Урожайная, з/у 1а) – 557 200,00 руб.</w:t>
      </w:r>
      <w:r/>
    </w:p>
    <w:p>
      <w:pPr>
        <w:pStyle w:val="835"/>
        <w:ind w:left="0" w:right="0" w:firstLine="709"/>
        <w:jc w:val="both"/>
        <w:spacing w:before="0" w:after="0" w:line="276" w:lineRule="auto"/>
        <w:rPr>
          <w:rFonts w:ascii="Times New Roman" w:hAnsi="Times New Roman" w:eastAsia="Droid Sans Fallback" w:cs="Lohit Devanagari"/>
          <w:b w:val="0"/>
          <w:bCs w:val="0"/>
          <w:color w:val="auto"/>
          <w:sz w:val="28"/>
          <w:szCs w:val="28"/>
          <w:highlight w:val="white"/>
          <w:lang w:val="ru-RU" w:eastAsia="ru-RU" w:bidi="ar-SA"/>
        </w:rPr>
      </w:pPr>
      <w:r>
        <w:rPr>
          <w:rFonts w:eastAsia="Droid Sans Fallback" w:cs="Lohit Devanagari"/>
          <w:iCs w:val="0"/>
          <w:color w:val="auto"/>
          <w:sz w:val="28"/>
          <w:szCs w:val="28"/>
          <w:highlight w:val="white"/>
          <w:lang w:val="ru-RU" w:eastAsia="ru-RU" w:bidi="ar-SA"/>
        </w:rPr>
        <w:t xml:space="preserve">В соответствии с</w:t>
      </w:r>
      <w:r>
        <w:rPr>
          <w:rFonts w:eastAsia="Droid Sans Fallback" w:cs="Lohit Devanagari"/>
          <w:iCs w:val="0"/>
          <w:color w:val="auto"/>
          <w:sz w:val="28"/>
          <w:szCs w:val="28"/>
          <w:highlight w:val="white"/>
          <w:lang w:val="ru-RU" w:eastAsia="ru-RU" w:bidi="ar-SA"/>
        </w:rPr>
        <w:t xml:space="preserve"> пунктом 13 статьи 39.13 Земельного кодекса Российской Федерации по результатам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  <w:r>
        <w:rPr>
          <w:rFonts w:ascii="Times New Roman" w:hAnsi="Times New Roman" w:eastAsia="Droid Sans Fallback" w:cs="Lohit Devanagari"/>
          <w:b w:val="0"/>
          <w:bCs w:val="0"/>
          <w:color w:val="auto"/>
          <w:sz w:val="28"/>
          <w:szCs w:val="28"/>
          <w:highlight w:val="white"/>
          <w:lang w:val="ru-RU" w:eastAsia="ru-RU" w:bidi="ar-SA"/>
        </w:rPr>
      </w:r>
    </w:p>
    <w:p>
      <w:pPr>
        <w:pStyle w:val="791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</w:rPr>
      </w:pPr>
      <w:r>
        <w:rPr>
          <w:b/>
          <w:sz w:val="28"/>
          <w:szCs w:val="28"/>
        </w:rPr>
        <w:t xml:space="preserve">Лот № 2 </w:t>
      </w:r>
      <w:r>
        <w:rPr>
          <w:rFonts w:eastAsia="Droid Sans Fallback" w:cs="Lohit Devanagari"/>
          <w:b w:val="0"/>
          <w:bCs w:val="0"/>
          <w:color w:val="auto"/>
          <w:sz w:val="28"/>
          <w:szCs w:val="28"/>
          <w:lang w:val="ru-RU" w:eastAsia="ru-RU" w:bidi="ar-SA"/>
        </w:rPr>
        <w:t xml:space="preserve">– п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</w:rPr>
        <w:t xml:space="preserve">раво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  <w:lang w:val="ru-RU" w:eastAsia="ru-RU" w:bidi="ar-SA"/>
        </w:rPr>
        <w:t xml:space="preserve"> 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  <w:lang w:val="ru-RU" w:eastAsia="ru-RU" w:bidi="ar-SA"/>
        </w:rPr>
        <w:t xml:space="preserve">заключения договора аренды земельного участка, государственная собственность на который не разграничена, с кадастровым номером 59:01:4015003:131 площадью 969 кв. м, расположенного 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  <w:lang w:val="ru-RU" w:eastAsia="ru-RU" w:bidi="ar-SA"/>
        </w:rPr>
        <w:t xml:space="preserve">по адресу: Российская Федерация, Пермский край, городской округ Пермский, город Пермь, улица Журналиста Дементьева, з/у 123д, для индивидуального жилищного строительства. Разрешенное использование земельного участка – индивидуальное жилищное строительство.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</w:rPr>
      </w:r>
    </w:p>
    <w:p>
      <w:pPr>
        <w:pStyle w:val="791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</w:rPr>
      </w:pP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</w:rPr>
      </w:r>
    </w:p>
    <w:tbl>
      <w:tblPr>
        <w:tblW w:w="5000" w:type="pct"/>
        <w:tblInd w:w="55" w:type="dxa"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735"/>
        <w:gridCol w:w="2424"/>
        <w:gridCol w:w="2346"/>
        <w:gridCol w:w="2410"/>
        <w:gridCol w:w="2006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pStyle w:val="791"/>
              <w:jc w:val="center"/>
              <w:spacing w:before="0" w:after="0" w:line="240" w:lineRule="auto"/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  <w:t xml:space="preserve">№ </w:t>
            </w: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  <w:t xml:space="preserve">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424" w:type="dxa"/>
            <w:textDirection w:val="lrTb"/>
            <w:noWrap w:val="false"/>
          </w:tcPr>
          <w:p>
            <w:pPr>
              <w:pStyle w:val="791"/>
              <w:jc w:val="center"/>
              <w:spacing w:before="0" w:after="0" w:line="240" w:lineRule="auto"/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  <w:t xml:space="preserve">Номер заявки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346" w:type="dxa"/>
            <w:textDirection w:val="lrTb"/>
            <w:noWrap w:val="false"/>
          </w:tcPr>
          <w:p>
            <w:pPr>
              <w:pStyle w:val="791"/>
              <w:jc w:val="center"/>
              <w:spacing w:before="0" w:after="0" w:line="240" w:lineRule="auto"/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  <w:t xml:space="preserve">Дата и время подачи заявки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Style w:val="791"/>
              <w:jc w:val="center"/>
              <w:spacing w:before="0" w:after="0" w:line="240" w:lineRule="auto"/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  <w:t xml:space="preserve">Сведения о внесенном задатке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6" w:type="dxa"/>
            <w:textDirection w:val="lrTb"/>
            <w:noWrap w:val="false"/>
          </w:tcPr>
          <w:p>
            <w:pPr>
              <w:pStyle w:val="791"/>
              <w:jc w:val="center"/>
              <w:spacing w:before="0" w:after="0" w:line="240" w:lineRule="auto"/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pPr>
            <w:r>
              <w:rPr>
                <w:rFonts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  <w:t xml:space="preserve">Решение комиссии</w:t>
            </w:r>
            <w:r>
              <w:rPr>
                <w:rFonts w:ascii="Times New Roman" w:hAnsi="Times New Roman" w:eastAsia="Droid Sans Fallback" w:cs="Lohit Devanagari"/>
                <w:b w:val="0"/>
                <w:bCs w:val="0"/>
                <w:color w:val="auto"/>
                <w:sz w:val="28"/>
                <w:szCs w:val="28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pStyle w:val="86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424" w:type="dxa"/>
            <w:textDirection w:val="lrTb"/>
            <w:noWrap w:val="false"/>
          </w:tcPr>
          <w:p>
            <w:pPr>
              <w:pStyle w:val="791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  <w:t xml:space="preserve">1530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46" w:type="dxa"/>
            <w:textDirection w:val="lrTb"/>
            <w:noWrap w:val="false"/>
          </w:tcPr>
          <w:p>
            <w:pPr>
              <w:pStyle w:val="791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  <w:t xml:space="preserve">30.07.2026 23:07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Style w:val="791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  <w:t xml:space="preserve">246 000,00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6" w:type="dxa"/>
            <w:textDirection w:val="lrTb"/>
            <w:noWrap w:val="false"/>
          </w:tcPr>
          <w:p>
            <w:pPr>
              <w:pStyle w:val="791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Допустить                к участию                 в аукционе              и признать участником аукциона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pStyle w:val="86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424" w:type="dxa"/>
            <w:textDirection w:val="lrTb"/>
            <w:noWrap w:val="false"/>
          </w:tcPr>
          <w:p>
            <w:pPr>
              <w:pStyle w:val="791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  <w:t xml:space="preserve">2376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46" w:type="dxa"/>
            <w:textDirection w:val="lrTb"/>
            <w:noWrap w:val="false"/>
          </w:tcPr>
          <w:p>
            <w:pPr>
              <w:pStyle w:val="791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  <w:t xml:space="preserve">03.08.2026 12:45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Style w:val="791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  <w:t xml:space="preserve">246 000,00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6" w:type="dxa"/>
            <w:textDirection w:val="lrTb"/>
            <w:noWrap w:val="false"/>
          </w:tcPr>
          <w:p>
            <w:pPr>
              <w:pStyle w:val="791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Допустить                к участию                 в аукционе              и признать участником аукциона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pStyle w:val="86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424" w:type="dxa"/>
            <w:textDirection w:val="lrTb"/>
            <w:noWrap w:val="false"/>
          </w:tcPr>
          <w:p>
            <w:pPr>
              <w:pStyle w:val="791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  <w:t xml:space="preserve">6238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346" w:type="dxa"/>
            <w:textDirection w:val="lrTb"/>
            <w:noWrap w:val="false"/>
          </w:tcPr>
          <w:p>
            <w:pPr>
              <w:pStyle w:val="791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  <w:t xml:space="preserve">03.08.2026 21:59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Style w:val="791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  <w:t xml:space="preserve">246 000,00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06" w:type="dxa"/>
            <w:textDirection w:val="lrTb"/>
            <w:noWrap w:val="false"/>
          </w:tcPr>
          <w:p>
            <w:pPr>
              <w:pStyle w:val="791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Допустить                к участию                 в аукционе              и признать участником аукциона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</w:tr>
    </w:tbl>
    <w:p>
      <w:pPr>
        <w:pStyle w:val="791"/>
        <w:jc w:val="both"/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91"/>
        <w:jc w:val="both"/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91"/>
        <w:jc w:val="both"/>
        <w:spacing w:line="276" w:lineRule="auto"/>
      </w:pPr>
      <w:r>
        <w:rPr>
          <w:sz w:val="28"/>
          <w:szCs w:val="28"/>
        </w:rPr>
        <w:t xml:space="preserve">Председатель комиссии                                                                        </w:t>
      </w:r>
      <w:r>
        <w:rPr>
          <w:sz w:val="28"/>
          <w:szCs w:val="28"/>
          <w:highlight w:val="white"/>
        </w:rPr>
        <w:t xml:space="preserve">А.А. Хаткевич</w:t>
      </w:r>
      <w:r/>
    </w:p>
    <w:p>
      <w:pPr>
        <w:ind w:left="5610" w:hanging="5610"/>
        <w:spacing w:before="120" w:after="120" w:line="276" w:lineRule="auto"/>
      </w:pPr>
      <w:r>
        <w:rPr>
          <w:rFonts w:eastAsia="Droid Sans Fallback" w:cs="Lohit Devanagari"/>
          <w:color w:val="auto"/>
          <w:sz w:val="28"/>
          <w:szCs w:val="28"/>
          <w:highlight w:val="none"/>
          <w:lang w:val="ru-RU" w:eastAsia="en-US" w:bidi="ar-SA"/>
        </w:rPr>
      </w:r>
      <w:r>
        <w:rPr>
          <w:rFonts w:eastAsia="Droid Sans Fallback" w:cs="Lohit Devanagari"/>
          <w:color w:val="auto"/>
          <w:sz w:val="28"/>
          <w:szCs w:val="28"/>
          <w:highlight w:val="none"/>
          <w:lang w:val="ru-RU" w:eastAsia="en-US" w:bidi="ar-SA"/>
        </w:rPr>
      </w:r>
    </w:p>
    <w:p>
      <w:pPr>
        <w:pStyle w:val="791"/>
        <w:ind w:left="5610" w:hanging="5610"/>
        <w:spacing w:before="120" w:after="120" w:line="276" w:lineRule="auto"/>
        <w:rPr>
          <w:rFonts w:eastAsia="Droid Sans Fallback" w:cs="Lohit Devanagari"/>
          <w:color w:val="auto"/>
          <w:sz w:val="28"/>
          <w:szCs w:val="28"/>
          <w:highlight w:val="none"/>
          <w:lang w:val="ru-RU" w:eastAsia="en-US" w:bidi="ar-SA"/>
        </w:rPr>
      </w:pPr>
      <w:r>
        <w:rPr>
          <w:sz w:val="28"/>
          <w:szCs w:val="28"/>
          <w:lang w:eastAsia="en-US"/>
        </w:rPr>
        <w:t xml:space="preserve">Заместитель председателя комиссии</w:t>
      </w:r>
      <w:r>
        <w:rPr>
          <w:sz w:val="28"/>
          <w:szCs w:val="28"/>
        </w:rPr>
        <w:t xml:space="preserve"> </w:t>
        <w:tab/>
        <w:tab/>
        <w:tab/>
        <w:tab/>
        <w:t xml:space="preserve">            Е.П. </w:t>
      </w:r>
      <w:r>
        <w:rPr>
          <w:rFonts w:eastAsia="Droid Sans Fallback" w:cs="Lohit Devanagari"/>
          <w:color w:val="auto"/>
          <w:sz w:val="28"/>
          <w:szCs w:val="28"/>
          <w:lang w:val="ru-RU" w:eastAsia="en-US" w:bidi="ar-SA"/>
        </w:rPr>
        <w:t xml:space="preserve">Шафранова</w:t>
      </w:r>
      <w:r/>
    </w:p>
    <w:p>
      <w:pPr>
        <w:ind w:left="5610" w:hanging="5610"/>
        <w:spacing w:before="120" w:after="120" w:line="276" w:lineRule="auto"/>
      </w:pPr>
      <w:r>
        <w:rPr>
          <w:rFonts w:eastAsia="Droid Sans Fallback" w:cs="Lohit Devanagari"/>
          <w:color w:val="auto"/>
          <w:sz w:val="28"/>
          <w:szCs w:val="28"/>
          <w:highlight w:val="none"/>
          <w:lang w:val="ru-RU" w:eastAsia="en-US" w:bidi="ar-SA"/>
        </w:rPr>
      </w:r>
      <w:r>
        <w:rPr>
          <w:rFonts w:eastAsia="Droid Sans Fallback" w:cs="Lohit Devanagari"/>
          <w:color w:val="auto"/>
          <w:sz w:val="28"/>
          <w:szCs w:val="28"/>
          <w:highlight w:val="none"/>
          <w:lang w:val="ru-RU" w:eastAsia="en-US" w:bidi="ar-SA"/>
        </w:rPr>
      </w:r>
    </w:p>
    <w:p>
      <w:pPr>
        <w:pStyle w:val="791"/>
        <w:ind w:left="5610" w:hanging="5610"/>
        <w:spacing w:before="120" w:after="120" w:line="276" w:lineRule="auto"/>
        <w:rPr>
          <w:rFonts w:eastAsia="Droid Sans Fallback" w:cs="Lohit Devanagari"/>
          <w:color w:val="auto"/>
          <w:sz w:val="28"/>
          <w:szCs w:val="28"/>
          <w:highlight w:val="none"/>
          <w:lang w:val="ru-RU" w:eastAsia="en-US" w:bidi="ar-SA"/>
        </w:rPr>
      </w:pPr>
      <w:r>
        <w:rPr>
          <w:rFonts w:eastAsia="Droid Sans Fallback" w:cs="Lohit Devanagari"/>
          <w:color w:val="auto"/>
          <w:sz w:val="28"/>
          <w:szCs w:val="28"/>
          <w:highlight w:val="white"/>
          <w:lang w:val="ru-RU" w:eastAsia="en-US" w:bidi="ar-SA"/>
        </w:rPr>
        <w:t xml:space="preserve">Секретарь комиссии </w:t>
        <w:tab/>
        <w:tab/>
        <w:tab/>
        <w:tab/>
        <w:t xml:space="preserve">            О.И. Павлова</w:t>
      </w:r>
      <w:r/>
    </w:p>
    <w:p>
      <w:pPr>
        <w:spacing w:before="120" w:after="120" w:line="276" w:lineRule="auto"/>
        <w:rPr>
          <w:rFonts w:eastAsia="Droid Sans Fallback" w:cs="Lohit Devanagari"/>
          <w:color w:val="000000"/>
          <w:sz w:val="28"/>
          <w:szCs w:val="28"/>
          <w:highlight w:val="none"/>
          <w:lang w:val="ru-RU" w:eastAsia="en-US" w:bidi="ar-SA"/>
        </w:rPr>
      </w:pPr>
      <w:r>
        <w:rPr>
          <w:rFonts w:eastAsia="Droid Sans Fallback" w:cs="Lohit Devanagari"/>
          <w:color w:val="000000"/>
          <w:sz w:val="28"/>
          <w:szCs w:val="28"/>
          <w:highlight w:val="none"/>
          <w:shd w:val="clear" w:color="auto" w:fill="auto"/>
          <w:lang w:val="ru-RU" w:eastAsia="en-US" w:bidi="ar-SA"/>
        </w:rPr>
      </w:r>
      <w:r>
        <w:rPr>
          <w:rFonts w:eastAsia="Droid Sans Fallback" w:cs="Lohit Devanagari"/>
          <w:color w:val="000000"/>
          <w:sz w:val="28"/>
          <w:szCs w:val="28"/>
          <w:highlight w:val="none"/>
          <w:shd w:val="clear" w:color="auto" w:fill="auto"/>
          <w:lang w:val="ru-RU" w:eastAsia="en-US" w:bidi="ar-SA"/>
        </w:rPr>
      </w:r>
    </w:p>
    <w:p>
      <w:pPr>
        <w:pStyle w:val="791"/>
        <w:spacing w:before="120" w:after="120" w:line="276" w:lineRule="auto"/>
        <w:rPr>
          <w:rFonts w:eastAsia="Droid Sans Fallback" w:cs="Lohit Devanagari"/>
          <w:color w:val="000000"/>
          <w:sz w:val="28"/>
          <w:szCs w:val="28"/>
          <w:highlight w:val="none"/>
          <w:lang w:val="ru-RU" w:eastAsia="en-US" w:bidi="ar-SA"/>
        </w:rPr>
      </w:pPr>
      <w:r>
        <w:rPr>
          <w:rFonts w:eastAsia="Droid Sans Fallback" w:cs="Lohit Devanagari"/>
          <w:color w:val="000000"/>
          <w:sz w:val="28"/>
          <w:szCs w:val="28"/>
          <w:shd w:val="clear" w:color="auto" w:fill="auto"/>
          <w:lang w:val="ru-RU" w:eastAsia="en-US" w:bidi="ar-SA"/>
        </w:rPr>
        <w:t xml:space="preserve">Члены комиссии </w:t>
        <w:tab/>
        <w:tab/>
        <w:tab/>
        <w:tab/>
        <w:tab/>
        <w:tab/>
        <w:tab/>
        <w:tab/>
        <w:t xml:space="preserve">            А.А. Союстова</w:t>
      </w:r>
      <w:r>
        <w:rPr>
          <w:rFonts w:eastAsia="Droid Sans Fallback" w:cs="Lohit Devanagari"/>
          <w:color w:val="000000"/>
          <w:sz w:val="28"/>
          <w:szCs w:val="28"/>
          <w:highlight w:val="none"/>
          <w:lang w:val="ru-RU" w:eastAsia="en-US" w:bidi="ar-SA"/>
        </w:rPr>
      </w:r>
    </w:p>
    <w:p>
      <w:pPr>
        <w:spacing w:before="120" w:after="120" w:line="276" w:lineRule="auto"/>
        <w:rPr>
          <w:rFonts w:eastAsia="Droid Sans Fallback" w:cs="Lohit Devanagari"/>
          <w:color w:val="000000"/>
          <w:sz w:val="28"/>
          <w:szCs w:val="28"/>
          <w:highlight w:val="none"/>
          <w:lang w:val="ru-RU" w:eastAsia="en-US" w:bidi="ar-SA"/>
        </w:rPr>
      </w:pPr>
      <w:r>
        <w:rPr>
          <w:rFonts w:eastAsia="Droid Sans Fallback" w:cs="Lohit Devanagari"/>
          <w:color w:val="000000"/>
          <w:sz w:val="28"/>
          <w:szCs w:val="28"/>
          <w:highlight w:val="none"/>
          <w:shd w:val="clear" w:color="auto" w:fill="auto"/>
          <w:lang w:val="ru-RU" w:eastAsia="en-US" w:bidi="ar-SA"/>
        </w:rPr>
      </w:r>
      <w:r>
        <w:rPr>
          <w:rFonts w:eastAsia="Droid Sans Fallback" w:cs="Lohit Devanagari"/>
          <w:color w:val="000000"/>
          <w:sz w:val="28"/>
          <w:szCs w:val="28"/>
          <w:highlight w:val="none"/>
          <w:shd w:val="clear" w:color="auto" w:fill="auto"/>
          <w:lang w:val="ru-RU" w:eastAsia="en-US" w:bidi="ar-SA"/>
        </w:rPr>
      </w:r>
    </w:p>
    <w:p>
      <w:pPr>
        <w:pStyle w:val="791"/>
        <w:ind w:left="7080" w:right="0" w:firstLine="857"/>
        <w:jc w:val="left"/>
        <w:spacing w:before="120" w:after="120"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en-US" w:bidi="ar-SA"/>
        </w:rPr>
      </w:pPr>
      <w:r>
        <w:rPr>
          <w:rFonts w:eastAsia="Droid Sans Fallback" w:cs="Lohit Devanagari"/>
          <w:color w:val="000000"/>
          <w:sz w:val="28"/>
          <w:szCs w:val="28"/>
          <w:highlight w:val="white"/>
          <w:shd w:val="clear" w:color="auto" w:fill="auto"/>
          <w:lang w:val="ru-RU" w:eastAsia="en-US" w:bidi="ar-SA"/>
        </w:rPr>
        <w:t xml:space="preserve">Ю.И. Четина</w:t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en-US" w:bidi="ar-SA"/>
        </w:rPr>
      </w:r>
    </w:p>
    <w:sectPr>
      <w:headerReference w:type="default" r:id="rId8"/>
      <w:footerReference w:type="default" r:id="rId9"/>
      <w:footerReference w:type="even" r:id="rId10"/>
      <w:footerReference w:type="first" r:id="rId11"/>
      <w:footnotePr/>
      <w:endnotePr/>
      <w:type w:val="nextPage"/>
      <w:pgSz w:w="11906" w:h="16838" w:orient="portrait"/>
      <w:pgMar w:top="786" w:right="567" w:bottom="766" w:left="1418" w:header="0" w:footer="709" w:gutter="0"/>
      <w:pgNumType w:start="2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6030504020204"/>
  </w:font>
  <w:font w:name="Open Sans">
    <w:panose1 w:val="020B0606030504020204"/>
  </w:font>
  <w:font w:name="Tahoma">
    <w:panose1 w:val="020B0606030504020204"/>
  </w:font>
  <w:font w:name="Arial">
    <w:panose1 w:val="020B0604020202020204"/>
  </w:font>
  <w:font w:name="Droid Sans Fallback">
    <w:panose1 w:val="020B0502000000000001"/>
  </w:font>
  <w:font w:name="Courier New">
    <w:panose1 w:val="02070409020205020404"/>
  </w:font>
  <w:font w:name="Lohit Devanagari">
    <w:panose1 w:val="020B0600000000000000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7"/>
      <w:ind w:right="360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11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85725" cy="246380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85680" cy="246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47"/>
                            <w:rPr>
                              <w:rStyle w:val="828"/>
                            </w:rPr>
                          </w:pPr>
                          <w:r/>
                          <w:r>
                            <w:rPr>
                              <w:rStyle w:val="828"/>
                            </w:rPr>
                          </w:r>
                        </w:p>
                      </w:txbxContent>
                    </wps:txbx>
                    <wps:bodyPr lIns="36360" tIns="36360" rIns="36360" bIns="3636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1" type="#_x0000_t1" style="position:absolute;z-index:-11;o:allowoverlap:true;o:allowincell:false;mso-position-horizontal-relative:margin;mso-position-horizontal:right;mso-position-vertical-relative:text;margin-top:0.05pt;mso-position-vertical:absolute;width:6.75pt;height:19.40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47"/>
                      <w:rPr>
                        <w:rStyle w:val="828"/>
                      </w:rPr>
                    </w:pPr>
                    <w:r/>
                    <w:r>
                      <w:rPr>
                        <w:rStyle w:val="828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7"/>
      <w:ind w:right="360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47"/>
                            <w:ind w:right="360"/>
                            <w:rPr>
                              <w:rStyle w:val="828"/>
                            </w:rPr>
                          </w:pPr>
                          <w:r>
                            <w:rPr>
                              <w:rStyle w:val="828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828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828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828"/>
                              <w:color w:val="000000"/>
                            </w:rPr>
                            <w:t xml:space="preserve">0</w:t>
                          </w:r>
                          <w:r>
                            <w:rPr>
                              <w:rStyle w:val="828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828"/>
                            </w:rPr>
                          </w:r>
                        </w:p>
                      </w:txbxContent>
                    </wps:txbx>
                    <wps:bodyPr lIns="36360" tIns="-20880" rIns="36360" bIns="-2088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" o:spid="_x0000_s1" o:spt="1" type="#_x0000_t1" style="position:absolute;z-index:-2;o:allowoverlap:true;o:allowincell:false;mso-position-horizontal-relative:margin;mso-position-horizontal:right;mso-position-vertical-relative:text;margin-top:0.05pt;mso-position-vertical:absolute;width:1.15pt;height:1.15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47"/>
                      <w:ind w:right="360"/>
                      <w:rPr>
                        <w:rStyle w:val="828"/>
                      </w:rPr>
                    </w:pPr>
                    <w:r>
                      <w:rPr>
                        <w:rStyle w:val="828"/>
                        <w:color w:val="000000"/>
                      </w:rPr>
                      <w:fldChar w:fldCharType="begin"/>
                    </w:r>
                    <w:r>
                      <w:rPr>
                        <w:rStyle w:val="828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828"/>
                        <w:color w:val="000000"/>
                      </w:rPr>
                      <w:fldChar w:fldCharType="separate"/>
                    </w:r>
                    <w:r>
                      <w:rPr>
                        <w:rStyle w:val="828"/>
                        <w:color w:val="000000"/>
                      </w:rPr>
                      <w:t xml:space="preserve">0</w:t>
                    </w:r>
                    <w:r>
                      <w:rPr>
                        <w:rStyle w:val="828"/>
                        <w:color w:val="000000"/>
                      </w:rPr>
                      <w:fldChar w:fldCharType="end"/>
                    </w:r>
                    <w:r>
                      <w:rPr>
                        <w:rStyle w:val="828"/>
                      </w:rPr>
                    </w:r>
                  </w:p>
                </w:txbxContent>
              </v:textbox>
            </v:shape>
          </w:pict>
        </mc:Fallback>
      </mc:AlternateContent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3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47"/>
                            <w:rPr>
                              <w:rStyle w:val="828"/>
                            </w:rPr>
                          </w:pPr>
                          <w:r>
                            <w:rPr>
                              <w:rStyle w:val="828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828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828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828"/>
                              <w:color w:val="000000"/>
                            </w:rPr>
                            <w:t xml:space="preserve">0</w:t>
                          </w:r>
                          <w:r>
                            <w:rPr>
                              <w:rStyle w:val="828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828"/>
                            </w:rPr>
                          </w:r>
                        </w:p>
                      </w:txbxContent>
                    </wps:txbx>
                    <wps:bodyPr lIns="36360" tIns="-20880" rIns="36360" bIns="-2088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" o:spid="_x0000_s2" o:spt="1" type="#_x0000_t1" style="position:absolute;z-index:-3;o:allowoverlap:true;o:allowincell:false;mso-position-horizontal-relative:margin;mso-position-horizontal:right;mso-position-vertical-relative:text;margin-top:0.05pt;mso-position-vertical:absolute;width:1.15pt;height:1.15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47"/>
                      <w:rPr>
                        <w:rStyle w:val="828"/>
                      </w:rPr>
                    </w:pPr>
                    <w:r>
                      <w:rPr>
                        <w:rStyle w:val="828"/>
                        <w:color w:val="000000"/>
                      </w:rPr>
                      <w:fldChar w:fldCharType="begin"/>
                    </w:r>
                    <w:r>
                      <w:rPr>
                        <w:rStyle w:val="828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828"/>
                        <w:color w:val="000000"/>
                      </w:rPr>
                      <w:fldChar w:fldCharType="separate"/>
                    </w:r>
                    <w:r>
                      <w:rPr>
                        <w:rStyle w:val="828"/>
                        <w:color w:val="000000"/>
                      </w:rPr>
                      <w:t xml:space="preserve">0</w:t>
                    </w:r>
                    <w:r>
                      <w:rPr>
                        <w:rStyle w:val="828"/>
                        <w:color w:val="000000"/>
                      </w:rPr>
                      <w:fldChar w:fldCharType="end"/>
                    </w:r>
                    <w:r>
                      <w:rPr>
                        <w:rStyle w:val="828"/>
                      </w:rPr>
                    </w:r>
                  </w:p>
                </w:txbxContent>
              </v:textbox>
            </v:shape>
          </w:pict>
        </mc:Fallback>
      </mc:AlternateContent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13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85725" cy="246380"/>
              <wp:effectExtent l="0" t="0" r="0" b="0"/>
              <wp:wrapSquare wrapText="bothSides"/>
              <wp:docPr id="4" name="Врезка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85680" cy="246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47"/>
                            <w:rPr>
                              <w:rStyle w:val="828"/>
                            </w:rPr>
                          </w:pPr>
                          <w:r/>
                          <w:r>
                            <w:rPr>
                              <w:rStyle w:val="828"/>
                            </w:rPr>
                          </w:r>
                        </w:p>
                      </w:txbxContent>
                    </wps:txbx>
                    <wps:bodyPr lIns="36360" tIns="36360" rIns="36360" bIns="3636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3" o:spid="_x0000_s3" o:spt="1" type="#_x0000_t1" style="position:absolute;z-index:-13;o:allowoverlap:true;o:allowincell:false;mso-position-horizontal-relative:margin;mso-position-horizontal:right;mso-position-vertical-relative:text;margin-top:0.05pt;mso-position-vertical:absolute;width:6.75pt;height:19.40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47"/>
                      <w:rPr>
                        <w:rStyle w:val="828"/>
                      </w:rPr>
                    </w:pPr>
                    <w:r/>
                    <w:r>
                      <w:rPr>
                        <w:rStyle w:val="828"/>
                      </w:rPr>
                    </w:r>
                  </w:p>
                </w:txbxContent>
              </v:textbox>
            </v:shape>
          </w:pict>
        </mc:Fallback>
      </mc:AlternateContent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1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85725" cy="246380"/>
              <wp:effectExtent l="0" t="0" r="0" b="0"/>
              <wp:wrapSquare wrapText="bothSides"/>
              <wp:docPr id="5" name="Врезка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85680" cy="246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47"/>
                            <w:rPr>
                              <w:rStyle w:val="828"/>
                            </w:rPr>
                          </w:pPr>
                          <w:r/>
                          <w:r>
                            <w:rPr>
                              <w:rStyle w:val="828"/>
                            </w:rPr>
                          </w:r>
                        </w:p>
                      </w:txbxContent>
                    </wps:txbx>
                    <wps:bodyPr lIns="36360" tIns="36360" rIns="36360" bIns="3636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4" o:spid="_x0000_s4" o:spt="1" type="#_x0000_t1" style="position:absolute;z-index:-14;o:allowoverlap:true;o:allowincell:false;mso-position-horizontal-relative:margin;mso-position-horizontal:right;mso-position-vertical-relative:text;margin-top:0.05pt;mso-position-vertical:absolute;width:6.75pt;height:19.40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47"/>
                      <w:rPr>
                        <w:rStyle w:val="828"/>
                      </w:rPr>
                    </w:pPr>
                    <w:r/>
                    <w:r>
                      <w:rPr>
                        <w:rStyle w:val="828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7"/>
      <w:ind w:right="360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11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85725" cy="246380"/>
              <wp:effectExtent l="0" t="0" r="0" b="0"/>
              <wp:wrapSquare wrapText="bothSides"/>
              <wp:docPr id="6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85680" cy="246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47"/>
                            <w:rPr>
                              <w:rStyle w:val="828"/>
                            </w:rPr>
                          </w:pPr>
                          <w:r/>
                          <w:r>
                            <w:rPr>
                              <w:rStyle w:val="828"/>
                            </w:rPr>
                          </w:r>
                        </w:p>
                      </w:txbxContent>
                    </wps:txbx>
                    <wps:bodyPr lIns="36360" tIns="36360" rIns="36360" bIns="3636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5" o:spid="_x0000_s5" o:spt="1" type="#_x0000_t1" style="position:absolute;z-index:-11;o:allowoverlap:true;o:allowincell:false;mso-position-horizontal-relative:margin;mso-position-horizontal:right;mso-position-vertical-relative:text;margin-top:0.05pt;mso-position-vertical:absolute;width:6.75pt;height:19.40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47"/>
                      <w:rPr>
                        <w:rStyle w:val="828"/>
                      </w:rPr>
                    </w:pPr>
                    <w:r/>
                    <w:r>
                      <w:rPr>
                        <w:rStyle w:val="828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6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roid Sans Fallback" w:cs="Lohit Devanagari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91" w:default="1">
    <w:name w:val="Normal"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4"/>
      <w:szCs w:val="24"/>
      <w:lang w:val="ru-RU" w:eastAsia="ru-RU" w:bidi="ar-SA"/>
    </w:rPr>
  </w:style>
  <w:style w:type="paragraph" w:styleId="792">
    <w:name w:val="Heading 1"/>
    <w:basedOn w:val="79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93">
    <w:name w:val="Heading 2"/>
    <w:basedOn w:val="79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94">
    <w:name w:val="Heading 3"/>
    <w:basedOn w:val="79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95">
    <w:name w:val="Heading 4"/>
    <w:basedOn w:val="79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96">
    <w:name w:val="Heading 5"/>
    <w:basedOn w:val="79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97">
    <w:name w:val="Heading 6"/>
    <w:basedOn w:val="79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98">
    <w:name w:val="Heading 7"/>
    <w:basedOn w:val="79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99">
    <w:name w:val="Heading 8"/>
    <w:basedOn w:val="7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00">
    <w:name w:val="Heading 9"/>
    <w:basedOn w:val="79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0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802">
    <w:name w:val="Heading 2 Char"/>
    <w:uiPriority w:val="9"/>
    <w:qFormat/>
    <w:rPr>
      <w:rFonts w:ascii="Arial" w:hAnsi="Arial" w:eastAsia="Arial" w:cs="Arial"/>
      <w:sz w:val="34"/>
    </w:rPr>
  </w:style>
  <w:style w:type="character" w:styleId="803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804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805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806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807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08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809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10">
    <w:name w:val="Title Char"/>
    <w:uiPriority w:val="10"/>
    <w:qFormat/>
    <w:rPr>
      <w:sz w:val="48"/>
      <w:szCs w:val="48"/>
    </w:rPr>
  </w:style>
  <w:style w:type="character" w:styleId="811">
    <w:name w:val="Subtitle Char"/>
    <w:uiPriority w:val="11"/>
    <w:qFormat/>
    <w:rPr>
      <w:sz w:val="24"/>
      <w:szCs w:val="24"/>
    </w:rPr>
  </w:style>
  <w:style w:type="character" w:styleId="812">
    <w:name w:val="Quote Char"/>
    <w:uiPriority w:val="29"/>
    <w:qFormat/>
    <w:rPr>
      <w:i/>
    </w:rPr>
  </w:style>
  <w:style w:type="character" w:styleId="813">
    <w:name w:val="Intense Quote Char"/>
    <w:uiPriority w:val="30"/>
    <w:qFormat/>
    <w:rPr>
      <w:i/>
    </w:rPr>
  </w:style>
  <w:style w:type="character" w:styleId="814">
    <w:name w:val="Header Char"/>
    <w:uiPriority w:val="99"/>
    <w:qFormat/>
  </w:style>
  <w:style w:type="character" w:styleId="815">
    <w:name w:val="Footer Char"/>
    <w:uiPriority w:val="99"/>
    <w:qFormat/>
  </w:style>
  <w:style w:type="character" w:styleId="816">
    <w:name w:val="Caption Char"/>
    <w:uiPriority w:val="99"/>
    <w:qFormat/>
  </w:style>
  <w:style w:type="character" w:styleId="817">
    <w:name w:val="Hyperlink"/>
    <w:uiPriority w:val="99"/>
    <w:unhideWhenUsed/>
    <w:rPr>
      <w:color w:val="0000ff" w:themeColor="hyperlink"/>
      <w:u w:val="single"/>
    </w:rPr>
  </w:style>
  <w:style w:type="character" w:styleId="818">
    <w:name w:val="Footnote Text Char"/>
    <w:uiPriority w:val="99"/>
    <w:qFormat/>
    <w:rPr>
      <w:sz w:val="18"/>
    </w:rPr>
  </w:style>
  <w:style w:type="character" w:styleId="819">
    <w:name w:val="Символ сноски"/>
    <w:uiPriority w:val="99"/>
    <w:unhideWhenUsed/>
    <w:qFormat/>
    <w:rPr>
      <w:vertAlign w:val="superscript"/>
    </w:rPr>
  </w:style>
  <w:style w:type="character" w:styleId="820">
    <w:name w:val="footnote reference"/>
    <w:rPr>
      <w:vertAlign w:val="superscript"/>
    </w:rPr>
  </w:style>
  <w:style w:type="character" w:styleId="821">
    <w:name w:val="Endnote Text Char"/>
    <w:uiPriority w:val="99"/>
    <w:qFormat/>
    <w:rPr>
      <w:sz w:val="20"/>
    </w:rPr>
  </w:style>
  <w:style w:type="character" w:styleId="822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823">
    <w:name w:val="endnote reference"/>
    <w:rPr>
      <w:vertAlign w:val="superscript"/>
    </w:rPr>
  </w:style>
  <w:style w:type="character" w:styleId="824">
    <w:name w:val="Основной шрифт абзаца"/>
    <w:semiHidden/>
    <w:qFormat/>
  </w:style>
  <w:style w:type="character" w:styleId="825">
    <w:name w:val="Основной текст с отступом 3 Знак"/>
    <w:qFormat/>
    <w:rPr>
      <w:sz w:val="16"/>
      <w:szCs w:val="16"/>
    </w:rPr>
  </w:style>
  <w:style w:type="character" w:styleId="826">
    <w:name w:val="Текст Знак"/>
    <w:qFormat/>
    <w:rPr>
      <w:rFonts w:ascii="Courier New" w:hAnsi="Courier New"/>
    </w:rPr>
  </w:style>
  <w:style w:type="character" w:styleId="827">
    <w:name w:val="Текст выноски Знак"/>
    <w:qFormat/>
    <w:rPr>
      <w:rFonts w:ascii="Tahoma" w:hAnsi="Tahoma" w:cs="Tahoma"/>
      <w:sz w:val="16"/>
      <w:szCs w:val="16"/>
    </w:rPr>
  </w:style>
  <w:style w:type="character" w:styleId="828">
    <w:name w:val="Основной текст с отступом Знак"/>
    <w:qFormat/>
    <w:rPr>
      <w:sz w:val="24"/>
      <w:szCs w:val="24"/>
    </w:rPr>
  </w:style>
  <w:style w:type="character" w:styleId="829">
    <w:name w:val="Верхний колонтитул Знак"/>
    <w:qFormat/>
    <w:rPr>
      <w:sz w:val="24"/>
      <w:szCs w:val="24"/>
    </w:rPr>
  </w:style>
  <w:style w:type="character" w:styleId="830">
    <w:name w:val="Нижний колонтитул Знак"/>
    <w:qFormat/>
    <w:rPr>
      <w:sz w:val="24"/>
      <w:szCs w:val="24"/>
    </w:rPr>
  </w:style>
  <w:style w:type="character" w:styleId="831">
    <w:name w:val="Текст сноски Знак"/>
    <w:basedOn w:val="824"/>
    <w:qFormat/>
  </w:style>
  <w:style w:type="character" w:styleId="832">
    <w:name w:val="Знак сноски"/>
    <w:qFormat/>
    <w:rPr>
      <w:vertAlign w:val="superscript"/>
    </w:rPr>
  </w:style>
  <w:style w:type="character" w:styleId="833" w:default="1">
    <w:name w:val="Default Paragraph Font"/>
    <w:uiPriority w:val="1"/>
    <w:semiHidden/>
    <w:unhideWhenUsed/>
    <w:qFormat/>
  </w:style>
  <w:style w:type="paragraph" w:styleId="834">
    <w:name w:val="Заголовок"/>
    <w:basedOn w:val="791"/>
    <w:next w:val="835"/>
    <w:qFormat/>
    <w:pPr>
      <w:keepNext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835">
    <w:name w:val="Body Text"/>
    <w:basedOn w:val="791"/>
    <w:pPr>
      <w:spacing w:before="0" w:after="140" w:line="276" w:lineRule="auto"/>
    </w:pPr>
  </w:style>
  <w:style w:type="paragraph" w:styleId="836">
    <w:name w:val="List"/>
    <w:basedOn w:val="835"/>
    <w:rPr>
      <w:rFonts w:cs="Lohit Devanagari"/>
    </w:rPr>
  </w:style>
  <w:style w:type="paragraph" w:styleId="837">
    <w:name w:val="Caption"/>
    <w:basedOn w:val="791"/>
    <w:link w:val="81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838">
    <w:name w:val="Указатель"/>
    <w:basedOn w:val="791"/>
    <w:qFormat/>
    <w:pPr>
      <w:suppressLineNumbers/>
    </w:pPr>
    <w:rPr>
      <w:rFonts w:cs="Lohit Devanagari"/>
    </w:rPr>
  </w:style>
  <w:style w:type="paragraph" w:styleId="839">
    <w:name w:val="List Paragraph"/>
    <w:basedOn w:val="791"/>
    <w:uiPriority w:val="34"/>
    <w:qFormat/>
    <w:pPr>
      <w:contextualSpacing/>
      <w:ind w:left="720"/>
      <w:spacing w:before="0" w:after="0"/>
    </w:pPr>
  </w:style>
  <w:style w:type="paragraph" w:styleId="840">
    <w:name w:val="No Spacing"/>
    <w:uiPriority w:val="1"/>
    <w:qFormat/>
    <w:pPr>
      <w:jc w:val="left"/>
      <w:spacing w:before="0" w:after="0" w:line="240" w:lineRule="auto"/>
      <w:widowControl/>
    </w:pPr>
    <w:rPr>
      <w:rFonts w:ascii="Times New Roman" w:hAnsi="Times New Roman" w:eastAsia="Droid Sans Fallback" w:cs="Lohit Devanagari"/>
      <w:color w:val="auto"/>
      <w:sz w:val="20"/>
      <w:szCs w:val="20"/>
      <w:lang w:val="ru-RU" w:eastAsia="zh-CN" w:bidi="ar-SA"/>
    </w:rPr>
  </w:style>
  <w:style w:type="paragraph" w:styleId="841">
    <w:name w:val="Title"/>
    <w:basedOn w:val="791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42">
    <w:name w:val="Subtitle"/>
    <w:basedOn w:val="791"/>
    <w:uiPriority w:val="11"/>
    <w:qFormat/>
    <w:pPr>
      <w:spacing w:before="200" w:after="200"/>
    </w:pPr>
    <w:rPr>
      <w:sz w:val="24"/>
      <w:szCs w:val="24"/>
    </w:rPr>
  </w:style>
  <w:style w:type="paragraph" w:styleId="843">
    <w:name w:val="Quote"/>
    <w:basedOn w:val="791"/>
    <w:uiPriority w:val="29"/>
    <w:qFormat/>
    <w:pPr>
      <w:ind w:left="720" w:right="720"/>
    </w:pPr>
    <w:rPr>
      <w:i/>
    </w:rPr>
  </w:style>
  <w:style w:type="paragraph" w:styleId="844">
    <w:name w:val="Intense Quote"/>
    <w:basedOn w:val="791"/>
    <w:uiPriority w:val="30"/>
    <w:qFormat/>
    <w:pPr>
      <w:ind w:left="720" w:right="72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45">
    <w:name w:val="Колонтитул"/>
    <w:basedOn w:val="791"/>
    <w:qFormat/>
  </w:style>
  <w:style w:type="paragraph" w:styleId="846">
    <w:name w:val="Header"/>
    <w:basedOn w:val="791"/>
    <w:uiPriority w:val="99"/>
    <w:unhideWhenUsed/>
    <w:pPr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847">
    <w:name w:val="Footer"/>
    <w:basedOn w:val="791"/>
    <w:uiPriority w:val="99"/>
    <w:unhideWhenUsed/>
    <w:pPr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848">
    <w:name w:val="footnote text"/>
    <w:basedOn w:val="791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849">
    <w:name w:val="endnote text"/>
    <w:basedOn w:val="791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850">
    <w:name w:val="toc 1"/>
    <w:basedOn w:val="791"/>
    <w:uiPriority w:val="39"/>
    <w:unhideWhenUsed/>
    <w:pPr>
      <w:ind w:left="0" w:right="0" w:firstLine="0"/>
      <w:spacing w:before="0" w:after="57"/>
    </w:pPr>
  </w:style>
  <w:style w:type="paragraph" w:styleId="851">
    <w:name w:val="toc 2"/>
    <w:basedOn w:val="791"/>
    <w:uiPriority w:val="39"/>
    <w:unhideWhenUsed/>
    <w:pPr>
      <w:ind w:left="283" w:right="0" w:firstLine="0"/>
      <w:spacing w:before="0" w:after="57"/>
    </w:pPr>
  </w:style>
  <w:style w:type="paragraph" w:styleId="852">
    <w:name w:val="toc 3"/>
    <w:basedOn w:val="791"/>
    <w:uiPriority w:val="39"/>
    <w:unhideWhenUsed/>
    <w:pPr>
      <w:ind w:left="567" w:right="0" w:firstLine="0"/>
      <w:spacing w:before="0" w:after="57"/>
    </w:pPr>
  </w:style>
  <w:style w:type="paragraph" w:styleId="853">
    <w:name w:val="toc 4"/>
    <w:basedOn w:val="791"/>
    <w:uiPriority w:val="39"/>
    <w:unhideWhenUsed/>
    <w:pPr>
      <w:ind w:left="850" w:right="0" w:firstLine="0"/>
      <w:spacing w:before="0" w:after="57"/>
    </w:pPr>
  </w:style>
  <w:style w:type="paragraph" w:styleId="854">
    <w:name w:val="toc 5"/>
    <w:basedOn w:val="791"/>
    <w:uiPriority w:val="39"/>
    <w:unhideWhenUsed/>
    <w:pPr>
      <w:ind w:left="1134" w:right="0" w:firstLine="0"/>
      <w:spacing w:before="0" w:after="57"/>
    </w:pPr>
  </w:style>
  <w:style w:type="paragraph" w:styleId="855">
    <w:name w:val="toc 6"/>
    <w:basedOn w:val="791"/>
    <w:uiPriority w:val="39"/>
    <w:unhideWhenUsed/>
    <w:pPr>
      <w:ind w:left="1417" w:right="0" w:firstLine="0"/>
      <w:spacing w:before="0" w:after="57"/>
    </w:pPr>
  </w:style>
  <w:style w:type="paragraph" w:styleId="856">
    <w:name w:val="toc 7"/>
    <w:basedOn w:val="791"/>
    <w:uiPriority w:val="39"/>
    <w:unhideWhenUsed/>
    <w:pPr>
      <w:ind w:left="1701" w:right="0" w:firstLine="0"/>
      <w:spacing w:before="0" w:after="57"/>
    </w:pPr>
  </w:style>
  <w:style w:type="paragraph" w:styleId="857">
    <w:name w:val="toc 8"/>
    <w:basedOn w:val="791"/>
    <w:uiPriority w:val="39"/>
    <w:unhideWhenUsed/>
    <w:pPr>
      <w:ind w:left="1984" w:right="0" w:firstLine="0"/>
      <w:spacing w:before="0" w:after="57"/>
    </w:pPr>
  </w:style>
  <w:style w:type="paragraph" w:styleId="858">
    <w:name w:val="toc 9"/>
    <w:basedOn w:val="791"/>
    <w:uiPriority w:val="39"/>
    <w:unhideWhenUsed/>
    <w:pPr>
      <w:ind w:left="2268" w:right="0" w:firstLine="0"/>
      <w:spacing w:before="0" w:after="57"/>
    </w:pPr>
  </w:style>
  <w:style w:type="paragraph" w:styleId="859">
    <w:name w:val="Index Heading"/>
    <w:basedOn w:val="834"/>
  </w:style>
  <w:style w:type="paragraph" w:styleId="860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0"/>
      <w:szCs w:val="20"/>
      <w:lang w:val="ru-RU" w:eastAsia="zh-CN" w:bidi="ar-SA"/>
    </w:rPr>
  </w:style>
  <w:style w:type="paragraph" w:styleId="861">
    <w:name w:val="table of figures"/>
    <w:basedOn w:val="791"/>
    <w:uiPriority w:val="99"/>
    <w:unhideWhenUsed/>
    <w:pPr>
      <w:spacing w:before="0" w:after="0" w:afterAutospacing="0"/>
    </w:pPr>
  </w:style>
  <w:style w:type="paragraph" w:styleId="862">
    <w:name w:val="Body Text Indent"/>
    <w:basedOn w:val="791"/>
    <w:pPr>
      <w:ind w:left="283"/>
      <w:spacing w:before="0" w:after="120"/>
    </w:pPr>
    <w:rPr>
      <w:lang w:val="en-US" w:eastAsia="en-US"/>
    </w:rPr>
  </w:style>
  <w:style w:type="paragraph" w:styleId="863">
    <w:name w:val="Текст"/>
    <w:basedOn w:val="791"/>
    <w:qFormat/>
    <w:rPr>
      <w:rFonts w:ascii="Courier New" w:hAnsi="Courier New"/>
      <w:sz w:val="20"/>
      <w:szCs w:val="20"/>
      <w:lang w:val="en-US" w:eastAsia="en-US"/>
    </w:rPr>
  </w:style>
  <w:style w:type="paragraph" w:styleId="864">
    <w:name w:val="Знак Знак Знак Знак Знак Знак Знак Знак Знак Знак Знак Знак"/>
    <w:basedOn w:val="791"/>
    <w:qFormat/>
    <w:rPr>
      <w:rFonts w:ascii="Verdana" w:hAnsi="Verdana" w:cs="Verdana"/>
      <w:sz w:val="20"/>
      <w:szCs w:val="20"/>
      <w:lang w:val="en-US" w:eastAsia="en-US"/>
    </w:rPr>
  </w:style>
  <w:style w:type="paragraph" w:styleId="865">
    <w:name w:val="Основной текст с отступом 3"/>
    <w:basedOn w:val="791"/>
    <w:qFormat/>
    <w:pPr>
      <w:ind w:left="283"/>
      <w:spacing w:before="0" w:after="120"/>
    </w:pPr>
    <w:rPr>
      <w:sz w:val="16"/>
      <w:szCs w:val="16"/>
      <w:lang w:val="en-US" w:eastAsia="en-US"/>
    </w:rPr>
  </w:style>
  <w:style w:type="paragraph" w:styleId="866">
    <w:name w:val="Текст выноски"/>
    <w:basedOn w:val="791"/>
    <w:qFormat/>
    <w:rPr>
      <w:rFonts w:ascii="Tahoma" w:hAnsi="Tahoma"/>
      <w:sz w:val="16"/>
      <w:szCs w:val="16"/>
      <w:lang w:val="en-US" w:eastAsia="en-US"/>
    </w:rPr>
  </w:style>
  <w:style w:type="paragraph" w:styleId="867">
    <w:name w:val="Текст сноски"/>
    <w:basedOn w:val="791"/>
    <w:qFormat/>
    <w:rPr>
      <w:sz w:val="20"/>
      <w:szCs w:val="20"/>
    </w:rPr>
  </w:style>
  <w:style w:type="paragraph" w:styleId="868">
    <w:name w:val="Содержимое врезки"/>
    <w:basedOn w:val="791"/>
    <w:qFormat/>
  </w:style>
  <w:style w:type="paragraph" w:styleId="869">
    <w:name w:val="Содержимое таблицы"/>
    <w:basedOn w:val="791"/>
    <w:qFormat/>
    <w:pPr>
      <w:widowControl w:val="off"/>
      <w:suppressLineNumbers/>
    </w:pPr>
  </w:style>
  <w:style w:type="paragraph" w:styleId="870">
    <w:name w:val="Заголовок таблицы"/>
    <w:basedOn w:val="869"/>
    <w:qFormat/>
    <w:pPr>
      <w:jc w:val="center"/>
      <w:suppressLineNumbers/>
    </w:pPr>
    <w:rPr>
      <w:b/>
      <w:bCs/>
    </w:rPr>
  </w:style>
  <w:style w:type="numbering" w:styleId="871">
    <w:name w:val="Нет списка"/>
    <w:semiHidden/>
    <w:qFormat/>
  </w:style>
  <w:style w:type="numbering" w:styleId="872" w:default="1">
    <w:name w:val="No List"/>
    <w:uiPriority w:val="99"/>
    <w:semiHidden/>
    <w:unhideWhenUsed/>
    <w:qFormat/>
  </w:style>
  <w:style w:type="table" w:styleId="873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74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75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76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77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878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879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80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7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cPr>
        <w:shd w:val="clear" w:color="ffffff" w:fill="dae5f1" w:themeFill="accent1" w:themeFillTint="34"/>
      </w:tcPr>
    </w:tblStylePr>
    <w:tblStylePr w:type="band1Vert">
      <w:rPr>
        <w:sz w:val="22"/>
      </w:rPr>
      <w:tcPr>
        <w:shd w:val="clear" w:color="ffffff" w:fill="dae5f1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cPr>
        <w:shd w:val="clear" w:color="ffffff" w:fill="dae5f1" w:themeFill="accent1" w:themeFillTint="34"/>
      </w:tcPr>
    </w:tblStylePr>
    <w:tblStylePr w:type="band1Vert">
      <w:rPr>
        <w:sz w:val="22"/>
      </w:rPr>
      <w:tcPr>
        <w:shd w:val="clear" w:color="ffffff" w:fill="dae5f1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6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7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8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9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0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1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902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ce6f1" w:themeFill="accent1" w:themeFillTint="32"/>
      </w:tcPr>
    </w:tblStylePr>
    <w:tblStylePr w:type="band1Vert">
      <w:rPr>
        <w:sz w:val="22"/>
      </w:rPr>
      <w:tcPr>
        <w:shd w:val="clear" w:color="ffffff" w:fill="dce6f1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5d8d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1" w:sz="4" w:space="0"/>
        </w:tcBorders>
      </w:tcPr>
    </w:tblStylePr>
  </w:style>
  <w:style w:type="table" w:styleId="903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d99694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2" w:sz="4" w:space="0"/>
        </w:tcBorders>
      </w:tcPr>
    </w:tblStylePr>
  </w:style>
  <w:style w:type="table" w:styleId="904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bba59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3" w:sz="4" w:space="0"/>
        </w:tcBorders>
      </w:tcPr>
    </w:tblStylePr>
  </w:style>
  <w:style w:type="table" w:styleId="905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b2a1c6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4" w:sz="4" w:space="0"/>
        </w:tcBorders>
      </w:tcPr>
    </w:tblStylePr>
  </w:style>
  <w:style w:type="table" w:styleId="906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5" w:sz="4" w:space="0"/>
        </w:tcBorders>
      </w:tcPr>
    </w:tblStylePr>
  </w:style>
  <w:style w:type="table" w:styleId="907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6" w:sz="4" w:space="0"/>
        </w:tcBorders>
      </w:tcPr>
    </w:tblStylePr>
  </w:style>
  <w:style w:type="table" w:styleId="908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sz w:val="22"/>
      </w:rPr>
      <w:tcPr>
        <w:shd w:val="clear" w:color="ffffff" w:fill="000000" w:themeFill="text1"/>
      </w:tc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  <w:sz w:val="22"/>
      </w:rPr>
      <w:tcPr>
        <w:shd w:val="clear" w:color="ffffff" w:fill="000000" w:themeFill="text1"/>
      </w:tcPr>
    </w:tblStylePr>
    <w:tblStylePr w:type="lastRow">
      <w:rPr>
        <w:b/>
        <w:sz w:val="22"/>
      </w:r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</w:style>
  <w:style w:type="table" w:styleId="90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dc5e0" w:themeFill="accent1" w:themeFillTint="75"/>
      </w:tcPr>
    </w:tblStylePr>
    <w:tblStylePr w:type="band1Vert">
      <w:tcPr>
        <w:shd w:val="clear" w:color="ffffff" w:fill="adc5e0" w:themeFill="accent1" w:themeFillTint="75"/>
      </w:tcPr>
    </w:tblStylePr>
    <w:tblStylePr w:type="firstCol">
      <w:rPr>
        <w:b/>
        <w:sz w:val="22"/>
      </w:rPr>
      <w:tcPr>
        <w:shd w:val="clear" w:color="ffffff" w:fill="4f81bd" w:themeFill="accent1"/>
      </w:tc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  <w:sz w:val="22"/>
      </w:rPr>
      <w:tcPr>
        <w:shd w:val="clear" w:color="ffffff" w:fill="4f81bd" w:themeFill="accent1"/>
      </w:tcPr>
    </w:tblStylePr>
    <w:tblStylePr w:type="lastRow">
      <w:rPr>
        <w:b/>
        <w:sz w:val="22"/>
      </w:r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</w:style>
  <w:style w:type="table" w:styleId="91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e1adac" w:themeFill="accent2" w:themeFillTint="75"/>
      </w:tcPr>
    </w:tblStylePr>
    <w:tblStylePr w:type="band1Vert">
      <w:tcPr>
        <w:shd w:val="clear" w:color="ffffff" w:fill="e1adac" w:themeFill="accent2" w:themeFillTint="75"/>
      </w:tcPr>
    </w:tblStylePr>
    <w:tblStylePr w:type="firstCol">
      <w:rPr>
        <w:b/>
        <w:sz w:val="22"/>
      </w:rPr>
      <w:tcPr>
        <w:shd w:val="clear" w:color="ffffff" w:fill="c0504d" w:themeFill="accent2"/>
      </w:tcPr>
    </w:tblStylePr>
    <w:tblStylePr w:type="firstRow">
      <w:rPr>
        <w:b/>
        <w:sz w:val="22"/>
      </w:rPr>
      <w:tcPr>
        <w:shd w:val="clear" w:color="ffffff" w:fill="c0504d" w:themeFill="accent2"/>
      </w:tcPr>
    </w:tblStylePr>
    <w:tblStylePr w:type="lastCol">
      <w:rPr>
        <w:b/>
        <w:sz w:val="22"/>
      </w:rPr>
      <w:tcPr>
        <w:shd w:val="clear" w:color="ffffff" w:fill="c0504d" w:themeFill="accent2"/>
      </w:tcPr>
    </w:tblStylePr>
    <w:tblStylePr w:type="lastRow">
      <w:rPr>
        <w:b/>
        <w:sz w:val="22"/>
      </w:r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</w:style>
  <w:style w:type="table" w:styleId="91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d1dfb2" w:themeFill="accent3" w:themeFillTint="75"/>
      </w:tcPr>
    </w:tblStylePr>
    <w:tblStylePr w:type="band1Vert">
      <w:tcPr>
        <w:shd w:val="clear" w:color="ffffff" w:fill="d1dfb2" w:themeFill="accent3" w:themeFillTint="75"/>
      </w:tcPr>
    </w:tblStylePr>
    <w:tblStylePr w:type="firstCol">
      <w:rPr>
        <w:b/>
        <w:sz w:val="22"/>
      </w:rPr>
      <w:tcPr>
        <w:shd w:val="clear" w:color="ffffff" w:fill="9bbb59" w:themeFill="accent3"/>
      </w:tcPr>
    </w:tblStylePr>
    <w:tblStylePr w:type="firstRow">
      <w:rPr>
        <w:b/>
        <w:sz w:val="22"/>
      </w:rPr>
      <w:tcPr>
        <w:shd w:val="clear" w:color="ffffff" w:fill="9bbb59" w:themeFill="accent3"/>
      </w:tcPr>
    </w:tblStylePr>
    <w:tblStylePr w:type="lastCol">
      <w:rPr>
        <w:b/>
        <w:sz w:val="22"/>
      </w:rPr>
      <w:tcPr>
        <w:shd w:val="clear" w:color="ffffff" w:fill="9bbb59" w:themeFill="accent3"/>
      </w:tcPr>
    </w:tblStylePr>
    <w:tblStylePr w:type="lastRow">
      <w:rPr>
        <w:b/>
        <w:sz w:val="22"/>
      </w:r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</w:style>
  <w:style w:type="table" w:styleId="91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c4b7d4" w:themeFill="accent4" w:themeFillTint="75"/>
      </w:tcPr>
    </w:tblStylePr>
    <w:tblStylePr w:type="band1Vert">
      <w:tcPr>
        <w:shd w:val="clear" w:color="ffffff" w:fill="c4b7d4" w:themeFill="accent4" w:themeFillTint="75"/>
      </w:tcPr>
    </w:tblStylePr>
    <w:tblStylePr w:type="firstCol">
      <w:rPr>
        <w:b/>
        <w:sz w:val="22"/>
      </w:rPr>
      <w:tcPr>
        <w:shd w:val="clear" w:color="ffffff" w:fill="8064a2" w:themeFill="accent4"/>
      </w:tcPr>
    </w:tblStylePr>
    <w:tblStylePr w:type="firstRow">
      <w:rPr>
        <w:b/>
        <w:sz w:val="22"/>
      </w:rPr>
      <w:tcPr>
        <w:shd w:val="clear" w:color="ffffff" w:fill="8064a2" w:themeFill="accent4"/>
      </w:tcPr>
    </w:tblStylePr>
    <w:tblStylePr w:type="lastCol">
      <w:rPr>
        <w:b/>
        <w:sz w:val="22"/>
      </w:rPr>
      <w:tcPr>
        <w:shd w:val="clear" w:color="ffffff" w:fill="8064a2" w:themeFill="accent4"/>
      </w:tcPr>
    </w:tblStylePr>
    <w:tblStylePr w:type="lastRow">
      <w:rPr>
        <w:b/>
        <w:sz w:val="22"/>
      </w:r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</w:style>
  <w:style w:type="table" w:styleId="91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bd9e4" w:themeFill="accent5" w:themeFillTint="75"/>
      </w:tcPr>
    </w:tblStylePr>
    <w:tblStylePr w:type="band1Vert">
      <w:tcPr>
        <w:shd w:val="clear" w:color="ffffff" w:fill="abd9e4" w:themeFill="accent5" w:themeFillTint="75"/>
      </w:tcPr>
    </w:tblStylePr>
    <w:tblStylePr w:type="firstCol">
      <w:rPr>
        <w:b/>
        <w:sz w:val="22"/>
      </w:rPr>
      <w:tcPr>
        <w:shd w:val="clear" w:color="ffffff" w:fill="4bacc6" w:themeFill="accent5"/>
      </w:tcPr>
    </w:tblStylePr>
    <w:tblStylePr w:type="firstRow">
      <w:rPr>
        <w:b/>
        <w:sz w:val="22"/>
      </w:rPr>
      <w:tcPr>
        <w:shd w:val="clear" w:color="ffffff" w:fill="4bacc6" w:themeFill="accent5"/>
      </w:tcPr>
    </w:tblStylePr>
    <w:tblStylePr w:type="lastCol">
      <w:rPr>
        <w:b/>
        <w:sz w:val="22"/>
      </w:rPr>
      <w:tcPr>
        <w:shd w:val="clear" w:color="ffffff" w:fill="4bacc6" w:themeFill="accent5"/>
      </w:tcPr>
    </w:tblStylePr>
    <w:tblStylePr w:type="lastRow">
      <w:rPr>
        <w:b/>
        <w:sz w:val="22"/>
      </w:r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</w:style>
  <w:style w:type="table" w:styleId="91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bcda8" w:themeFill="accent6" w:themeFillTint="75"/>
      </w:tcPr>
    </w:tblStylePr>
    <w:tblStylePr w:type="band1Vert">
      <w:tcPr>
        <w:shd w:val="clear" w:color="ffffff" w:fill="fbcda8" w:themeFill="accent6" w:themeFillTint="75"/>
      </w:tcPr>
    </w:tblStylePr>
    <w:tblStylePr w:type="firstCol">
      <w:rPr>
        <w:b/>
        <w:sz w:val="22"/>
      </w:rPr>
      <w:tcPr>
        <w:shd w:val="clear" w:color="ffffff" w:fill="f79646" w:themeFill="accent6"/>
      </w:tcPr>
    </w:tblStylePr>
    <w:tblStylePr w:type="firstRow">
      <w:rPr>
        <w:b/>
        <w:sz w:val="22"/>
      </w:rPr>
      <w:tcPr>
        <w:shd w:val="clear" w:color="ffffff" w:fill="f79646" w:themeFill="accent6"/>
      </w:tcPr>
    </w:tblStylePr>
    <w:tblStylePr w:type="lastCol">
      <w:rPr>
        <w:b/>
        <w:sz w:val="22"/>
      </w:rPr>
      <w:tcPr>
        <w:shd w:val="clear" w:color="ffffff" w:fill="f79646" w:themeFill="accent6"/>
      </w:tcPr>
    </w:tblStylePr>
    <w:tblStylePr w:type="lastRow">
      <w:rPr>
        <w:b/>
        <w:sz w:val="22"/>
      </w:r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</w:style>
  <w:style w:type="table" w:styleId="915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a4a4a" w:themeColor="text1" w:themeTint="80" w:themeShade="95"/>
        <w:sz w:val="22"/>
      </w:rPr>
    </w:tblStylePr>
  </w:style>
  <w:style w:type="table" w:styleId="91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color w:val="3e70a3" w:themeColor="accent1" w:themeTint="80" w:themeShade="95"/>
        <w:sz w:val="22"/>
      </w:rPr>
    </w:tblStylePr>
  </w:style>
  <w:style w:type="table" w:styleId="91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91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color w:val="5c702f" w:themeColor="accent3" w:themeTint="FE" w:themeShade="95"/>
        <w:sz w:val="22"/>
      </w:rPr>
    </w:tblStylePr>
  </w:style>
  <w:style w:type="table" w:styleId="91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92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266777" w:themeColor="accent5" w:themeShade="95"/>
        <w:sz w:val="22"/>
      </w:rPr>
    </w:tblStylePr>
  </w:style>
  <w:style w:type="table" w:styleId="92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266777" w:themeColor="accent5" w:themeShade="95"/>
        <w:sz w:val="22"/>
      </w:rPr>
    </w:tblStylePr>
  </w:style>
  <w:style w:type="table" w:styleId="922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05307" w:themeColor="accent6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b05307" w:themeColor="accent6" w:themeShade="95"/>
        <w:sz w:val="22"/>
      </w:rPr>
    </w:tblStylePr>
    <w:tblStylePr w:type="firstCol">
      <w:rPr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9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0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1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2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3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4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5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6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937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3e0ee" w:themeFill="accent1" w:themeFillTint="40"/>
      </w:tcPr>
    </w:tblStylePr>
    <w:tblStylePr w:type="band1Vert">
      <w:rPr>
        <w:sz w:val="22"/>
      </w:rPr>
      <w:tcPr>
        <w:shd w:val="clear" w:color="ffffff" w:fill="d3e0ee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938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efd3d2" w:themeFill="accent2" w:themeFillTint="40"/>
      </w:tcPr>
    </w:tblStylePr>
    <w:tblStylePr w:type="band1Vert">
      <w:rPr>
        <w:sz w:val="22"/>
      </w:rPr>
      <w:tcPr>
        <w:shd w:val="clear" w:color="ffffff" w:fill="efd3d2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939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6eed5" w:themeFill="accent3" w:themeFillTint="40"/>
      </w:tcPr>
    </w:tblStylePr>
    <w:tblStylePr w:type="band1Vert">
      <w:rPr>
        <w:sz w:val="22"/>
      </w:rPr>
      <w:tcPr>
        <w:shd w:val="clear" w:color="ffffff" w:fill="e6eed5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940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dfd8e7" w:themeFill="accent4" w:themeFillTint="40"/>
      </w:tcPr>
    </w:tblStylePr>
    <w:tblStylePr w:type="band1Vert">
      <w:rPr>
        <w:sz w:val="22"/>
      </w:rPr>
      <w:tcPr>
        <w:shd w:val="clear" w:color="ffffff" w:fill="dfd8e7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941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1eaf0" w:themeFill="accent5" w:themeFillTint="40"/>
      </w:tcPr>
    </w:tblStylePr>
    <w:tblStylePr w:type="band1Vert">
      <w:rPr>
        <w:sz w:val="22"/>
      </w:rPr>
      <w:tcPr>
        <w:shd w:val="clear" w:color="ffffff" w:fill="d1ea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942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ce4d1" w:themeFill="accent6" w:themeFillTint="40"/>
      </w:tcPr>
    </w:tblStylePr>
    <w:tblStylePr w:type="band1Vert">
      <w:rPr>
        <w:sz w:val="22"/>
      </w:rPr>
      <w:tcPr>
        <w:shd w:val="clear" w:color="ffffff" w:fill="fce4d1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943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4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5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d99694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6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3d69b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7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b2a1c6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8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1cddc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9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9bf90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0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1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3e0ee" w:themeFill="accent1" w:themeFillTint="40"/>
      </w:tcPr>
    </w:tblStylePr>
    <w:tblStylePr w:type="band1Vert">
      <w:rPr>
        <w:sz w:val="22"/>
      </w:rPr>
      <w:tcPr>
        <w:shd w:val="clear" w:color="ffffff" w:fill="d3e0ee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2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efd3d2" w:themeFill="accent2" w:themeFillTint="40"/>
      </w:tcPr>
    </w:tblStylePr>
    <w:tblStylePr w:type="band1Vert">
      <w:rPr>
        <w:sz w:val="22"/>
      </w:rPr>
      <w:tcPr>
        <w:shd w:val="clear" w:color="ffffff" w:fill="efd3d2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0504d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3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6eed5" w:themeFill="accent3" w:themeFillTint="40"/>
      </w:tcPr>
    </w:tblStylePr>
    <w:tblStylePr w:type="band1Vert">
      <w:rPr>
        <w:sz w:val="22"/>
      </w:rPr>
      <w:tcPr>
        <w:shd w:val="clear" w:color="ffffff" w:fill="e6eed5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bbb59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4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dfd8e7" w:themeFill="accent4" w:themeFillTint="40"/>
      </w:tcPr>
    </w:tblStylePr>
    <w:tblStylePr w:type="band1Vert">
      <w:rPr>
        <w:sz w:val="22"/>
      </w:rPr>
      <w:tcPr>
        <w:shd w:val="clear" w:color="ffffff" w:fill="dfd8e7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8064a2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5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1eaf0" w:themeFill="accent5" w:themeFillTint="40"/>
      </w:tcPr>
    </w:tblStylePr>
    <w:tblStylePr w:type="band1Vert">
      <w:rPr>
        <w:sz w:val="22"/>
      </w:rPr>
      <w:tcPr>
        <w:shd w:val="clear" w:color="ffffff" w:fill="d1ea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bacc6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6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ce4d1" w:themeFill="accent6" w:themeFillTint="40"/>
      </w:tcPr>
    </w:tblStylePr>
    <w:tblStylePr w:type="band1Vert">
      <w:rPr>
        <w:sz w:val="22"/>
      </w:rPr>
      <w:tcPr>
        <w:shd w:val="clear" w:color="ffffff" w:fill="fce4d1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79646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7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5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5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d99694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6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3d69b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6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b2a1c6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6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91cddc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6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9bf90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64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00000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96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6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sz="4" w:space="0"/>
        </w:tcBorders>
      </w:tcPr>
    </w:tblStylePr>
  </w:style>
  <w:style w:type="table" w:styleId="96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sz="4" w:space="0"/>
        </w:tcBorders>
      </w:tcPr>
    </w:tblStylePr>
  </w:style>
  <w:style w:type="table" w:styleId="96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sz="4" w:space="0"/>
        </w:tcBorders>
      </w:tcPr>
    </w:tblStylePr>
  </w:style>
  <w:style w:type="table" w:styleId="96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sz="4" w:space="0"/>
        </w:tcBorders>
      </w:tcPr>
    </w:tblStylePr>
  </w:style>
  <w:style w:type="table" w:styleId="97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sz="4" w:space="0"/>
        </w:tcBorders>
      </w:tcPr>
    </w:tblStylePr>
  </w:style>
  <w:style w:type="table" w:styleId="971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97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2a4b71" w:themeColor="accent1" w:themeShade="95"/>
        <w:sz w:val="22"/>
      </w:rPr>
    </w:tblStylePr>
  </w:style>
  <w:style w:type="table" w:styleId="97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97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7c983f" w:themeColor="accent3" w:themeTint="98" w:themeShade="95"/>
        <w:sz w:val="22"/>
      </w:rPr>
    </w:tblStylePr>
  </w:style>
  <w:style w:type="table" w:styleId="97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97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338aa0" w:themeColor="accent5" w:themeTint="9A" w:themeShade="95"/>
        <w:sz w:val="22"/>
      </w:rPr>
    </w:tblStylePr>
  </w:style>
  <w:style w:type="table" w:styleId="97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d9680c" w:themeColor="accent6" w:themeTint="98" w:themeShade="95"/>
        <w:sz w:val="22"/>
      </w:rPr>
    </w:tblStylePr>
  </w:style>
  <w:style w:type="table" w:styleId="978">
    <w:name w:val="Lined - Accen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f2f2" w:themeFill="text1" w:themeFillTint="00"/>
      </w:tcPr>
    </w:tblStylePr>
    <w:tblStylePr w:type="band2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979">
    <w:name w:val="Lined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7d7ea" w:themeFill="accent1" w:themeFillTint="50"/>
      </w:tcPr>
    </w:tblStylePr>
    <w:tblStylePr w:type="band2Vert">
      <w:rPr>
        <w:sz w:val="22"/>
      </w:rPr>
      <w:tcPr>
        <w:shd w:val="clear" w:color="ffffff" w:fill="c7d7ea" w:themeFill="accent1" w:themeFillTint="50"/>
      </w:tcPr>
    </w:tblStylePr>
    <w:tblStylePr w:type="firstCol">
      <w:rPr>
        <w:sz w:val="22"/>
      </w:rPr>
      <w:tcPr>
        <w:shd w:val="clear" w:color="ffffff" w:fill="5d8dc2" w:themeFill="accent1" w:themeFillTint="EA"/>
      </w:tcPr>
    </w:tblStylePr>
    <w:tblStylePr w:type="firstRow">
      <w:rPr>
        <w:sz w:val="22"/>
      </w:rPr>
      <w:tcPr>
        <w:shd w:val="clear" w:color="ffffff" w:fill="5d8dc2" w:themeFill="accent1" w:themeFillTint="EA"/>
      </w:tcPr>
    </w:tblStylePr>
    <w:tblStylePr w:type="lastCol">
      <w:rPr>
        <w:sz w:val="22"/>
      </w:rPr>
      <w:tcPr>
        <w:shd w:val="clear" w:color="ffffff" w:fill="5d8dc2" w:themeFill="accent1" w:themeFillTint="EA"/>
      </w:tcPr>
    </w:tblStylePr>
    <w:tblStylePr w:type="lastRow">
      <w:rPr>
        <w:sz w:val="22"/>
      </w:rPr>
      <w:tcPr>
        <w:shd w:val="clear" w:color="ffffff" w:fill="5d8dc2" w:themeFill="accent1" w:themeFillTint="EA"/>
      </w:tcPr>
    </w:tblStylePr>
  </w:style>
  <w:style w:type="table" w:styleId="980">
    <w:name w:val="Lined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dcdb" w:themeFill="accent2" w:themeFillTint="32"/>
      </w:tcPr>
    </w:tblStylePr>
    <w:tblStylePr w:type="band2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sz w:val="22"/>
      </w:rPr>
      <w:tcPr>
        <w:shd w:val="clear" w:color="ffffff" w:fill="d99694" w:themeFill="accent2" w:themeFillTint="97"/>
      </w:tcPr>
    </w:tblStylePr>
    <w:tblStylePr w:type="firstRow">
      <w:rPr>
        <w:sz w:val="22"/>
      </w:rPr>
      <w:tcPr>
        <w:shd w:val="clear" w:color="ffffff" w:fill="d99694" w:themeFill="accent2" w:themeFillTint="97"/>
      </w:tcPr>
    </w:tblStylePr>
    <w:tblStylePr w:type="lastCol">
      <w:rPr>
        <w:sz w:val="22"/>
      </w:rPr>
      <w:tcPr>
        <w:shd w:val="clear" w:color="ffffff" w:fill="d99694" w:themeFill="accent2" w:themeFillTint="97"/>
      </w:tcPr>
    </w:tblStylePr>
    <w:tblStylePr w:type="lastRow">
      <w:rPr>
        <w:sz w:val="22"/>
      </w:rPr>
      <w:tcPr>
        <w:shd w:val="clear" w:color="ffffff" w:fill="d99694" w:themeFill="accent2" w:themeFillTint="97"/>
      </w:tcPr>
    </w:tblStylePr>
  </w:style>
  <w:style w:type="table" w:styleId="981">
    <w:name w:val="Lined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af0dd" w:themeFill="accent3" w:themeFillTint="34"/>
      </w:tcPr>
    </w:tblStylePr>
    <w:tblStylePr w:type="band2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sz w:val="22"/>
      </w:rPr>
      <w:tcPr>
        <w:shd w:val="clear" w:color="ffffff" w:fill="9bba59" w:themeFill="accent3" w:themeFillTint="FE"/>
      </w:tcPr>
    </w:tblStylePr>
    <w:tblStylePr w:type="firstRow">
      <w:rPr>
        <w:sz w:val="22"/>
      </w:rPr>
      <w:tcPr>
        <w:shd w:val="clear" w:color="ffffff" w:fill="9bba59" w:themeFill="accent3" w:themeFillTint="FE"/>
      </w:tcPr>
    </w:tblStylePr>
    <w:tblStylePr w:type="lastCol">
      <w:rPr>
        <w:sz w:val="22"/>
      </w:rPr>
      <w:tcPr>
        <w:shd w:val="clear" w:color="ffffff" w:fill="9bba59" w:themeFill="accent3" w:themeFillTint="FE"/>
      </w:tcPr>
    </w:tblStylePr>
    <w:tblStylePr w:type="lastRow">
      <w:rPr>
        <w:sz w:val="22"/>
      </w:rPr>
      <w:tcPr>
        <w:shd w:val="clear" w:color="ffffff" w:fill="9bba59" w:themeFill="accent3" w:themeFillTint="FE"/>
      </w:tcPr>
    </w:tblStylePr>
  </w:style>
  <w:style w:type="table" w:styleId="982">
    <w:name w:val="Lined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5dfec" w:themeFill="accent4" w:themeFillTint="34"/>
      </w:tcPr>
    </w:tblStylePr>
    <w:tblStylePr w:type="band2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sz w:val="22"/>
      </w:rPr>
      <w:tcPr>
        <w:shd w:val="clear" w:color="ffffff" w:fill="b2a1c6" w:themeFill="accent4" w:themeFillTint="9A"/>
      </w:tcPr>
    </w:tblStylePr>
    <w:tblStylePr w:type="firstRow">
      <w:rPr>
        <w:sz w:val="22"/>
      </w:rPr>
      <w:tcPr>
        <w:shd w:val="clear" w:color="ffffff" w:fill="b2a1c6" w:themeFill="accent4" w:themeFillTint="9A"/>
      </w:tcPr>
    </w:tblStylePr>
    <w:tblStylePr w:type="lastCol">
      <w:rPr>
        <w:sz w:val="22"/>
      </w:rPr>
      <w:tcPr>
        <w:shd w:val="clear" w:color="ffffff" w:fill="b2a1c6" w:themeFill="accent4" w:themeFillTint="9A"/>
      </w:tcPr>
    </w:tblStylePr>
    <w:tblStylePr w:type="lastRow">
      <w:rPr>
        <w:sz w:val="22"/>
      </w:rPr>
      <w:tcPr>
        <w:shd w:val="clear" w:color="ffffff" w:fill="b2a1c6" w:themeFill="accent4" w:themeFillTint="9A"/>
      </w:tcPr>
    </w:tblStylePr>
  </w:style>
  <w:style w:type="table" w:styleId="983">
    <w:name w:val="Lined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aeef3" w:themeFill="accent5" w:themeFillTint="34"/>
      </w:tcPr>
    </w:tblStylePr>
    <w:tblStylePr w:type="band2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sz w:val="22"/>
      </w:rPr>
      <w:tcPr>
        <w:shd w:val="clear" w:color="ffffff" w:fill="4bacc6" w:themeFill="accent5"/>
      </w:tcPr>
    </w:tblStylePr>
    <w:tblStylePr w:type="firstRow">
      <w:rPr>
        <w:sz w:val="22"/>
      </w:rPr>
      <w:tcPr>
        <w:shd w:val="clear" w:color="ffffff" w:fill="4bacc6" w:themeFill="accent5"/>
      </w:tcPr>
    </w:tblStylePr>
    <w:tblStylePr w:type="lastCol">
      <w:rPr>
        <w:sz w:val="22"/>
      </w:rPr>
      <w:tcPr>
        <w:shd w:val="clear" w:color="ffffff" w:fill="4bacc6" w:themeFill="accent5"/>
      </w:tcPr>
    </w:tblStylePr>
    <w:tblStylePr w:type="lastRow">
      <w:rPr>
        <w:sz w:val="22"/>
      </w:rPr>
      <w:tcPr>
        <w:shd w:val="clear" w:color="ffffff" w:fill="4bacc6" w:themeFill="accent5"/>
      </w:tcPr>
    </w:tblStylePr>
  </w:style>
  <w:style w:type="table" w:styleId="984">
    <w:name w:val="Lined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de9d8" w:themeFill="accent6" w:themeFillTint="34"/>
      </w:tcPr>
    </w:tblStylePr>
    <w:tblStylePr w:type="band2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sz w:val="22"/>
      </w:rPr>
      <w:tcPr>
        <w:shd w:val="clear" w:color="ffffff" w:fill="f79646" w:themeFill="accent6"/>
      </w:tcPr>
    </w:tblStylePr>
    <w:tblStylePr w:type="firstRow">
      <w:rPr>
        <w:sz w:val="22"/>
      </w:rPr>
      <w:tcPr>
        <w:shd w:val="clear" w:color="ffffff" w:fill="f79646" w:themeFill="accent6"/>
      </w:tcPr>
    </w:tblStylePr>
    <w:tblStylePr w:type="lastCol">
      <w:rPr>
        <w:sz w:val="22"/>
      </w:rPr>
      <w:tcPr>
        <w:shd w:val="clear" w:color="ffffff" w:fill="f79646" w:themeFill="accent6"/>
      </w:tcPr>
    </w:tblStylePr>
    <w:tblStylePr w:type="lastRow">
      <w:rPr>
        <w:sz w:val="22"/>
      </w:rPr>
      <w:tcPr>
        <w:shd w:val="clear" w:color="ffffff" w:fill="f79646" w:themeFill="accent6"/>
      </w:tcPr>
    </w:tblStylePr>
  </w:style>
  <w:style w:type="table" w:styleId="985">
    <w:name w:val="Bordered &amp; Lined - Accen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f2f2" w:themeFill="text1" w:themeFillTint="00"/>
      </w:tcPr>
    </w:tblStylePr>
    <w:tblStylePr w:type="band2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986">
    <w:name w:val="Bordered &amp; Lin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7d7ea" w:themeFill="accent1" w:themeFillTint="50"/>
      </w:tcPr>
    </w:tblStylePr>
    <w:tblStylePr w:type="band2Vert">
      <w:rPr>
        <w:sz w:val="22"/>
      </w:rPr>
      <w:tcPr>
        <w:shd w:val="clear" w:color="ffffff" w:fill="c7d7ea" w:themeFill="accent1" w:themeFillTint="50"/>
      </w:tcPr>
    </w:tblStylePr>
    <w:tblStylePr w:type="firstCol">
      <w:rPr>
        <w:sz w:val="22"/>
      </w:rPr>
      <w:tcPr>
        <w:shd w:val="clear" w:color="ffffff" w:fill="5d8dc2" w:themeFill="accent1" w:themeFillTint="EA"/>
      </w:tcPr>
    </w:tblStylePr>
    <w:tblStylePr w:type="firstRow">
      <w:rPr>
        <w:sz w:val="22"/>
      </w:rPr>
      <w:tcPr>
        <w:shd w:val="clear" w:color="ffffff" w:fill="5d8dc2" w:themeFill="accent1" w:themeFillTint="EA"/>
      </w:tcPr>
    </w:tblStylePr>
    <w:tblStylePr w:type="lastCol">
      <w:rPr>
        <w:sz w:val="22"/>
      </w:rPr>
      <w:tcPr>
        <w:shd w:val="clear" w:color="ffffff" w:fill="5d8dc2" w:themeFill="accent1" w:themeFillTint="EA"/>
      </w:tcPr>
    </w:tblStylePr>
    <w:tblStylePr w:type="lastRow">
      <w:rPr>
        <w:sz w:val="22"/>
      </w:rPr>
      <w:tcPr>
        <w:shd w:val="clear" w:color="ffffff" w:fill="5d8dc2" w:themeFill="accent1" w:themeFillTint="EA"/>
      </w:tcPr>
    </w:tblStylePr>
  </w:style>
  <w:style w:type="table" w:styleId="987">
    <w:name w:val="Bordered &amp; Lin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dcdb" w:themeFill="accent2" w:themeFillTint="32"/>
      </w:tcPr>
    </w:tblStylePr>
    <w:tblStylePr w:type="band2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sz w:val="22"/>
      </w:rPr>
      <w:tcPr>
        <w:shd w:val="clear" w:color="ffffff" w:fill="d99694" w:themeFill="accent2" w:themeFillTint="97"/>
      </w:tcPr>
    </w:tblStylePr>
    <w:tblStylePr w:type="firstRow">
      <w:rPr>
        <w:sz w:val="22"/>
      </w:rPr>
      <w:tcPr>
        <w:shd w:val="clear" w:color="ffffff" w:fill="d99694" w:themeFill="accent2" w:themeFillTint="97"/>
      </w:tcPr>
    </w:tblStylePr>
    <w:tblStylePr w:type="lastCol">
      <w:rPr>
        <w:sz w:val="22"/>
      </w:rPr>
      <w:tcPr>
        <w:shd w:val="clear" w:color="ffffff" w:fill="d99694" w:themeFill="accent2" w:themeFillTint="97"/>
      </w:tcPr>
    </w:tblStylePr>
    <w:tblStylePr w:type="lastRow">
      <w:rPr>
        <w:sz w:val="22"/>
      </w:rPr>
      <w:tcPr>
        <w:shd w:val="clear" w:color="ffffff" w:fill="d99694" w:themeFill="accent2" w:themeFillTint="97"/>
      </w:tcPr>
    </w:tblStylePr>
  </w:style>
  <w:style w:type="table" w:styleId="988">
    <w:name w:val="Bordered &amp; Lin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af0dd" w:themeFill="accent3" w:themeFillTint="34"/>
      </w:tcPr>
    </w:tblStylePr>
    <w:tblStylePr w:type="band2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sz w:val="22"/>
      </w:rPr>
      <w:tcPr>
        <w:shd w:val="clear" w:color="ffffff" w:fill="9bba59" w:themeFill="accent3" w:themeFillTint="FE"/>
      </w:tcPr>
    </w:tblStylePr>
    <w:tblStylePr w:type="firstRow">
      <w:rPr>
        <w:sz w:val="22"/>
      </w:rPr>
      <w:tcPr>
        <w:shd w:val="clear" w:color="ffffff" w:fill="9bba59" w:themeFill="accent3" w:themeFillTint="FE"/>
      </w:tcPr>
    </w:tblStylePr>
    <w:tblStylePr w:type="lastCol">
      <w:rPr>
        <w:sz w:val="22"/>
      </w:rPr>
      <w:tcPr>
        <w:shd w:val="clear" w:color="ffffff" w:fill="9bba59" w:themeFill="accent3" w:themeFillTint="FE"/>
      </w:tcPr>
    </w:tblStylePr>
    <w:tblStylePr w:type="lastRow">
      <w:rPr>
        <w:sz w:val="22"/>
      </w:rPr>
      <w:tcPr>
        <w:shd w:val="clear" w:color="ffffff" w:fill="9bba59" w:themeFill="accent3" w:themeFillTint="FE"/>
      </w:tcPr>
    </w:tblStylePr>
  </w:style>
  <w:style w:type="table" w:styleId="989">
    <w:name w:val="Bordered &amp; Lin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5dfec" w:themeFill="accent4" w:themeFillTint="34"/>
      </w:tcPr>
    </w:tblStylePr>
    <w:tblStylePr w:type="band2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sz w:val="22"/>
      </w:rPr>
      <w:tcPr>
        <w:shd w:val="clear" w:color="ffffff" w:fill="b2a1c6" w:themeFill="accent4" w:themeFillTint="9A"/>
      </w:tcPr>
    </w:tblStylePr>
    <w:tblStylePr w:type="firstRow">
      <w:rPr>
        <w:sz w:val="22"/>
      </w:rPr>
      <w:tcPr>
        <w:shd w:val="clear" w:color="ffffff" w:fill="b2a1c6" w:themeFill="accent4" w:themeFillTint="9A"/>
      </w:tcPr>
    </w:tblStylePr>
    <w:tblStylePr w:type="lastCol">
      <w:rPr>
        <w:sz w:val="22"/>
      </w:rPr>
      <w:tcPr>
        <w:shd w:val="clear" w:color="ffffff" w:fill="b2a1c6" w:themeFill="accent4" w:themeFillTint="9A"/>
      </w:tcPr>
    </w:tblStylePr>
    <w:tblStylePr w:type="lastRow">
      <w:rPr>
        <w:sz w:val="22"/>
      </w:rPr>
      <w:tcPr>
        <w:shd w:val="clear" w:color="ffffff" w:fill="b2a1c6" w:themeFill="accent4" w:themeFillTint="9A"/>
      </w:tcPr>
    </w:tblStylePr>
  </w:style>
  <w:style w:type="table" w:styleId="990">
    <w:name w:val="Bordered &amp; Lin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aeef3" w:themeFill="accent5" w:themeFillTint="34"/>
      </w:tcPr>
    </w:tblStylePr>
    <w:tblStylePr w:type="band2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sz w:val="22"/>
      </w:rPr>
      <w:tcPr>
        <w:shd w:val="clear" w:color="ffffff" w:fill="4bacc6" w:themeFill="accent5"/>
      </w:tcPr>
    </w:tblStylePr>
    <w:tblStylePr w:type="firstRow">
      <w:rPr>
        <w:sz w:val="22"/>
      </w:rPr>
      <w:tcPr>
        <w:shd w:val="clear" w:color="ffffff" w:fill="4bacc6" w:themeFill="accent5"/>
      </w:tcPr>
    </w:tblStylePr>
    <w:tblStylePr w:type="lastCol">
      <w:rPr>
        <w:sz w:val="22"/>
      </w:rPr>
      <w:tcPr>
        <w:shd w:val="clear" w:color="ffffff" w:fill="4bacc6" w:themeFill="accent5"/>
      </w:tcPr>
    </w:tblStylePr>
    <w:tblStylePr w:type="lastRow">
      <w:rPr>
        <w:sz w:val="22"/>
      </w:rPr>
      <w:tcPr>
        <w:shd w:val="clear" w:color="ffffff" w:fill="4bacc6" w:themeFill="accent5"/>
      </w:tcPr>
    </w:tblStylePr>
  </w:style>
  <w:style w:type="table" w:styleId="991">
    <w:name w:val="Bordered &amp; Lin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de9d8" w:themeFill="accent6" w:themeFillTint="34"/>
      </w:tcPr>
    </w:tblStylePr>
    <w:tblStylePr w:type="band2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sz w:val="22"/>
      </w:rPr>
      <w:tcPr>
        <w:shd w:val="clear" w:color="ffffff" w:fill="f79646" w:themeFill="accent6"/>
      </w:tcPr>
    </w:tblStylePr>
    <w:tblStylePr w:type="firstRow">
      <w:rPr>
        <w:sz w:val="22"/>
      </w:rPr>
      <w:tcPr>
        <w:shd w:val="clear" w:color="ffffff" w:fill="f79646" w:themeFill="accent6"/>
      </w:tcPr>
    </w:tblStylePr>
    <w:tblStylePr w:type="lastCol">
      <w:rPr>
        <w:sz w:val="22"/>
      </w:rPr>
      <w:tcPr>
        <w:shd w:val="clear" w:color="ffffff" w:fill="f79646" w:themeFill="accent6"/>
      </w:tcPr>
    </w:tblStylePr>
    <w:tblStylePr w:type="lastRow">
      <w:rPr>
        <w:sz w:val="22"/>
      </w:rPr>
      <w:tcPr>
        <w:shd w:val="clear" w:color="ffffff" w:fill="f79646" w:themeFill="accent6"/>
      </w:tcPr>
    </w:tblStylePr>
  </w:style>
  <w:style w:type="table" w:styleId="992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993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94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2" w:sz="12" w:space="0"/>
        </w:tcBorders>
      </w:tcPr>
    </w:tblStylePr>
  </w:style>
  <w:style w:type="table" w:styleId="995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3" w:sz="12" w:space="0"/>
        </w:tcBorders>
      </w:tcPr>
    </w:tblStylePr>
  </w:style>
  <w:style w:type="table" w:styleId="996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4" w:sz="12" w:space="0"/>
        </w:tcBorders>
      </w:tcPr>
    </w:tblStylePr>
  </w:style>
  <w:style w:type="table" w:styleId="997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5" w:sz="12" w:space="0"/>
        </w:tcBorders>
      </w:tcPr>
    </w:tblStylePr>
  </w:style>
  <w:style w:type="table" w:styleId="998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6" w:sz="12" w:space="0"/>
        </w:tcBorders>
      </w:tcPr>
    </w:tblStylePr>
  </w:style>
  <w:style w:type="table" w:styleId="999" w:default="1">
    <w:name w:val="Normal Table"/>
    <w:uiPriority w:val="99"/>
    <w:semiHidden/>
    <w:unhideWhenUsed/>
    <w:tblPr/>
  </w:style>
  <w:style w:type="table" w:styleId="1000" w:customStyle="1">
    <w:name w:val="block-tbl "/>
    <w:pPr>
      <w:ind w:right="0"/>
      <w:jc w:val="left"/>
      <w:spacing w:before="0" w:after="0" w:line="240" w:lineRule="auto"/>
    </w:pPr>
    <w:rPr>
      <w:b w:val="0"/>
      <w:bCs w:val="0"/>
      <w:i w:val="0"/>
      <w:caps w:val="0"/>
      <w:smallCaps w:val="0"/>
      <w:spacing w:val="0"/>
      <w:sz w:val="20"/>
      <w:szCs w:val="20"/>
      <w:lang w:val="en-US" w:eastAsia="en-US" w:bidi="ar-SA"/>
    </w:rPr>
    <w:tblPr>
      <w:tblStyleRowBandSize w:val="1"/>
      <w:tblStyleColBandSize w:val="1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vAlign w:val="top"/>
    </w:tc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hyperlink" Target="https://utp.sberbank-ast.ru/AP/List/DictionaryGISRefusalAdmissionReason/1002109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Р7-Офис/2024.3.1.487</Application>
  <Company>Деп. имущественных отношений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имущественных отношений</dc:title>
  <dc:subject/>
  <dc:creator>bna</dc:creator>
  <dc:description/>
  <dc:language>ru-RU</dc:language>
  <cp:revision>1137</cp:revision>
  <dcterms:created xsi:type="dcterms:W3CDTF">2015-07-02T10:18:00Z</dcterms:created>
  <dcterms:modified xsi:type="dcterms:W3CDTF">2026-08-05T05:04:03Z</dcterms:modified>
  <cp:version>1048576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