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79"/>
        <w:numPr>
          <w:ilvl w:val="0"/>
          <w:numId w:val="0"/>
        </w:numPr>
        <w:ind w:left="0" w:firstLine="0"/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Департамент имущественных отношений администрации города Перми</w:t>
      </w:r>
      <w:r>
        <w:rPr>
          <w:sz w:val="28"/>
          <w:szCs w:val="28"/>
        </w:rPr>
      </w:r>
    </w:p>
    <w:p>
      <w:pPr>
        <w:pStyle w:val="77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9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Протокол рассмотрения заявок на участие в электронных аукционах </w:t>
      </w:r>
      <w:r>
        <w:rPr>
          <w:b/>
          <w:sz w:val="28"/>
          <w:szCs w:val="28"/>
        </w:rPr>
      </w:r>
    </w:p>
    <w:p>
      <w:pPr>
        <w:pStyle w:val="779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на право</w:t>
      </w: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 xml:space="preserve"> заключения договоров аренды  зем</w:t>
      </w:r>
      <w:r>
        <w:rPr>
          <w:b/>
          <w:sz w:val="28"/>
          <w:szCs w:val="28"/>
        </w:rPr>
        <w:t xml:space="preserve">ельных участков</w:t>
      </w:r>
      <w:r>
        <w:rPr>
          <w:b/>
          <w:sz w:val="28"/>
          <w:szCs w:val="28"/>
        </w:rPr>
      </w:r>
    </w:p>
    <w:p>
      <w:pPr>
        <w:pStyle w:val="779"/>
        <w:numPr>
          <w:ilvl w:val="0"/>
          <w:numId w:val="0"/>
        </w:numPr>
        <w:ind w:left="0" w:firstLine="0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каб. 2                      </w:t>
        <w:tab/>
        <w:t xml:space="preserve">                               </w:t>
      </w:r>
      <w:r>
        <w:rPr>
          <w:sz w:val="28"/>
          <w:szCs w:val="28"/>
        </w:rPr>
        <w:t xml:space="preserve">12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</w:rPr>
      </w:r>
    </w:p>
    <w:p>
      <w:pPr>
        <w:pStyle w:val="77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9"/>
        <w:ind w:firstLine="720"/>
        <w:jc w:val="both"/>
        <w:spacing w:line="276" w:lineRule="auto"/>
        <w:tabs>
          <w:tab w:val="clear" w:pos="708" w:leader="none"/>
          <w:tab w:val="left" w:pos="2805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</w:t>
      </w:r>
      <w:r>
        <w:rPr>
          <w:sz w:val="28"/>
          <w:szCs w:val="28"/>
          <w:highlight w:val="white"/>
        </w:rPr>
        <w:t xml:space="preserve">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</w:t>
      </w:r>
      <w:r>
        <w:rPr>
          <w:sz w:val="28"/>
          <w:szCs w:val="28"/>
          <w:highlight w:val="white"/>
        </w:rPr>
        <w:t xml:space="preserve">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  <w:r>
        <w:rPr>
          <w:highlight w:val="white"/>
        </w:rPr>
      </w:r>
    </w:p>
    <w:p>
      <w:pPr>
        <w:pStyle w:val="779"/>
        <w:jc w:val="both"/>
        <w:spacing w:line="276" w:lineRule="auto"/>
        <w:rPr>
          <w:highlight w:val="white"/>
        </w:rPr>
      </w:pPr>
      <w:r>
        <w:rPr>
          <w:sz w:val="28"/>
          <w:szCs w:val="28"/>
          <w:highlight w:val="white"/>
        </w:rPr>
        <w:t xml:space="preserve">             </w:t>
      </w:r>
      <w:r>
        <w:rPr>
          <w:highlight w:val="white"/>
        </w:rPr>
      </w:r>
    </w:p>
    <w:p>
      <w:pPr>
        <w:pStyle w:val="779"/>
        <w:ind w:left="3000" w:right="0" w:hanging="3000"/>
        <w:jc w:val="both"/>
        <w:spacing w:before="0" w:after="120" w:line="276" w:lineRule="auto"/>
        <w:widowControl/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  <w:r/>
    </w:p>
    <w:p>
      <w:pPr>
        <w:pStyle w:val="779"/>
        <w:ind w:left="4680" w:right="0" w:hanging="4680"/>
        <w:jc w:val="both"/>
        <w:spacing w:before="0" w:after="120" w:line="276" w:lineRule="auto"/>
        <w:widowControl/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  <w:r/>
    </w:p>
    <w:p>
      <w:pPr>
        <w:pStyle w:val="779"/>
        <w:ind w:left="2880" w:right="0" w:hanging="2880"/>
        <w:jc w:val="both"/>
        <w:spacing w:before="0" w:after="120" w:line="276" w:lineRule="auto"/>
        <w:widowControl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Секретарь комиссии: Павлова О.И., консультант отдела по распоряжению муниципальным имуществом управления                            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  <w:r/>
    </w:p>
    <w:p>
      <w:pPr>
        <w:pStyle w:val="779"/>
        <w:ind w:left="2126" w:right="0" w:hanging="2126"/>
        <w:jc w:val="both"/>
        <w:spacing w:before="0" w:after="0" w:line="276" w:lineRule="auto"/>
        <w:widowControl/>
        <w:tabs>
          <w:tab w:val="clear" w:pos="708" w:leader="none"/>
          <w:tab w:val="left" w:pos="2100" w:leader="none"/>
        </w:tabs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ru-RU" w:bidi="ar-SA"/>
        </w:rPr>
        <w:t xml:space="preserve">Члены комиссии: Союстова А.А., заместитель начальника отдела сопровождения договоров департамента земельных отношений администрации города Перми;</w:t>
      </w:r>
      <w:r/>
    </w:p>
    <w:p>
      <w:pPr>
        <w:pStyle w:val="779"/>
        <w:ind w:left="2126" w:right="0" w:firstLine="0"/>
        <w:jc w:val="both"/>
        <w:spacing w:before="0" w:after="0" w:line="276" w:lineRule="auto"/>
        <w:widowControl/>
        <w:tabs>
          <w:tab w:val="left" w:pos="708" w:leader="none"/>
        </w:tabs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r>
    </w:p>
    <w:p>
      <w:pPr>
        <w:pStyle w:val="779"/>
        <w:ind w:left="2160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sz w:val="28"/>
          <w:szCs w:val="28"/>
        </w:rPr>
      </w:pPr>
      <w:r>
        <w:rPr>
          <w:rFonts w:eastAsia="Droid Sans Fallback" w:cs="Lohit Devanagari"/>
          <w:sz w:val="28"/>
          <w:szCs w:val="28"/>
        </w:rPr>
      </w:r>
      <w:r>
        <w:rPr>
          <w:rFonts w:ascii="Times New Roman" w:hAnsi="Times New Roman" w:eastAsia="Droid Sans Fallback" w:cs="Lohit Devanagari"/>
          <w:sz w:val="28"/>
          <w:szCs w:val="28"/>
        </w:rPr>
      </w:r>
    </w:p>
    <w:p>
      <w:pPr>
        <w:pStyle w:val="779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pPr>
      <w:r>
        <w:rPr>
          <w:sz w:val="28"/>
          <w:szCs w:val="28"/>
        </w:rPr>
        <w:t xml:space="preserve">рассмотрев заявки на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участие в электронных аукционах, назначенных                           на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13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.0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8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.2026 (процедура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№ SBR012-2607150058), решила: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</w:p>
    <w:p>
      <w:pPr>
        <w:pStyle w:val="779"/>
        <w:ind w:left="0" w:right="0" w:firstLine="0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779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Лот № 1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п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раво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 w:bidi="ar-SA"/>
        </w:rPr>
        <w:t xml:space="preserve"> заключения договора аренды земельного участка, государственная собственность на который не разграничена, с кадастровым номером 59:01:3510069:119 площадью 549 кв. м, расположе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 w:bidi="ar-SA"/>
        </w:rPr>
        <w:t xml:space="preserve">нного по адресу: Российская Федерация, Пермский край, городской округ Пермский, город Пермь, переулок Северный, з/у 11,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</w:rPr>
      </w:r>
    </w:p>
    <w:p>
      <w:pPr>
        <w:pStyle w:val="779"/>
        <w:jc w:val="both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 w:bidi="ar-SA"/>
        </w:rPr>
      </w:pP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 w:bidi="ar-SA"/>
        </w:rPr>
      </w:r>
    </w:p>
    <w:tbl>
      <w:tblPr>
        <w:tblW w:w="9921" w:type="dxa"/>
        <w:tblInd w:w="10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2468"/>
        <w:gridCol w:w="2067"/>
        <w:gridCol w:w="2268"/>
        <w:gridCol w:w="240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textDirection w:val="lrTb"/>
            <w:noWrap w:val="false"/>
          </w:tcPr>
          <w:p>
            <w:pPr>
              <w:pStyle w:val="779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68" w:type="dxa"/>
            <w:textDirection w:val="lrTb"/>
            <w:noWrap w:val="false"/>
          </w:tcPr>
          <w:p>
            <w:pPr>
              <w:pStyle w:val="779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lang w:val="ru-RU" w:eastAsia="ru-RU" w:bidi="ar-SA"/>
              </w:rPr>
              <w:t xml:space="preserve">Заявитель,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pStyle w:val="779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номер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67" w:type="dxa"/>
            <w:textDirection w:val="lrTb"/>
            <w:noWrap w:val="false"/>
          </w:tcPr>
          <w:p>
            <w:pPr>
              <w:pStyle w:val="779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Дата и время подачи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textDirection w:val="lrTb"/>
            <w:noWrap w:val="false"/>
          </w:tcPr>
          <w:p>
            <w:pPr>
              <w:pStyle w:val="779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Сведения               о внесенном задатке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textDirection w:val="lrTb"/>
            <w:noWrap w:val="false"/>
          </w:tcPr>
          <w:p>
            <w:pPr>
              <w:pStyle w:val="779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Решение комиссии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textDirection w:val="lrTb"/>
            <w:noWrap w:val="false"/>
          </w:tcPr>
          <w:p>
            <w:pPr>
              <w:pStyle w:val="779"/>
              <w:jc w:val="center"/>
              <w:spacing w:before="0" w:after="0" w:line="240" w:lineRule="auto"/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68" w:type="dxa"/>
            <w:textDirection w:val="lrTb"/>
            <w:noWrap w:val="false"/>
          </w:tcPr>
          <w:p>
            <w:pPr>
              <w:pStyle w:val="779"/>
              <w:jc w:val="center"/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8"/>
                <w:szCs w:val="28"/>
                <w:lang w:val="ru-RU" w:eastAsia="ru-RU" w:bidi="ar-SA"/>
              </w:rPr>
              <w:t xml:space="preserve">Мясникова Елена Васильевна в лице представителя — индивидуального   предпринимателя Граевской Ольги Петровны, действующей на основании агентского договора,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779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8"/>
                <w:szCs w:val="28"/>
                <w:lang w:val="ru-RU" w:eastAsia="ru-RU" w:bidi="ar-SA"/>
              </w:rPr>
              <w:t xml:space="preserve">615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779"/>
              <w:jc w:val="center"/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779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67" w:type="dxa"/>
            <w:textDirection w:val="lrTb"/>
            <w:noWrap w:val="false"/>
          </w:tcPr>
          <w:p>
            <w:pPr>
              <w:pStyle w:val="779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0"/>
                <w:lang w:val="en-US" w:eastAsia="en-US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en-US" w:eastAsia="en-US" w:bidi="ar-SA"/>
              </w:rPr>
              <w:t xml:space="preserve">11.08.2026 14:34</w:t>
            </w:r>
            <w:r>
              <w:rPr>
                <w:rFonts w:ascii="Times New Roman" w:hAnsi="Times New Roman" w:eastAsia="Times New Roman" w:cs="Times New Roman"/>
                <w:sz w:val="20"/>
                <w:lang w:val="en-US" w:eastAsia="en-US" w:bidi="ar-SA"/>
              </w:rPr>
            </w:r>
          </w:p>
          <w:p>
            <w:pPr>
              <w:pStyle w:val="779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textDirection w:val="lrTb"/>
            <w:noWrap w:val="false"/>
          </w:tcPr>
          <w:p>
            <w:pPr>
              <w:pStyle w:val="779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0"/>
                <w:lang w:val="en-US" w:eastAsia="en-US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en-US" w:eastAsia="en-US" w:bidi="ar-SA"/>
              </w:rPr>
              <w:t xml:space="preserve">73 700,00</w:t>
            </w:r>
            <w:r>
              <w:rPr>
                <w:rFonts w:ascii="Times New Roman" w:hAnsi="Times New Roman" w:eastAsia="Times New Roman" w:cs="Times New Roman"/>
                <w:sz w:val="20"/>
                <w:lang w:val="en-US" w:eastAsia="en-US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textDirection w:val="lrTb"/>
            <w:noWrap w:val="false"/>
          </w:tcPr>
          <w:p>
            <w:pPr>
              <w:pStyle w:val="779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</w:t>
              <w:br/>
              <w:t xml:space="preserve">к участию </w:t>
              <w:br/>
              <w:t xml:space="preserve">в аукционе </w:t>
              <w:br/>
              <w:t xml:space="preserve">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77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779"/>
        <w:ind w:firstLine="708"/>
        <w:jc w:val="both"/>
        <w:spacing w:line="276" w:lineRule="auto"/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Признать аукцион несостоявшимся по лоту 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/>
          <w:sz w:val="28"/>
          <w:szCs w:val="28"/>
        </w:rPr>
        <w:t xml:space="preserve">№ 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/>
          <w:sz w:val="28"/>
          <w:szCs w:val="28"/>
        </w:rPr>
        <w:t xml:space="preserve">1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в связи с тем, что                      по окончании срока подачи заявок на участие в аукционе по данному лоту подана только одна заявка на участие в аукционе.</w:t>
      </w:r>
      <w:r/>
    </w:p>
    <w:p>
      <w:pPr>
        <w:pStyle w:val="823"/>
        <w:contextualSpacing/>
        <w:ind w:firstLine="708"/>
        <w:jc w:val="both"/>
        <w:spacing w:before="0" w:after="0" w:line="276" w:lineRule="auto"/>
      </w:pPr>
      <w:r>
        <w:rPr>
          <w:color w:val="000000"/>
          <w:sz w:val="28"/>
          <w:szCs w:val="28"/>
        </w:rPr>
        <w:t xml:space="preserve">Единственная заявка на участие в аукционе и заявитель, подавший указанную заявку, соответствуют всем требованиям и условиям, указанным                 в извещении о проведении аукциона. </w:t>
      </w:r>
      <w:r/>
    </w:p>
    <w:p>
      <w:pPr>
        <w:pStyle w:val="823"/>
        <w:ind w:left="0" w:right="0" w:firstLine="708"/>
        <w:jc w:val="both"/>
        <w:spacing w:before="0" w:after="0" w:line="276" w:lineRule="auto"/>
      </w:pPr>
      <w:r>
        <w:rPr>
          <w:rFonts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  <w:t xml:space="preserve">В соответствии с пунктом 12 статьи 39.13 Земельного кодекса Российской Федерации уполномоченный орган  в течение пяти дней со дня истечения срока, предусмотренного п. 11 ст. 39.13 Земельного кодекса Российской Федерации обязан направить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  <w:t xml:space="preserve"> заявителю, признанному единственным участником аукциона, подписанный проект 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аукциона:</w:t>
      </w:r>
      <w:r/>
    </w:p>
    <w:p>
      <w:pPr>
        <w:pStyle w:val="779"/>
        <w:ind w:left="0" w:right="0" w:firstLine="709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pPr>
      <w:r>
        <w:rPr>
          <w:b/>
          <w:color w:val="000000"/>
          <w:sz w:val="28"/>
          <w:szCs w:val="28"/>
        </w:rPr>
        <w:t xml:space="preserve">по лоту </w:t>
      </w:r>
      <w:r>
        <w:rPr>
          <w:rFonts w:eastAsia="Droid Sans Fallback" w:cs="Lohit Devanagari"/>
          <w:b/>
          <w:color w:val="000000"/>
          <w:sz w:val="28"/>
          <w:szCs w:val="28"/>
          <w:lang w:val="ru-RU" w:eastAsia="ru-RU" w:bidi="ar-SA"/>
        </w:rPr>
        <w:t xml:space="preserve">№ </w:t>
      </w:r>
      <w:r>
        <w:rPr>
          <w:rFonts w:eastAsia="Droid Sans Fallback" w:cs="Lohit Devanagari"/>
          <w:b/>
          <w:color w:val="000000"/>
          <w:sz w:val="28"/>
          <w:szCs w:val="28"/>
          <w:lang w:val="ru-RU" w:eastAsia="ru-RU" w:bidi="ar-SA"/>
        </w:rPr>
        <w:t xml:space="preserve">1 (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highlight w:val="white"/>
          <w:lang w:val="ru-RU" w:eastAsia="ru-RU" w:bidi="ar-SA"/>
        </w:rPr>
        <w:t xml:space="preserve">переулок Северный, з/у 11) – 147 400,00 руб.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</w:p>
    <w:p>
      <w:pPr>
        <w:pStyle w:val="823"/>
        <w:ind w:left="0" w:right="0" w:firstLine="709"/>
        <w:jc w:val="both"/>
        <w:spacing w:before="0" w:after="0" w:line="276" w:lineRule="auto"/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</w:pP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В соответствии с</w:t>
      </w: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 пунктом 13 статьи 39.13 Земельного кодекса Российской Федерации по результатам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</w:r>
    </w:p>
    <w:p>
      <w:pPr>
        <w:pStyle w:val="779"/>
        <w:ind w:firstLine="708"/>
        <w:jc w:val="both"/>
        <w:spacing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779"/>
        <w:jc w:val="both"/>
        <w:spacing w:before="0" w:after="0" w:line="276" w:lineRule="auto"/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Лот № 2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п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рав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 w:bidi="ar-SA"/>
        </w:rPr>
        <w:t xml:space="preserve">о заключения договора аренды земельного участка, государственная собственность на который не разграничена, с кадастровым номером 59:01:3510069:117 площадью 486 кв. м, расположе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 w:bidi="ar-SA"/>
        </w:rPr>
        <w:t xml:space="preserve">нного по адресу: Российская Федерация, Пермский край, городской округ Пермский, город Пермь, переулок Северный, з/у 15,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</w:rPr>
      </w:r>
    </w:p>
    <w:p>
      <w:pPr>
        <w:pStyle w:val="779"/>
        <w:ind w:firstLine="708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779"/>
        <w:ind w:firstLine="708"/>
        <w:jc w:val="both"/>
        <w:spacing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</w:p>
    <w:p>
      <w:pPr>
        <w:pStyle w:val="779"/>
        <w:ind w:firstLine="708"/>
        <w:jc w:val="both"/>
        <w:spacing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779"/>
        <w:jc w:val="both"/>
        <w:spacing w:before="0" w:after="0" w:line="276" w:lineRule="auto"/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none"/>
        </w:rPr>
      </w:pP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 xml:space="preserve">Лот № 3</w:t>
      </w:r>
      <w:r>
        <w:rPr>
          <w:rFonts w:eastAsia="Droid Sans Fallback" w:cs="Lohit Devanagari"/>
          <w:b/>
          <w:color w:val="auto"/>
          <w:lang w:val="ru-RU" w:eastAsia="ru-RU" w:bidi="ar-SA"/>
        </w:rPr>
        <w:t xml:space="preserve">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п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 w:bidi="ar-SA"/>
        </w:rPr>
        <w:t xml:space="preserve">раво заключения договора аренды земельного участка, государственная собственность на который не разграничена, с кадастровым номером 59:01:0000000:98105 площадью 2000 кв. м, расположе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 w:bidi="ar-SA"/>
        </w:rPr>
        <w:t xml:space="preserve">нного по адресу: Российская Федерация, Пермский край, городской округ Пермский, город Пермь, улица Постаногова, з/у 54,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none"/>
        </w:rPr>
      </w:r>
    </w:p>
    <w:p>
      <w:pPr>
        <w:pStyle w:val="779"/>
        <w:ind w:firstLine="708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779"/>
        <w:ind w:firstLine="708"/>
        <w:jc w:val="both"/>
        <w:spacing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</w:p>
    <w:p>
      <w:pPr>
        <w:pStyle w:val="779"/>
        <w:jc w:val="both"/>
        <w:spacing w:before="0" w:after="0" w:line="276" w:lineRule="auto"/>
        <w:rPr>
          <w:rFonts w:ascii="Times New Roman" w:hAnsi="Times New Roman" w:cs="Times New Roman"/>
          <w:b w:val="0"/>
          <w:bCs w:val="0"/>
          <w:i w:val="0"/>
          <w:caps w:val="0"/>
          <w:smallCaps w:val="0"/>
          <w:color w:val="000000" w:themeColor="text1"/>
          <w:sz w:val="28"/>
          <w:szCs w:val="28"/>
          <w:highlight w:val="white"/>
        </w:rPr>
      </w:pPr>
      <w:r>
        <w:rPr>
          <w:rFonts w:cs="Times New Roman"/>
          <w:b w:val="0"/>
          <w:bCs w:val="0"/>
          <w:i w:val="0"/>
          <w:caps w:val="0"/>
          <w:smallCap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i w:val="0"/>
          <w:caps w:val="0"/>
          <w:smallCaps w:val="0"/>
          <w:color w:val="000000" w:themeColor="text1"/>
          <w:sz w:val="28"/>
          <w:szCs w:val="28"/>
          <w:highlight w:val="white"/>
        </w:rPr>
      </w:r>
    </w:p>
    <w:p>
      <w:pPr>
        <w:pStyle w:val="779"/>
        <w:jc w:val="both"/>
        <w:spacing w:before="0" w:after="0" w:line="276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Лот № 4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п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 w:bidi="ar-SA"/>
        </w:rPr>
        <w:t xml:space="preserve">раво заключения договора аренды земельного участка, государственная собственность на который не разграничена, с кадастровым номером 59:01:1817228:135 площадью 450 кв. м, расположенног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 w:bidi="ar-SA"/>
        </w:rPr>
        <w:t xml:space="preserve">о по адресу: Российская Федерация, Пермский край, городской округ Пермский, город Пермь, улица Налимихинская, з/у 105а,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779"/>
        <w:ind w:firstLine="708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779"/>
        <w:ind w:firstLine="708"/>
        <w:jc w:val="both"/>
        <w:spacing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b w:val="0"/>
          <w:bCs w:val="0"/>
          <w:i w:val="0"/>
          <w:iCs w:val="0"/>
          <w:caps w:val="0"/>
          <w:smallCaps w:val="0"/>
          <w:color w:val="auto"/>
          <w:sz w:val="28"/>
          <w:szCs w:val="28"/>
          <w:highlight w:val="white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7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779"/>
        <w:jc w:val="both"/>
        <w:spacing w:line="360" w:lineRule="auto"/>
      </w:pPr>
      <w:r>
        <w:rPr>
          <w:sz w:val="28"/>
          <w:szCs w:val="28"/>
        </w:rPr>
        <w:t xml:space="preserve">Председатель комиссии                                                                        </w:t>
      </w:r>
      <w:r>
        <w:rPr>
          <w:sz w:val="28"/>
          <w:szCs w:val="28"/>
          <w:highlight w:val="white"/>
        </w:rPr>
        <w:t xml:space="preserve">А.А. Хаткевич</w:t>
      </w:r>
      <w:r/>
    </w:p>
    <w:p>
      <w:pPr>
        <w:pStyle w:val="779"/>
        <w:ind w:left="5610" w:hanging="5610"/>
        <w:spacing w:before="120" w:after="120" w:line="360" w:lineRule="auto"/>
      </w:pPr>
      <w:r>
        <w:rPr>
          <w:sz w:val="28"/>
          <w:szCs w:val="28"/>
          <w:lang w:eastAsia="en-US"/>
        </w:rPr>
        <w:t xml:space="preserve"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Шафранова</w:t>
      </w:r>
      <w:r/>
    </w:p>
    <w:p>
      <w:pPr>
        <w:pStyle w:val="779"/>
        <w:ind w:left="5610" w:hanging="5610"/>
        <w:spacing w:before="120" w:after="120" w:line="360" w:lineRule="auto"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Секретарь комиссии </w:t>
        <w:tab/>
        <w:tab/>
        <w:tab/>
        <w:tab/>
        <w:t xml:space="preserve">            О.И. Павлова</w:t>
      </w:r>
      <w:r/>
    </w:p>
    <w:p>
      <w:pPr>
        <w:pStyle w:val="779"/>
        <w:spacing w:before="120" w:after="120" w:line="360" w:lineRule="auto"/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   А.А. Союстова</w:t>
      </w:r>
      <w:r/>
    </w:p>
    <w:p>
      <w:pPr>
        <w:pStyle w:val="779"/>
        <w:ind w:left="7080" w:right="0" w:firstLine="857"/>
        <w:jc w:val="left"/>
        <w:spacing w:before="120" w:after="120" w:line="360" w:lineRule="auto"/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en-US" w:bidi="ar-SA"/>
        </w:rPr>
        <w:t xml:space="preserve">Ю.И. Четина</w:t>
      </w:r>
      <w:r/>
    </w:p>
    <w:sectPr>
      <w:headerReference w:type="default" r:id="rId8"/>
      <w:headerReference w:type="first" r:id="rId9"/>
      <w:footerReference w:type="default" r:id="rId10"/>
      <w:footerReference w:type="even" r:id="rId11"/>
      <w:footerReference w:type="first" r:id="rId12"/>
      <w:footnotePr/>
      <w:endnotePr/>
      <w:type w:val="nextPage"/>
      <w:pgSz w:w="11906" w:h="16838" w:orient="portrait"/>
      <w:pgMar w:top="786" w:right="567" w:bottom="766" w:left="1418" w:header="0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6030504020204"/>
  </w:font>
  <w:font w:name="Open Sans">
    <w:panose1 w:val="020B0606030504020204"/>
  </w:font>
  <w:font w:name="Tahoma">
    <w:panose1 w:val="020B0606030504020204"/>
  </w:font>
  <w:font w:name="Arial">
    <w:panose1 w:val="020B0604020202020204"/>
  </w:font>
  <w:font w:name="Droid Sans Fallback">
    <w:panose1 w:val="020B0502000000000001"/>
  </w:font>
  <w:font w:name="Courier New">
    <w:panose1 w:val="020704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jc w:val="right"/>
    </w:pPr>
    <w:r>
      <w:fldChar w:fldCharType="begin"/>
    </w:r>
    <w:r>
      <w:instrText xml:space="preserve"> PAGE </w:instrText>
    </w:r>
    <w:r>
      <w:fldChar w:fldCharType="separate"/>
    </w:r>
    <w:r>
      <w:t xml:space="preserve">4</w:t>
    </w:r>
    <w:r>
      <w:fldChar w:fldCharType="end"/>
    </w:r>
    <w:r/>
  </w:p>
  <w:p>
    <w:pPr>
      <w:pStyle w:val="835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jc w:val="right"/>
    </w:pPr>
    <w:r>
      <w:fldChar w:fldCharType="begin"/>
    </w:r>
    <w:r>
      <w:instrText xml:space="preserve"> PAGE </w:instrText>
    </w:r>
    <w:r>
      <w:fldChar w:fldCharType="separate"/>
    </w:r>
    <w:r>
      <w:t xml:space="preserve">0</w:t>
    </w:r>
    <w:r>
      <w:fldChar w:fldCharType="end"/>
    </w:r>
    <w:r/>
  </w:p>
  <w:p>
    <w:pPr>
      <w:pStyle w:val="835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35"/>
                            <w:ind w:right="360"/>
                            <w:rPr>
                              <w:rStyle w:val="816"/>
                            </w:rPr>
                          </w:pPr>
                          <w:r>
                            <w:rPr>
                              <w:rStyle w:val="81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16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1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16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16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16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35"/>
                      <w:ind w:right="360"/>
                      <w:rPr>
                        <w:rStyle w:val="816"/>
                      </w:rPr>
                    </w:pPr>
                    <w:r>
                      <w:rPr>
                        <w:rStyle w:val="816"/>
                        <w:color w:val="000000"/>
                      </w:rPr>
                      <w:fldChar w:fldCharType="begin"/>
                    </w:r>
                    <w:r>
                      <w:rPr>
                        <w:rStyle w:val="816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16"/>
                        <w:color w:val="000000"/>
                      </w:rPr>
                      <w:fldChar w:fldCharType="separate"/>
                    </w:r>
                    <w:r>
                      <w:rPr>
                        <w:rStyle w:val="816"/>
                        <w:color w:val="000000"/>
                      </w:rPr>
                      <w:t xml:space="preserve">0</w:t>
                    </w:r>
                    <w:r>
                      <w:rPr>
                        <w:rStyle w:val="816"/>
                        <w:color w:val="000000"/>
                      </w:rPr>
                      <w:fldChar w:fldCharType="end"/>
                    </w:r>
                    <w:r>
                      <w:rPr>
                        <w:rStyle w:val="816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35"/>
                            <w:rPr>
                              <w:rStyle w:val="816"/>
                            </w:rPr>
                          </w:pPr>
                          <w:r>
                            <w:rPr>
                              <w:rStyle w:val="81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16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1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16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16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16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3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35"/>
                      <w:rPr>
                        <w:rStyle w:val="816"/>
                      </w:rPr>
                    </w:pPr>
                    <w:r>
                      <w:rPr>
                        <w:rStyle w:val="816"/>
                        <w:color w:val="000000"/>
                      </w:rPr>
                      <w:fldChar w:fldCharType="begin"/>
                    </w:r>
                    <w:r>
                      <w:rPr>
                        <w:rStyle w:val="816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16"/>
                        <w:color w:val="000000"/>
                      </w:rPr>
                      <w:fldChar w:fldCharType="separate"/>
                    </w:r>
                    <w:r>
                      <w:rPr>
                        <w:rStyle w:val="816"/>
                        <w:color w:val="000000"/>
                      </w:rPr>
                      <w:t xml:space="preserve">0</w:t>
                    </w:r>
                    <w:r>
                      <w:rPr>
                        <w:rStyle w:val="816"/>
                        <w:color w:val="000000"/>
                      </w:rPr>
                      <w:fldChar w:fldCharType="end"/>
                    </w:r>
                    <w:r>
                      <w:rPr>
                        <w:rStyle w:val="816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3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35"/>
                            <w:rPr>
                              <w:rStyle w:val="816"/>
                            </w:rPr>
                          </w:pPr>
                          <w:r/>
                          <w:r>
                            <w:rPr>
                              <w:rStyle w:val="816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-4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35"/>
                      <w:rPr>
                        <w:rStyle w:val="816"/>
                      </w:rPr>
                    </w:pPr>
                    <w:r/>
                    <w:r>
                      <w:rPr>
                        <w:rStyle w:val="816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4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35"/>
                            <w:rPr>
                              <w:rStyle w:val="816"/>
                            </w:rPr>
                          </w:pPr>
                          <w:r/>
                          <w:r>
                            <w:rPr>
                              <w:rStyle w:val="816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-5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35"/>
                      <w:rPr>
                        <w:rStyle w:val="816"/>
                      </w:rPr>
                    </w:pPr>
                    <w:r/>
                    <w:r>
                      <w:rPr>
                        <w:rStyle w:val="816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jc w:val="right"/>
    </w:pPr>
    <w:r/>
    <w:r/>
  </w:p>
  <w:p>
    <w:pPr>
      <w:pStyle w:val="83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9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ru-RU" w:bidi="ar-SA"/>
    </w:rPr>
  </w:style>
  <w:style w:type="paragraph" w:styleId="780">
    <w:name w:val="Heading 1"/>
    <w:basedOn w:val="7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1">
    <w:name w:val="Heading 2"/>
    <w:basedOn w:val="7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2">
    <w:name w:val="Heading 3"/>
    <w:basedOn w:val="7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3">
    <w:name w:val="Heading 4"/>
    <w:basedOn w:val="77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7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5">
    <w:name w:val="Heading 6"/>
    <w:basedOn w:val="7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6">
    <w:name w:val="Heading 7"/>
    <w:basedOn w:val="7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7">
    <w:name w:val="Heading 8"/>
    <w:basedOn w:val="7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8">
    <w:name w:val="Heading 9"/>
    <w:basedOn w:val="7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9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0">
    <w:name w:val="Heading 2 Char"/>
    <w:uiPriority w:val="9"/>
    <w:qFormat/>
    <w:rPr>
      <w:rFonts w:ascii="Arial" w:hAnsi="Arial" w:eastAsia="Arial" w:cs="Arial"/>
      <w:sz w:val="34"/>
    </w:rPr>
  </w:style>
  <w:style w:type="character" w:styleId="79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2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3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4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5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6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7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98">
    <w:name w:val="Title Char"/>
    <w:uiPriority w:val="10"/>
    <w:qFormat/>
    <w:rPr>
      <w:sz w:val="48"/>
      <w:szCs w:val="48"/>
    </w:rPr>
  </w:style>
  <w:style w:type="character" w:styleId="799">
    <w:name w:val="Subtitle Char"/>
    <w:uiPriority w:val="11"/>
    <w:qFormat/>
    <w:rPr>
      <w:sz w:val="24"/>
      <w:szCs w:val="24"/>
    </w:rPr>
  </w:style>
  <w:style w:type="character" w:styleId="800">
    <w:name w:val="Quote Char"/>
    <w:uiPriority w:val="29"/>
    <w:qFormat/>
    <w:rPr>
      <w:i/>
    </w:rPr>
  </w:style>
  <w:style w:type="character" w:styleId="801">
    <w:name w:val="Intense Quote Char"/>
    <w:uiPriority w:val="30"/>
    <w:qFormat/>
    <w:rPr>
      <w:i/>
    </w:rPr>
  </w:style>
  <w:style w:type="character" w:styleId="802">
    <w:name w:val="Header Char"/>
    <w:uiPriority w:val="99"/>
    <w:qFormat/>
  </w:style>
  <w:style w:type="character" w:styleId="803">
    <w:name w:val="Footer Char"/>
    <w:uiPriority w:val="99"/>
    <w:qFormat/>
  </w:style>
  <w:style w:type="character" w:styleId="804">
    <w:name w:val="Caption Char"/>
    <w:uiPriority w:val="99"/>
    <w:qFormat/>
  </w:style>
  <w:style w:type="character" w:styleId="805">
    <w:name w:val="Hyperlink"/>
    <w:uiPriority w:val="99"/>
    <w:unhideWhenUsed/>
    <w:rPr>
      <w:color w:val="0000ff" w:themeColor="hyperlink"/>
      <w:u w:val="single"/>
    </w:rPr>
  </w:style>
  <w:style w:type="character" w:styleId="806">
    <w:name w:val="Footnote Text Char"/>
    <w:uiPriority w:val="99"/>
    <w:qFormat/>
    <w:rPr>
      <w:sz w:val="18"/>
    </w:rPr>
  </w:style>
  <w:style w:type="character" w:styleId="807">
    <w:name w:val="Символ сноски"/>
    <w:uiPriority w:val="99"/>
    <w:unhideWhenUsed/>
    <w:qFormat/>
    <w:rPr>
      <w:vertAlign w:val="superscript"/>
    </w:rPr>
  </w:style>
  <w:style w:type="character" w:styleId="808">
    <w:name w:val="footnote reference"/>
    <w:rPr>
      <w:vertAlign w:val="superscript"/>
    </w:rPr>
  </w:style>
  <w:style w:type="character" w:styleId="809">
    <w:name w:val="Endnote Text Char"/>
    <w:uiPriority w:val="99"/>
    <w:qFormat/>
    <w:rPr>
      <w:sz w:val="20"/>
    </w:rPr>
  </w:style>
  <w:style w:type="character" w:styleId="81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11">
    <w:name w:val="endnote reference"/>
    <w:rPr>
      <w:vertAlign w:val="superscript"/>
    </w:rPr>
  </w:style>
  <w:style w:type="character" w:styleId="812">
    <w:name w:val="Основной шрифт абзаца"/>
    <w:semiHidden/>
    <w:qFormat/>
  </w:style>
  <w:style w:type="character" w:styleId="813">
    <w:name w:val="Основной текст с отступом 3 Знак"/>
    <w:qFormat/>
    <w:rPr>
      <w:sz w:val="16"/>
      <w:szCs w:val="16"/>
    </w:rPr>
  </w:style>
  <w:style w:type="character" w:styleId="814">
    <w:name w:val="Текст Знак"/>
    <w:qFormat/>
    <w:rPr>
      <w:rFonts w:ascii="Courier New" w:hAnsi="Courier New"/>
    </w:rPr>
  </w:style>
  <w:style w:type="character" w:styleId="815">
    <w:name w:val="Текст выноски Знак"/>
    <w:qFormat/>
    <w:rPr>
      <w:rFonts w:ascii="Tahoma" w:hAnsi="Tahoma" w:cs="Tahoma"/>
      <w:sz w:val="16"/>
      <w:szCs w:val="16"/>
    </w:rPr>
  </w:style>
  <w:style w:type="character" w:styleId="816">
    <w:name w:val="Основной текст с отступом Знак"/>
    <w:qFormat/>
    <w:rPr>
      <w:sz w:val="24"/>
      <w:szCs w:val="24"/>
    </w:rPr>
  </w:style>
  <w:style w:type="character" w:styleId="817">
    <w:name w:val="Верхний колонтитул Знак"/>
    <w:qFormat/>
    <w:rPr>
      <w:sz w:val="24"/>
      <w:szCs w:val="24"/>
    </w:rPr>
  </w:style>
  <w:style w:type="character" w:styleId="818">
    <w:name w:val="Нижний колонтитул Знак"/>
    <w:qFormat/>
    <w:rPr>
      <w:sz w:val="24"/>
      <w:szCs w:val="24"/>
    </w:rPr>
  </w:style>
  <w:style w:type="character" w:styleId="819">
    <w:name w:val="Текст сноски Знак"/>
    <w:basedOn w:val="812"/>
    <w:qFormat/>
  </w:style>
  <w:style w:type="character" w:styleId="820">
    <w:name w:val="Знак сноски"/>
    <w:qFormat/>
    <w:rPr>
      <w:vertAlign w:val="superscript"/>
    </w:rPr>
  </w:style>
  <w:style w:type="character" w:styleId="821" w:default="1">
    <w:name w:val="Default Paragraph Font"/>
    <w:uiPriority w:val="1"/>
    <w:semiHidden/>
    <w:unhideWhenUsed/>
    <w:qFormat/>
  </w:style>
  <w:style w:type="paragraph" w:styleId="822">
    <w:name w:val="Заголовок"/>
    <w:basedOn w:val="779"/>
    <w:next w:val="823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823">
    <w:name w:val="Body Text"/>
    <w:basedOn w:val="779"/>
    <w:pPr>
      <w:spacing w:before="0" w:after="140" w:line="276" w:lineRule="auto"/>
    </w:pPr>
  </w:style>
  <w:style w:type="paragraph" w:styleId="824">
    <w:name w:val="List"/>
    <w:basedOn w:val="823"/>
    <w:rPr>
      <w:rFonts w:cs="Lohit Devanagari"/>
    </w:rPr>
  </w:style>
  <w:style w:type="paragraph" w:styleId="825">
    <w:name w:val="Caption"/>
    <w:basedOn w:val="779"/>
    <w:link w:val="8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6">
    <w:name w:val="Указатель"/>
    <w:basedOn w:val="779"/>
    <w:qFormat/>
    <w:pPr>
      <w:suppressLineNumbers/>
    </w:pPr>
    <w:rPr>
      <w:rFonts w:cs="Lohit Devanagari"/>
    </w:rPr>
  </w:style>
  <w:style w:type="paragraph" w:styleId="827">
    <w:name w:val="List Paragraph"/>
    <w:basedOn w:val="779"/>
    <w:uiPriority w:val="34"/>
    <w:qFormat/>
    <w:pPr>
      <w:contextualSpacing/>
      <w:ind w:left="720"/>
      <w:spacing w:before="0" w:after="0"/>
    </w:pPr>
  </w:style>
  <w:style w:type="paragraph" w:styleId="828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29">
    <w:name w:val="Title"/>
    <w:basedOn w:val="779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30">
    <w:name w:val="Subtitle"/>
    <w:basedOn w:val="779"/>
    <w:uiPriority w:val="11"/>
    <w:qFormat/>
    <w:pPr>
      <w:spacing w:before="200" w:after="200"/>
    </w:pPr>
    <w:rPr>
      <w:sz w:val="24"/>
      <w:szCs w:val="24"/>
    </w:rPr>
  </w:style>
  <w:style w:type="paragraph" w:styleId="831">
    <w:name w:val="Quote"/>
    <w:basedOn w:val="779"/>
    <w:uiPriority w:val="29"/>
    <w:qFormat/>
    <w:pPr>
      <w:ind w:left="720" w:right="720"/>
    </w:pPr>
    <w:rPr>
      <w:i/>
    </w:rPr>
  </w:style>
  <w:style w:type="paragraph" w:styleId="832">
    <w:name w:val="Intense Quote"/>
    <w:basedOn w:val="779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33">
    <w:name w:val="Колонтитул"/>
    <w:basedOn w:val="779"/>
    <w:qFormat/>
  </w:style>
  <w:style w:type="paragraph" w:styleId="834">
    <w:name w:val="Header"/>
    <w:basedOn w:val="779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35">
    <w:name w:val="Footer"/>
    <w:basedOn w:val="779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36">
    <w:name w:val="footnote text"/>
    <w:basedOn w:val="779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7">
    <w:name w:val="endnote text"/>
    <w:basedOn w:val="779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8">
    <w:name w:val="toc 1"/>
    <w:basedOn w:val="779"/>
    <w:uiPriority w:val="39"/>
    <w:unhideWhenUsed/>
    <w:pPr>
      <w:ind w:left="0" w:right="0" w:firstLine="0"/>
      <w:spacing w:before="0" w:after="57"/>
    </w:pPr>
  </w:style>
  <w:style w:type="paragraph" w:styleId="839">
    <w:name w:val="toc 2"/>
    <w:basedOn w:val="779"/>
    <w:uiPriority w:val="39"/>
    <w:unhideWhenUsed/>
    <w:pPr>
      <w:ind w:left="283" w:right="0" w:firstLine="0"/>
      <w:spacing w:before="0" w:after="57"/>
    </w:pPr>
  </w:style>
  <w:style w:type="paragraph" w:styleId="840">
    <w:name w:val="toc 3"/>
    <w:basedOn w:val="779"/>
    <w:uiPriority w:val="39"/>
    <w:unhideWhenUsed/>
    <w:pPr>
      <w:ind w:left="567" w:right="0" w:firstLine="0"/>
      <w:spacing w:before="0" w:after="57"/>
    </w:pPr>
  </w:style>
  <w:style w:type="paragraph" w:styleId="841">
    <w:name w:val="toc 4"/>
    <w:basedOn w:val="779"/>
    <w:uiPriority w:val="39"/>
    <w:unhideWhenUsed/>
    <w:pPr>
      <w:ind w:left="850" w:right="0" w:firstLine="0"/>
      <w:spacing w:before="0" w:after="57"/>
    </w:pPr>
  </w:style>
  <w:style w:type="paragraph" w:styleId="842">
    <w:name w:val="toc 5"/>
    <w:basedOn w:val="779"/>
    <w:uiPriority w:val="39"/>
    <w:unhideWhenUsed/>
    <w:pPr>
      <w:ind w:left="1134" w:right="0" w:firstLine="0"/>
      <w:spacing w:before="0" w:after="57"/>
    </w:pPr>
  </w:style>
  <w:style w:type="paragraph" w:styleId="843">
    <w:name w:val="toc 6"/>
    <w:basedOn w:val="779"/>
    <w:uiPriority w:val="39"/>
    <w:unhideWhenUsed/>
    <w:pPr>
      <w:ind w:left="1417" w:right="0" w:firstLine="0"/>
      <w:spacing w:before="0" w:after="57"/>
    </w:pPr>
  </w:style>
  <w:style w:type="paragraph" w:styleId="844">
    <w:name w:val="toc 7"/>
    <w:basedOn w:val="779"/>
    <w:uiPriority w:val="39"/>
    <w:unhideWhenUsed/>
    <w:pPr>
      <w:ind w:left="1701" w:right="0" w:firstLine="0"/>
      <w:spacing w:before="0" w:after="57"/>
    </w:pPr>
  </w:style>
  <w:style w:type="paragraph" w:styleId="845">
    <w:name w:val="toc 8"/>
    <w:basedOn w:val="779"/>
    <w:uiPriority w:val="39"/>
    <w:unhideWhenUsed/>
    <w:pPr>
      <w:ind w:left="1984" w:right="0" w:firstLine="0"/>
      <w:spacing w:before="0" w:after="57"/>
    </w:pPr>
  </w:style>
  <w:style w:type="paragraph" w:styleId="846">
    <w:name w:val="toc 9"/>
    <w:basedOn w:val="779"/>
    <w:uiPriority w:val="39"/>
    <w:unhideWhenUsed/>
    <w:pPr>
      <w:ind w:left="2268" w:right="0" w:firstLine="0"/>
      <w:spacing w:before="0" w:after="57"/>
    </w:pPr>
  </w:style>
  <w:style w:type="paragraph" w:styleId="847">
    <w:name w:val="Index Heading"/>
    <w:basedOn w:val="822"/>
  </w:style>
  <w:style w:type="paragraph" w:styleId="848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49">
    <w:name w:val="table of figures"/>
    <w:basedOn w:val="779"/>
    <w:uiPriority w:val="99"/>
    <w:unhideWhenUsed/>
    <w:pPr>
      <w:spacing w:before="0" w:after="0" w:afterAutospacing="0"/>
    </w:pPr>
  </w:style>
  <w:style w:type="paragraph" w:styleId="850">
    <w:name w:val="Body Text Indent"/>
    <w:basedOn w:val="779"/>
    <w:pPr>
      <w:ind w:left="283"/>
      <w:spacing w:before="0" w:after="120"/>
    </w:pPr>
    <w:rPr>
      <w:lang w:val="en-US" w:eastAsia="en-US"/>
    </w:rPr>
  </w:style>
  <w:style w:type="paragraph" w:styleId="851">
    <w:name w:val="Текст"/>
    <w:basedOn w:val="779"/>
    <w:qFormat/>
    <w:rPr>
      <w:rFonts w:ascii="Courier New" w:hAnsi="Courier New"/>
      <w:sz w:val="20"/>
      <w:szCs w:val="20"/>
      <w:lang w:val="en-US" w:eastAsia="en-US"/>
    </w:rPr>
  </w:style>
  <w:style w:type="paragraph" w:styleId="852">
    <w:name w:val="Знак Знак Знак Знак Знак Знак Знак Знак Знак Знак Знак Знак"/>
    <w:basedOn w:val="779"/>
    <w:qFormat/>
    <w:rPr>
      <w:rFonts w:ascii="Verdana" w:hAnsi="Verdana" w:cs="Verdana"/>
      <w:sz w:val="20"/>
      <w:szCs w:val="20"/>
      <w:lang w:val="en-US" w:eastAsia="en-US"/>
    </w:rPr>
  </w:style>
  <w:style w:type="paragraph" w:styleId="853">
    <w:name w:val="Основной текст с отступом 3"/>
    <w:basedOn w:val="779"/>
    <w:qFormat/>
    <w:pPr>
      <w:ind w:left="283"/>
      <w:spacing w:before="0" w:after="120"/>
    </w:pPr>
    <w:rPr>
      <w:sz w:val="16"/>
      <w:szCs w:val="16"/>
      <w:lang w:val="en-US" w:eastAsia="en-US"/>
    </w:rPr>
  </w:style>
  <w:style w:type="paragraph" w:styleId="854">
    <w:name w:val="Текст выноски"/>
    <w:basedOn w:val="779"/>
    <w:qFormat/>
    <w:rPr>
      <w:rFonts w:ascii="Tahoma" w:hAnsi="Tahoma"/>
      <w:sz w:val="16"/>
      <w:szCs w:val="16"/>
      <w:lang w:val="en-US" w:eastAsia="en-US"/>
    </w:rPr>
  </w:style>
  <w:style w:type="paragraph" w:styleId="855">
    <w:name w:val="Текст сноски"/>
    <w:basedOn w:val="779"/>
    <w:qFormat/>
    <w:rPr>
      <w:sz w:val="20"/>
      <w:szCs w:val="20"/>
    </w:rPr>
  </w:style>
  <w:style w:type="paragraph" w:styleId="856">
    <w:name w:val="Содержимое врезки"/>
    <w:basedOn w:val="779"/>
    <w:qFormat/>
  </w:style>
  <w:style w:type="paragraph" w:styleId="857">
    <w:name w:val="Содержимое таблицы"/>
    <w:basedOn w:val="779"/>
    <w:qFormat/>
    <w:pPr>
      <w:widowControl w:val="off"/>
      <w:suppressLineNumbers/>
    </w:pPr>
  </w:style>
  <w:style w:type="paragraph" w:styleId="858">
    <w:name w:val="Заголовок таблицы"/>
    <w:basedOn w:val="857"/>
    <w:qFormat/>
    <w:pPr>
      <w:jc w:val="center"/>
      <w:suppressLineNumbers/>
    </w:pPr>
    <w:rPr>
      <w:b/>
      <w:bCs/>
    </w:rPr>
  </w:style>
  <w:style w:type="numbering" w:styleId="859">
    <w:name w:val="Нет списка"/>
    <w:semiHidden/>
    <w:qFormat/>
  </w:style>
  <w:style w:type="numbering" w:styleId="860" w:default="1">
    <w:name w:val="No List"/>
    <w:uiPriority w:val="99"/>
    <w:semiHidden/>
    <w:unhideWhenUsed/>
    <w:qFormat/>
  </w:style>
  <w:style w:type="table" w:styleId="861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2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3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64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65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66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67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8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5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90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891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892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893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894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895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896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9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9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9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90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90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90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903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0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90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0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90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0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0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10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25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26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27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28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29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30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31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2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3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4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5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6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7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8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9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0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1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2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3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4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5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4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4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4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4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5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5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52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5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5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5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5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5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5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59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6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6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6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6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6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96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966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67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68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69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70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71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72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73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74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75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76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77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78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79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80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81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82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83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84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85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86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87" w:default="1">
    <w:name w:val="Normal Table"/>
    <w:uiPriority w:val="99"/>
    <w:semiHidden/>
    <w:unhideWhenUsed/>
    <w:tblPr/>
  </w:style>
  <w:style w:type="table" w:styleId="988" w:customStyle="1">
    <w:name w:val="block-tbl "/>
    <w:pPr>
      <w:ind w:right="0"/>
      <w:jc w:val="left"/>
      <w:spacing w:before="0" w:after="0" w:line="240" w:lineRule="auto"/>
    </w:pPr>
    <w:rPr>
      <w:b w:val="0"/>
      <w:bCs w:val="0"/>
      <w:i w:val="0"/>
      <w:caps w:val="0"/>
      <w:smallCaps w:val="0"/>
      <w:spacing w:val="0"/>
      <w:sz w:val="20"/>
      <w:szCs w:val="20"/>
      <w:lang w:val="en-US" w:eastAsia="en-US" w:bidi="ar-SA"/>
    </w:rPr>
    <w:tblPr>
      <w:tblStyleRowBandSize w:val="1"/>
      <w:tblStyleColBandSize w:val="1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vAlign w:val="top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Деп. имущественных отношений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</dc:title>
  <dc:subject/>
  <dc:creator>bna</dc:creator>
  <dc:description/>
  <dc:language>ru-RU</dc:language>
  <cp:revision>1145</cp:revision>
  <dcterms:created xsi:type="dcterms:W3CDTF">2015-07-02T10:18:00Z</dcterms:created>
  <dcterms:modified xsi:type="dcterms:W3CDTF">2026-08-12T05:19:17Z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