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12.08.2026 № 059-19-01-11-128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Извещение о проведении 10.09.2026 электронного аукциона по продаже 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земельного участка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Электронный аукцион по продаже земельного участка (далее – аукцион) проводится                             в соответствии со статьями 39.11, 39.12, 39.13, 39.18 Земельного кодекса Российской Федерации,  статьей 17.3 Федерального закона от 26 июля 2006 г. № 135-ФЗ «О защите конкуренции»,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                         и участков, собственность на которые не разграничена, объектов незавершенного строительства, расположенных на земельных участках, находящихся  в муниципальной собственности города Перми, и участках, собственность на которые 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 xml:space="preserve">                              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0"/>
          <w:szCs w:val="24"/>
        </w:rPr>
        <w:t xml:space="preserve"> </w:t>
      </w:r>
      <w:r>
        <w:rPr>
          <w:bCs/>
          <w:sz w:val="24"/>
          <w:szCs w:val="28"/>
        </w:rPr>
        <w:t>12.08.2026 № 059-19-01-11-128.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заключение договора купли-продажи земельного участка: </w:t>
      </w:r>
      <w:r>
        <w:rPr>
          <w:bCs/>
        </w:rPr>
        <w:t>департамент земельных отношений администрации города Перми, местонахождение: 614000,                       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b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Перми, распоряжение начальника  департамента земельных отношений администрации города Перми</w:t>
            </w:r>
            <w:r>
              <w:rPr>
                <w:sz w:val="20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highlight w:val="white"/>
              </w:rPr>
              <w:t>от 31 июля 2026 г. № 21-01-03-5377 «О проведении аукциона по продаже земельного участка в Орджоникидзевском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г.о. Пермский,                   г. Пермь, ул. Кислотная, з/у 6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/>
              <w:t>59:01:3812887:156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территориальной зоне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04.08.2026г.                 № КУВИ-001/2026-104798335 (далее - ЕГРН)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</w:t>
            </w:r>
            <w:r>
              <w:rPr>
                <w:color w:val="000000"/>
                <w:sz w:val="24"/>
                <w:szCs w:val="24"/>
              </w:rPr>
              <w:t>.07.2026 № РФ-59-2-03-0-00-2026-2051-0</w:t>
            </w:r>
            <w:r>
              <w:rPr>
                <w:sz w:val="24"/>
                <w:szCs w:val="24"/>
              </w:rPr>
              <w:t xml:space="preserve"> (далее – ГПЗУ)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Приложение 2 к настоящему извещению)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Состояние рельефа-сильный уклон. На Участке произрастают многолетние лиственные деревья и кустарники. О</w:t>
            </w:r>
            <w:r>
              <w:rPr>
                <w:color w:val="auto"/>
                <w:sz w:val="24"/>
                <w:szCs w:val="24"/>
                <w:highlight w:val="white"/>
              </w:rPr>
              <w:t>бъекты капитального/некапитального строительства в границах Участка отсутствуют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Близлежащий пожарный водоем расположен по адресу:</w:t>
              <w:br/>
              <w:t xml:space="preserve"> г. Пермь, ул. Бакинских Комиссаров, напротив дома № 28.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администрации Орджоникидзевского района </w:t>
            </w:r>
            <w:r>
              <w:rPr>
                <w:color w:val="auto"/>
                <w:sz w:val="24"/>
                <w:szCs w:val="24"/>
              </w:rPr>
              <w:t>от 23.06.2026 № 059-37-01-32/3-3660, в акте обследования от 22.06.2026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№ 53).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соответствии с копией планшета 1:500 (требуется корректура) объекты капитального/некапитального строительства в границах Участка отсутствуют.</w:t>
            </w:r>
            <w:r>
              <w:rPr>
                <w:color w:val="auto"/>
                <w:sz w:val="24"/>
                <w:szCs w:val="24"/>
              </w:rPr>
              <w:t xml:space="preserve"> На Участке произрастают многолетние лиственные деревья и кустарники.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Согласно геодезической съёмке 2026 года, Участок зарос кустарником и лиственными деревьями. В северной части расположена забетонированная площадка, в северо-восточной — разрушенная овощная яма. По всей территории присутствуют овраги. С запада Участок огорожен деревянным забором.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сведениям, содержащимся в ЕГРН, ГПЗУ </w:t>
              <w:br/>
              <w:t xml:space="preserve">и справке по градостроительным условиям участка </w:t>
              <w:br/>
              <w:t xml:space="preserve">от 04.08.2026 № 689089 </w:t>
            </w:r>
            <w:r>
              <w:rPr>
                <w:color w:themeColor="text1" w:val="000000"/>
                <w:sz w:val="24"/>
                <w:szCs w:val="24"/>
              </w:rPr>
              <w:t>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Полностью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59:32-6.553;</w:t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частично площадью 6 кв.м ОХРАННАЯ ЗОНА ВЛ 0,4 КВ Ф. СУРИКОВА, НАУМУШИНА ОТ ТП-4372, реестровый номер 59:01-6.5967;</w:t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частично площадью 4 кв. м. Охранная зона объекта: «Электросетевой комплекс Подстанция 100/6 кВ «Северная» (ВЛ 0,4 кВ от КТП 4372); Тип зоны: Охранная зона инженерных коммуникаций, реестровый номер границы: 59:01-6.1132;</w:t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часть земельного участка площадью 5 кв.м расположена </w:t>
              <w:br/>
              <w:t>в границах зоны действия публичного сервитута, установленного распоряжением департамента земельных отношений администрации города Перми "Об установлении публичного сервитута в отдельных целях" от 15.11.2022 №21-01-03-4820 . Срок установления публичного сервитута - 48 лет 11 месяцев для использования в целях эксплуатации объекта электросетевого хозяйства ВЛ-0,4кВ Березовая от КТП-4161. Реестровый номер границы: 59:01-6.9316.</w:t>
            </w:r>
          </w:p>
          <w:p>
            <w:pPr>
              <w:pStyle w:val="Normal"/>
              <w:spacing w:lineRule="auto" w:line="235" w:before="0" w:afterAutospacing="0" w:after="0"/>
              <w:ind w:firstLine="311"/>
              <w:jc w:val="both"/>
              <w:rPr/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35" w:before="0" w:afterAutospacing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pacing w:val="0"/>
                <w:sz w:val="24"/>
                <w:szCs w:val="24"/>
              </w:rPr>
              <w:t>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      </w:r>
          </w:p>
          <w:p>
            <w:pPr>
              <w:pStyle w:val="Normal"/>
              <w:spacing w:lineRule="auto" w:line="235" w:before="0" w:afterAutospacing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>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35" w:before="0" w:afterAutospacing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Участке произрастает 37 деревьев: береза 17 шт., черемуха 7 шт., клен ясенелистный 5 шт., ива 3 шт., рябина 3 шт., тополь 2 шт..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2026 года одного дерева лиственной породы от 40 тыс. руб., а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перечне мероприятий по охране окружающей среды от 06.07.2026 № 142.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06.07.2026 № 059-33-01-10/3-365).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Для примыкания Земельного участка к улично-дорожной сети города Перми необходимо: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разработать проект организации дорожного движения </w:t>
              <w:br/>
              <w:t xml:space="preserve">и согласовать в установленном порядке с ГКУ «Центр безопасности дорожного движения Пермского края» </w:t>
              <w:br/>
              <w:t xml:space="preserve">(ул. Пермская, 164, тел. 236-21-84);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Постановлением администрации города Перми </w:t>
              <w:br/>
              <w:t>от 31.01.2022 № 45).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15.06.2026 № 059-24-01-36/3-1875).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Источники противопожарного водоснабжения (далее - ИПВ)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 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Волховская, 37 (ПСЧ-57 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Объекты общественной безопасности, отнесенные к объектам полиции (участковые пункты полиции) в данном микрорайоне (Налимиха)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Ближайший участковый пункт расположен по адресу: </w:t>
              <w:br/>
              <w:t>г. Пермь, ул. Косякова, 5 (Орджоникидзевского район).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На указанных территориях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По информации, предоставленной письмом Министерства территориальной безопасности Пермского края от 07.10.2020 № 964с, рассматриваемые территории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Иная информация, в части полномочий департамента общественной безопасности администрации города Перми,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15.06.2026 № 059-10-01-27/3-849).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На период до 2028 года на территории, где расположен Участок, Схемами предусмотрено строительство сетей водоснабжения и водоотведения в мкр. Камский, мероприятие финансированием не обеспечено.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>Для определения технической возможности подключения объекта капитального строительства к сетям водоснабжения и водоотведения необходимо обратиться к гарантирующей организации для проведения гидравлического расчета.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25.06.2026 № 059-04-17/3-522-ри).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firstLine="270" w:left="24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>
              <w:r>
                <w:rPr>
                  <w:rStyle w:val="Hyperlink"/>
                  <w:sz w:val="24"/>
                  <w:szCs w:val="24"/>
                </w:rPr>
                <w:t>www.gorodperm.ru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минимальный отступ от границ Участка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r>
              <w:rPr>
                <w:color w:themeColor="text1" w:val="000000"/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здания на высоте 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30%.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Согласно документации по планировке территории, утвержденной постановлением администрации города Перми от 22.12.2017 № 1178, предельная высота жилой застройки – до 10,5 метров.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  <w:t>Победителю аукциона</w:t>
            </w:r>
            <w:r>
              <w:rPr>
                <w:color w:val="auto"/>
                <w:sz w:val="24"/>
                <w:szCs w:val="24"/>
              </w:rPr>
              <w:t xml:space="preserve">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firstLine="5" w:left="24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val="000000"/>
                  <w:sz w:val="24"/>
                  <w:szCs w:val="24"/>
                </w:rPr>
                <w:t>www.gorodperm.ru</w:t>
              </w:r>
            </w:hyperlink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 xml:space="preserve">Порядок технологического присоединения </w:t>
              <w:br/>
              <w:t>к электрическим сетям регламентирован Правилами технологического присоединения энергопринимающих устройств потребителей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 –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При подготовке ГПЗУ необходимо предусмотреть коридоры для строительства кабельных линий и место </w:t>
              <w:br/>
              <w:t>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Дополнительно сообщается, что в границах Участка сетей ПАО «Россети Урал» и их охранных зон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  <w:highlight w:val="white"/>
              </w:rPr>
              <w:t>ф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илиала ПАО «Россети Урал» - «Пермэнерго» </w:t>
            </w:r>
            <w:r>
              <w:rPr>
                <w:color w:val="auto"/>
                <w:sz w:val="24"/>
                <w:szCs w:val="24"/>
                <w:highlight w:val="white"/>
              </w:rPr>
              <w:t>от 18.06.2026 № ПЭ/ПГЭС/01/22/9095</w:t>
            </w:r>
            <w:r>
              <w:rPr>
                <w:color w:val="auto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 </w:t>
            </w:r>
            <w:r>
              <w:rPr>
                <w:b/>
                <w:color w:val="auto"/>
                <w:sz w:val="24"/>
                <w:szCs w:val="24"/>
              </w:rPr>
              <w:t>ПАО «Т Плюс»</w:t>
            </w:r>
            <w:r>
              <w:rPr>
                <w:color w:val="auto"/>
                <w:sz w:val="24"/>
                <w:szCs w:val="24"/>
              </w:rPr>
              <w:t xml:space="preserve"> от 23.06.2026 № 51000-32-02474).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tabs>
                <w:tab w:val="clear" w:pos="708"/>
                <w:tab w:val="left" w:pos="1589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auto"/>
                <w:sz w:val="24"/>
                <w:szCs w:val="24"/>
                <w:highlight w:val="white"/>
              </w:rPr>
              <w:t>от 16.07.2026 № 059-04-25/3-125-ри</w:t>
            </w:r>
            <w:r>
              <w:rPr>
                <w:color w:val="auto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сетью водоснабжения, эксплуатируемой </w:t>
              <w:br/>
              <w:t xml:space="preserve">ООО «Новогор-Прикамье» является водопровод, Д-63 мм </w:t>
              <w:br/>
              <w:t>по ул. Сурикова.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границах Участка отсутствуют централизованные сети канализации,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</w:t>
              <w:br/>
              <w:t>к централизованной системе водоснабжения (от скважины) 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ООО «НОВОГОР - 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водоснабжения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  <w:t>Кроме того, ООО «НОВОГОР-Прикамье» не располагает сведениями о наличии сетей 3-х лиц в границах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«НОВОГОР-Прикамье» </w:t>
            </w:r>
            <w:r>
              <w:rPr>
                <w:color w:val="auto"/>
                <w:sz w:val="24"/>
                <w:szCs w:val="24"/>
              </w:rPr>
              <w:t>от 15.06.2026 № 110-8920).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6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инженерно—топографический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</w:rPr>
              <w:t>от 17.06.2026 № ПФ-4507).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ул. Кронита, 8),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Для подключения технологического присоединения </w:t>
              <w:br/>
              <w:t>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действующим законодательством.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pacing w:val="0"/>
                <w:sz w:val="24"/>
                <w:szCs w:val="24"/>
              </w:rPr>
              <w:t xml:space="preserve">Для получения технических условий на подключение </w:t>
              <w:br/>
              <w:t xml:space="preserve">к сетям связи необходимо обратиться в Отдел продаж </w:t>
              <w:br/>
              <w:t>и обслуживания по адресу: г. Пермь, ул. Крупской, 2, тел.:(342) 235-57-34 или направить запрос на perm-mail@ural.rt.ru.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15.06.2026 № 01/05/98866/26</w:t>
            </w:r>
            <w:r>
              <w:rPr>
                <w:color w:val="auto"/>
                <w:sz w:val="24"/>
                <w:szCs w:val="24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12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1 к настоящему извещению),</w:t>
            </w:r>
          </w:p>
          <w:p>
            <w:pPr>
              <w:pStyle w:val="Normal"/>
              <w:ind w:hanging="0" w:left="120" w:right="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ind w:hanging="0" w:left="120" w:right="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1 169 520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58 476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584 760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b w:val="false"/>
                <w:bCs w:val="fals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>размещения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b w:val="false"/>
                <w:shd w:fill="auto" w:val="clear"/>
              </w:rPr>
              <w:t xml:space="preserve">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17.03.2026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купли-продажи земельного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                приобретаемого на торгах в форме аукциона, является </w:t>
              <w:br/>
              <w:t xml:space="preserve">Приложением 1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   самостоятельно в любое время с даты опубликования настоящего извещения.</w:t>
            </w:r>
          </w:p>
        </w:tc>
      </w:tr>
    </w:tbl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15.08.2026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08.09.2026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09.09.2026.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10.09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/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В этом случае документы, подтверждающие внесение задатка, заявителем не представляются.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Информация о внесении заявителем денежных средств в размере задатка направляется Оператором Организатору аукциона вместе с заявкой на участие в аукционе (далее - заявка).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>Блокирование денежных средств в размере задатка Оператором на расчетном счете Оператора признается заключением соглашения о задатке.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12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>c 15.08.2026 по 08.09.2026.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b w:val="false"/>
          <w:sz w:val="24"/>
          <w:szCs w:val="24"/>
          <w:highlight w:val="none"/>
          <w:shd w:fill="auto" w:val="clear"/>
          <w:lang w:bidi="ru-RU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земельного участка победителем аукциона.</w:t>
      </w:r>
    </w:p>
    <w:p>
      <w:pPr>
        <w:pStyle w:val="BodyText"/>
        <w:widowControl w:val="false"/>
        <w:ind w:firstLine="709" w:left="-567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bCs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Организатор аукциона посредством штатного интерфейса торговой секции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                           с пунктами 13, 14, 20 или 25 ст. 39.12 Земельного кодекса Российской Федерации, засчитываются                       в оплату приобретаемого земельного участка. Задатки, внесенные этими лицами, не заключившими      в установленном настоящей статьей порядке договор купли-продажи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                            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на участие в аукционе может принять решение о продлении срока подачи заявок в соответствии                         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                             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случае отказа от проведения аукциона организатором (в т. ч. одного или нескольких лотов), Оператор в течение одного часа прекращает блокирование денежных средств участников аукциона              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/>
        <w:t>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15.08.2026 по 08.09.2026 с 9.00 до 18.00 по местному времени (7:00 – 16:00 МСК). 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Для участия в аукционе заявители представляют в установленный в извещении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надлежащим образом заверенный перевод на русский язык документов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                        для возврата задатка направляется оператору электронной площадки в форме электронного документа с приложением документов, указанных в подпунктах 2 - 3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 всех страниц; </w:t>
      </w:r>
      <w:r>
        <w:rPr>
          <w:b w:val="false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>кладывает предусмотренные извещением          о проведении аукциона файлы документов (при необходимости). Документы и сведения                              из регистрационных данных заявителя на универсальной торговой платформе, актуальные на дату                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Подача заявки осуществляется заявителем, зарегистрированным в торговой секции,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вправе подать заявку в любое время с момента размещения извещения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Участие в аукционе возможно при наличии на лицевом счете заявителя денежных средств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в размере не менее чем размер задатка на участие в аукционе, предусмотренный извещением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а) отсутствия на лицевом счете заявителя достаточной суммы денежных средств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Заявителям, признанным участниками аукциона, и заявителям, не допущенным к участию</w:t>
        <w:br/>
        <w:t>в аукционе, оператор электронной площадки направляет в электронной форме уведомления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имеет право отозвать принятую организатором аукциона заявку на участие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kern w:val="0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kern w:val="0"/>
          <w:sz w:val="24"/>
          <w:szCs w:val="24"/>
          <w:shd w:fill="auto" w:val="clear"/>
          <w:lang w:val="ru-RU" w:eastAsia="zh-CN" w:bidi="ar-SA"/>
        </w:rPr>
        <w:t xml:space="preserve">В случае отзыва заявки заявителем до дня окончания срока приема заявок Оператор  обеспечивает возврат заявителю денежных средств, заблокированных в размере задатка на расчетном счете Оператора, в течение трех рабочих дней со дня отзыва заявки.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kern w:val="0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kern w:val="0"/>
          <w:sz w:val="24"/>
          <w:szCs w:val="24"/>
          <w:shd w:fill="auto" w:val="clear"/>
          <w:lang w:val="ru-RU" w:eastAsia="zh-CN" w:bidi="ar-SA"/>
        </w:rPr>
        <w:t>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Оператора, возвращаются в порядке, установленном пунктом 10.1 статьи 39.13 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рассмотрения заявок комиссия принимает решение о допуске заявителей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день признания заявителей участниками аукциона, указанный в извещении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                 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                     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              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spacing w:lineRule="auto" w:line="276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ожидания предложения участника аукциона о цене предмета аукциона составляет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10 (десять) минут. При поступлении предложения участника аукциона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Победителем аукциона признается участник аукциона, предложивший наибольшую цену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Электронный аукцион признается несостоявшимся в случае, если в электронном аукционе участвовал один участник электронного аукциона, в ходе проведения электронного аукциона ни один из участников не подал предложение о цене предмета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не допускается заключение договора купли-продажи земельного участка,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</w:t>
        <w:br/>
        <w:t xml:space="preserve">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</w:t>
        <w:br/>
        <w:t>в государственной или муниципальной собственности, подписанный проект договора купли-продажи земельного участка, находящегося в государственной или муниципальной собственности.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купли-продажи земельного участка,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 договора является частью извещения и представлен в Приложении 1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купли-продажи  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</w:t>
      </w:r>
      <w:r>
        <w:rPr>
          <w:b w:val="false"/>
          <w:bCs/>
          <w:shd w:fill="auto" w:val="clear"/>
        </w:rPr>
        <w:t>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купли-продажи,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Информация и документы о заключении договора купли-продажи земельного участка и (или) об оформлении иных документов по результатам проведения аукциона размещаются на ГИС Торги.</w:t>
      </w:r>
    </w:p>
    <w:sectPr>
      <w:headerReference w:type="default" r:id="rId13"/>
      <w:headerReference w:type="first" r:id="rId14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17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1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14">
    <w:name w:val="Основной текст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ableParagraph">
    <w:name w:val="Table Paragraph"/>
    <w:qFormat/>
    <w:pPr>
      <w:widowControl w:val="false"/>
      <w:suppressAutoHyphens w:val="true"/>
      <w:bidi w:val="0"/>
      <w:spacing w:before="0" w:after="0"/>
      <w:ind w:hanging="0" w:left="107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7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8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9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0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1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2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3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4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5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6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7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8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9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50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8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http://utp.sberbank-ast.ru/AP/Notice/653/Requisites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Application>LibreOffice/7.6.7.2$Linux_X86_64 LibreOffice_project/60$Build-2</Application>
  <AppVersion>15.0000</AppVersion>
  <Pages>17</Pages>
  <Words>5740</Words>
  <Characters>40814</Characters>
  <CharactersWithSpaces>46870</CharactersWithSpaces>
  <Paragraphs>267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cp:lastPrinted>2026-06-16T15:13:14Z</cp:lastPrinted>
  <dcterms:modified xsi:type="dcterms:W3CDTF">2026-08-12T14:57:01Z</dcterms:modified>
  <cp:revision>398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