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PlainText"/>
        <w:ind w:hanging="1134" w:left="1134" w:right="-26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sz w:val="24"/>
          <w:szCs w:val="24"/>
          <w:lang w:val="ru-RU"/>
        </w:rPr>
      </w:r>
    </w:p>
    <w:p>
      <w:pPr>
        <w:pStyle w:val="PlainText"/>
        <w:ind w:hanging="1134" w:left="1134" w:right="-26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4732" w:leader="none"/>
          <w:tab w:val="left" w:pos="5812" w:leader="none"/>
        </w:tabs>
        <w:spacing w:lineRule="exact" w:line="240"/>
        <w:ind w:firstLine="5670" w:left="0"/>
        <w:jc w:val="both"/>
        <w:outlineLvl w:val="5"/>
        <w:rPr>
          <w:sz w:val="28"/>
          <w:szCs w:val="28"/>
        </w:rPr>
      </w:pPr>
      <w:r>
        <w:rPr>
          <w:bCs/>
          <w:sz w:val="28"/>
          <w:szCs w:val="28"/>
        </w:rPr>
        <w:t>Приложение 2</w:t>
      </w:r>
    </w:p>
    <w:p>
      <w:pPr>
        <w:pStyle w:val="Normal"/>
        <w:tabs>
          <w:tab w:val="clear" w:pos="708"/>
          <w:tab w:val="left" w:pos="4732" w:leader="none"/>
        </w:tabs>
        <w:spacing w:lineRule="exact" w:line="240"/>
        <w:ind w:firstLine="6" w:left="5664"/>
        <w:rPr>
          <w:sz w:val="28"/>
          <w:szCs w:val="28"/>
        </w:rPr>
      </w:pPr>
      <w:r>
        <w:rPr>
          <w:sz w:val="28"/>
          <w:szCs w:val="28"/>
        </w:rPr>
        <w:t>к приказу начальника департамента имущественных отношений</w:t>
      </w:r>
    </w:p>
    <w:p>
      <w:pPr>
        <w:pStyle w:val="Normal"/>
        <w:tabs>
          <w:tab w:val="clear" w:pos="708"/>
          <w:tab w:val="left" w:pos="4732" w:leader="none"/>
        </w:tabs>
        <w:spacing w:lineRule="exact" w:line="240"/>
        <w:ind w:firstLine="5670"/>
        <w:rPr>
          <w:sz w:val="28"/>
          <w:szCs w:val="28"/>
        </w:rPr>
      </w:pPr>
      <w:r>
        <w:rPr>
          <w:sz w:val="28"/>
          <w:szCs w:val="28"/>
        </w:rPr>
        <w:t>администрации города Перми</w:t>
      </w:r>
    </w:p>
    <w:p>
      <w:pPr>
        <w:pStyle w:val="Normal"/>
        <w:tabs>
          <w:tab w:val="clear" w:pos="708"/>
          <w:tab w:val="left" w:pos="4732" w:leader="none"/>
        </w:tabs>
        <w:spacing w:lineRule="exact" w:line="240"/>
        <w:ind w:firstLine="5670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>14.08.2026 № 059-19-01-11-130</w:t>
      </w:r>
    </w:p>
    <w:p>
      <w:pPr>
        <w:pStyle w:val="Normal"/>
        <w:tabs>
          <w:tab w:val="clear" w:pos="708"/>
          <w:tab w:val="left" w:pos="4732" w:leader="none"/>
        </w:tabs>
        <w:ind w:left="28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PlainText"/>
        <w:spacing w:lineRule="exact" w:line="240"/>
        <w:ind w:hanging="1134" w:left="1134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cs="Times New Roman" w:ascii="Times New Roman" w:hAnsi="Times New Roman"/>
          <w:b/>
          <w:sz w:val="28"/>
          <w:szCs w:val="28"/>
          <w:lang w:val="ru-RU"/>
        </w:rPr>
        <w:t xml:space="preserve">Извещение о проведении 03.09.2026 электронных аукционов по продаже </w:t>
      </w:r>
    </w:p>
    <w:p>
      <w:pPr>
        <w:pStyle w:val="PlainText"/>
        <w:spacing w:lineRule="exact" w:line="240"/>
        <w:ind w:hanging="1134" w:left="1134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cs="Times New Roman" w:ascii="Times New Roman" w:hAnsi="Times New Roman"/>
          <w:b/>
          <w:sz w:val="28"/>
          <w:szCs w:val="28"/>
          <w:lang w:val="ru-RU"/>
        </w:rPr>
        <w:t>земельных участков</w:t>
      </w:r>
    </w:p>
    <w:p>
      <w:pPr>
        <w:pStyle w:val="PlainText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cs="Times New Roman" w:ascii="Times New Roman" w:hAnsi="Times New Roman"/>
          <w:b/>
          <w:sz w:val="28"/>
          <w:szCs w:val="28"/>
          <w:lang w:val="ru-RU"/>
        </w:rPr>
      </w:r>
    </w:p>
    <w:p>
      <w:pPr>
        <w:pStyle w:val="Normal"/>
        <w:widowControl w:val="false"/>
        <w:ind w:firstLine="567" w:left="-567"/>
        <w:jc w:val="both"/>
        <w:rPr>
          <w:b/>
          <w:bCs/>
        </w:rPr>
      </w:pPr>
      <w:r>
        <w:rPr>
          <w:shd w:fill="FFFFFF" w:val="clear"/>
        </w:rPr>
        <w:t xml:space="preserve">Электронные аукционы по продаже земельных участков (далее – аукцион) проводятся </w:t>
        <w:br/>
        <w:t xml:space="preserve">в соответствии со статьями 39.11, 39.12, 39.13, 39.18 Земельного кодекса Российской Федерации, Положением о департаменте имущественных отношений администрации города Перми, утвержденным решением Пермской городской Думы от 12 сентября 2006 г. № 210, постановлением администрации города Перми от 20 ноября 2008 г. № 1089 «О комиссии по проведению аукционов по продаже земельных участков, находящихся в муниципальной собственности города Перми, </w:t>
        <w:br/>
        <w:t xml:space="preserve">и участков, собственность на которые не разграничена, объектов незавершенного строительства, расположенных на земельных участках, находящихся  в муниципальной собственности города Перми, и участках, собственность на которые  не разграничена, или на право заключения договоров аренды земельных участков, находящихся в муниципальной собственности города Перми, </w:t>
        <w:br/>
      </w:r>
      <w:r>
        <w:rPr>
          <w:rFonts w:eastAsia="Droid Sans Fallback" w:cs="Lohit Devanagari"/>
          <w:color w:val="000000"/>
          <w:sz w:val="24"/>
          <w:szCs w:val="24"/>
          <w:shd w:fill="FFFFFF" w:val="clear"/>
          <w:lang w:val="ru-RU" w:eastAsia="zh-CN" w:bidi="ar-SA"/>
        </w:rPr>
        <w:t xml:space="preserve">и участков, собственность на которые не разграничена» (далее – комиссия), регламентом работы электронной площадки АО «Сбербанк-АСТ», регламентом работы торговой секции </w:t>
        <w:br/>
        <w:t>АО «Сбербанк-АСТ».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9355" w:leader="none"/>
        </w:tabs>
        <w:ind w:firstLine="567" w:left="-567"/>
        <w:jc w:val="both"/>
        <w:outlineLvl w:val="0"/>
        <w:rPr>
          <w:b/>
          <w:bCs/>
        </w:rPr>
      </w:pPr>
      <w:r>
        <w:rPr>
          <w:b/>
          <w:bCs/>
        </w:rPr>
        <w:t xml:space="preserve">Орган, принявший решение о проведении аукциона: </w:t>
      </w:r>
      <w:r>
        <w:rPr>
          <w:bCs/>
        </w:rPr>
        <w:t xml:space="preserve">департамент земельных отношений администрации города Перми, местонахождение: 614000, г. Пермь, ул. Сибирская,15, почтовый адрес: 614000, г. Пермь, ул. Сибирская,15, телефон 212-33-48 (аналитический отдел), адрес электронной почты: </w:t>
      </w:r>
      <w:r>
        <w:rPr>
          <w:rStyle w:val="Hyperlink"/>
          <w:bCs/>
          <w:sz w:val="24"/>
          <w:szCs w:val="24"/>
          <w:lang w:val="en-US"/>
        </w:rPr>
        <w:t>dzo@perm.permkrai.ru.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9355" w:leader="none"/>
        </w:tabs>
        <w:ind w:firstLine="567" w:left="-567"/>
        <w:jc w:val="both"/>
        <w:outlineLvl w:val="0"/>
        <w:rPr>
          <w:b w:val="false"/>
          <w:bCs w:val="false"/>
          <w:sz w:val="24"/>
          <w:szCs w:val="24"/>
        </w:rPr>
      </w:pPr>
      <w:r>
        <w:rPr>
          <w:b/>
          <w:bCs/>
        </w:rPr>
        <w:t xml:space="preserve">Организатор аукциона </w:t>
      </w:r>
      <w:r>
        <w:rPr>
          <w:bCs/>
        </w:rPr>
        <w:t>(далее – Организатор аукциона)</w:t>
      </w:r>
      <w:r>
        <w:rPr>
          <w:b/>
          <w:bCs/>
        </w:rPr>
        <w:t xml:space="preserve">: </w:t>
      </w:r>
      <w:r>
        <w:rPr>
          <w:bCs/>
        </w:rPr>
        <w:t>департамент имущественных отношений администрации города Перми, местонахождение: 614000, г. Пермь, ул. Сибирская,14, почтовый адрес: 614000, г. Пермь, ул. Сибирская,14, телефон 212-77-24 (отдел по распоряжению муниципальным имуществом), адрес электронной почты:</w:t>
      </w:r>
      <w:r>
        <w:rPr>
          <w:b/>
          <w:bCs/>
        </w:rPr>
        <w:t xml:space="preserve"> </w:t>
      </w:r>
      <w:r>
        <w:rPr>
          <w:sz w:val="24"/>
          <w:szCs w:val="24"/>
          <w:lang w:val="en-US"/>
        </w:rPr>
        <w:t>dio</w:t>
      </w:r>
      <w:r>
        <w:rPr>
          <w:sz w:val="24"/>
          <w:szCs w:val="24"/>
        </w:rPr>
        <w:t>@</w:t>
      </w:r>
      <w:r>
        <w:rPr>
          <w:sz w:val="24"/>
          <w:szCs w:val="24"/>
          <w:lang w:val="en-US"/>
        </w:rPr>
        <w:t>perm</w:t>
      </w:r>
      <w:r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permkrai</w:t>
      </w:r>
      <w:r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ru</w:t>
      </w:r>
      <w:r>
        <w:rPr>
          <w:b w:val="false"/>
          <w:bCs w:val="false"/>
          <w:sz w:val="24"/>
          <w:szCs w:val="24"/>
        </w:rPr>
        <w:t>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9355" w:leader="none"/>
        </w:tabs>
        <w:ind w:firstLine="567" w:left="-567"/>
        <w:jc w:val="both"/>
        <w:outlineLvl w:val="0"/>
        <w:rPr>
          <w:sz w:val="24"/>
          <w:szCs w:val="24"/>
        </w:rPr>
      </w:pPr>
      <w:r>
        <w:rPr>
          <w:b/>
          <w:bCs/>
        </w:rPr>
        <w:t>Реквизиты приказа об организации проведения аукциона:</w:t>
      </w:r>
      <w:r>
        <w:rPr>
          <w:bCs/>
        </w:rPr>
        <w:t xml:space="preserve"> приказ начальника департамента имущественных отношений администрации города Перми от</w:t>
      </w:r>
      <w:r>
        <w:rPr>
          <w:bCs/>
          <w:sz w:val="20"/>
          <w:szCs w:val="24"/>
        </w:rPr>
        <w:t xml:space="preserve"> </w:t>
      </w:r>
      <w:r>
        <w:rPr>
          <w:bCs/>
          <w:sz w:val="24"/>
          <w:szCs w:val="28"/>
        </w:rPr>
        <w:t>14.08.2026 № 059-19-01-11-130.</w:t>
      </w:r>
    </w:p>
    <w:p>
      <w:pPr>
        <w:pStyle w:val="BodyTextIndent3"/>
        <w:numPr>
          <w:ilvl w:val="0"/>
          <w:numId w:val="0"/>
        </w:numPr>
        <w:spacing w:before="0" w:after="0"/>
        <w:ind w:firstLine="567" w:left="-567"/>
        <w:jc w:val="both"/>
        <w:outlineLvl w:val="0"/>
        <w:rPr>
          <w:rFonts w:eastAsia="Courier New"/>
          <w:b/>
          <w:color w:val="000000"/>
          <w:lang w:val="ru-RU" w:bidi="ru-RU"/>
        </w:rPr>
      </w:pPr>
      <w:r>
        <w:rPr>
          <w:sz w:val="24"/>
          <w:szCs w:val="24"/>
          <w:lang w:val="ru-RU"/>
        </w:rPr>
        <w:t xml:space="preserve">Извещение о проведение электронных аукционов размещается на официальном сайте Российской Федерации для размещения информации о проведении торгов </w:t>
      </w:r>
      <w:hyperlink r:id="rId2" w:tgtFrame="http://www.torgi.gov.ru/">
        <w:r>
          <w:rPr>
            <w:rStyle w:val="Hyperlink"/>
            <w:color w:val="000000"/>
            <w:sz w:val="24"/>
            <w:szCs w:val="24"/>
            <w:u w:val="none"/>
          </w:rPr>
          <w:t>www</w:t>
        </w:r>
        <w:r>
          <w:rPr>
            <w:rStyle w:val="Hyperlink"/>
            <w:color w:val="000000"/>
            <w:sz w:val="24"/>
            <w:szCs w:val="24"/>
            <w:u w:val="none"/>
            <w:lang w:val="ru-RU"/>
          </w:rPr>
          <w:t>.</w:t>
        </w:r>
        <w:r>
          <w:rPr>
            <w:rStyle w:val="Hyperlink"/>
            <w:color w:val="000000"/>
            <w:sz w:val="24"/>
            <w:szCs w:val="24"/>
            <w:u w:val="none"/>
          </w:rPr>
          <w:t>torgi</w:t>
        </w:r>
        <w:r>
          <w:rPr>
            <w:rStyle w:val="Hyperlink"/>
            <w:color w:val="000000"/>
            <w:sz w:val="24"/>
            <w:szCs w:val="24"/>
            <w:u w:val="none"/>
            <w:lang w:val="ru-RU"/>
          </w:rPr>
          <w:t>.</w:t>
        </w:r>
        <w:r>
          <w:rPr>
            <w:rStyle w:val="Hyperlink"/>
            <w:color w:val="000000"/>
            <w:sz w:val="24"/>
            <w:szCs w:val="24"/>
            <w:u w:val="none"/>
          </w:rPr>
          <w:t>gov</w:t>
        </w:r>
        <w:r>
          <w:rPr>
            <w:rStyle w:val="Hyperlink"/>
            <w:color w:val="000000"/>
            <w:sz w:val="24"/>
            <w:szCs w:val="24"/>
            <w:u w:val="none"/>
            <w:lang w:val="ru-RU"/>
          </w:rPr>
          <w:t>.</w:t>
        </w:r>
        <w:r>
          <w:rPr>
            <w:rStyle w:val="Hyperlink"/>
            <w:color w:val="000000"/>
            <w:sz w:val="24"/>
            <w:szCs w:val="24"/>
            <w:u w:val="none"/>
          </w:rPr>
          <w:t>ru</w:t>
        </w:r>
      </w:hyperlink>
      <w:r>
        <w:rPr>
          <w:color w:val="000000"/>
          <w:sz w:val="24"/>
          <w:szCs w:val="24"/>
          <w:u w:val="none"/>
        </w:rPr>
        <w:t xml:space="preserve"> (далее – ГИС Торги)</w:t>
      </w:r>
      <w:r>
        <w:rPr>
          <w:b/>
          <w:sz w:val="24"/>
          <w:szCs w:val="24"/>
          <w:lang w:val="ru-RU"/>
        </w:rPr>
        <w:t>,</w:t>
      </w:r>
      <w:r>
        <w:rPr>
          <w:b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официальном сайте муниципального образования город Пермь в информационно-телекоммуникационной сети «Интернет» </w:t>
      </w:r>
      <w:hyperlink r:id="rId3" w:tgtFrame="http://www.gorodperm.ru/">
        <w:r>
          <w:rPr>
            <w:rStyle w:val="Hyperlink"/>
            <w:color w:val="000000"/>
            <w:sz w:val="24"/>
            <w:szCs w:val="24"/>
            <w:u w:val="none"/>
          </w:rPr>
          <w:t>www</w:t>
        </w:r>
        <w:r>
          <w:rPr>
            <w:rStyle w:val="Hyperlink"/>
            <w:color w:val="000000"/>
            <w:sz w:val="24"/>
            <w:szCs w:val="24"/>
            <w:u w:val="none"/>
            <w:lang w:val="ru-RU"/>
          </w:rPr>
          <w:t>.</w:t>
        </w:r>
        <w:r>
          <w:rPr>
            <w:rStyle w:val="Hyperlink"/>
            <w:color w:val="000000"/>
            <w:sz w:val="24"/>
            <w:szCs w:val="24"/>
            <w:u w:val="none"/>
          </w:rPr>
          <w:t>gorodperm</w:t>
        </w:r>
        <w:r>
          <w:rPr>
            <w:rStyle w:val="Hyperlink"/>
            <w:color w:val="000000"/>
            <w:sz w:val="24"/>
            <w:szCs w:val="24"/>
            <w:u w:val="none"/>
            <w:lang w:val="ru-RU"/>
          </w:rPr>
          <w:t>.</w:t>
        </w:r>
        <w:r>
          <w:rPr>
            <w:rStyle w:val="Hyperlink"/>
            <w:color w:val="000000"/>
            <w:sz w:val="24"/>
            <w:szCs w:val="24"/>
            <w:u w:val="none"/>
          </w:rPr>
          <w:t>ru</w:t>
        </w:r>
      </w:hyperlink>
      <w:r>
        <w:rPr>
          <w:sz w:val="24"/>
          <w:szCs w:val="24"/>
          <w:lang w:val="ru-RU"/>
        </w:rPr>
        <w:t xml:space="preserve"> и на электронной </w:t>
      </w:r>
      <w:r>
        <w:rPr>
          <w:bCs/>
          <w:sz w:val="24"/>
          <w:szCs w:val="24"/>
          <w:lang w:val="ru-RU" w:bidi="ru-RU"/>
        </w:rPr>
        <w:t xml:space="preserve">площадке </w:t>
      </w:r>
      <w:hyperlink r:id="rId4" w:tgtFrame="http://utp.sberbank-ast.ru/">
        <w:r>
          <w:rPr>
            <w:rStyle w:val="Hyperlink"/>
            <w:sz w:val="24"/>
            <w:szCs w:val="24"/>
          </w:rPr>
          <w:t>http</w:t>
        </w:r>
        <w:r>
          <w:rPr>
            <w:rStyle w:val="Hyperlink"/>
            <w:sz w:val="24"/>
            <w:szCs w:val="24"/>
            <w:lang w:val="ru-RU"/>
          </w:rPr>
          <w:t>://</w:t>
        </w:r>
        <w:r>
          <w:rPr>
            <w:rStyle w:val="Hyperlink"/>
            <w:sz w:val="24"/>
            <w:szCs w:val="24"/>
          </w:rPr>
          <w:t>utp</w:t>
        </w:r>
        <w:r>
          <w:rPr>
            <w:rStyle w:val="Hyperlink"/>
            <w:sz w:val="24"/>
            <w:szCs w:val="24"/>
            <w:lang w:val="ru-RU"/>
          </w:rPr>
          <w:t>.</w:t>
        </w:r>
        <w:r>
          <w:rPr>
            <w:rStyle w:val="Hyperlink"/>
            <w:sz w:val="24"/>
            <w:szCs w:val="24"/>
          </w:rPr>
          <w:t>sberbank</w:t>
        </w:r>
        <w:r>
          <w:rPr>
            <w:rStyle w:val="Hyperlink"/>
            <w:sz w:val="24"/>
            <w:szCs w:val="24"/>
            <w:lang w:val="ru-RU"/>
          </w:rPr>
          <w:t>-</w:t>
        </w:r>
        <w:r>
          <w:rPr>
            <w:rStyle w:val="Hyperlink"/>
            <w:sz w:val="24"/>
            <w:szCs w:val="24"/>
          </w:rPr>
          <w:t>ast</w:t>
        </w:r>
        <w:r>
          <w:rPr>
            <w:rStyle w:val="Hyperlink"/>
            <w:sz w:val="24"/>
            <w:szCs w:val="24"/>
            <w:lang w:val="ru-RU"/>
          </w:rPr>
          <w:t>.</w:t>
        </w:r>
        <w:r>
          <w:rPr>
            <w:rStyle w:val="Hyperlink"/>
            <w:sz w:val="24"/>
            <w:szCs w:val="24"/>
          </w:rPr>
          <w:t>ru</w:t>
        </w:r>
      </w:hyperlink>
      <w:r>
        <w:rPr>
          <w:bCs/>
          <w:sz w:val="24"/>
          <w:szCs w:val="24"/>
          <w:lang w:val="ru-RU" w:bidi="ru-RU"/>
        </w:rPr>
        <w:t>.</w:t>
      </w:r>
    </w:p>
    <w:p>
      <w:pPr>
        <w:pStyle w:val="Normal"/>
        <w:widowControl w:val="false"/>
        <w:ind w:firstLine="567" w:left="-567"/>
        <w:jc w:val="both"/>
        <w:rPr>
          <w:rFonts w:eastAsia="Courier New"/>
          <w:b/>
          <w:color w:val="000000"/>
          <w:lang w:eastAsia="en-US" w:bidi="ru-RU"/>
        </w:rPr>
      </w:pPr>
      <w:r>
        <w:rPr>
          <w:rFonts w:eastAsia="Courier New"/>
          <w:b/>
          <w:color w:val="000000"/>
          <w:lang w:bidi="ru-RU"/>
        </w:rPr>
        <w:t>Адрес электронной площадки в информационно-телекоммуникационной сети «Интернет», на которой будет проводиться аукцион</w:t>
      </w:r>
      <w:r>
        <w:rPr>
          <w:rFonts w:eastAsia="Courier New"/>
          <w:color w:val="000000"/>
          <w:lang w:bidi="ru-RU"/>
        </w:rPr>
        <w:t>:</w:t>
      </w:r>
      <w:r>
        <w:rPr>
          <w:rFonts w:eastAsia="Courier New" w:cs="Courier New" w:ascii="Courier New" w:hAnsi="Courier New"/>
          <w:color w:val="000000"/>
          <w:lang w:bidi="ru-RU"/>
        </w:rPr>
        <w:t xml:space="preserve"> </w:t>
      </w:r>
      <w:hyperlink r:id="rId5" w:tgtFrame="http://utp.sberbank-ast.ru/">
        <w:r>
          <w:rPr>
            <w:rStyle w:val="Hyperlink"/>
          </w:rPr>
          <w:t>http://utp.sberbank-ast.ru</w:t>
        </w:r>
      </w:hyperlink>
      <w:r>
        <w:rPr>
          <w:rFonts w:eastAsia="Courier New"/>
          <w:lang w:bidi="ru-RU"/>
        </w:rPr>
        <w:t xml:space="preserve"> </w:t>
        <w:br/>
      </w:r>
      <w:r>
        <w:rPr>
          <w:rFonts w:eastAsia="Courier New"/>
          <w:color w:val="000000"/>
          <w:lang w:bidi="ru-RU"/>
        </w:rPr>
        <w:t xml:space="preserve">(далее – электронная площадка), торговая секция «Приватизация, аренда и продажа прав» </w:t>
        <w:br/>
        <w:t xml:space="preserve">(далее – торговая секция). </w:t>
      </w:r>
    </w:p>
    <w:p>
      <w:pPr>
        <w:pStyle w:val="Normal"/>
        <w:widowControl w:val="false"/>
        <w:spacing w:before="0" w:after="0"/>
        <w:ind w:firstLine="567" w:left="-567"/>
        <w:contextualSpacing/>
        <w:jc w:val="both"/>
        <w:rPr>
          <w:rFonts w:eastAsia="Courier New"/>
          <w:color w:val="000000"/>
          <w:lang w:bidi="ru-RU"/>
        </w:rPr>
      </w:pPr>
      <w:r>
        <w:rPr>
          <w:rFonts w:eastAsia="Courier New"/>
          <w:b/>
          <w:color w:val="000000"/>
          <w:lang w:eastAsia="en-US" w:bidi="ru-RU"/>
        </w:rPr>
        <w:t>Владелец электронной площадки</w:t>
      </w:r>
      <w:r>
        <w:rPr>
          <w:rFonts w:eastAsia="Courier New"/>
          <w:color w:val="000000"/>
          <w:lang w:eastAsia="en-US" w:bidi="ru-RU"/>
        </w:rPr>
        <w:t>:</w:t>
      </w:r>
      <w:r>
        <w:rPr>
          <w:rFonts w:eastAsia="Calibri"/>
          <w:lang w:eastAsia="en-US"/>
        </w:rPr>
        <w:t xml:space="preserve"> АО «Сбербанк-АСТ» (далее – Оператор)</w:t>
      </w:r>
      <w:r>
        <w:rPr>
          <w:rFonts w:eastAsia="Courier New"/>
          <w:color w:val="000000"/>
          <w:lang w:eastAsia="en-US" w:bidi="ru-RU"/>
        </w:rPr>
        <w:t>.</w:t>
      </w:r>
    </w:p>
    <w:p>
      <w:pPr>
        <w:pStyle w:val="Normal"/>
        <w:widowControl w:val="false"/>
        <w:spacing w:before="0" w:after="0"/>
        <w:ind w:firstLine="567" w:left="-567"/>
        <w:contextualSpacing/>
        <w:jc w:val="both"/>
        <w:rPr>
          <w:bCs/>
          <w:lang w:bidi="ru-RU"/>
        </w:rPr>
      </w:pPr>
      <w:r>
        <w:rPr>
          <w:rFonts w:eastAsia="Courier New"/>
          <w:color w:val="000000"/>
          <w:lang w:bidi="ru-RU"/>
        </w:rPr>
        <w:t xml:space="preserve">Регламент работы электронной площадки размещён по </w:t>
      </w:r>
      <w:r>
        <w:rPr>
          <w:rFonts w:eastAsia="Courier New"/>
          <w:lang w:bidi="ru-RU"/>
        </w:rPr>
        <w:t xml:space="preserve">адресу: </w:t>
      </w:r>
      <w:hyperlink r:id="rId6" w:tgtFrame="https://utp.sberbank-ast.ru/Main/Notice/988/Reglament">
        <w:r>
          <w:rPr>
            <w:rStyle w:val="Hyperlink"/>
            <w:rFonts w:eastAsia="Courier New"/>
            <w:lang w:bidi="ru-RU"/>
          </w:rPr>
          <w:t>https://utp.sberbank-ast.ru/Main/Notice/988/Reglament</w:t>
        </w:r>
      </w:hyperlink>
      <w:r>
        <w:rPr>
          <w:rFonts w:eastAsia="Courier New"/>
          <w:lang w:bidi="ru-RU"/>
        </w:rPr>
        <w:t>.</w:t>
      </w:r>
    </w:p>
    <w:p>
      <w:pPr>
        <w:pStyle w:val="Normal"/>
        <w:widowControl w:val="false"/>
        <w:spacing w:before="0" w:after="0"/>
        <w:ind w:firstLine="567" w:left="-567"/>
        <w:contextualSpacing/>
        <w:jc w:val="both"/>
        <w:rPr>
          <w:rFonts w:eastAsia="Courier New"/>
          <w:lang w:bidi="ru-RU"/>
        </w:rPr>
      </w:pPr>
      <w:r>
        <w:rPr>
          <w:bCs/>
          <w:lang w:bidi="ru-RU"/>
        </w:rPr>
        <w:t xml:space="preserve">Регламент работы </w:t>
      </w:r>
      <w:r>
        <w:rPr>
          <w:rFonts w:eastAsia="Courier New"/>
          <w:lang w:bidi="ru-RU"/>
        </w:rPr>
        <w:t xml:space="preserve">торговой секции </w:t>
      </w:r>
      <w:r>
        <w:rPr>
          <w:bCs/>
          <w:lang w:eastAsia="en-US" w:bidi="ru-RU"/>
        </w:rPr>
        <w:t xml:space="preserve">размещен по адресу: </w:t>
      </w:r>
      <w:r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br w:type="textWrapping" w:clear="all"/>
      </w:r>
      <w:hyperlink r:id="rId7" w:tgtFrame="https://utp.sberbank-ast.ru/AP/Notice/1027/Instructions">
        <w:r>
          <w:rPr>
            <w:rStyle w:val="Hyperlink"/>
            <w:rFonts w:eastAsia="Calibri"/>
            <w:lang w:eastAsia="en-US"/>
          </w:rPr>
          <w:t>https://utp.sberbank-ast.ru/AP/Notice/1027/Instructions</w:t>
        </w:r>
      </w:hyperlink>
      <w:r>
        <w:rPr>
          <w:rFonts w:eastAsia="Calibri"/>
          <w:lang w:eastAsia="en-US"/>
        </w:rPr>
        <w:t>.</w:t>
      </w:r>
    </w:p>
    <w:p>
      <w:pPr>
        <w:pStyle w:val="Normal"/>
        <w:widowControl w:val="false"/>
        <w:spacing w:before="0" w:after="0"/>
        <w:ind w:firstLine="567" w:left="-567"/>
        <w:contextualSpacing/>
        <w:jc w:val="both"/>
        <w:rPr>
          <w:b/>
          <w:bCs/>
        </w:rPr>
      </w:pPr>
      <w:r>
        <w:rPr>
          <w:rFonts w:eastAsia="Courier New"/>
          <w:lang w:bidi="ru-RU"/>
        </w:rPr>
        <w:t xml:space="preserve">Инструкция по работе в торговой секции электронной площадки  </w:t>
      </w:r>
      <w:r>
        <w:rPr>
          <w:rFonts w:eastAsia="Courier New"/>
          <w:lang w:bidi="ru-RU"/>
        </w:rPr>
        <w:br w:type="textWrapping" w:clear="all"/>
      </w:r>
      <w:r>
        <w:rPr>
          <w:bCs/>
          <w:lang w:eastAsia="en-US" w:bidi="ru-RU"/>
        </w:rPr>
        <w:t>размещена по адресу:</w:t>
      </w:r>
      <w:r>
        <w:rPr>
          <w:rFonts w:eastAsia="Calibri" w:cs="Calibri" w:ascii="Calibri" w:hAnsi="Calibri"/>
          <w:sz w:val="22"/>
          <w:szCs w:val="22"/>
          <w:lang w:eastAsia="en-US"/>
        </w:rPr>
        <w:t xml:space="preserve"> </w:t>
      </w:r>
      <w:hyperlink r:id="rId8" w:tgtFrame="https://utp.sberbank-ast.ru/AP/Notice/652/Instructions">
        <w:r>
          <w:rPr>
            <w:rStyle w:val="Hyperlink"/>
            <w:bCs/>
            <w:lang w:eastAsia="en-US" w:bidi="ru-RU"/>
          </w:rPr>
          <w:t>https://utp.sberbank-ast.ru/AP/Notice/652/Instructions</w:t>
        </w:r>
      </w:hyperlink>
      <w:r>
        <w:rPr>
          <w:bCs/>
          <w:lang w:eastAsia="en-US" w:bidi="ru-RU"/>
        </w:rPr>
        <w:t>.</w:t>
      </w:r>
    </w:p>
    <w:p>
      <w:pPr>
        <w:pStyle w:val="Normal"/>
        <w:widowControl w:val="false"/>
        <w:ind w:firstLine="567" w:left="-567"/>
        <w:jc w:val="both"/>
        <w:rPr>
          <w:highlight w:val="none"/>
        </w:rPr>
      </w:pPr>
      <w:r>
        <w:rPr>
          <w:b/>
          <w:bCs/>
        </w:rPr>
        <w:t xml:space="preserve">Орган, уполномоченный на заключение договора купли-продажи земельного участка: </w:t>
      </w:r>
      <w:r>
        <w:rPr>
          <w:bCs/>
        </w:rPr>
        <w:t xml:space="preserve">департамент земельных отношений администрации города Перми, местонахождение: 614000, </w:t>
        <w:br/>
        <w:t>г. Пермь, ул. Сибирская,15, почтовый адрес: 614000, г. Пермь, ул. Сибирская,15, телефон 212-61-90 (отдел договоров), адрес электронной почты:</w:t>
      </w:r>
      <w:r>
        <w:rPr>
          <w:bCs/>
          <w:sz w:val="24"/>
          <w:szCs w:val="24"/>
        </w:rPr>
        <w:t xml:space="preserve"> </w:t>
      </w:r>
      <w:r>
        <w:rPr>
          <w:rStyle w:val="Hyperlink"/>
          <w:bCs/>
          <w:sz w:val="24"/>
          <w:szCs w:val="24"/>
          <w:lang w:val="en-US"/>
        </w:rPr>
        <w:t>dzo</w:t>
      </w:r>
      <w:r>
        <w:rPr>
          <w:rStyle w:val="Hyperlink"/>
          <w:bCs/>
          <w:sz w:val="24"/>
          <w:szCs w:val="24"/>
        </w:rPr>
        <w:t>@</w:t>
      </w:r>
      <w:r>
        <w:rPr>
          <w:rStyle w:val="Hyperlink"/>
          <w:bCs/>
          <w:sz w:val="24"/>
          <w:szCs w:val="24"/>
          <w:lang w:val="en-US"/>
        </w:rPr>
        <w:t>perm</w:t>
      </w:r>
      <w:r>
        <w:rPr>
          <w:rStyle w:val="Hyperlink"/>
          <w:bCs/>
          <w:sz w:val="24"/>
          <w:szCs w:val="24"/>
        </w:rPr>
        <w:t>.</w:t>
      </w:r>
      <w:r>
        <w:rPr>
          <w:rStyle w:val="Hyperlink"/>
          <w:bCs/>
          <w:sz w:val="24"/>
          <w:szCs w:val="24"/>
          <w:lang w:val="en-US"/>
        </w:rPr>
        <w:t>permkrai</w:t>
      </w:r>
      <w:r>
        <w:rPr>
          <w:rStyle w:val="Hyperlink"/>
          <w:bCs/>
          <w:sz w:val="24"/>
          <w:szCs w:val="24"/>
        </w:rPr>
        <w:t>.</w:t>
      </w:r>
      <w:r>
        <w:rPr>
          <w:rStyle w:val="Hyperlink"/>
          <w:bCs/>
          <w:sz w:val="24"/>
          <w:szCs w:val="24"/>
          <w:lang w:val="en-US"/>
        </w:rPr>
        <w:t>ru.</w:t>
      </w:r>
    </w:p>
    <w:p>
      <w:pPr>
        <w:pStyle w:val="Normal"/>
        <w:widowControl w:val="false"/>
        <w:ind w:firstLine="567" w:left="-567"/>
        <w:jc w:val="both"/>
        <w:rPr>
          <w:b/>
          <w:bCs/>
        </w:rPr>
      </w:pPr>
      <w:r>
        <w:rPr>
          <w:b/>
          <w:bCs/>
        </w:rPr>
      </w:r>
    </w:p>
    <w:p>
      <w:pPr>
        <w:pStyle w:val="PlainText"/>
        <w:spacing w:lineRule="exact" w:line="240"/>
        <w:ind w:hanging="1134" w:left="1134"/>
        <w:jc w:val="center"/>
        <w:rPr>
          <w:b/>
          <w:lang w:val="ru-RU"/>
        </w:rPr>
      </w:pPr>
      <w:r>
        <w:rPr>
          <w:rFonts w:cs="Times New Roman" w:ascii="Times New Roman" w:hAnsi="Times New Roman"/>
          <w:b/>
          <w:sz w:val="28"/>
          <w:szCs w:val="28"/>
          <w:lang w:val="ru-RU"/>
        </w:rPr>
        <w:t>Сведения о лотах (предметах аукциона)</w:t>
      </w:r>
    </w:p>
    <w:p>
      <w:pPr>
        <w:pStyle w:val="PlainText"/>
        <w:spacing w:lineRule="exact" w:line="240"/>
        <w:ind w:hanging="1134" w:left="1134"/>
        <w:jc w:val="center"/>
        <w:rPr>
          <w:b/>
          <w:lang w:val="ru-RU"/>
        </w:rPr>
      </w:pPr>
      <w:r>
        <w:rPr>
          <w:b/>
          <w:lang w:val="ru-RU"/>
        </w:rPr>
      </w:r>
    </w:p>
    <w:p>
      <w:pPr>
        <w:pStyle w:val="Normal"/>
        <w:tabs>
          <w:tab w:val="clear" w:pos="708"/>
          <w:tab w:val="left" w:pos="5103" w:leader="none"/>
        </w:tabs>
        <w:ind w:right="-263"/>
        <w:rPr>
          <w:sz w:val="20"/>
          <w:szCs w:val="20"/>
          <w:highlight w:val="none"/>
        </w:rPr>
      </w:pPr>
      <w:r>
        <w:rPr>
          <w:b/>
          <w:lang w:val="en-US"/>
        </w:rPr>
        <w:t>Лот № 1</w:t>
      </w:r>
    </w:p>
    <w:tbl>
      <w:tblPr>
        <w:tblW w:w="10485" w:type="dxa"/>
        <w:jc w:val="left"/>
        <w:tblInd w:w="-4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356"/>
        <w:gridCol w:w="3308"/>
        <w:gridCol w:w="6821"/>
      </w:tblGrid>
      <w:tr>
        <w:trPr>
          <w:trHeight w:val="877" w:hRule="atLeast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органа местного самоуправления, принявшего решение о проведении аукциона, реквизиты указанного решения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города Перми, распоряжение начальника </w:t>
              <w:br/>
              <w:t>департамента земельных отношений администрации города Перми от 20 января 2025 г. № 21-01-03-555 «О проведении аукциона по продаже земельного участка в Мотовилихинском районе города Перми»</w:t>
            </w:r>
          </w:p>
        </w:tc>
      </w:tr>
      <w:tr>
        <w:trPr>
          <w:trHeight w:val="225" w:hRule="atLeast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 аукциона по продаже земельного участка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93" w:hRule="atLeast"/>
        </w:trPr>
        <w:tc>
          <w:tcPr>
            <w:tcW w:w="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360" w:left="720"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местоположение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Пермский край, городской округ </w:t>
              <w:br/>
              <w:t>Пермский, город Пермь, улица Обросова, з/у 67</w:t>
            </w:r>
          </w:p>
        </w:tc>
      </w:tr>
      <w:tr>
        <w:trPr>
          <w:trHeight w:val="148" w:hRule="atLeast"/>
        </w:trPr>
        <w:tc>
          <w:tcPr>
            <w:tcW w:w="3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360" w:left="720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площадь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1101 кв. м</w:t>
            </w:r>
          </w:p>
        </w:tc>
      </w:tr>
      <w:tr>
        <w:trPr>
          <w:trHeight w:val="155" w:hRule="atLeast"/>
        </w:trPr>
        <w:tc>
          <w:tcPr>
            <w:tcW w:w="3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360" w:left="720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кадастровый номер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>
                <w:sz w:val="24"/>
                <w:szCs w:val="24"/>
              </w:rPr>
            </w:pPr>
            <w:r>
              <w:rPr/>
              <w:t>59:01:4211111:125</w:t>
            </w:r>
          </w:p>
        </w:tc>
      </w:tr>
      <w:tr>
        <w:trPr>
          <w:trHeight w:val="144" w:hRule="atLeast"/>
        </w:trPr>
        <w:tc>
          <w:tcPr>
            <w:tcW w:w="3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2"/>
              </w:numPr>
              <w:spacing w:before="0" w:after="0"/>
              <w:ind w:hanging="360" w:left="720" w:right="11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права на земельный участок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государственная собственность не разграничена</w:t>
            </w:r>
          </w:p>
        </w:tc>
      </w:tr>
      <w:tr>
        <w:trPr>
          <w:trHeight w:val="144" w:hRule="atLeast"/>
        </w:trPr>
        <w:tc>
          <w:tcPr>
            <w:tcW w:w="3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2"/>
              </w:numPr>
              <w:spacing w:before="0" w:after="0"/>
              <w:ind w:hanging="360" w:left="720" w:right="11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разрешенного использования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для индивидуального жилищного строительства</w:t>
            </w:r>
          </w:p>
        </w:tc>
      </w:tr>
      <w:tr>
        <w:trPr>
          <w:trHeight w:val="576" w:hRule="atLeast"/>
        </w:trPr>
        <w:tc>
          <w:tcPr>
            <w:tcW w:w="3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2"/>
              </w:numPr>
              <w:spacing w:before="0" w:after="0"/>
              <w:ind w:hanging="360" w:left="720" w:right="11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принадлежность к определенной  </w:t>
              <w:br/>
              <w:t>категории земель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земли населенных пунктов</w:t>
            </w:r>
          </w:p>
        </w:tc>
      </w:tr>
      <w:tr>
        <w:trPr>
          <w:trHeight w:val="576" w:hRule="atLeast"/>
        </w:trPr>
        <w:tc>
          <w:tcPr>
            <w:tcW w:w="3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3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2"/>
              </w:numPr>
              <w:spacing w:before="0" w:after="0"/>
              <w:ind w:hanging="360" w:left="720" w:right="113"/>
              <w:jc w:val="left"/>
              <w:rPr>
                <w:sz w:val="24"/>
                <w:szCs w:val="24"/>
              </w:rPr>
            </w:pPr>
            <w:r>
              <w:rPr/>
              <w:t>принадлежность к определенной территориальной зоне</w:t>
            </w:r>
          </w:p>
        </w:tc>
        <w:tc>
          <w:tcPr>
            <w:tcW w:w="6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Ж-4 «Зона индивидуальной жилой застройки городского типа»</w:t>
            </w:r>
          </w:p>
        </w:tc>
      </w:tr>
      <w:tr>
        <w:trPr>
          <w:trHeight w:val="144" w:hRule="atLeast"/>
        </w:trPr>
        <w:tc>
          <w:tcPr>
            <w:tcW w:w="3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2"/>
              </w:numPr>
              <w:spacing w:before="0" w:after="0"/>
              <w:ind w:hanging="360" w:left="720" w:right="11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ограничение прав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3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Ограничения прав подробно описаны:</w:t>
            </w:r>
          </w:p>
          <w:p>
            <w:pPr>
              <w:pStyle w:val="Normal"/>
              <w:ind w:firstLine="311"/>
              <w:jc w:val="both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>в выписке из Единого государственного реестра недвижимости об объекте недвижимости от 09.12.2025г.                 № КУВИ-001/2025-223511607 (далее - ЕГРН)</w:t>
            </w:r>
            <w:r>
              <w:rPr>
                <w:sz w:val="24"/>
                <w:szCs w:val="24"/>
                <w14:ligatures w14:val="none"/>
              </w:rPr>
              <w:t>;</w:t>
            </w:r>
          </w:p>
          <w:p>
            <w:pPr>
              <w:pStyle w:val="Normal"/>
              <w:ind w:firstLine="3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градостроительном плане земельного участка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26.11.2024 № РФ-59-2-03-0-00-2024-2474-0 (далее – ГПЗУ) (приложение 2 к настоящему извещению).</w:t>
            </w:r>
          </w:p>
          <w:p>
            <w:pPr>
              <w:pStyle w:val="BodyText"/>
              <w:ind w:firstLine="36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>В соответствии со сведениями из ЕГРН Участок имеет связь с объектом капитального строительства с кадастровым номером 59:01:0000000:77024 - электросетевой комплекс Подстанция 35/6кВ «Грачева» с линиями электропередачи и трансформаторными подстанциями.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pacing w:val="-6"/>
                <w:sz w:val="24"/>
                <w:szCs w:val="24"/>
              </w:rPr>
              <w:t xml:space="preserve">Проектирование и строительство вести в соответствии </w:t>
              <w:br/>
              <w:t>с постановлением Правительства Российской Федерации от 24.02.2008 №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>
            <w:pPr>
              <w:pStyle w:val="BodyText"/>
              <w:spacing w:before="0" w:after="0"/>
              <w:ind w:firstLine="311" w:left="0" w:righ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BodyText"/>
              <w:spacing w:before="0" w:after="0"/>
              <w:ind w:firstLine="311" w:left="0" w:righ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соответствии с копией планшета М 1:500 (требующего корректуры) в границах Участка расположена сеть электроснабжения.</w:t>
            </w:r>
          </w:p>
          <w:p>
            <w:pPr>
              <w:pStyle w:val="BodyText"/>
              <w:spacing w:before="0" w:after="0"/>
              <w:ind w:firstLine="311" w:left="0" w:right="0"/>
              <w:jc w:val="both"/>
              <w:rPr/>
            </w:pPr>
            <w:r>
              <w:rPr/>
            </w:r>
          </w:p>
          <w:p>
            <w:pPr>
              <w:pStyle w:val="BodyText"/>
              <w:spacing w:before="0" w:after="0"/>
              <w:ind w:firstLine="311" w:left="0" w:right="0"/>
              <w:jc w:val="both"/>
              <w:rPr/>
            </w:pPr>
            <w:r>
              <w:rPr>
                <w:color w:val="000000"/>
                <w:sz w:val="24"/>
              </w:rPr>
              <w:t>На Участке расположено движимое имущество (мусор).</w:t>
            </w:r>
          </w:p>
          <w:p>
            <w:pPr>
              <w:pStyle w:val="BodyText"/>
              <w:spacing w:before="0" w:after="0"/>
              <w:ind w:firstLine="311" w:left="0" w:right="0"/>
              <w:jc w:val="both"/>
              <w:rPr/>
            </w:pPr>
            <w:r>
              <w:rPr>
                <w:color w:val="000000"/>
                <w:sz w:val="24"/>
              </w:rPr>
              <w:t xml:space="preserve">Близлежащие пожарные гидранты расположены  по </w:t>
              <w:br/>
              <w:t>ул. Обросова, д. 47 и д. 41.</w:t>
            </w:r>
          </w:p>
          <w:p>
            <w:pPr>
              <w:pStyle w:val="BodyText"/>
              <w:spacing w:before="0" w:after="0"/>
              <w:ind w:firstLine="362" w:left="0" w:right="0"/>
              <w:jc w:val="both"/>
              <w:rPr/>
            </w:pPr>
            <w:r>
              <w:rPr>
                <w:color w:val="000000"/>
                <w:sz w:val="24"/>
              </w:rPr>
              <w:t xml:space="preserve">(Аналогичная информация отражена в письме  </w:t>
            </w:r>
            <w:r>
              <w:rPr>
                <w:b/>
                <w:color w:val="000000"/>
                <w:sz w:val="24"/>
              </w:rPr>
              <w:t>администрации Мотовилихинского</w:t>
            </w:r>
            <w:r>
              <w:rPr>
                <w:color w:val="000000"/>
                <w:sz w:val="24"/>
              </w:rPr>
              <w:t> </w:t>
            </w:r>
            <w:r>
              <w:rPr>
                <w:b/>
                <w:color w:val="000000"/>
                <w:sz w:val="24"/>
              </w:rPr>
              <w:t>района города Перми</w:t>
            </w:r>
            <w:r>
              <w:rPr>
                <w:color w:val="000000"/>
                <w:sz w:val="24"/>
              </w:rPr>
              <w:t xml:space="preserve"> </w:t>
              <w:br/>
              <w:t xml:space="preserve">от 21.11.2024 № 059-36-01-42/3-332, в акте обследования </w:t>
              <w:br/>
              <w:t>от 20.11.2024).</w:t>
            </w:r>
          </w:p>
          <w:p>
            <w:pPr>
              <w:pStyle w:val="BodyText"/>
              <w:spacing w:before="0" w:after="0"/>
              <w:ind w:firstLine="311" w:left="0" w:right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</w:p>
          <w:p>
            <w:pPr>
              <w:pStyle w:val="BodyText"/>
              <w:spacing w:before="0" w:after="0"/>
              <w:ind w:firstLine="311" w:left="0" w:right="0"/>
              <w:jc w:val="both"/>
              <w:rPr>
                <w:color w:val="000000"/>
              </w:rPr>
            </w:pPr>
            <w:r>
              <w:rPr>
                <w:color w:val="000000"/>
                <w:sz w:val="24"/>
              </w:rPr>
              <w:t xml:space="preserve">Согласно сведениям, содержащимся в ГПЗУ, ЕГРН </w:t>
              <w:br/>
              <w:t>и справке по градостроительным условиям от 10.12.2025                   № 658135, Участок расположен в границах зон с особыми условиями использования территории:</w:t>
            </w:r>
          </w:p>
          <w:p>
            <w:pPr>
              <w:pStyle w:val="BodyText"/>
              <w:spacing w:before="0" w:after="0"/>
              <w:ind w:firstLine="311" w:left="0" w:right="0"/>
              <w:jc w:val="both"/>
              <w:rPr/>
            </w:pPr>
            <w:r>
              <w:rPr>
                <w:color w:val="000000"/>
                <w:sz w:val="24"/>
              </w:rPr>
              <w:t>полностью в Приаэродромной территории аэродрома аэропорта Большое Савино, (59:32-6.553).</w:t>
            </w:r>
            <w:r>
              <w:rPr>
                <w:color w:val="000000"/>
              </w:rPr>
              <w:t> </w:t>
            </w:r>
            <w:r>
              <w:rPr>
                <w:color w:val="000000"/>
                <w:sz w:val="24"/>
              </w:rPr>
              <w:t>Площадь пересечения составляет 1101 кв.м.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z w:val="24"/>
              </w:rPr>
              <w:t xml:space="preserve">Проектирование </w:t>
              <w:br/>
              <w:t> и строительство вести в соответствии с постановлением Правительства Российской Федерации от 11.03.2010 № 138 «Об утверждении Федеральных правил использования воздушного пространства Российской Федерации»;</w:t>
            </w:r>
          </w:p>
          <w:p>
            <w:pPr>
              <w:pStyle w:val="BodyText"/>
              <w:spacing w:before="0" w:after="0"/>
              <w:ind w:firstLine="311" w:left="0" w:right="0"/>
              <w:jc w:val="both"/>
              <w:rPr/>
            </w:pPr>
            <w:r>
              <w:rPr>
                <w:color w:val="000000"/>
                <w:sz w:val="24"/>
              </w:rPr>
              <w:t>частично в охранной зоне объекта: электросетевой</w:t>
            </w:r>
            <w:r>
              <w:rPr>
                <w:color w:val="000000"/>
              </w:rPr>
              <w:t> </w:t>
            </w:r>
            <w:r>
              <w:rPr>
                <w:color w:val="000000"/>
                <w:sz w:val="24"/>
              </w:rPr>
              <w:t>комплекс</w:t>
            </w:r>
            <w:r>
              <w:rPr>
                <w:color w:val="000000"/>
              </w:rPr>
              <w:t> </w:t>
            </w:r>
            <w:r>
              <w:rPr>
                <w:color w:val="000000"/>
                <w:sz w:val="24"/>
              </w:rPr>
              <w:t>Подстанция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z w:val="24"/>
              </w:rPr>
              <w:t>35/6кВ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z w:val="24"/>
              </w:rPr>
              <w:t>«Грачева» с</w:t>
            </w:r>
            <w:r>
              <w:rPr>
                <w:color w:val="000000"/>
              </w:rPr>
              <w:t> </w:t>
            </w:r>
            <w:r>
              <w:rPr>
                <w:color w:val="000000"/>
                <w:sz w:val="24"/>
              </w:rPr>
              <w:t>линиями</w:t>
            </w:r>
            <w:r>
              <w:rPr>
                <w:color w:val="000000"/>
              </w:rPr>
              <w:t> </w:t>
            </w:r>
            <w:r>
              <w:rPr>
                <w:color w:val="000000"/>
                <w:sz w:val="24"/>
              </w:rPr>
              <w:t>электропередачи</w:t>
            </w:r>
            <w:r>
              <w:rPr>
                <w:color w:val="000000"/>
              </w:rPr>
              <w:t> </w:t>
            </w:r>
            <w:r>
              <w:rPr>
                <w:color w:val="000000"/>
                <w:sz w:val="24"/>
              </w:rPr>
              <w:t>и</w:t>
            </w:r>
            <w:r>
              <w:rPr>
                <w:color w:val="000000"/>
              </w:rPr>
              <w:t> </w:t>
            </w:r>
            <w:r>
              <w:rPr>
                <w:color w:val="000000"/>
                <w:sz w:val="24"/>
              </w:rPr>
              <w:t>трансформаторными</w:t>
            </w:r>
            <w:r>
              <w:rPr>
                <w:color w:val="000000"/>
              </w:rPr>
              <w:t> </w:t>
            </w:r>
            <w:r>
              <w:rPr>
                <w:color w:val="000000"/>
                <w:sz w:val="24"/>
              </w:rPr>
              <w:t xml:space="preserve">подстанциями, (59:01-6.500). Площадь пересечения составляет 174,64 кв.м. Проектирование и строительство вести в соответствии </w:t>
              <w:br/>
              <w:t xml:space="preserve">с постановлением Правительства РФ от 24.02.2009 № 160 </w:t>
              <w:br/>
              <w:t>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зон»;</w:t>
            </w:r>
          </w:p>
          <w:p>
            <w:pPr>
              <w:pStyle w:val="BodyText"/>
              <w:spacing w:before="0" w:after="0"/>
              <w:ind w:firstLine="311" w:left="0" w:right="0"/>
              <w:jc w:val="both"/>
              <w:rPr/>
            </w:pPr>
            <w:r>
              <w:rPr>
                <w:color w:val="000000"/>
                <w:sz w:val="24"/>
              </w:rPr>
              <w:t xml:space="preserve">частично в водоохранной зоне бассейна р. Ива в г. Перми Пермского края (59:01-6.5001). Площадь пересечения составляет 1086,29 кв.м. Проектирование  и строительство вести в соответствии с приказом Министерства природных ресурсов, лесного хозяйства  и экологии Пермского края </w:t>
              <w:br/>
              <w:t xml:space="preserve">№ СЭД-30-01-02-1077 от 13.08.2013 «Об утверждении установленных границ водоохранных зон, границ прибрежных защитных полос и границ береговой полосы бассейна р. Ива»; </w:t>
              <w:br/>
              <w:t>ч 15, 17 статьи 65 Водного кодекса Российской Федерации  </w:t>
              <w:br/>
              <w:t>от 03.06.2006 № 74-ФЗ);</w:t>
            </w:r>
          </w:p>
          <w:p>
            <w:pPr>
              <w:pStyle w:val="BodyText"/>
              <w:spacing w:before="0" w:after="0"/>
              <w:ind w:firstLine="311" w:left="0" w:right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 xml:space="preserve">частично в прибрежной защитной полосе бассейна р. Ива </w:t>
              <w:br/>
              <w:t>в г. Перми Пермского края (59:01-6.4996). Площадь пересечения составляет 1086,29 кв.м. Проектирование  </w:t>
              <w:br/>
              <w:t xml:space="preserve">и строительство вести в соответствии с приказом Министерства природных ресурсов, лесного хозяйства и экологии Пермского края № СЭД-30-01-02-1077  от 13.08.2013 «Об утверждении установленных границ водоохранных зон, границ прибрежных защитных полос и границ береговой полосы бассейна р. Ива»; </w:t>
              <w:br/>
              <w:t>ч 15, 17 статьи 65 Водного кодекса Российской Федерации  </w:t>
              <w:br/>
              <w:t>от 03.06.2006 № 74-ФЗ).</w:t>
            </w:r>
          </w:p>
          <w:p>
            <w:pPr>
              <w:pStyle w:val="BodyText"/>
              <w:ind w:firstLine="36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BodyText"/>
              <w:ind w:firstLine="362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 Участке произрастает 19 деревьев пород: тополь - 3 шт., клен - 15 шт., береза - 1 шт.</w:t>
            </w:r>
          </w:p>
          <w:p>
            <w:pPr>
              <w:pStyle w:val="BodyText"/>
              <w:spacing w:before="0" w:after="0"/>
              <w:ind w:firstLine="311" w:left="0" w:right="0"/>
              <w:jc w:val="both"/>
              <w:rPr/>
            </w:pPr>
            <w:r>
              <w:rPr>
                <w:color w:val="000000"/>
                <w:sz w:val="24"/>
              </w:rPr>
              <w:t xml:space="preserve">Восстановительная стоимость сносимых зеленых насаждений в ценах 2024 года: одного лиственного дерева </w:t>
              <w:br/>
              <w:t>от 25 тыс. руб., хвойной - от 30 тыс. руб.</w:t>
            </w:r>
          </w:p>
          <w:p>
            <w:pPr>
              <w:pStyle w:val="BodyText"/>
              <w:spacing w:before="0" w:after="0"/>
              <w:ind w:firstLine="362" w:left="0" w:right="0"/>
              <w:jc w:val="both"/>
              <w:rPr/>
            </w:pPr>
            <w:r>
              <w:rPr>
                <w:color w:val="000000"/>
                <w:sz w:val="24"/>
              </w:rPr>
              <w:t xml:space="preserve">(Аналогичная информация отражена в письме  </w:t>
            </w:r>
            <w:r>
              <w:rPr>
                <w:color w:val="000000"/>
                <w:sz w:val="24"/>
                <w:szCs w:val="24"/>
              </w:rPr>
              <w:t>у</w:t>
            </w:r>
            <w:r>
              <w:rPr>
                <w:b/>
                <w:color w:val="000000"/>
                <w:sz w:val="24"/>
                <w:szCs w:val="24"/>
              </w:rPr>
              <w:t>правления по экологии  и природопользованию администрации города Перми</w:t>
            </w:r>
            <w:r>
              <w:rPr>
                <w:color w:val="000000"/>
                <w:sz w:val="24"/>
                <w:szCs w:val="24"/>
              </w:rPr>
              <w:t xml:space="preserve"> от 26.11.2024 № 059-33-01-10/3-765).</w:t>
            </w:r>
          </w:p>
          <w:p>
            <w:pPr>
              <w:pStyle w:val="BodyText"/>
              <w:spacing w:before="0" w:after="0"/>
              <w:ind w:firstLine="362" w:left="0" w:right="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</w:p>
          <w:p>
            <w:pPr>
              <w:pStyle w:val="BodyText"/>
              <w:spacing w:before="0" w:after="0"/>
              <w:ind w:firstLine="311" w:left="0" w:right="0"/>
              <w:jc w:val="both"/>
              <w:rPr/>
            </w:pPr>
            <w:r>
              <w:rPr>
                <w:color w:val="000000"/>
                <w:sz w:val="24"/>
              </w:rPr>
              <w:t>Бюджетом города Перми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z w:val="24"/>
              </w:rPr>
              <w:t xml:space="preserve">на 2024 год и плановый период 2025-2026 годы мероприятия по строительству, реконструкции, капитальному ремонту улично-дорожной сети </w:t>
              <w:br/>
              <w:t>на рассматриваемой территории не предусмотрены.</w:t>
            </w:r>
          </w:p>
          <w:p>
            <w:pPr>
              <w:pStyle w:val="BodyText"/>
              <w:spacing w:before="0" w:after="0"/>
              <w:ind w:firstLine="311" w:left="0" w:right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Для примыкания Участка к улично-дорожной сети города Перми необходимо выполнить условия, перечисленные </w:t>
              <w:br/>
              <w:t>в указанном письме (прилагается).</w:t>
            </w:r>
          </w:p>
          <w:p>
            <w:pPr>
              <w:pStyle w:val="BodyText"/>
              <w:spacing w:before="0" w:after="0"/>
              <w:ind w:firstLine="311" w:left="0" w:right="0"/>
              <w:jc w:val="both"/>
              <w:rPr/>
            </w:pPr>
            <w:r>
              <w:rPr>
                <w:color w:val="000000"/>
                <w:sz w:val="24"/>
              </w:rPr>
              <w:t>Также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z w:val="24"/>
              </w:rPr>
              <w:t>направляется информация о необходимости соблюдения Правил благоустройства территории города Перми, утвержденных решением Пермской городской Думы от 15.12.2020 № 277, при строительстве объектов недвижимости на земельных участках, предоставленных на торгах.</w:t>
            </w:r>
          </w:p>
          <w:p>
            <w:pPr>
              <w:pStyle w:val="BodyText"/>
              <w:spacing w:before="0" w:after="0"/>
              <w:ind w:firstLine="311" w:left="0" w:right="0"/>
              <w:jc w:val="both"/>
              <w:rPr/>
            </w:pPr>
            <w:r>
              <w:rPr>
                <w:color w:val="000000"/>
                <w:sz w:val="24"/>
              </w:rPr>
              <w:t xml:space="preserve">В соответствии с Федеральным законом от 08.11.2007 </w:t>
              <w:br/>
              <w:t xml:space="preserve">№ 257, расходы на строительства, реконструкцию, капитальный ремонт, ремонт пересечений и примыканий, </w:t>
              <w:br/>
              <w:t xml:space="preserve"> в том числе расходы на выполнение дополнительных работ связанных с обеспечением безопасности дорожного движения, водоотведения и исполнением других установленных техническими регламентами требований, несут лица, </w:t>
              <w:br/>
              <w:t>в интересах которых осуществляется строительство, реконструкция, капитальный ремонт, ремонт пересечений или примыканий.</w:t>
            </w:r>
          </w:p>
          <w:p>
            <w:pPr>
              <w:pStyle w:val="BodyText"/>
              <w:spacing w:before="0" w:after="0"/>
              <w:ind w:firstLine="362" w:left="0" w:right="0"/>
              <w:jc w:val="both"/>
              <w:rPr/>
            </w:pPr>
            <w:r>
              <w:rPr>
                <w:color w:val="000000"/>
                <w:sz w:val="24"/>
              </w:rPr>
              <w:t xml:space="preserve">(Аналогичная информация отражена в письме </w:t>
            </w:r>
            <w:r>
              <w:rPr>
                <w:b/>
                <w:color w:val="000000"/>
                <w:sz w:val="24"/>
              </w:rPr>
              <w:t>департамента дорог и благоустройства администрации города Перми</w:t>
            </w:r>
            <w:r>
              <w:rPr>
                <w:color w:val="000000"/>
                <w:sz w:val="24"/>
              </w:rPr>
              <w:t xml:space="preserve"> от 14.11.2024  № 059-24-01-36/3-4140).</w:t>
            </w:r>
          </w:p>
          <w:p>
            <w:pPr>
              <w:pStyle w:val="BodyText"/>
              <w:spacing w:before="0" w:after="0"/>
              <w:ind w:firstLine="362" w:left="0" w:right="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</w:p>
          <w:p>
            <w:pPr>
              <w:pStyle w:val="BodyText"/>
              <w:spacing w:before="0" w:after="0"/>
              <w:ind w:firstLine="311" w:left="0" w:right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Ближайшее подразделение пожарной охраны расположено по адресу: ул. Уральская, 74 (ПСЧ-3 10-ПСО).</w:t>
            </w:r>
          </w:p>
          <w:p>
            <w:pPr>
              <w:pStyle w:val="BodyText"/>
              <w:spacing w:before="0" w:after="0"/>
              <w:ind w:firstLine="311" w:left="0" w:right="0"/>
              <w:jc w:val="both"/>
              <w:rPr/>
            </w:pPr>
            <w:r>
              <w:rPr>
                <w:color w:val="000000"/>
                <w:sz w:val="24"/>
              </w:rPr>
              <w:t xml:space="preserve">Объекты общественной безопасности, отнесенные </w:t>
              <w:br/>
              <w:t xml:space="preserve">к объектам полиции (участковые пункты полиции) в данном микрорайоне (Костарево) отсутствуют. Ближайший участковый пункт расположен по адресу:  г. Пермь, ул. Агатова, д. 28. </w:t>
              <w:br/>
              <w:t>В настоящее время в указанном микрорайоне строительство (приобретение) участковых пунктов полиции не планируется.</w:t>
            </w:r>
          </w:p>
          <w:p>
            <w:pPr>
              <w:pStyle w:val="BodyText"/>
              <w:spacing w:before="0" w:after="0"/>
              <w:ind w:firstLine="311" w:left="0" w:right="0"/>
              <w:jc w:val="both"/>
              <w:rPr/>
            </w:pPr>
            <w:r>
              <w:rPr>
                <w:color w:val="000000"/>
                <w:sz w:val="24"/>
              </w:rPr>
              <w:t>Помещения для аварийно-спасательных формирований на указанной территории отсутствуют. В настоящее время потребность в обеспечении служебными помещениями  для аварийно-спасательных формирований в указанном микрорайоне отсутствует.</w:t>
            </w:r>
          </w:p>
          <w:p>
            <w:pPr>
              <w:pStyle w:val="BodyText"/>
              <w:spacing w:before="0" w:after="0"/>
              <w:ind w:firstLine="311" w:left="0" w:right="0"/>
              <w:jc w:val="both"/>
              <w:rPr/>
            </w:pPr>
            <w:r>
              <w:rPr>
                <w:color w:val="000000"/>
                <w:sz w:val="24"/>
              </w:rPr>
              <w:t>На указанной территории источники противопожарного водоснабжения отсутствуют (далее – ИПВ). Ближайший ИПВ расположен на расстоянии 350 метров.</w:t>
            </w:r>
          </w:p>
          <w:p>
            <w:pPr>
              <w:pStyle w:val="BodyText"/>
              <w:spacing w:before="0" w:after="0"/>
              <w:ind w:firstLine="311" w:left="0" w:right="0"/>
              <w:jc w:val="both"/>
              <w:rPr/>
            </w:pPr>
            <w:r>
              <w:rPr>
                <w:color w:val="000000"/>
                <w:sz w:val="24"/>
              </w:rPr>
              <w:t xml:space="preserve">При размещении объектов на вышеуказанной территории необходимо соблюдать нормы и требования действующего законодательства: Федеральных законов  от 21 декабря 1994 г. № 69-ФЗ «О пожарной безопасности» и от 22 июля 2008 г. </w:t>
              <w:br/>
              <w:t>№ 123-ФЗ «Технический регламент о требованиях пожарной безопасности», Региональных нормативов градостроительного проектирования «Расчетные показатели обеспеченности населения Пермского края объектами пожарной охраны», утвержденных приказом Министерства по управлению имуществом и градостроительной деятельности Пермского края от 25.02.2021 № 31-02-1-4-248, а также Свода правил 4.13130.2013 «Системы противопожарной защиты. Ограничение распространения пожара на объектах защиты. Требования к объемно-планировочным и конструктивным решениям» и иной документации, касающейся норм противопожарной безопасности.</w:t>
            </w:r>
          </w:p>
          <w:p>
            <w:pPr>
              <w:pStyle w:val="BodyText"/>
              <w:spacing w:before="0" w:after="0"/>
              <w:ind w:firstLine="311" w:left="0" w:right="0"/>
              <w:jc w:val="both"/>
              <w:rPr/>
            </w:pPr>
            <w:r>
              <w:rPr>
                <w:color w:val="000000"/>
                <w:sz w:val="24"/>
              </w:rPr>
              <w:t xml:space="preserve">По информации предоставленной письмом Министерства территориальной безопасности Пермского края от 07.10.2020 </w:t>
              <w:br/>
              <w:t>№ 964с, рассматриваемая территория попадает в зону возможного химического заражения  в особый период.</w:t>
            </w:r>
          </w:p>
          <w:p>
            <w:pPr>
              <w:pStyle w:val="BodyText"/>
              <w:spacing w:before="0" w:after="0"/>
              <w:ind w:firstLine="283" w:left="0" w:right="0"/>
              <w:jc w:val="both"/>
              <w:rPr/>
            </w:pPr>
            <w:r>
              <w:rPr>
                <w:color w:val="000000"/>
                <w:sz w:val="24"/>
              </w:rPr>
              <w:t>На данной территории</w:t>
            </w:r>
            <w:r>
              <w:rPr>
                <w:color w:val="000000"/>
              </w:rPr>
              <w:t> </w:t>
            </w:r>
            <w:r>
              <w:rPr>
                <w:color w:val="000000"/>
                <w:sz w:val="24"/>
              </w:rPr>
              <w:t>оконечные устройства системы оповещения населения города Перми отсутствуют.  Для обеспечения покрытия запланированной территории системой оповещения населения необходимо предусматривать размещение сиренно-речевых узлов согласно пунктам 6.38, 6.39 СП 165.1325800.2014 «Свод правил. Инженерно-технические мероприятия по гражданской обороне. Актуализированная редакция СНиП 2.01.51-90», утвержденные Приказом Минстроя России от 12.11.2014 № 705/пр.</w:t>
            </w:r>
          </w:p>
          <w:p>
            <w:pPr>
              <w:pStyle w:val="BodyText"/>
              <w:spacing w:before="0" w:after="0"/>
              <w:ind w:firstLine="362" w:left="0" w:right="0"/>
              <w:jc w:val="both"/>
              <w:rPr/>
            </w:pPr>
            <w:r>
              <w:rPr>
                <w:color w:val="000000"/>
                <w:sz w:val="24"/>
                <w:szCs w:val="24"/>
              </w:rPr>
              <w:t>(Аналогичная информация отражена в письме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b/>
                <w:color w:val="000000"/>
                <w:sz w:val="24"/>
              </w:rPr>
              <w:t>департамента общественной безопасности администрации города Перми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z w:val="24"/>
              </w:rPr>
              <w:t>от 18.11.2024</w:t>
            </w:r>
            <w:r>
              <w:rPr>
                <w:color w:val="000000"/>
              </w:rPr>
              <w:t xml:space="preserve"> № </w:t>
            </w:r>
            <w:r>
              <w:rPr>
                <w:color w:val="000000"/>
                <w:sz w:val="24"/>
              </w:rPr>
              <w:t>059-10-01-27/3-1894).</w:t>
            </w:r>
          </w:p>
        </w:tc>
      </w:tr>
      <w:tr>
        <w:trPr>
          <w:trHeight w:val="1087" w:hRule="atLeast"/>
        </w:trPr>
        <w:tc>
          <w:tcPr>
            <w:tcW w:w="3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2"/>
              </w:numPr>
              <w:spacing w:before="0" w:after="0"/>
              <w:ind w:hanging="340" w:left="850" w:right="11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максимально и (или) минимально  допустимые параметры разрешенного строительства </w:t>
              <w:br/>
              <w:t>объекта капитального строительства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312"/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ind w:firstLine="312"/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  <w:shd w:fill="FFFFFF" w:val="clear"/>
              </w:rPr>
              <w:t xml:space="preserve">документации по земельному участку, размещенной </w:t>
              <w:br/>
              <w:t xml:space="preserve">с извещением о проведении аукциона в ГИС Торги </w:t>
            </w:r>
            <w:r>
              <w:rPr>
                <w:sz w:val="24"/>
                <w:szCs w:val="24"/>
                <w:lang w:val="en-US"/>
              </w:rPr>
              <w:t>www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torgi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gov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ru</w:t>
            </w:r>
            <w:r>
              <w:rPr>
                <w:sz w:val="24"/>
                <w:szCs w:val="24"/>
                <w:shd w:fill="FFFFFF" w:val="clear"/>
              </w:rPr>
              <w:t xml:space="preserve">, на официальном сайте муниципального образования город Пермь в информационно-телекоммуникационной сети Интернет </w:t>
            </w:r>
            <w:r>
              <w:rPr>
                <w:sz w:val="24"/>
                <w:szCs w:val="24"/>
              </w:rPr>
              <w:t>www.gorodperm.ru.</w:t>
            </w:r>
          </w:p>
          <w:p>
            <w:pPr>
              <w:pStyle w:val="BodyText"/>
              <w:ind w:firstLine="36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BodyText"/>
              <w:ind w:firstLine="362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Проектирование и строительство необходимо вести </w:t>
              <w:br/>
              <w:t>в соответствии с пунктом 4.5 СП 55.13330.2016 Свода Правил. Дома жилые одноквартирные. СНиП 31-02-2001, утвержденным и введенным в действие Приказом Министерства строительства и жилищно-коммунального хозяйства Российской Федерации от 20.10.2016 № 725/пр (ред. от 17.05.2023): дом должен включать жилые комнаты – одну или несколько (общую комнату или гостиную, спальню), а также вспомогательные помещения: переднюю, кухню (в том числе кухню-столовую  и (или) кухню-нишу), ванные комнаты и (или) душевые, туалет (уборную) или совмещенный санузел, переднюю.</w:t>
            </w:r>
          </w:p>
          <w:p>
            <w:pPr>
              <w:pStyle w:val="BodyText"/>
              <w:spacing w:before="0" w:after="0"/>
              <w:ind w:firstLine="311" w:left="0" w:right="0"/>
              <w:jc w:val="both"/>
              <w:rPr/>
            </w:pPr>
            <w:r>
              <w:rPr>
                <w:color w:val="000000"/>
                <w:sz w:val="24"/>
              </w:rPr>
              <w:t xml:space="preserve">Согласно пункту 6.1 СП 55.13330.2016 площади помещений строящихся и реконструируемых жилых домов должны быть </w:t>
              <w:br/>
              <w:t>не менее: общей комнаты в однокомнатном доме - 14 м2, общей комнаты в доме с числом комнат две  и более - 16 м2, спальни - 8 м2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z w:val="24"/>
              </w:rPr>
              <w:t xml:space="preserve">(на двух человек - 10 м2); кухни - 8 м2; кухонной зоны </w:t>
              <w:br/>
              <w:t>в кухне-столовой - 6 м2.</w:t>
            </w:r>
            <w:r>
              <w:rPr>
                <w:color w:val="000000"/>
              </w:rPr>
              <w:t> </w:t>
            </w:r>
            <w:r>
              <w:rPr>
                <w:color w:val="000000"/>
                <w:sz w:val="24"/>
              </w:rPr>
              <w:t> В домах с одной комнатой допускается проектировать кухни или кухни-ниши площадью не менее 5 м2.</w:t>
            </w:r>
            <w:r>
              <w:rPr>
                <w:color w:val="000000"/>
              </w:rPr>
              <w:t> </w:t>
            </w:r>
            <w:r>
              <w:rPr>
                <w:color w:val="000000"/>
                <w:sz w:val="24"/>
              </w:rPr>
              <w:t>Площадь спальни и кухни в мансардном этаже (или этаже с наклонными ограждающими конструкциями) допускается не менее 7 м2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z w:val="24"/>
              </w:rPr>
              <w:t>при условии, что общая жилая комната имеет площадь не менее 16 м2.</w:t>
            </w:r>
          </w:p>
          <w:p>
            <w:pPr>
              <w:pStyle w:val="BodyText"/>
              <w:spacing w:before="0" w:after="0"/>
              <w:ind w:firstLine="311" w:left="0" w:right="0"/>
              <w:jc w:val="both"/>
              <w:rPr/>
            </w:pPr>
            <w:r>
              <w:rPr>
                <w:color w:val="000000"/>
                <w:sz w:val="24"/>
              </w:rPr>
              <w:t xml:space="preserve">Согласно пункту 6.2 СП 55.13330.2016 высота (от пола </w:t>
              <w:br/>
              <w:t>до потолка) комнат и кухни (кухни-столовой)  в климатических районах строительства IА, IБ, IГ, IД, определяемых по СП 131.13330, должна быть не менее 2,7 м, а в других климатических районах строительства - не менее 2,5 м. Высота внутридомовых коридоров, холлов, передних, антресолей должна составлять не менее 2,1 м,</w:t>
            </w:r>
            <w:r>
              <w:rPr>
                <w:color w:val="000000"/>
              </w:rPr>
              <w:t> </w:t>
            </w:r>
            <w:r>
              <w:rPr>
                <w:color w:val="000000"/>
                <w:sz w:val="24"/>
              </w:rPr>
              <w:t>а высота пути эвакуации -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z w:val="24"/>
              </w:rPr>
              <w:t>не менее</w:t>
            </w:r>
            <w:r>
              <w:rPr>
                <w:color w:val="000000"/>
              </w:rPr>
              <w:t> </w:t>
            </w:r>
            <w:r>
              <w:rPr>
                <w:color w:val="000000"/>
                <w:sz w:val="24"/>
              </w:rPr>
              <w:t>2,2 м.</w:t>
            </w:r>
          </w:p>
          <w:p>
            <w:pPr>
              <w:pStyle w:val="BodyText"/>
              <w:spacing w:before="0" w:after="0"/>
              <w:ind w:firstLine="311" w:left="0" w:right="0"/>
              <w:jc w:val="both"/>
              <w:rPr/>
            </w:pPr>
            <w:r>
              <w:rPr>
                <w:color w:val="000000"/>
                <w:sz w:val="24"/>
              </w:rPr>
              <w:t xml:space="preserve">В жилых комнатах и кухнях, расположенных в этажах </w:t>
              <w:br/>
              <w:t xml:space="preserve">с наклонными ограждающими конструкциями или </w:t>
              <w:br/>
              <w:t>в мансардном этаже, допускается уменьшение высоты помещений (от пола</w:t>
            </w:r>
            <w:r>
              <w:rPr>
                <w:color w:val="000000"/>
              </w:rPr>
              <w:t> </w:t>
            </w:r>
            <w:r>
              <w:rPr>
                <w:color w:val="000000"/>
                <w:sz w:val="24"/>
              </w:rPr>
              <w:t>до потолка), относительно нормируемой на площади, не превышающей 50%.</w:t>
            </w:r>
          </w:p>
          <w:p>
            <w:pPr>
              <w:pStyle w:val="BodyText"/>
              <w:spacing w:before="0" w:after="0"/>
              <w:ind w:firstLine="311" w:left="0" w:right="0"/>
              <w:jc w:val="both"/>
              <w:rPr>
                <w:color w:val="000000"/>
              </w:rPr>
            </w:pPr>
            <w:r>
              <w:rPr>
                <w:color w:val="000000"/>
                <w:sz w:val="24"/>
              </w:rPr>
              <w:t>Согласно информации, содержащейся</w:t>
            </w:r>
            <w:r>
              <w:rPr>
                <w:color w:val="000000"/>
              </w:rPr>
              <w:t> </w:t>
            </w:r>
            <w:r>
              <w:rPr>
                <w:color w:val="000000"/>
                <w:sz w:val="24"/>
              </w:rPr>
              <w:t>ГПЗУ,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z w:val="24"/>
              </w:rPr>
              <w:t>предельная высота зданий, строений не более  10,5 м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z w:val="24"/>
              </w:rPr>
              <w:t xml:space="preserve">(документация </w:t>
              <w:br/>
              <w:t>по планировке территории, утвержденная постановлением администрации города Перми от 22.12.2017 № 1178).</w:t>
            </w:r>
          </w:p>
          <w:p>
            <w:pPr>
              <w:pStyle w:val="BodyText"/>
              <w:spacing w:before="0" w:after="0"/>
              <w:ind w:firstLine="311" w:left="0" w:right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Минимальный отступ от границ Участка до места допустимого размещения зданий, строений, сооружений – 3 м.</w:t>
            </w:r>
          </w:p>
          <w:p>
            <w:pPr>
              <w:pStyle w:val="BodyText"/>
              <w:spacing w:before="0" w:after="0"/>
              <w:ind w:firstLine="311" w:left="0" w:right="0"/>
              <w:jc w:val="both"/>
              <w:rPr/>
            </w:pPr>
            <w:r>
              <w:rPr>
                <w:color w:val="000000"/>
                <w:sz w:val="24"/>
              </w:rPr>
              <w:t>Максимальный выступ за красную линию нависающих частей здания наземных уровней, выступающих  из плоскости наружной стены фасада здания на высоте  не менее 4,5 м над территорией общего пользования, составляет не более 1,2 м от красной линии. В случаях, когда линия регулирования застройки отличается от красной линии, указанный выступ может быть произведен за линию регулирования застройки.</w:t>
            </w:r>
          </w:p>
          <w:p>
            <w:pPr>
              <w:pStyle w:val="BodyText"/>
              <w:spacing w:before="0" w:after="0"/>
              <w:ind w:firstLine="311" w:left="0" w:right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Максимальный процент застройки в границах Участка – 30%.</w:t>
            </w:r>
          </w:p>
          <w:p>
            <w:pPr>
              <w:pStyle w:val="BodyText"/>
              <w:spacing w:before="0" w:after="0"/>
              <w:ind w:firstLine="311" w:left="0" w:right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 уведомлением о планируемом строительстве жилого дома рекомендуется обратиться в уполномоченный орган администрации города Перми.</w:t>
            </w:r>
          </w:p>
          <w:p>
            <w:pPr>
              <w:pStyle w:val="BodyText"/>
              <w:ind w:firstLine="36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3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84" w:left="5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возможность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31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ind w:firstLine="312"/>
              <w:jc w:val="both"/>
              <w:rPr>
                <w:color w:themeColor="text1"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  <w:shd w:fill="FFFFFF" w:val="clear"/>
              </w:rPr>
              <w:t xml:space="preserve">документации по земельному участку, размещенной </w:t>
              <w:br/>
              <w:t xml:space="preserve">с извещением о проведении аукциона в ГИС Торги </w:t>
            </w:r>
            <w:r>
              <w:rPr>
                <w:sz w:val="24"/>
                <w:szCs w:val="24"/>
                <w:lang w:val="en-US"/>
              </w:rPr>
              <w:t>www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torgi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gov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ru</w:t>
            </w:r>
            <w:r>
              <w:rPr>
                <w:sz w:val="24"/>
                <w:szCs w:val="24"/>
                <w:shd w:fill="FFFFFF" w:val="clear"/>
              </w:rPr>
              <w:t xml:space="preserve">, на официальном сайте муниципального образования город Пермь в информационно-телекоммуникационной сети Интернет </w:t>
            </w:r>
            <w:hyperlink r:id="rId9" w:tgtFrame="http://www.gorodperm.ru/">
              <w:r>
                <w:rPr>
                  <w:rStyle w:val="Hyperlink"/>
                  <w:color w:themeColor="text1" w:val="000000"/>
                  <w:sz w:val="24"/>
                  <w:szCs w:val="24"/>
                </w:rPr>
                <w:t>www.gorodperm.ru</w:t>
              </w:r>
            </w:hyperlink>
            <w:r>
              <w:rPr>
                <w:color w:themeColor="text1" w:val="000000"/>
                <w:sz w:val="24"/>
                <w:szCs w:val="24"/>
              </w:rPr>
              <w:t>.</w:t>
            </w:r>
          </w:p>
          <w:p>
            <w:pPr>
              <w:pStyle w:val="Normal"/>
              <w:ind w:firstLine="31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BodyText"/>
              <w:ind w:firstLine="312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Техническая возможность подключения объекта капитального строительства с предполагаемой максимальной нагрузкой (часовым расходом газа) 8 м3/час к существующим сетям газораспределения имеется.</w:t>
            </w:r>
          </w:p>
          <w:p>
            <w:pPr>
              <w:pStyle w:val="BodyText"/>
              <w:spacing w:before="0" w:after="0"/>
              <w:ind w:firstLine="311" w:left="0" w:right="0"/>
              <w:jc w:val="both"/>
              <w:rPr/>
            </w:pPr>
            <w:r>
              <w:rPr>
                <w:color w:val="000000"/>
                <w:sz w:val="24"/>
              </w:rPr>
              <w:t xml:space="preserve">Для рассмотрения вопроса о предоставлении технических условий на подключение (технологическое присоединение) необходимо направить в адрес филиала в г. Пермь </w:t>
              <w:br/>
              <w:t xml:space="preserve">АО «Газпром газораспределение Пермь» (на электронную почту post@pf.ugaz.ru, либо почтовым отправлением по адресу: г. Пермь, ул. Уральская, 104, через Единый центр предоставления услуг по адресу:  г. Пермь, ул. Уральская, </w:t>
              <w:br/>
              <w:t xml:space="preserve">д. 104, каб. 101) Заявку  о заключении договора о подключении (технологическом присоединении) по типовой форме с пакетом документов  в соответствии с п.11,16 постановления Правительства Российской Федерации от 13.09.2021 </w:t>
              <w:br/>
              <w:t>№ 1547  «Об утверждении Правил подключения газоиспользующего оборудования и объектов капитального строительства  к сетям газораспределения и о признании утратившим силу некоторых актов Правительства Российской Федерации».</w:t>
            </w:r>
          </w:p>
          <w:p>
            <w:pPr>
              <w:pStyle w:val="BodyText"/>
              <w:spacing w:before="0" w:after="0"/>
              <w:ind w:firstLine="362" w:left="0" w:right="0"/>
              <w:jc w:val="both"/>
              <w:rPr/>
            </w:pPr>
            <w:r>
              <w:rPr>
                <w:color w:val="000000"/>
                <w:sz w:val="24"/>
              </w:rPr>
              <w:t xml:space="preserve">(Аналогичная информация отражена в письме </w:t>
              <w:br/>
            </w:r>
            <w:r>
              <w:rPr>
                <w:b/>
                <w:color w:val="000000"/>
                <w:sz w:val="24"/>
                <w:szCs w:val="24"/>
              </w:rPr>
              <w:t>АО «Газпром газораспределение Пермь»</w:t>
            </w:r>
            <w:r>
              <w:rPr>
                <w:color w:val="000000"/>
                <w:sz w:val="24"/>
                <w:szCs w:val="24"/>
              </w:rPr>
              <w:t> от 13.11.2024</w:t>
              <w:br/>
              <w:t>№ ПФ-7476).</w:t>
            </w:r>
          </w:p>
          <w:p>
            <w:pPr>
              <w:pStyle w:val="BodyText"/>
              <w:spacing w:before="0" w:after="0"/>
              <w:ind w:firstLine="362" w:left="0" w:right="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</w:p>
          <w:p>
            <w:pPr>
              <w:pStyle w:val="BodyText"/>
              <w:spacing w:before="0" w:after="0"/>
              <w:ind w:firstLine="311" w:left="0" w:right="0"/>
              <w:jc w:val="both"/>
              <w:rPr/>
            </w:pPr>
            <w:r>
              <w:rPr>
                <w:color w:val="000000"/>
                <w:sz w:val="24"/>
              </w:rPr>
              <w:t xml:space="preserve">О наличии технической возможности подключения объекта капитального строительства с планируемой величиной подключаемой нагрузки по водоснабжению  и водоотведению – 1,0 м3/сут. к централизованным системам водоснабжения </w:t>
              <w:br/>
              <w:t>и водоотведения,</w:t>
            </w:r>
            <w:r>
              <w:rPr>
                <w:color w:val="000000"/>
              </w:rPr>
              <w:t> </w:t>
            </w:r>
            <w:r>
              <w:rPr>
                <w:color w:val="000000"/>
                <w:sz w:val="24"/>
              </w:rPr>
              <w:t xml:space="preserve">а так же предоставлении информации </w:t>
              <w:br/>
              <w:t>о наличии сетей водопровода и канализации в границах указанного земельного участка, с указанием  их охранной зоны, сообщается следующее.</w:t>
            </w:r>
          </w:p>
          <w:p>
            <w:pPr>
              <w:pStyle w:val="BodyText"/>
              <w:spacing w:before="0" w:after="0"/>
              <w:ind w:firstLine="311" w:left="0" w:right="0"/>
              <w:jc w:val="both"/>
              <w:rPr/>
            </w:pPr>
            <w:r>
              <w:rPr>
                <w:color w:val="000000"/>
                <w:sz w:val="24"/>
              </w:rPr>
              <w:t>Ближайшими точками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z w:val="24"/>
              </w:rPr>
              <w:t>подключения к сетям водоснабжения, эксплуатируемыми ООО «НОВОГОР-Прикамье», является водопровод Д-40 мм по ул. Сарапульская, ул. Карякина.</w:t>
            </w:r>
          </w:p>
          <w:p>
            <w:pPr>
              <w:pStyle w:val="BodyText"/>
              <w:spacing w:before="0" w:after="0"/>
              <w:ind w:firstLine="311" w:left="0" w:right="0"/>
              <w:jc w:val="both"/>
              <w:rPr/>
            </w:pPr>
            <w:r>
              <w:rPr>
                <w:color w:val="000000"/>
                <w:sz w:val="24"/>
              </w:rPr>
              <w:t xml:space="preserve">В связи с тем, что в месте расположения Участка отсутствуют сети канализации, может быть применен альтернативный способ канализования, без подключения </w:t>
              <w:br/>
              <w:t xml:space="preserve">к централизованной системе канализации г. Перми (отвод стоков возможен на локальные очистные сооружения  либо </w:t>
              <w:br/>
              <w:t>в выгребную яму, с последующим вывозом стоков спец. машинами), при этом состав канализационных стоков должен соответствовать всем нормативным требованиям Российской Федерации.</w:t>
            </w:r>
          </w:p>
          <w:p>
            <w:pPr>
              <w:pStyle w:val="BodyText"/>
              <w:spacing w:before="0" w:after="0"/>
              <w:ind w:firstLine="311" w:left="0" w:right="0"/>
              <w:jc w:val="both"/>
              <w:rPr/>
            </w:pPr>
            <w:r>
              <w:rPr>
                <w:color w:val="000000"/>
                <w:sz w:val="24"/>
              </w:rPr>
              <w:t xml:space="preserve">Размещение объекта необходимо предусматривать строго </w:t>
              <w:br/>
              <w:t xml:space="preserve">за пределами охранных зон сетей водопровода  и канализации </w:t>
              <w:br/>
              <w:t xml:space="preserve">в соответствии норм СП, в том числе в соответствии таблицы 12.5 СП 42.13330.2016 «Градостроительство планировка </w:t>
              <w:br/>
              <w:t>и застройка городских  и сельских поселений».</w:t>
            </w:r>
          </w:p>
          <w:p>
            <w:pPr>
              <w:pStyle w:val="BodyText"/>
              <w:spacing w:before="0" w:after="0"/>
              <w:ind w:firstLine="362" w:left="0" w:right="0"/>
              <w:jc w:val="both"/>
              <w:rPr/>
            </w:pPr>
            <w:r>
              <w:rPr>
                <w:color w:val="000000"/>
                <w:sz w:val="24"/>
              </w:rPr>
              <w:t xml:space="preserve">(Аналогичная информация отражена в письме </w:t>
              <w:br/>
            </w:r>
            <w:r>
              <w:rPr>
                <w:b/>
                <w:color w:val="000000"/>
                <w:sz w:val="24"/>
              </w:rPr>
              <w:t xml:space="preserve">ООО «НОВОГОР-Прикамье» </w:t>
            </w:r>
            <w:r>
              <w:rPr>
                <w:color w:val="000000"/>
                <w:sz w:val="24"/>
              </w:rPr>
              <w:t>от 14.11.2024 № 110-18610).</w:t>
            </w:r>
          </w:p>
          <w:p>
            <w:pPr>
              <w:pStyle w:val="BodyText"/>
              <w:spacing w:before="0" w:after="0"/>
              <w:ind w:firstLine="362" w:left="0" w:right="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</w:p>
          <w:p>
            <w:pPr>
              <w:pStyle w:val="BodyText"/>
              <w:spacing w:before="0" w:after="0"/>
              <w:ind w:firstLine="311" w:left="0" w:right="0"/>
              <w:jc w:val="both"/>
              <w:rPr/>
            </w:pPr>
            <w:r>
              <w:rPr>
                <w:color w:val="000000"/>
                <w:sz w:val="24"/>
              </w:rPr>
              <w:t xml:space="preserve">Участок находится вне зоны теплоснабжения ПАО </w:t>
              <w:br/>
              <w:t>«Т Плюс».</w:t>
            </w:r>
          </w:p>
          <w:p>
            <w:pPr>
              <w:pStyle w:val="BodyText"/>
              <w:spacing w:before="0" w:after="0"/>
              <w:ind w:firstLine="362" w:left="0" w:right="0"/>
              <w:jc w:val="both"/>
              <w:rPr/>
            </w:pPr>
            <w:r>
              <w:rPr>
                <w:color w:val="000000"/>
                <w:sz w:val="24"/>
              </w:rPr>
              <w:t xml:space="preserve">(Аналогичная информация отражена в письме </w:t>
            </w:r>
            <w:r>
              <w:rPr>
                <w:b/>
                <w:color w:val="000000"/>
                <w:sz w:val="24"/>
              </w:rPr>
              <w:t>Филиала «Пермский  ПАО «Т Плюс»</w:t>
            </w:r>
            <w:r>
              <w:rPr>
                <w:color w:val="000000"/>
                <w:sz w:val="24"/>
              </w:rPr>
              <w:t> от 15.11.2024 № 51000-32-04021).</w:t>
            </w:r>
          </w:p>
          <w:p>
            <w:pPr>
              <w:pStyle w:val="BodyText"/>
              <w:spacing w:before="0" w:after="0"/>
              <w:ind w:firstLine="362" w:left="0" w:right="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</w:p>
          <w:p>
            <w:pPr>
              <w:pStyle w:val="BodyText"/>
              <w:spacing w:before="0" w:after="0"/>
              <w:ind w:firstLine="311" w:left="0" w:right="0"/>
              <w:jc w:val="both"/>
              <w:rPr/>
            </w:pPr>
            <w:r>
              <w:rPr>
                <w:color w:val="000000"/>
                <w:sz w:val="24"/>
              </w:rPr>
              <w:t>Рекомендовано рассмотреть альтернативные источники теплоснабжения – газ, дрова, пеллеты.</w:t>
            </w:r>
          </w:p>
          <w:p>
            <w:pPr>
              <w:pStyle w:val="BodyText"/>
              <w:spacing w:before="0" w:after="0"/>
              <w:ind w:firstLine="362" w:left="0" w:right="0"/>
              <w:jc w:val="both"/>
              <w:rPr/>
            </w:pPr>
            <w:r>
              <w:rPr>
                <w:color w:val="000000"/>
                <w:sz w:val="24"/>
              </w:rPr>
              <w:t xml:space="preserve">(Аналогичная информация отражена в письме  </w:t>
            </w:r>
            <w:r>
              <w:rPr>
                <w:b/>
                <w:color w:val="000000"/>
                <w:sz w:val="24"/>
              </w:rPr>
              <w:t>департамента жилищно-коммунального хозяйства администрации города Перми</w:t>
            </w:r>
            <w:r>
              <w:rPr>
                <w:color w:val="000000"/>
                <w:sz w:val="24"/>
              </w:rPr>
              <w:t> от 18.12.2024 № 059-04-25/3-150-ри).</w:t>
            </w:r>
          </w:p>
          <w:p>
            <w:pPr>
              <w:pStyle w:val="BodyText"/>
              <w:spacing w:before="0" w:after="0"/>
              <w:ind w:firstLine="362" w:left="0" w:right="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</w:p>
          <w:p>
            <w:pPr>
              <w:pStyle w:val="BodyText"/>
              <w:spacing w:before="0" w:after="0"/>
              <w:ind w:firstLine="311" w:left="0" w:right="0"/>
              <w:jc w:val="both"/>
              <w:rPr/>
            </w:pPr>
            <w:r>
              <w:rPr>
                <w:color w:val="000000"/>
                <w:sz w:val="24"/>
              </w:rPr>
              <w:t xml:space="preserve">Технологическое присоединение  к сетям связи </w:t>
              <w:br/>
            </w:r>
            <w:r>
              <w:rPr>
                <w:b/>
                <w:color w:val="000000"/>
                <w:sz w:val="24"/>
              </w:rPr>
              <w:t>ПАО «Ростелеком»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z w:val="24"/>
              </w:rPr>
              <w:t>может быть произведено в точке подключения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z w:val="24"/>
              </w:rPr>
              <w:t>узел ВОЛС (г. Пермь, ул. Лебедева, 9а).</w:t>
            </w:r>
          </w:p>
          <w:p>
            <w:pPr>
              <w:pStyle w:val="BodyText"/>
              <w:spacing w:before="0" w:after="0"/>
              <w:ind w:firstLine="311" w:left="0" w:right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Максимальную нагрузку в точке подключения (технологического присоединения) определить на стадии проектирования.</w:t>
            </w:r>
          </w:p>
          <w:p>
            <w:pPr>
              <w:pStyle w:val="BodyText"/>
              <w:spacing w:before="0" w:after="0"/>
              <w:ind w:firstLine="311" w:left="0" w:right="0"/>
              <w:jc w:val="both"/>
              <w:rPr/>
            </w:pPr>
            <w:r>
              <w:rPr>
                <w:color w:val="000000"/>
                <w:sz w:val="24"/>
              </w:rPr>
              <w:t>Для подключения (технологического присоединения) вышеуказанного объекта к сетям электросвязи  ПАО «Ростелеком» необходим запрос правообладателя земельного участка на выдачу технических условий подключения или заявки о заключении договора  о подключении в порядке, определенном действующим законодательством.</w:t>
            </w:r>
          </w:p>
          <w:p>
            <w:pPr>
              <w:pStyle w:val="BodyText"/>
              <w:spacing w:before="0" w:after="0"/>
              <w:ind w:firstLine="362" w:left="0" w:right="0"/>
              <w:jc w:val="both"/>
              <w:rPr/>
            </w:pPr>
            <w:r>
              <w:rPr>
                <w:color w:val="000000"/>
                <w:sz w:val="24"/>
              </w:rPr>
              <w:t xml:space="preserve">(Аналогичная информация отражена в письме </w:t>
              <w:br/>
            </w:r>
            <w:r>
              <w:rPr>
                <w:b/>
                <w:color w:val="000000"/>
                <w:sz w:val="24"/>
              </w:rPr>
              <w:t xml:space="preserve">ПАО «Ростелеком»  </w:t>
            </w:r>
            <w:r>
              <w:rPr>
                <w:b w:val="false"/>
                <w:bCs w:val="false"/>
                <w:color w:val="000000"/>
                <w:sz w:val="24"/>
              </w:rPr>
              <w:t>от 18.11.2024  № 01/05/175714/24).</w:t>
            </w:r>
          </w:p>
          <w:p>
            <w:pPr>
              <w:pStyle w:val="BodyText"/>
              <w:spacing w:before="0" w:after="0"/>
              <w:ind w:firstLine="362" w:left="0" w:right="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</w:p>
          <w:p>
            <w:pPr>
              <w:pStyle w:val="BodyText"/>
              <w:spacing w:before="0" w:after="0"/>
              <w:ind w:firstLine="311" w:left="0" w:right="0"/>
              <w:jc w:val="both"/>
              <w:rPr/>
            </w:pPr>
            <w:r>
              <w:rPr>
                <w:color w:val="000000"/>
                <w:sz w:val="24"/>
              </w:rPr>
              <w:t>На территории, где расположен Участок, схемами водоснабжения и водоотведения города Перми, утвержденными постановлением администрации города Перми от 28.12.2018 № 1085, предусмотрено строительство сетей водоснабжения и водоотведения</w:t>
            </w:r>
            <w:r>
              <w:rPr>
                <w:color w:val="000000"/>
              </w:rPr>
              <w:t> </w:t>
            </w:r>
            <w:r>
              <w:rPr>
                <w:color w:val="000000"/>
                <w:sz w:val="24"/>
              </w:rPr>
              <w:t>в мкр. Костарево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z w:val="24"/>
              </w:rPr>
              <w:t>с 2024 года (мероприятие не обеспечено финансированием).</w:t>
            </w:r>
          </w:p>
          <w:p>
            <w:pPr>
              <w:pStyle w:val="BodyText"/>
              <w:spacing w:before="0" w:after="0"/>
              <w:ind w:firstLine="362" w:left="0" w:right="0"/>
              <w:jc w:val="both"/>
              <w:rPr/>
            </w:pPr>
            <w:r>
              <w:rPr>
                <w:sz w:val="24"/>
                <w:szCs w:val="24"/>
              </w:rPr>
              <w:t>(Аналогичная информация отражена в письме</w:t>
            </w:r>
            <w:r>
              <w:rPr/>
              <w:t xml:space="preserve">  </w:t>
            </w:r>
            <w:r>
              <w:rPr>
                <w:b/>
                <w:color w:val="000000"/>
                <w:sz w:val="24"/>
              </w:rPr>
              <w:t xml:space="preserve">департамента жилищно-коммунального хозяйства администрации города Перми </w:t>
            </w:r>
            <w:r>
              <w:rPr>
                <w:color w:val="000000"/>
                <w:sz w:val="24"/>
              </w:rPr>
              <w:t xml:space="preserve">от 12.11.2024 </w:t>
            </w:r>
            <w:r>
              <w:rPr>
                <w:color w:val="000000"/>
              </w:rPr>
              <w:t xml:space="preserve">№ </w:t>
            </w:r>
            <w:r>
              <w:rPr>
                <w:color w:val="000000"/>
                <w:sz w:val="24"/>
              </w:rPr>
              <w:t>059-04-17/3-1129-ри).</w:t>
            </w:r>
          </w:p>
        </w:tc>
      </w:tr>
      <w:tr>
        <w:trPr>
          <w:trHeight w:val="225" w:hRule="atLeast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left="113" w:right="57"/>
              <w:jc w:val="left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Начальная цена предмета аукциона</w:t>
            </w:r>
          </w:p>
          <w:p>
            <w:pPr>
              <w:pStyle w:val="Normal"/>
              <w:widowControl/>
              <w:spacing w:before="0" w:after="0"/>
              <w:ind w:hanging="0" w:left="113" w:right="57"/>
              <w:jc w:val="left"/>
              <w:rPr>
                <w:highlight w:val="none"/>
                <w:shd w:fill="auto" w:val="clear"/>
              </w:rPr>
            </w:pPr>
            <w:r>
              <w:rPr>
                <w:b/>
                <w:sz w:val="24"/>
                <w:szCs w:val="24"/>
                <w:shd w:fill="auto" w:val="clear"/>
              </w:rPr>
              <w:t>(рыночная стоимость земельного участка)</w:t>
            </w:r>
          </w:p>
          <w:p>
            <w:pPr>
              <w:pStyle w:val="Normal"/>
              <w:ind w:right="-263"/>
              <w:rPr>
                <w:b/>
                <w:bCs/>
                <w:sz w:val="24"/>
                <w:szCs w:val="24"/>
                <w:highlight w:val="none"/>
              </w:rPr>
            </w:pPr>
            <w:r>
              <w:rPr>
                <w:b/>
                <w:bCs/>
                <w:sz w:val="24"/>
                <w:szCs w:val="24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sz w:val="24"/>
                <w:szCs w:val="24"/>
                <w:highlight w:val="none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24"/>
              </w:rPr>
              <w:t>По условиям пункта 4.1 проекта договора купли-продажи земельного участка, приобретаемого на торгах в форме аукциона (Приложение 1 к настоящему извещению),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победитель аукциона, иное лицо, с которым договор заключается в соответствии с п.13, п.14, п. 20 или п. 25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 xml:space="preserve">ст. 39.12 Земельного Кодекса Российской Федерации (далее – ЗК РФ), обязан </w:t>
              <w:br/>
            </w:r>
            <w:r>
              <w:rPr>
                <w:b/>
                <w:sz w:val="24"/>
                <w:szCs w:val="24"/>
                <w:shd w:fill="auto" w:val="clear"/>
              </w:rPr>
              <w:t>в течение 15 дней</w:t>
            </w:r>
            <w:r>
              <w:rPr>
                <w:sz w:val="24"/>
                <w:szCs w:val="24"/>
                <w:shd w:fill="auto" w:val="clear"/>
              </w:rPr>
              <w:t xml:space="preserve"> со дня размещения протокола о результатах аукциона, а в случаях, определенных п.13, п.14, ст. 39.12 ЗК РФ, протокола рассмотрения заявок, </w:t>
            </w:r>
            <w:r>
              <w:rPr>
                <w:b/>
                <w:sz w:val="24"/>
                <w:szCs w:val="24"/>
                <w:shd w:fill="auto" w:val="clear"/>
              </w:rPr>
              <w:t xml:space="preserve">перечислить денежные средства </w:t>
            </w:r>
            <w:r>
              <w:rPr>
                <w:sz w:val="24"/>
                <w:szCs w:val="24"/>
                <w:shd w:fill="auto" w:val="clear"/>
              </w:rPr>
              <w:t>за земельный участок (за вычетом задатка, внесенного для участия в аукционе) на счет департамента земельных отношений администрации города Перми, 614000, ул. Сибирская,15, тел. 212-61-90 (отдел договоров), реквизиты которого указаны в проекте договора купли-продажи земельного участка (Приложение 1 к настоящему извещению)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1 545 800  руб.</w:t>
            </w:r>
          </w:p>
        </w:tc>
      </w:tr>
      <w:tr>
        <w:trPr>
          <w:trHeight w:val="225" w:hRule="atLeast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«Шаг аукциона» (5% от начальной цены предмета аукциона)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77 290 руб.</w:t>
            </w:r>
          </w:p>
        </w:tc>
      </w:tr>
      <w:tr>
        <w:trPr>
          <w:trHeight w:val="416" w:hRule="atLeast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Форма заявки на участие в аукционе</w:t>
            </w:r>
          </w:p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  <w:t xml:space="preserve">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документов, указанных в подпунктах 2-4 пункта 1, пункте 1.1 статьи 39.12 Земельного кодекса Российской Федерации (копии документов, удостоверяющих личность заявителя (для граждан); надлежащим образом заверенный перевод на русский язык документов </w:t>
              <w:br/>
              <w:t xml:space="preserve">о государственной регистрации юридического лица </w:t>
              <w:br/>
              <w:t>в соответствии с законодательством иностранного государства в случае, если заявителем является иностранное юридическое лицо; документы, подтверждающие внесение задатка).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каждый лот представляется отдельный пакет документов.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Решение о проведении аукциона принято в соответствии со статьей 39.18 Земельного кодекса Российской Федерации, участниками аукциона могут являться только граждане.</w:t>
            </w:r>
          </w:p>
        </w:tc>
      </w:tr>
      <w:tr>
        <w:trPr>
          <w:trHeight w:val="236" w:hRule="atLeast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Размер задатка (50% от начальной цены предмета аукциона)</w:t>
            </w:r>
          </w:p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772 900 руб.</w:t>
            </w:r>
          </w:p>
        </w:tc>
      </w:tr>
      <w:tr>
        <w:trPr>
          <w:trHeight w:val="236" w:hRule="atLeast"/>
        </w:trPr>
        <w:tc>
          <w:tcPr>
            <w:tcW w:w="3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3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 xml:space="preserve">Дата </w:t>
            </w:r>
            <w:r>
              <w:rPr>
                <w:b w:val="false"/>
                <w:shd w:fill="auto" w:val="clear"/>
              </w:rPr>
              <w:t xml:space="preserve">размещения извещения в соответствии с пп. 1 п. 1 ст. 39.18 Земельного кодекса Российской Федерации на  </w:t>
            </w:r>
            <w:r>
              <w:rPr>
                <w:b w:val="false"/>
                <w:sz w:val="24"/>
                <w:szCs w:val="24"/>
                <w:shd w:fill="auto" w:val="clear"/>
                <w:lang w:val="en-US" w:eastAsia="en-US"/>
              </w:rPr>
              <w:t>сайтах www.torgi.gov.ru, www.gorodperm.ru</w:t>
            </w:r>
          </w:p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  <w:tc>
          <w:tcPr>
            <w:tcW w:w="6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12.11.2024</w:t>
            </w:r>
          </w:p>
        </w:tc>
      </w:tr>
      <w:tr>
        <w:trPr>
          <w:trHeight w:val="1884" w:hRule="atLeast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договора купли-продажи земельного участка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Проект договора купли-продажи земельного участка, приобретаемого на торгах в форме аукциона,  является Приложением 1 к настоящему извещению и </w:t>
            </w:r>
            <w:r>
              <w:rPr>
                <w:sz w:val="24"/>
                <w:szCs w:val="24"/>
                <w:lang w:val="en-US" w:eastAsia="en-US"/>
              </w:rPr>
              <w:t>размещен на сайтах www.torgi.gov.ru, www.gorodperm.ru (раздел Деятельность/ Муниципальная собственность/ Торговая площадка Вид торгов Продажа и аренда земельных участков)</w:t>
            </w:r>
          </w:p>
        </w:tc>
      </w:tr>
      <w:tr>
        <w:trPr>
          <w:trHeight w:val="76" w:hRule="atLeast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осмотра земельного участка на местности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Осмотр земельного участка производится заявителем самостоятельно в любое время с даты опубликования настоящего извещения.</w:t>
            </w:r>
          </w:p>
        </w:tc>
      </w:tr>
    </w:tbl>
    <w:p>
      <w:pPr>
        <w:pStyle w:val="Normal"/>
        <w:tabs>
          <w:tab w:val="clear" w:pos="708"/>
          <w:tab w:val="left" w:pos="5103" w:leader="none"/>
        </w:tabs>
        <w:ind w:right="-263"/>
        <w:rPr>
          <w:sz w:val="20"/>
          <w:szCs w:val="20"/>
          <w:highlight w:val="none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08"/>
          <w:tab w:val="left" w:pos="5103" w:leader="none"/>
        </w:tabs>
        <w:ind w:right="-263"/>
        <w:rPr>
          <w:sz w:val="20"/>
          <w:szCs w:val="20"/>
          <w:highlight w:val="none"/>
        </w:rPr>
      </w:pPr>
      <w:r>
        <w:rPr>
          <w:b/>
          <w:lang w:val="en-US"/>
        </w:rPr>
        <w:t>Лот № 2</w:t>
      </w:r>
    </w:p>
    <w:tbl>
      <w:tblPr>
        <w:tblW w:w="10485" w:type="dxa"/>
        <w:jc w:val="left"/>
        <w:tblInd w:w="-4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356"/>
        <w:gridCol w:w="3308"/>
        <w:gridCol w:w="6821"/>
      </w:tblGrid>
      <w:tr>
        <w:trPr>
          <w:trHeight w:val="877" w:hRule="atLeast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органа местного самоуправления, принявшего решение о проведении аукциона, реквизиты указанного решения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города Перми, распоряжение начальника департамента земельных отношений администрации города Перми от 28 января 2025 г. № 21-01-03-772 «О проведении аукциона по продаже земельного участка в Индустриальном районе города Перми»</w:t>
            </w:r>
          </w:p>
        </w:tc>
      </w:tr>
      <w:tr>
        <w:trPr>
          <w:trHeight w:val="225" w:hRule="atLeast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 аукциона по продаже земельного участка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93" w:hRule="atLeast"/>
        </w:trPr>
        <w:tc>
          <w:tcPr>
            <w:tcW w:w="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360" w:left="720"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местоположение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Федерация, Пермский край, городской округ Пермский, город Пермь, улица 1-я Красавинская, з/у 15</w:t>
            </w:r>
          </w:p>
        </w:tc>
      </w:tr>
      <w:tr>
        <w:trPr>
          <w:trHeight w:val="148" w:hRule="atLeast"/>
        </w:trPr>
        <w:tc>
          <w:tcPr>
            <w:tcW w:w="3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360" w:left="720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площадь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583 кв. м</w:t>
            </w:r>
          </w:p>
        </w:tc>
      </w:tr>
      <w:tr>
        <w:trPr>
          <w:trHeight w:val="155" w:hRule="atLeast"/>
        </w:trPr>
        <w:tc>
          <w:tcPr>
            <w:tcW w:w="3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360" w:left="720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кадастровый номер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>
                <w:sz w:val="24"/>
                <w:szCs w:val="24"/>
              </w:rPr>
            </w:pPr>
            <w:r>
              <w:rPr/>
              <w:t>59:01:4613893:245</w:t>
            </w:r>
          </w:p>
        </w:tc>
      </w:tr>
      <w:tr>
        <w:trPr>
          <w:trHeight w:val="144" w:hRule="atLeast"/>
        </w:trPr>
        <w:tc>
          <w:tcPr>
            <w:tcW w:w="3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2"/>
              </w:numPr>
              <w:spacing w:before="0" w:after="0"/>
              <w:ind w:hanging="360" w:left="720" w:right="11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права на земельный участок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государственная собственность не разграничена</w:t>
            </w:r>
          </w:p>
        </w:tc>
      </w:tr>
      <w:tr>
        <w:trPr>
          <w:trHeight w:val="144" w:hRule="atLeast"/>
        </w:trPr>
        <w:tc>
          <w:tcPr>
            <w:tcW w:w="3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2"/>
              </w:numPr>
              <w:spacing w:before="0" w:after="0"/>
              <w:ind w:hanging="360" w:left="720" w:right="11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разрешенного использования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для индивидуального жилищного строительства (2.1)</w:t>
            </w:r>
          </w:p>
        </w:tc>
      </w:tr>
      <w:tr>
        <w:trPr>
          <w:trHeight w:val="576" w:hRule="atLeast"/>
        </w:trPr>
        <w:tc>
          <w:tcPr>
            <w:tcW w:w="3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2"/>
              </w:numPr>
              <w:spacing w:before="0" w:after="0"/>
              <w:ind w:hanging="360" w:left="720" w:right="11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принадлежность к определенной  </w:t>
              <w:br/>
              <w:t>категории земель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земли населенных пунктов</w:t>
            </w:r>
          </w:p>
        </w:tc>
      </w:tr>
      <w:tr>
        <w:trPr>
          <w:trHeight w:val="576" w:hRule="atLeast"/>
        </w:trPr>
        <w:tc>
          <w:tcPr>
            <w:tcW w:w="3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3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2"/>
              </w:numPr>
              <w:spacing w:before="0" w:after="0"/>
              <w:ind w:hanging="360" w:left="720" w:right="113"/>
              <w:jc w:val="left"/>
              <w:rPr>
                <w:sz w:val="24"/>
                <w:szCs w:val="24"/>
              </w:rPr>
            </w:pPr>
            <w:r>
              <w:rPr/>
              <w:t>принадлежность к определенной территориальной зоне</w:t>
            </w:r>
          </w:p>
        </w:tc>
        <w:tc>
          <w:tcPr>
            <w:tcW w:w="6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Ж-5 «Зона индивидуальной усадебной жилой застройки»</w:t>
            </w:r>
          </w:p>
        </w:tc>
      </w:tr>
      <w:tr>
        <w:trPr>
          <w:trHeight w:val="144" w:hRule="atLeast"/>
        </w:trPr>
        <w:tc>
          <w:tcPr>
            <w:tcW w:w="3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2"/>
              </w:numPr>
              <w:spacing w:before="0" w:after="0"/>
              <w:ind w:hanging="360" w:left="720" w:right="11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ограничение прав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3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Ограничения прав подробно описаны:</w:t>
            </w:r>
          </w:p>
          <w:p>
            <w:pPr>
              <w:pStyle w:val="Normal"/>
              <w:ind w:firstLine="311"/>
              <w:jc w:val="both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в выписке из Единого государственного реестра недвижимости об объекте недвижимости </w:t>
            </w:r>
            <w:r>
              <w:rPr>
                <w:sz w:val="24"/>
                <w:szCs w:val="24"/>
                <w:shd w:fill="auto" w:val="clear"/>
              </w:rPr>
              <w:t>от 08.12.2025г.                № КУВИ-001/2025-222648416</w:t>
            </w:r>
            <w:r>
              <w:rPr>
                <w:sz w:val="24"/>
                <w:szCs w:val="24"/>
                <w:shd w:fill="auto" w:val="clear"/>
                <w14:ligatures w14:val="none"/>
              </w:rPr>
              <w:t xml:space="preserve"> (далее - ЕГРН);</w:t>
            </w:r>
          </w:p>
          <w:p>
            <w:pPr>
              <w:pStyle w:val="Normal"/>
              <w:ind w:firstLine="3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градостроительном плане земельного участка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05.07.2023 № РФ-59-2-03-0-00-2023-1394-0 (далее – ГПЗУ) (приложение 4 к настоящему извещению).</w:t>
            </w:r>
          </w:p>
          <w:p>
            <w:pPr>
              <w:pStyle w:val="BodyText"/>
              <w:ind w:firstLine="36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ind w:firstLine="283" w:left="0" w:right="0"/>
              <w:jc w:val="both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Согласно данным копии городского планшета М 1:1500 </w:t>
              <w:br/>
              <w:t xml:space="preserve">от 22.07.2023 (требующего корректуры) в границах Участка </w:t>
              <w:br/>
              <w:t>с юго-восточной части частично расположен забор смежного земельного участка.</w:t>
            </w:r>
          </w:p>
          <w:p>
            <w:pPr>
              <w:pStyle w:val="Normal"/>
              <w:ind w:firstLine="283" w:left="0" w:right="0"/>
              <w:jc w:val="both"/>
              <w:rPr>
                <w:color w:themeColor="text1" w:val="000000"/>
              </w:rPr>
            </w:pPr>
            <w:r>
              <w:rPr>
                <w:color w:themeColor="text1" w:val="000000"/>
                <w:sz w:val="24"/>
                <w:szCs w:val="24"/>
              </w:rPr>
              <w:t>По данным геодезической съемки в границах Участка с юго-восточной части частично расположен забор смежного земельного участка с кабелем по забору, в южной части Участка располагается сеть наружного освещения на столбах.</w:t>
            </w:r>
          </w:p>
          <w:p>
            <w:pPr>
              <w:pStyle w:val="Normal"/>
              <w:ind w:firstLine="283" w:left="0" w:right="0"/>
              <w:jc w:val="both"/>
              <w:rPr>
                <w:color w:themeColor="text1" w:val="000000"/>
              </w:rPr>
            </w:pPr>
            <w:r>
              <w:rPr>
                <w:color w:themeColor="text1" w:val="000000"/>
                <w:sz w:val="24"/>
                <w:szCs w:val="24"/>
              </w:rPr>
              <w:t>В соответствии со сведениями из ЕГРН в границах Участка объекты капитального строительства отсутствуют.</w:t>
            </w:r>
          </w:p>
          <w:p>
            <w:pPr>
              <w:pStyle w:val="Normal"/>
              <w:ind w:firstLine="283" w:left="0" w:right="0"/>
              <w:jc w:val="both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  <w:p>
            <w:pPr>
              <w:pStyle w:val="Normal"/>
              <w:ind w:firstLine="283" w:left="0" w:right="0"/>
              <w:jc w:val="both"/>
              <w:rPr>
                <w:color w:themeColor="text1" w:val="000000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Участок частично огорожен забором собственника смежного земельного участка, свободен от построек, нарушений </w:t>
              <w:br/>
              <w:t>не выявлено.</w:t>
            </w:r>
          </w:p>
          <w:p>
            <w:pPr>
              <w:pStyle w:val="Normal"/>
              <w:ind w:firstLine="283" w:left="0" w:right="0"/>
              <w:jc w:val="both"/>
              <w:rPr>
                <w:color w:themeColor="text1" w:val="000000"/>
              </w:rPr>
            </w:pPr>
            <w:r>
              <w:rPr>
                <w:color w:themeColor="text1" w:val="000000"/>
                <w:sz w:val="24"/>
                <w:szCs w:val="24"/>
              </w:rPr>
              <w:t>Ближайший источник противопожарного водоснабжения расположен по адресу: 1-я Красавинская, 17, пожарный водоем 59 куб. м. Собственник МКУ БИР.</w:t>
            </w:r>
          </w:p>
          <w:p>
            <w:pPr>
              <w:pStyle w:val="Normal"/>
              <w:ind w:firstLine="283" w:left="0" w:right="0"/>
              <w:jc w:val="both"/>
              <w:rPr>
                <w:color w:themeColor="text1" w:val="000000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 </w:t>
            </w:r>
            <w:r>
              <w:rPr>
                <w:b/>
                <w:bCs/>
                <w:color w:themeColor="text1" w:val="000000"/>
                <w:sz w:val="24"/>
                <w:szCs w:val="24"/>
              </w:rPr>
              <w:t xml:space="preserve">администрации Индустриального района города Перми </w:t>
              <w:br/>
            </w:r>
            <w:r>
              <w:rPr>
                <w:b w:val="false"/>
                <w:bCs w:val="false"/>
                <w:color w:themeColor="text1" w:val="000000"/>
                <w:sz w:val="24"/>
                <w:szCs w:val="24"/>
              </w:rPr>
              <w:t xml:space="preserve">от 14.07.2023 № 059-16-01-08/3-2216, акте </w:t>
            </w:r>
            <w:r>
              <w:rPr>
                <w:color w:themeColor="text1" w:val="000000"/>
                <w:sz w:val="24"/>
                <w:szCs w:val="24"/>
              </w:rPr>
              <w:t xml:space="preserve">обследования </w:t>
              <w:br/>
              <w:t>от 05.07.2023 № 85).</w:t>
            </w:r>
          </w:p>
          <w:p>
            <w:pPr>
              <w:pStyle w:val="Normal"/>
              <w:ind w:hanging="0" w:left="0" w:right="0"/>
              <w:jc w:val="both"/>
              <w:rPr/>
            </w:pPr>
            <w:r>
              <w:rPr/>
            </w:r>
          </w:p>
          <w:p>
            <w:pPr>
              <w:pStyle w:val="Normal"/>
              <w:ind w:firstLine="283" w:left="0" w:right="0"/>
              <w:jc w:val="both"/>
              <w:rPr>
                <w:color w:themeColor="text1" w:val="000000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Согласно сведениям, содержащимся в ГПЗУ, ЕГРН </w:t>
              <w:br/>
              <w:t xml:space="preserve">и справке по градостроительным условиям от 08.12.2025 </w:t>
              <w:br/>
              <w:t>№ 657701, Участок расположен в границах зон с особыми условиями использования территории:</w:t>
            </w:r>
          </w:p>
          <w:p>
            <w:pPr>
              <w:pStyle w:val="Normal"/>
              <w:ind w:firstLine="283" w:left="0" w:right="0"/>
              <w:jc w:val="both"/>
              <w:rPr>
                <w:color w:themeColor="text1" w:val="000000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частично в прибрежной защитной полосе бассейна реки Верхняя Мулянка, Часть 5. Реестровый номер границы </w:t>
              <w:br/>
              <w:t>59:00-6.1412, площадь пересечения – 329 кв. м.;</w:t>
            </w:r>
          </w:p>
          <w:p>
            <w:pPr>
              <w:pStyle w:val="Normal"/>
              <w:ind w:firstLine="283" w:left="0" w:right="0"/>
              <w:jc w:val="both"/>
              <w:rPr>
                <w:color w:themeColor="text1" w:val="000000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частично в водоохранной зоне бассейна реки Верхняя Мулянка, Часть 5. Реестровый номер границы </w:t>
              <w:br/>
              <w:t>59:00-6.1411, площадь пересечения – 329 кв. м.</w:t>
            </w:r>
          </w:p>
          <w:p>
            <w:pPr>
              <w:pStyle w:val="Normal"/>
              <w:ind w:firstLine="283" w:left="0" w:right="0"/>
              <w:jc w:val="both"/>
              <w:rPr>
                <w:color w:themeColor="text1" w:val="000000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Проектирование и строительство вести в соответствии </w:t>
              <w:br/>
              <w:t>со статьей 65 частью 15 Водного кодекса Российской Федерации № 74-ФЗ от 03.06.2006;</w:t>
            </w:r>
          </w:p>
          <w:p>
            <w:pPr>
              <w:pStyle w:val="Normal"/>
              <w:ind w:firstLine="283" w:left="0" w:right="0"/>
              <w:jc w:val="both"/>
              <w:rPr>
                <w:color w:themeColor="text1" w:val="000000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полностью в приаэродромной территории аэродрома аэропорта Большое Савино, реестровый номер границы </w:t>
              <w:br/>
              <w:t>59:32-6.553.</w:t>
            </w:r>
          </w:p>
          <w:p>
            <w:pPr>
              <w:pStyle w:val="Normal"/>
              <w:ind w:firstLine="283" w:left="0" w:right="0"/>
              <w:jc w:val="both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Проектирование и строительство вести в соответствии </w:t>
              <w:br/>
              <w:t xml:space="preserve">с постановлением Правительства Российской Федерации </w:t>
              <w:br/>
              <w:t>от 11.03.2010 № 138 «Об утверждении Федеральных правил использования воздушного пространства Российской Федерации».</w:t>
            </w:r>
          </w:p>
          <w:p>
            <w:pPr>
              <w:pStyle w:val="Normal"/>
              <w:ind w:firstLine="283" w:left="0" w:right="0"/>
              <w:jc w:val="both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Участке произрастает 21 дерево пород – клен 17 шт., черемуха 2 шт., яблони 2 шт., кусты малины и черной смородины.</w:t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Победителю аукциона необходимо соблюдать условия строительства, перечисленные в перечне мероприятий </w:t>
              <w:br/>
              <w:t>по охране окружающей среды от 30.06.2023 № 254.</w:t>
            </w:r>
          </w:p>
          <w:p>
            <w:pPr>
              <w:pStyle w:val="Normal"/>
              <w:ind w:firstLine="283" w:left="0" w:right="0"/>
              <w:jc w:val="both"/>
              <w:rPr>
                <w:color w:themeColor="text1" w:val="000000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themeColor="text1" w:val="000000"/>
                <w:sz w:val="24"/>
                <w:szCs w:val="24"/>
              </w:rPr>
              <w:t>управления по экологии и природопользованию администрации города Перми</w:t>
            </w:r>
            <w:r>
              <w:rPr>
                <w:color w:themeColor="text1" w:val="000000"/>
                <w:sz w:val="24"/>
                <w:szCs w:val="24"/>
              </w:rPr>
              <w:t xml:space="preserve"> от 30.06.2023 № 059-33-01-10/3-529).</w:t>
            </w:r>
          </w:p>
          <w:p>
            <w:pPr>
              <w:pStyle w:val="Normal"/>
              <w:ind w:firstLine="283" w:left="0" w:right="0"/>
              <w:jc w:val="both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На территории, где расположен Участок, на период до 2028 года схемами не предусмотрено строительство сетей водоснабжения и водоотведения. Для определения технической возможности подключения объекта капитального строительства к сетям водоснабжения и водоотведения необходимо обратиться к гарантирующей организации для проведения гидравлического расчета.</w:t>
            </w:r>
          </w:p>
          <w:p>
            <w:pPr>
              <w:pStyle w:val="Normal"/>
              <w:ind w:firstLine="283" w:left="0" w:right="0"/>
              <w:jc w:val="both"/>
              <w:rPr>
                <w:color w:themeColor="text1" w:val="000000"/>
              </w:rPr>
            </w:pPr>
            <w:r>
              <w:rPr>
                <w:color w:themeColor="text1" w:val="000000"/>
                <w:sz w:val="24"/>
                <w:szCs w:val="24"/>
              </w:rPr>
              <w:t>(Аналогичная информация отражена в письме  д</w:t>
            </w:r>
            <w:r>
              <w:rPr>
                <w:b/>
                <w:color w:themeColor="text1" w:val="000000"/>
                <w:sz w:val="24"/>
                <w:szCs w:val="24"/>
              </w:rPr>
              <w:t>епартамента жилищно-коммунального хозяйства администрации города Перми</w:t>
            </w:r>
            <w:r>
              <w:rPr>
                <w:color w:themeColor="text1" w:val="000000"/>
                <w:sz w:val="24"/>
                <w:szCs w:val="24"/>
              </w:rPr>
              <w:t xml:space="preserve"> от 29.06.2023 № 059-04-17/3-515-ри).</w:t>
            </w:r>
          </w:p>
          <w:p>
            <w:pPr>
              <w:pStyle w:val="Normal"/>
              <w:ind w:firstLine="283" w:left="0" w:right="0"/>
              <w:jc w:val="both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примыкания Участка к улично-дорожной сети города Перми необходимо выполнить условия, указанные в указанном письме.</w:t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Также направляется информация о необходимости соблюдения Правил благоустройства территории города Перми, утвержденных решением Пермской городской Думы </w:t>
              <w:br/>
              <w:t xml:space="preserve">от 15.12.2020 № 277, при строительстве объектов недвижимости на земельных участках, предоставленных </w:t>
              <w:br/>
              <w:t>на торгах.</w:t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соответствии с Федеральным законом от 08.11.2007 </w:t>
              <w:br/>
              <w:t xml:space="preserve">№ 257, расходы на строительства, реконструкцию, капитальный ремонт, ремонт пересечений и примыканий, в том числе расходы на выполнение дополнительных работ связанных с обеспечением безопасности дорожного движения, водоотведения и исполнением других установленных техническими регламентами требований, несут лица, </w:t>
              <w:br/>
              <w:t>в интересах которых осуществляется строительство, реконструкция, капитальный ремонт, ремонт пересечений или примыканий.</w:t>
            </w:r>
          </w:p>
          <w:p>
            <w:pPr>
              <w:pStyle w:val="Normal"/>
              <w:ind w:firstLine="283" w:left="0" w:right="0"/>
              <w:jc w:val="both"/>
              <w:rPr>
                <w:color w:themeColor="text1" w:val="000000"/>
              </w:rPr>
            </w:pPr>
            <w:r>
              <w:rPr>
                <w:color w:themeColor="text1" w:val="000000"/>
                <w:sz w:val="24"/>
                <w:szCs w:val="24"/>
              </w:rPr>
              <w:t>(Аналогичная информация отражена в письме д</w:t>
            </w:r>
            <w:r>
              <w:rPr>
                <w:b/>
                <w:color w:themeColor="text1" w:val="000000"/>
                <w:sz w:val="24"/>
                <w:szCs w:val="24"/>
              </w:rPr>
              <w:t>епартамент дорог и благоустройства администрации города Перми</w:t>
            </w:r>
            <w:r>
              <w:rPr>
                <w:color w:themeColor="text1" w:val="000000"/>
                <w:sz w:val="24"/>
                <w:szCs w:val="24"/>
              </w:rPr>
              <w:t xml:space="preserve"> </w:t>
              <w:br/>
              <w:t>от 22.06.2023 № 059-24-01-36/3-2131)</w:t>
            </w:r>
          </w:p>
          <w:p>
            <w:pPr>
              <w:pStyle w:val="Normal"/>
              <w:ind w:firstLine="283" w:left="0" w:right="0"/>
              <w:jc w:val="both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Ближайшее подразделение пожарной охраны расположено по адресу: ул. Беляева, 29 (ПСЧ-2 10-ПСО);</w:t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объекты общественной безопасности, отнесенные </w:t>
              <w:br/>
              <w:t xml:space="preserve">к объектам полиции (участковые пункты полиции) </w:t>
              <w:br/>
              <w:t xml:space="preserve">в данном микрорайоне (Верхние Муллы) отсутствуют. Ближайший участковый пункт расположен по адресу: </w:t>
              <w:br/>
              <w:t>г. Пермь, ул. Экскаваторная, д. 57, (микрорайон Нагорный, Индустриальный район). В настоящее время в указанном микрорайоне строительство (приобретение) участковых пунктов полиции не планируется.</w:t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На данной территории источники противопожарного снабжения, пожарные гидранты – отсутствуют.</w:t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Территория попадает в зону возможного химического заражения в особый период. Участок находится в зоне действия региональной автоматизированной системы центрального оповещения населения города Перми, установленной </w:t>
              <w:br/>
              <w:t>по ул. Казанцевская 2-я, д. 3, - 1500 м.</w:t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/>
              <w:t>При размещении объектов на вышеуказанной территории необходимо соблюдать нормы и требования действующего законодательства: Федеральных законов от 21.12.1994 № 69-ФЗ «О пожарной безопасности» и от 22.07.2008 № 123-ФЗ «Технический регламент о требованиях пожарной безопасности».</w:t>
            </w:r>
          </w:p>
          <w:p>
            <w:pPr>
              <w:pStyle w:val="Normal"/>
              <w:ind w:firstLine="283" w:left="0" w:right="0"/>
              <w:jc w:val="both"/>
              <w:rPr>
                <w:color w:themeColor="text1" w:val="000000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 </w:t>
            </w:r>
            <w:r>
              <w:rPr>
                <w:b/>
                <w:color w:themeColor="text1" w:val="000000"/>
                <w:sz w:val="24"/>
                <w:szCs w:val="24"/>
              </w:rPr>
              <w:t>департамента общественной безопасности администрации города Перми</w:t>
            </w:r>
            <w:r>
              <w:rPr>
                <w:color w:themeColor="text1" w:val="000000"/>
                <w:sz w:val="24"/>
                <w:szCs w:val="24"/>
              </w:rPr>
              <w:t xml:space="preserve"> от 21.06.2023 № 059-10-01-27/3-1029).</w:t>
            </w:r>
          </w:p>
          <w:p>
            <w:pPr>
              <w:pStyle w:val="Normal"/>
              <w:ind w:firstLine="283" w:left="0" w:right="0"/>
              <w:jc w:val="both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</w:tr>
      <w:tr>
        <w:trPr>
          <w:trHeight w:val="1087" w:hRule="atLeast"/>
        </w:trPr>
        <w:tc>
          <w:tcPr>
            <w:tcW w:w="3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2"/>
              </w:numPr>
              <w:spacing w:before="0" w:after="0"/>
              <w:ind w:hanging="340" w:left="850" w:right="11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максимально и (или) минимально  допустимые параметры разрешенного строительства </w:t>
              <w:br/>
              <w:t>объекта капитального строительства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312"/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ind w:firstLine="312"/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  <w:shd w:fill="FFFFFF" w:val="clear"/>
              </w:rPr>
              <w:t xml:space="preserve">документации по земельному участку, размещенной </w:t>
              <w:br/>
              <w:t xml:space="preserve">с извещением о проведении аукциона в ГИС Торги </w:t>
            </w:r>
            <w:r>
              <w:rPr>
                <w:sz w:val="24"/>
                <w:szCs w:val="24"/>
                <w:lang w:val="en-US"/>
              </w:rPr>
              <w:t>www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torgi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gov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ru</w:t>
            </w:r>
            <w:r>
              <w:rPr>
                <w:sz w:val="24"/>
                <w:szCs w:val="24"/>
                <w:shd w:fill="FFFFFF" w:val="clear"/>
              </w:rPr>
              <w:t>, на официальном сайте муниципального образования город Пермь в информационно-телекоммуникационной сети Инте</w:t>
            </w:r>
            <w:r>
              <w:rPr>
                <w:rFonts w:eastAsia="Droid Sans Fallback" w:cs="Lohit Devanagari"/>
                <w:color w:val="000000"/>
                <w:sz w:val="24"/>
                <w:szCs w:val="24"/>
                <w:shd w:fill="FFFFFF" w:val="clear"/>
                <w:lang w:val="ru-RU" w:eastAsia="zh-CN" w:bidi="ar-SA"/>
              </w:rPr>
              <w:t xml:space="preserve">рнет </w:t>
            </w:r>
            <w:hyperlink r:id="rId10" w:tgtFrame="http://www.gorodperm.ru/">
              <w:r>
                <w:rPr>
                  <w:rStyle w:val="Hyperlink"/>
                  <w:rFonts w:eastAsia="Droid Sans Fallback" w:cs="Lohit Devanagari"/>
                  <w:color w:val="000000"/>
                  <w:sz w:val="24"/>
                  <w:szCs w:val="24"/>
                  <w:shd w:fill="FFFFFF" w:val="clear"/>
                  <w:lang w:val="ru-RU" w:eastAsia="zh-CN" w:bidi="ar-SA"/>
                </w:rPr>
                <w:t>www.gorodperm.ru</w:t>
              </w:r>
            </w:hyperlink>
            <w:r>
              <w:rPr>
                <w:rFonts w:eastAsia="Droid Sans Fallback" w:cs="Lohit Devanagari"/>
                <w:color w:val="000000"/>
                <w:sz w:val="24"/>
                <w:szCs w:val="24"/>
                <w:shd w:fill="FFFFFF" w:val="clear"/>
                <w:lang w:val="ru-RU" w:eastAsia="zh-CN" w:bidi="ar-SA"/>
              </w:rPr>
              <w:t>.</w:t>
            </w:r>
          </w:p>
          <w:p>
            <w:pPr>
              <w:pStyle w:val="Normal"/>
              <w:ind w:firstLine="312"/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ind w:firstLine="311"/>
              <w:jc w:val="both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>Согласно ГПЗУ: Минимальный отступ от границ земельного участка – 3 м, до места допустимого размещения зданий, строений (за исключением границ со стороны территории общего пользования, где отступ определяется с учетом красных линий и линий регулирования застройки, установленных проектом планировки территории, а также границ смежных земельных участков при блокированной жилой застройке).</w:t>
            </w:r>
          </w:p>
          <w:p>
            <w:pPr>
              <w:pStyle w:val="Normal"/>
              <w:ind w:firstLine="311"/>
              <w:jc w:val="both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участка: – 40 %.</w:t>
            </w:r>
          </w:p>
          <w:p>
            <w:pPr>
              <w:pStyle w:val="Normal"/>
              <w:ind w:firstLine="311"/>
              <w:jc w:val="both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>Предельная высота зданий, сооружений – не более 10,5 м.</w:t>
            </w:r>
          </w:p>
          <w:p>
            <w:pPr>
              <w:pStyle w:val="Normal"/>
              <w:ind w:firstLine="311"/>
              <w:jc w:val="both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>Максимальный выступ за красную линию нависающих частей здания наземных уровней, выступающих из плоскости наружной стены фасада здания на высоте не менее 4,5 м над территорией общего пользования, составляет не более 1,2 м от красной линии. В случаях, когда линия регулирования застройки отличается от красной линии, указанный выступ может быть произведен за линию регулирования застройки.</w:t>
            </w:r>
          </w:p>
          <w:p>
            <w:pPr>
              <w:pStyle w:val="Normal"/>
              <w:ind w:firstLine="311"/>
              <w:jc w:val="both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В случае если в границах территориальной зоны предусматривается осуществление деятельности </w:t>
            </w:r>
            <w:r>
              <w:rPr>
                <w:color w:themeColor="text1" w:val="000000"/>
                <w:sz w:val="24"/>
                <w:szCs w:val="24"/>
              </w:rPr>
              <w:br w:type="textWrapping" w:clear="all"/>
            </w:r>
            <w:r>
              <w:rPr>
                <w:color w:themeColor="text1" w:val="000000"/>
                <w:sz w:val="24"/>
                <w:szCs w:val="24"/>
              </w:rPr>
              <w:t>по комплексному развитию территории, расчет показателей минимально допустимого уровня обеспеченности территории объектами коммунальной, транспортной,</w:t>
            </w:r>
            <w:r>
              <w:rPr>
                <w:color w:themeColor="text1" w:val="000000"/>
              </w:rPr>
              <w:t xml:space="preserve"> </w:t>
            </w:r>
            <w:r>
              <w:rPr>
                <w:color w:themeColor="text1" w:val="000000"/>
                <w:sz w:val="24"/>
                <w:szCs w:val="24"/>
              </w:rPr>
              <w:t xml:space="preserve">социальной инфраструктур и расчет показателей максимально допустимого уровня территориальной доступности указанных объектов для населения осуществляются в соответствии </w:t>
            </w:r>
            <w:r>
              <w:rPr>
                <w:color w:themeColor="text1" w:val="000000"/>
                <w:sz w:val="24"/>
                <w:szCs w:val="24"/>
              </w:rPr>
              <w:br w:type="textWrapping" w:clear="all"/>
            </w:r>
            <w:r>
              <w:rPr>
                <w:color w:themeColor="text1" w:val="000000"/>
                <w:sz w:val="24"/>
                <w:szCs w:val="24"/>
              </w:rPr>
              <w:t>с утвержденными нормативами градостроительного проектирования.</w:t>
            </w:r>
          </w:p>
          <w:p>
            <w:pPr>
              <w:pStyle w:val="Normal"/>
              <w:ind w:firstLine="311"/>
              <w:jc w:val="both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Проектирование и строительство необходимо вести </w:t>
            </w:r>
            <w:r>
              <w:rPr>
                <w:color w:themeColor="text1" w:val="000000"/>
                <w:sz w:val="24"/>
                <w:szCs w:val="24"/>
              </w:rPr>
              <w:br w:type="textWrapping" w:clear="all"/>
            </w:r>
            <w:r>
              <w:rPr>
                <w:color w:themeColor="text1" w:val="000000"/>
                <w:sz w:val="24"/>
                <w:szCs w:val="24"/>
              </w:rPr>
              <w:t xml:space="preserve">в соответствии с пунктом 4.5 СП 55.13330.2016 Свода </w:t>
            </w:r>
            <w:r>
              <w:rPr>
                <w:color w:themeColor="text1" w:val="000000"/>
                <w:spacing w:val="-2"/>
                <w:sz w:val="24"/>
                <w:szCs w:val="24"/>
              </w:rPr>
              <w:t>Правил. Дома жилые одноквартирные. СНиП 31-02-2001</w:t>
            </w:r>
            <w:r>
              <w:rPr>
                <w:color w:themeColor="text1" w:val="000000"/>
                <w:sz w:val="24"/>
                <w:szCs w:val="24"/>
              </w:rPr>
              <w:t xml:space="preserve">, утвержденным и введенным в действие Приказом Министерства строительства и жилищно-коммунального </w:t>
            </w:r>
            <w:r>
              <w:rPr>
                <w:color w:themeColor="text1" w:val="000000"/>
                <w:spacing w:val="-2"/>
                <w:sz w:val="24"/>
                <w:szCs w:val="24"/>
              </w:rPr>
              <w:t>хозяйства Российской Федерации от 20.10.2016 № 725/пр.</w:t>
            </w:r>
            <w:r>
              <w:rPr>
                <w:color w:themeColor="text1" w:val="000000"/>
                <w:sz w:val="24"/>
                <w:szCs w:val="24"/>
              </w:rPr>
              <w:t xml:space="preserve"> Дом должен включать комнаты - одну или несколько (общую комнату или гостиную, спальню), а также вспомогательные помещения: переднюю, кухню (в том числе кухню-столовую и (или) кухню-нишу), ванные комнаты и (или) душевые, туалет (уборную) или совмещенный санузел, переднюю. Согласно пункту 6.1 СП 55.13330.2016 площади помещений строящихся и реконструируемых жилых домов должны быть не менее: общей комнаты в однокомнатном доме - 14 м</w:t>
            </w:r>
            <w:r>
              <w:rPr>
                <w:color w:themeColor="text1" w:val="000000"/>
                <w:sz w:val="24"/>
                <w:szCs w:val="24"/>
                <w:vertAlign w:val="superscript"/>
              </w:rPr>
              <w:t>2</w:t>
            </w:r>
            <w:r>
              <w:rPr>
                <w:color w:themeColor="text1" w:val="000000"/>
                <w:sz w:val="24"/>
                <w:szCs w:val="24"/>
              </w:rPr>
              <w:t xml:space="preserve">, общей комнаты в доме с числом комнат две и более - </w:t>
            </w:r>
            <w:r>
              <w:rPr>
                <w:color w:themeColor="text1" w:val="000000"/>
                <w:sz w:val="24"/>
                <w:szCs w:val="24"/>
              </w:rPr>
              <w:br w:type="textWrapping" w:clear="all"/>
            </w:r>
            <w:r>
              <w:rPr>
                <w:color w:themeColor="text1" w:val="000000"/>
                <w:sz w:val="24"/>
                <w:szCs w:val="24"/>
              </w:rPr>
              <w:t>16 м</w:t>
            </w:r>
            <w:r>
              <w:rPr>
                <w:color w:themeColor="text1" w:val="000000"/>
                <w:sz w:val="24"/>
                <w:szCs w:val="24"/>
                <w:vertAlign w:val="superscript"/>
              </w:rPr>
              <w:t>2</w:t>
            </w:r>
            <w:r>
              <w:rPr>
                <w:color w:themeColor="text1" w:val="000000"/>
                <w:sz w:val="24"/>
                <w:szCs w:val="24"/>
              </w:rPr>
              <w:t>, спальни - 8 м</w:t>
            </w:r>
            <w:r>
              <w:rPr>
                <w:color w:themeColor="text1" w:val="000000"/>
                <w:sz w:val="24"/>
                <w:szCs w:val="24"/>
                <w:vertAlign w:val="superscript"/>
              </w:rPr>
              <w:t>2</w:t>
            </w:r>
            <w:r>
              <w:rPr>
                <w:color w:themeColor="text1" w:val="000000"/>
                <w:sz w:val="24"/>
                <w:szCs w:val="24"/>
              </w:rPr>
              <w:t xml:space="preserve"> (на двух человек - 10 м</w:t>
            </w:r>
            <w:r>
              <w:rPr>
                <w:color w:themeColor="text1" w:val="000000"/>
                <w:sz w:val="24"/>
                <w:szCs w:val="24"/>
                <w:vertAlign w:val="superscript"/>
              </w:rPr>
              <w:t>2</w:t>
            </w:r>
            <w:r>
              <w:rPr>
                <w:color w:themeColor="text1" w:val="000000"/>
                <w:sz w:val="24"/>
                <w:szCs w:val="24"/>
              </w:rPr>
              <w:t xml:space="preserve">); кухни - </w:t>
            </w:r>
            <w:r>
              <w:rPr>
                <w:color w:themeColor="text1" w:val="000000"/>
                <w:sz w:val="24"/>
                <w:szCs w:val="24"/>
              </w:rPr>
              <w:br w:type="textWrapping" w:clear="all"/>
            </w:r>
            <w:r>
              <w:rPr>
                <w:color w:themeColor="text1" w:val="000000"/>
                <w:sz w:val="24"/>
                <w:szCs w:val="24"/>
              </w:rPr>
              <w:t>8 м</w:t>
            </w:r>
            <w:r>
              <w:rPr>
                <w:color w:themeColor="text1" w:val="000000"/>
                <w:sz w:val="24"/>
                <w:szCs w:val="24"/>
                <w:vertAlign w:val="superscript"/>
              </w:rPr>
              <w:t>2</w:t>
            </w:r>
            <w:r>
              <w:rPr>
                <w:color w:themeColor="text1" w:val="000000"/>
                <w:sz w:val="24"/>
                <w:szCs w:val="24"/>
              </w:rPr>
              <w:t>; кухонной зоны в кухне-столовой - 6 м</w:t>
            </w:r>
            <w:r>
              <w:rPr>
                <w:color w:themeColor="text1" w:val="000000"/>
                <w:sz w:val="24"/>
                <w:szCs w:val="24"/>
                <w:vertAlign w:val="superscript"/>
              </w:rPr>
              <w:t>2</w:t>
            </w:r>
            <w:r>
              <w:rPr>
                <w:color w:themeColor="text1" w:val="000000"/>
                <w:sz w:val="24"/>
                <w:szCs w:val="24"/>
              </w:rPr>
              <w:t xml:space="preserve">. В домах </w:t>
            </w:r>
            <w:r>
              <w:rPr>
                <w:color w:themeColor="text1" w:val="000000"/>
                <w:sz w:val="24"/>
                <w:szCs w:val="24"/>
              </w:rPr>
              <w:br w:type="textWrapping" w:clear="all"/>
            </w:r>
            <w:r>
              <w:rPr>
                <w:color w:themeColor="text1" w:val="000000"/>
                <w:sz w:val="24"/>
                <w:szCs w:val="24"/>
              </w:rPr>
              <w:t xml:space="preserve">с одной комнатой допускается проектировать кухни </w:t>
            </w:r>
            <w:r>
              <w:rPr>
                <w:color w:themeColor="text1" w:val="000000"/>
                <w:sz w:val="24"/>
                <w:szCs w:val="24"/>
              </w:rPr>
              <w:br w:type="textWrapping" w:clear="all"/>
            </w:r>
            <w:r>
              <w:rPr>
                <w:color w:themeColor="text1" w:val="000000"/>
                <w:sz w:val="24"/>
                <w:szCs w:val="24"/>
              </w:rPr>
              <w:t>или кухни-ниши площадью не менее 5 м</w:t>
            </w:r>
            <w:r>
              <w:rPr>
                <w:color w:themeColor="text1" w:val="000000"/>
                <w:sz w:val="24"/>
                <w:szCs w:val="24"/>
                <w:vertAlign w:val="superscript"/>
              </w:rPr>
              <w:t>2</w:t>
            </w:r>
            <w:r>
              <w:rPr>
                <w:color w:themeColor="text1" w:val="000000"/>
                <w:sz w:val="24"/>
                <w:szCs w:val="24"/>
              </w:rPr>
              <w:t>.</w:t>
            </w:r>
          </w:p>
          <w:p>
            <w:pPr>
              <w:pStyle w:val="Normal"/>
              <w:ind w:firstLine="311"/>
              <w:jc w:val="both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Площадь спальни и кухни в мансардном этаже </w:t>
            </w:r>
            <w:r>
              <w:rPr>
                <w:color w:themeColor="text1" w:val="000000"/>
                <w:sz w:val="24"/>
                <w:szCs w:val="24"/>
              </w:rPr>
              <w:br w:type="textWrapping" w:clear="all"/>
            </w:r>
            <w:r>
              <w:rPr>
                <w:color w:themeColor="text1" w:val="000000"/>
                <w:sz w:val="24"/>
                <w:szCs w:val="24"/>
              </w:rPr>
              <w:t>(или этаже с наклонными ограждающими конструкциями) допускается не менее 7 м</w:t>
            </w:r>
            <w:r>
              <w:rPr>
                <w:color w:themeColor="text1" w:val="000000"/>
                <w:sz w:val="24"/>
                <w:szCs w:val="24"/>
                <w:vertAlign w:val="superscript"/>
              </w:rPr>
              <w:t>2</w:t>
            </w:r>
            <w:r>
              <w:rPr>
                <w:color w:themeColor="text1" w:val="000000"/>
                <w:sz w:val="24"/>
                <w:szCs w:val="24"/>
              </w:rPr>
              <w:t xml:space="preserve"> при условии, что общая жилая комната имеет площадь не менее 16 м</w:t>
            </w:r>
            <w:r>
              <w:rPr>
                <w:color w:themeColor="text1" w:val="000000"/>
                <w:sz w:val="24"/>
                <w:szCs w:val="24"/>
                <w:vertAlign w:val="superscript"/>
              </w:rPr>
              <w:t>2</w:t>
            </w:r>
            <w:r>
              <w:rPr>
                <w:color w:themeColor="text1" w:val="000000"/>
                <w:sz w:val="24"/>
                <w:szCs w:val="24"/>
              </w:rPr>
              <w:t>.</w:t>
            </w:r>
          </w:p>
          <w:p>
            <w:pPr>
              <w:pStyle w:val="Normal"/>
              <w:ind w:firstLine="311"/>
              <w:jc w:val="both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Высота (от пола до потолка) комнат и кухни (кухни-столовой) в климатических районах строительства IА, IБ, IГ, IД, определяемых по </w:t>
            </w:r>
            <w:hyperlink r:id="rId11" w:tgtFrame="https://login.consultant.ru/link/?req=doc&amp;demo=1&amp;base=STR&amp;n=30822&amp;date=23.01.2024">
              <w:r>
                <w:rPr>
                  <w:rStyle w:val="ListLabel47"/>
                  <w:color w:themeColor="text1" w:val="000000"/>
                  <w:sz w:val="24"/>
                  <w:szCs w:val="24"/>
                  <w:u w:val="single"/>
                </w:rPr>
                <w:t>СП 131.13330</w:t>
              </w:r>
            </w:hyperlink>
            <w:r>
              <w:rPr>
                <w:color w:themeColor="text1" w:val="000000"/>
                <w:sz w:val="24"/>
                <w:szCs w:val="24"/>
              </w:rPr>
              <w:t xml:space="preserve">, должна быть не менее 2,7 м, а в других климатических районах строительства - не менее 2,5 м. Высота внутридомовых коридоров, холлов, передних, антресолей должна </w:t>
            </w:r>
            <w:r>
              <w:rPr>
                <w:color w:themeColor="text1" w:val="000000"/>
                <w:spacing w:val="-4"/>
                <w:sz w:val="24"/>
                <w:szCs w:val="24"/>
              </w:rPr>
              <w:t>составлять не менее 2,1 м, а высота пути эвакуации -</w:t>
            </w:r>
            <w:r>
              <w:rPr>
                <w:color w:themeColor="text1" w:val="000000"/>
                <w:sz w:val="24"/>
                <w:szCs w:val="24"/>
              </w:rPr>
              <w:t xml:space="preserve"> не менее 2,2 м.</w:t>
            </w:r>
          </w:p>
          <w:p>
            <w:pPr>
              <w:pStyle w:val="Normal"/>
              <w:ind w:firstLine="311"/>
              <w:jc w:val="both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В жилых комнатах и кухнях, расположенных </w:t>
            </w:r>
            <w:r>
              <w:rPr>
                <w:color w:themeColor="text1" w:val="000000"/>
                <w:sz w:val="24"/>
                <w:szCs w:val="24"/>
              </w:rPr>
              <w:br w:type="textWrapping" w:clear="all"/>
            </w:r>
            <w:r>
              <w:rPr>
                <w:color w:themeColor="text1" w:val="000000"/>
                <w:sz w:val="24"/>
                <w:szCs w:val="24"/>
              </w:rPr>
              <w:t>в этажах с наклонными ограждающими конструкциями или в мансардном этаже, допускается уменьшение высоты помещений (от пола до потолка), относительно нормируемой на площади, не превышающей 50%.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ind w:firstLine="311"/>
              <w:jc w:val="both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</w:rPr>
              <w:t xml:space="preserve">Победителю аукциона (единственному участнику) рекомендовано обратиться в уполномоченный орган </w:t>
            </w:r>
            <w:r>
              <w:rPr>
                <w:color w:themeColor="text1" w:val="000000"/>
              </w:rPr>
              <w:br w:type="textWrapping" w:clear="all"/>
            </w:r>
            <w:r>
              <w:rPr>
                <w:color w:themeColor="text1" w:val="000000"/>
              </w:rPr>
              <w:t>с уведомлением о планируемом строительстве жилого дома.</w:t>
            </w:r>
          </w:p>
        </w:tc>
      </w:tr>
      <w:tr>
        <w:trPr>
          <w:trHeight w:val="144" w:hRule="atLeast"/>
        </w:trPr>
        <w:tc>
          <w:tcPr>
            <w:tcW w:w="3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84" w:left="5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возможность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31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ind w:firstLine="31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  <w:shd w:fill="FFFFFF" w:val="clear"/>
              </w:rPr>
              <w:t xml:space="preserve">документации по земельному участку, размещенной </w:t>
              <w:br/>
              <w:t xml:space="preserve">с извещением о проведении аукциона  в ГИС Торги </w:t>
            </w:r>
            <w:r>
              <w:rPr>
                <w:sz w:val="24"/>
                <w:szCs w:val="24"/>
                <w:lang w:val="en-US"/>
              </w:rPr>
              <w:t>www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torgi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gov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ru</w:t>
            </w:r>
            <w:r>
              <w:rPr>
                <w:sz w:val="24"/>
                <w:szCs w:val="24"/>
                <w:shd w:fill="FFFFFF" w:val="clear"/>
              </w:rPr>
              <w:t>, на официальном сайте муниципального образования город Пермь в информационно-телекоммуникационной сети Инт</w:t>
            </w:r>
            <w:r>
              <w:rPr>
                <w:rFonts w:eastAsia="Droid Sans Fallback" w:cs="Lohit Devanagari"/>
                <w:color w:val="000000"/>
                <w:sz w:val="24"/>
                <w:szCs w:val="24"/>
                <w:shd w:fill="FFFFFF" w:val="clear"/>
                <w:lang w:val="ru-RU" w:eastAsia="zh-CN" w:bidi="ar-SA"/>
              </w:rPr>
              <w:t xml:space="preserve">ернет </w:t>
            </w:r>
            <w:hyperlink r:id="rId12" w:tgtFrame="http://www.gorodperm.ru/">
              <w:r>
                <w:rPr>
                  <w:rStyle w:val="Hyperlink"/>
                  <w:rFonts w:eastAsia="Droid Sans Fallback" w:cs="Lohit Devanagari"/>
                  <w:color w:val="000000"/>
                  <w:sz w:val="24"/>
                  <w:szCs w:val="24"/>
                  <w:shd w:fill="FFFFFF" w:val="clear"/>
                  <w:lang w:val="ru-RU" w:eastAsia="zh-CN" w:bidi="ar-SA"/>
                </w:rPr>
                <w:t>www.gorodperm.ru</w:t>
              </w:r>
            </w:hyperlink>
            <w:r>
              <w:rPr>
                <w:rFonts w:eastAsia="Droid Sans Fallback" w:cs="Lohit Devanagari"/>
                <w:color w:val="000000"/>
                <w:sz w:val="24"/>
                <w:szCs w:val="24"/>
                <w:shd w:fill="FFFFFF" w:val="clear"/>
                <w:lang w:val="ru-RU" w:eastAsia="zh-CN" w:bidi="ar-SA"/>
              </w:rPr>
              <w:t>.</w:t>
            </w:r>
          </w:p>
          <w:p>
            <w:pPr>
              <w:pStyle w:val="Normal"/>
              <w:ind w:firstLine="31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 xml:space="preserve">О наличии технической возможности технологического присоединения энергопринимающего устройства объекта </w:t>
              <w:br/>
              <w:t>с предполагаемым электоропотреблением 15 кВт, сообщается следующее.</w:t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sz w:val="24"/>
                <w:szCs w:val="20"/>
              </w:rPr>
              <w:t xml:space="preserve">В соответствии с «Правилами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сетям», утвержденными постановлением Правительства Российской Федерации </w:t>
              <w:br/>
              <w:t>от 27.12.2004 № 861 (далее – Правила), конкретные технические условия на энергосбережение объекта разрабатываются в составе договора о технологическом присоединении.</w:t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sz w:val="24"/>
                <w:szCs w:val="20"/>
              </w:rPr>
              <w:t xml:space="preserve">Плата за технологическое присоединение энергопринимающих устройств устанавливается исходя </w:t>
              <w:br/>
              <w:t xml:space="preserve">из стоимости мероприятий по технологическому присоединению, размер платы определяется по утвержденным тарифам согласно постановлению Министерства тарифного регулирования и энергетики Пермского края от 23.11.2023 </w:t>
              <w:br/>
              <w:t>№ 121-тп (в последней редакции).</w:t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sz w:val="24"/>
                <w:szCs w:val="20"/>
              </w:rPr>
              <w:t>Электроснабжение объекта возможно будет осуществить при условии строительства питающей линии электропередачи 0,4 кВ на основании договора об осуществлении технологического присоединения объекта к электрическим сетям филиала «Пермэнерго».</w:t>
            </w:r>
          </w:p>
          <w:p>
            <w:pPr>
              <w:pStyle w:val="Normal"/>
              <w:ind w:firstLine="283" w:left="0" w:right="0"/>
              <w:jc w:val="both"/>
              <w:rPr>
                <w:color w:themeColor="text1" w:val="000000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themeColor="text1" w:val="000000"/>
                <w:sz w:val="24"/>
                <w:szCs w:val="24"/>
              </w:rPr>
              <w:t xml:space="preserve">Филиала ПАО «Россети Урал» - «Пермэнерго» </w:t>
            </w:r>
            <w:r>
              <w:rPr>
                <w:color w:themeColor="text1" w:val="000000"/>
                <w:sz w:val="24"/>
                <w:szCs w:val="24"/>
              </w:rPr>
              <w:t>(ранее – ОАО «МРСК Урала – филиал Пермэнерго») от 10.07.2023                                     № ПЭ/ПГЭС/22/435).</w:t>
            </w:r>
          </w:p>
          <w:p>
            <w:pPr>
              <w:pStyle w:val="Normal"/>
              <w:ind w:firstLine="283" w:left="0" w:right="0"/>
              <w:jc w:val="both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Техническая возможность подключения объекта капитального строительства с предполагаемой максимальной нагрузкой (часовым расходом газа) 8м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>/час к существующим сетям газораспределения имеется.</w:t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Возможная точка подключения – газопровод низкого давления по ул. 1-я Красавинская, г. Пермь. Ориентировочное расстояние от точки подключения до границ Участка составляет 17 п.м.</w:t>
            </w:r>
          </w:p>
          <w:p>
            <w:pPr>
              <w:pStyle w:val="Normal"/>
              <w:ind w:firstLine="283" w:left="0" w:right="0"/>
              <w:jc w:val="both"/>
              <w:rPr>
                <w:color w:themeColor="text1" w:val="000000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themeColor="text1" w:val="000000"/>
                <w:sz w:val="24"/>
                <w:szCs w:val="24"/>
              </w:rPr>
              <w:t>АО «Газпром газораспределение Пермь»</w:t>
            </w:r>
            <w:r>
              <w:rPr>
                <w:color w:themeColor="text1" w:val="000000"/>
                <w:sz w:val="24"/>
                <w:szCs w:val="24"/>
              </w:rPr>
              <w:t xml:space="preserve"> от 03.08.2023 № ПР-2918).</w:t>
            </w:r>
          </w:p>
          <w:p>
            <w:pPr>
              <w:pStyle w:val="Normal"/>
              <w:ind w:firstLine="283" w:left="0" w:right="0"/>
              <w:jc w:val="both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наличии технической возможности подключения объекта капитального строительства с планируемой величиной подключаемой нагрузки по водоснабжению и водоотведению – 1,0 м3/сут. к централизованным системам водоснабжения </w:t>
              <w:br/>
              <w:t>и водоотведения сообщается следующее.</w:t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Централизованные сети водоснабжения и водоотведения,  эксплуатируемые ООО «НОВОГОР-Прикамье» отсутствуют.</w:t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 xml:space="preserve">Ближайшие сети водоснабжения, эксплуатируемые </w:t>
              <w:br/>
              <w:t>ООО «НОВОГОР-Прикамье», располагаются на пересечении ул. Встречная и ул. Оверятская ориентировочно на расстоянии – 700 м от Участка.</w:t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 xml:space="preserve">Ближайшие сети водоотведения, эксплуатируемые ООО «НОВОГОР-Прикамье», располагаются по ул. 5-я Ипподромная ориентировочно на расстоянии – 1340 м </w:t>
              <w:br/>
              <w:t>от Участка.</w:t>
            </w:r>
          </w:p>
          <w:p>
            <w:pPr>
              <w:pStyle w:val="Normal"/>
              <w:ind w:firstLine="283" w:left="0" w:right="0"/>
              <w:jc w:val="both"/>
              <w:rPr>
                <w:color w:themeColor="text1" w:val="000000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</w:t>
              <w:br/>
            </w:r>
            <w:r>
              <w:rPr>
                <w:b/>
                <w:color w:themeColor="text1" w:val="000000"/>
                <w:sz w:val="24"/>
                <w:szCs w:val="24"/>
              </w:rPr>
              <w:t xml:space="preserve">ООО «НОВОГОР-Прикамье» </w:t>
            </w:r>
            <w:r>
              <w:rPr>
                <w:color w:themeColor="text1" w:val="000000"/>
                <w:sz w:val="24"/>
                <w:szCs w:val="24"/>
              </w:rPr>
              <w:t>от 27.06.2023 № 110-10086).</w:t>
            </w:r>
          </w:p>
          <w:p>
            <w:pPr>
              <w:pStyle w:val="Normal"/>
              <w:ind w:firstLine="283" w:left="0" w:right="0"/>
              <w:jc w:val="both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Участок расположен вне зоны теплоснабжения </w:t>
              <w:br/>
              <w:t>ПАО «Т Плюс».</w:t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запроса информации о возможности подключения земельного участка рекомендуется обратиться к собственнику близлежащих тепловых сетей/источников теплоснабжения или рассмотреть возможность альтернативного источника теплоснабжения.</w:t>
            </w:r>
          </w:p>
          <w:p>
            <w:pPr>
              <w:pStyle w:val="Normal"/>
              <w:ind w:firstLine="283" w:left="0" w:right="0"/>
              <w:jc w:val="both"/>
              <w:rPr>
                <w:color w:themeColor="text1" w:val="000000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themeColor="text1" w:val="000000"/>
                <w:sz w:val="24"/>
                <w:szCs w:val="24"/>
              </w:rPr>
              <w:t>Филиала «Пермский ПАО «Т Плюс»</w:t>
            </w:r>
            <w:r>
              <w:rPr>
                <w:color w:themeColor="text1" w:val="000000"/>
                <w:sz w:val="24"/>
                <w:szCs w:val="24"/>
              </w:rPr>
              <w:t xml:space="preserve"> от 26.06.2023 № 51000-32-01930).</w:t>
            </w:r>
          </w:p>
          <w:p>
            <w:pPr>
              <w:pStyle w:val="Normal"/>
              <w:ind w:firstLine="283" w:left="0" w:right="0"/>
              <w:jc w:val="both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Техническая возможность подключения к сетям теплоснабжения отсутствует. Рекомендовано рассмотреть альтернативный источник теплоснабжения – газ.</w:t>
            </w:r>
          </w:p>
          <w:p>
            <w:pPr>
              <w:pStyle w:val="Normal"/>
              <w:ind w:firstLine="283" w:left="0" w:right="0"/>
              <w:jc w:val="both"/>
              <w:rPr>
                <w:color w:themeColor="text1" w:val="000000"/>
              </w:rPr>
            </w:pPr>
            <w:r>
              <w:rPr>
                <w:color w:themeColor="text1" w:val="000000"/>
                <w:sz w:val="24"/>
                <w:szCs w:val="24"/>
              </w:rPr>
              <w:t>(Аналогичная информация отражена в письме д</w:t>
            </w:r>
            <w:r>
              <w:rPr>
                <w:b/>
                <w:color w:themeColor="text1" w:val="000000"/>
                <w:sz w:val="24"/>
                <w:szCs w:val="24"/>
              </w:rPr>
              <w:t>епартамента жилищно-коммунального хозяйства администрации города Перми</w:t>
            </w:r>
            <w:r>
              <w:rPr>
                <w:color w:themeColor="text1" w:val="000000"/>
                <w:sz w:val="24"/>
                <w:szCs w:val="24"/>
              </w:rPr>
              <w:t xml:space="preserve"> от 30.06.2023 № 059-04-25/3-45-ри).</w:t>
            </w:r>
          </w:p>
          <w:p>
            <w:pPr>
              <w:pStyle w:val="Normal"/>
              <w:ind w:firstLine="283" w:left="0" w:right="0"/>
              <w:jc w:val="both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Техническое присоединение планируемых к строительству объектов в границах Участка может быть произведено в точке подключения – узел ВОЛС (г. Пермь, ул. 2-я Красавинская, 79), максимальную нагрузку в точке подключения (технологического присоединения) определить на стадии проектирования.</w:t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Для подключения (технологического присоединения) вышеуказанных объектов к сетям электросвязи ПАО «Ростелеком» необходим запрос правообладателя земельного участка на выдачу технических условий подключения или заявки о заключении договора о подключении в порядке, определенном действующим законодательством.</w:t>
            </w:r>
          </w:p>
          <w:p>
            <w:pPr>
              <w:pStyle w:val="Normal"/>
              <w:ind w:firstLine="283" w:left="0" w:right="0"/>
              <w:jc w:val="both"/>
              <w:rPr>
                <w:color w:themeColor="text1" w:val="000000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</w:t>
              <w:br/>
            </w:r>
            <w:r>
              <w:rPr>
                <w:b/>
                <w:color w:themeColor="text1" w:val="000000"/>
                <w:sz w:val="24"/>
                <w:szCs w:val="24"/>
              </w:rPr>
              <w:t>ПАО «Ростелеком»</w:t>
            </w:r>
            <w:r>
              <w:rPr>
                <w:color w:themeColor="text1" w:val="000000"/>
                <w:sz w:val="24"/>
                <w:szCs w:val="24"/>
              </w:rPr>
              <w:t xml:space="preserve"> от 10.07.2024 № 01/05/98536/24).</w:t>
            </w:r>
          </w:p>
          <w:p>
            <w:pPr>
              <w:pStyle w:val="Normal"/>
              <w:ind w:firstLine="41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trHeight w:val="225" w:hRule="atLeast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left="113" w:right="57"/>
              <w:jc w:val="left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Начальная цена предмета аукциона</w:t>
            </w:r>
          </w:p>
          <w:p>
            <w:pPr>
              <w:pStyle w:val="Normal"/>
              <w:widowControl/>
              <w:spacing w:before="0" w:after="0"/>
              <w:ind w:hanging="0" w:left="113" w:right="57"/>
              <w:jc w:val="left"/>
              <w:rPr>
                <w:highlight w:val="none"/>
                <w:shd w:fill="auto" w:val="clear"/>
              </w:rPr>
            </w:pPr>
            <w:r>
              <w:rPr>
                <w:b/>
                <w:sz w:val="24"/>
                <w:szCs w:val="24"/>
                <w:shd w:fill="auto" w:val="clear"/>
              </w:rPr>
              <w:t>(рыночная стоимость земельного участка)</w:t>
            </w:r>
          </w:p>
          <w:p>
            <w:pPr>
              <w:pStyle w:val="Normal"/>
              <w:ind w:right="-263"/>
              <w:rPr>
                <w:b/>
                <w:bCs/>
                <w:sz w:val="24"/>
                <w:szCs w:val="24"/>
                <w:highlight w:val="none"/>
              </w:rPr>
            </w:pPr>
            <w:r>
              <w:rPr>
                <w:b/>
                <w:bCs/>
                <w:sz w:val="24"/>
                <w:szCs w:val="24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sz w:val="24"/>
                <w:szCs w:val="24"/>
                <w:highlight w:val="none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24"/>
              </w:rPr>
              <w:t>По условиям пункта 4.1 проекта договора купли-продажи земельного участка, приобретаемого на торгах в форме аукциона (Приложение 3 к настоящему извещению),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победитель аукциона, иное лицо, с которым договор заключается в соответствии с п.13, п.14, п. 20 или п. 25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 xml:space="preserve">ст. 39.12 Земельного Кодекса Российской Федерации (далее – ЗК РФ), обязан </w:t>
            </w:r>
            <w:r>
              <w:rPr>
                <w:b/>
                <w:sz w:val="24"/>
                <w:szCs w:val="24"/>
                <w:shd w:fill="auto" w:val="clear"/>
              </w:rPr>
              <w:t>в течение 15 дней</w:t>
            </w:r>
            <w:r>
              <w:rPr>
                <w:sz w:val="24"/>
                <w:szCs w:val="24"/>
                <w:shd w:fill="auto" w:val="clear"/>
              </w:rPr>
              <w:t xml:space="preserve"> со дня размещения  протокола о результатах аукциона, а в случаях, определенных п.13, п.14, ст. 39.12 ЗК РФ, протокола рассмотрения заявок, </w:t>
            </w:r>
            <w:r>
              <w:rPr>
                <w:b/>
                <w:sz w:val="24"/>
                <w:szCs w:val="24"/>
                <w:shd w:fill="auto" w:val="clear"/>
              </w:rPr>
              <w:t xml:space="preserve">перечислить денежные средства </w:t>
            </w:r>
            <w:r>
              <w:rPr>
                <w:sz w:val="24"/>
                <w:szCs w:val="24"/>
                <w:shd w:fill="auto" w:val="clear"/>
              </w:rPr>
              <w:t>за земельный участок (за вычетом задатка, внесенного для участия в аукционе) на счет департамента земельных отношений администрации города Перми, 614000, ул. Сибирская,15, тел. 212-61-90 (отдел договоров), реквизиты которого указаны в проекте договора купли-продажи земельного участка (Приложение 3 к настоящему извещению)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2 196 000 руб.</w:t>
            </w:r>
          </w:p>
        </w:tc>
      </w:tr>
      <w:tr>
        <w:trPr>
          <w:trHeight w:val="225" w:hRule="atLeast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«Шаг аукциона» (5% от начальной цены предмета аукциона)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109 800 руб.</w:t>
            </w:r>
          </w:p>
        </w:tc>
      </w:tr>
      <w:tr>
        <w:trPr>
          <w:trHeight w:val="416" w:hRule="atLeast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Форма заявки на участие в аукционе</w:t>
            </w:r>
          </w:p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  <w:t xml:space="preserve">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документов, указанных в подпунктах 2-4 пункта 1, пункте 1.1 статьи 39.12 Земельного кодекса Российской Федерации (копии документов, удостоверяющих личность заявителя (для граждан); надлежащим образом заверенный перевод на русский язык документов </w:t>
              <w:br/>
              <w:t xml:space="preserve">о государственной регистрации юридического лица </w:t>
              <w:br/>
              <w:t>в соответствии с законодательством иностранного государства в случае, если заявителем является иностранное юридическое лицо; документы, подтверждающие внесение задатка).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каждый лот представляется отдельный пакет документов.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Решение о проведении аукциона принято в соответствии со статьей 39.18 Земельного кодекса Российской Федерации, участниками аукциона могут являться только граждане.</w:t>
            </w:r>
          </w:p>
        </w:tc>
      </w:tr>
      <w:tr>
        <w:trPr>
          <w:trHeight w:val="236" w:hRule="atLeast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Размер задатка (50% от начальной цены предмета аукциона)</w:t>
            </w:r>
          </w:p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1 098 000 руб.</w:t>
            </w:r>
          </w:p>
        </w:tc>
      </w:tr>
      <w:tr>
        <w:trPr>
          <w:trHeight w:val="236" w:hRule="atLeast"/>
        </w:trPr>
        <w:tc>
          <w:tcPr>
            <w:tcW w:w="3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3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 xml:space="preserve">Дата </w:t>
            </w:r>
            <w:r>
              <w:rPr>
                <w:b w:val="false"/>
                <w:shd w:fill="auto" w:val="clear"/>
              </w:rPr>
              <w:t xml:space="preserve">размещения извещения в соответствии с пп. 1 п. 1 ст. 39.18 Земельного кодекса Российской Федерации на  </w:t>
            </w:r>
            <w:r>
              <w:rPr>
                <w:b w:val="false"/>
                <w:sz w:val="24"/>
                <w:szCs w:val="24"/>
                <w:shd w:fill="auto" w:val="clear"/>
                <w:lang w:val="en-US" w:eastAsia="en-US"/>
              </w:rPr>
              <w:t>сайтах www.torgi.gov.ru, www.gorodperm.ru</w:t>
            </w:r>
          </w:p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  <w:tc>
          <w:tcPr>
            <w:tcW w:w="6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28.01.2022</w:t>
            </w:r>
          </w:p>
        </w:tc>
      </w:tr>
      <w:tr>
        <w:trPr>
          <w:trHeight w:val="1884" w:hRule="atLeast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договора купли-продажи земельного участка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Проект договора купли-продажи земельного участка, приобретаемого на торгах в форме аукциона, является Приложением 3 к настоящему извещению и </w:t>
            </w:r>
            <w:r>
              <w:rPr>
                <w:sz w:val="24"/>
                <w:szCs w:val="24"/>
                <w:lang w:val="en-US" w:eastAsia="en-US"/>
              </w:rPr>
              <w:t>размещен на сайтах www.torgi.gov.ru, www.gorodperm.ru (раздел Деятельность/ Муниципальная собственность/ Торговая площадка Вид торгов Продажа и аренда земельных участков)</w:t>
            </w:r>
          </w:p>
        </w:tc>
      </w:tr>
      <w:tr>
        <w:trPr>
          <w:trHeight w:val="76" w:hRule="atLeast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осмотра земельного участка на местности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Осмотр земельного участка производится заявителем самостоятельно в любое время с даты опубликования настоящего извещения.</w:t>
            </w:r>
          </w:p>
        </w:tc>
      </w:tr>
    </w:tbl>
    <w:p>
      <w:pPr>
        <w:pStyle w:val="Normal"/>
        <w:spacing w:lineRule="exact" w:line="240"/>
        <w:ind w:right="-263"/>
        <w:rPr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left" w:pos="5103" w:leader="none"/>
        </w:tabs>
        <w:ind w:right="-263"/>
        <w:rPr>
          <w:b/>
          <w:bCs/>
          <w:highlight w:val="none"/>
          <w:lang w:val="en-US"/>
        </w:rPr>
      </w:pPr>
      <w:r>
        <w:rPr>
          <w:b/>
          <w:lang w:val="en-US"/>
        </w:rPr>
        <w:t>Лот № 3</w:t>
      </w:r>
    </w:p>
    <w:tbl>
      <w:tblPr>
        <w:tblW w:w="10485" w:type="dxa"/>
        <w:jc w:val="left"/>
        <w:tblInd w:w="-4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356"/>
        <w:gridCol w:w="3308"/>
        <w:gridCol w:w="6821"/>
      </w:tblGrid>
      <w:tr>
        <w:trPr>
          <w:trHeight w:val="877" w:hRule="atLeast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органа</w:t>
            </w:r>
          </w:p>
          <w:p>
            <w:pPr>
              <w:pStyle w:val="Normal"/>
              <w:spacing w:lineRule="auto" w:line="240" w:before="0" w:after="0"/>
              <w:ind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местного самоуправления, принявшего решение о проведении аукциона, реквизиты указанного решения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города Перми, распоряжение начальника  департамента земельных отношений администрации города Перми  </w:t>
            </w:r>
            <w:r>
              <w:rPr>
                <w:sz w:val="24"/>
                <w:szCs w:val="28"/>
                <w:highlight w:val="white"/>
              </w:rPr>
              <w:t>от 03 марта 2026 г. № 21-01-03-1326 «О проведении аукциона по продаже земельного участка в Ленинском районе города Перми»</w:t>
            </w:r>
          </w:p>
        </w:tc>
      </w:tr>
      <w:tr>
        <w:trPr>
          <w:trHeight w:val="225" w:hRule="atLeast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 аукциона по продаже земельного участка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93" w:hRule="atLeast"/>
        </w:trPr>
        <w:tc>
          <w:tcPr>
            <w:tcW w:w="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3"/>
              </w:numPr>
              <w:ind w:hanging="360" w:left="720"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местоположение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Федерация, Пермский край, городской округ  Пермский, город Пермь, улица Лабинская, з/у 25б</w:t>
            </w:r>
          </w:p>
        </w:tc>
      </w:tr>
      <w:tr>
        <w:trPr>
          <w:trHeight w:val="148" w:hRule="atLeast"/>
        </w:trPr>
        <w:tc>
          <w:tcPr>
            <w:tcW w:w="3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3"/>
              </w:numPr>
              <w:ind w:hanging="360" w:left="720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площадь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1530 кв. м</w:t>
            </w:r>
          </w:p>
        </w:tc>
      </w:tr>
      <w:tr>
        <w:trPr>
          <w:trHeight w:val="155" w:hRule="atLeast"/>
        </w:trPr>
        <w:tc>
          <w:tcPr>
            <w:tcW w:w="3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3"/>
              </w:numPr>
              <w:ind w:hanging="360" w:left="720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кадастровый номер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>
                <w:sz w:val="24"/>
                <w:szCs w:val="24"/>
              </w:rPr>
            </w:pPr>
            <w:r>
              <w:rPr/>
              <w:t>59:01:3218014:147</w:t>
            </w:r>
          </w:p>
        </w:tc>
      </w:tr>
      <w:tr>
        <w:trPr>
          <w:trHeight w:val="144" w:hRule="atLeast"/>
        </w:trPr>
        <w:tc>
          <w:tcPr>
            <w:tcW w:w="3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3"/>
              </w:numPr>
              <w:spacing w:before="0" w:after="0"/>
              <w:ind w:hanging="360" w:left="720" w:right="11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права на земельный участок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государственная собственность не разграничена</w:t>
            </w:r>
          </w:p>
        </w:tc>
      </w:tr>
      <w:tr>
        <w:trPr>
          <w:trHeight w:val="144" w:hRule="atLeast"/>
        </w:trPr>
        <w:tc>
          <w:tcPr>
            <w:tcW w:w="3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3"/>
              </w:numPr>
              <w:spacing w:before="0" w:after="0"/>
              <w:ind w:hanging="360" w:left="720" w:right="11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разрешенного использования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для индивидуального жилищного строительства</w:t>
            </w:r>
          </w:p>
        </w:tc>
      </w:tr>
      <w:tr>
        <w:trPr>
          <w:trHeight w:val="576" w:hRule="atLeast"/>
        </w:trPr>
        <w:tc>
          <w:tcPr>
            <w:tcW w:w="3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3"/>
              </w:numPr>
              <w:spacing w:before="0" w:after="0"/>
              <w:ind w:hanging="360" w:left="720" w:right="11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принадлежность к определенной  </w:t>
              <w:br/>
              <w:t>категории земель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земли населенных пунктов</w:t>
            </w:r>
          </w:p>
        </w:tc>
      </w:tr>
      <w:tr>
        <w:trPr>
          <w:trHeight w:val="576" w:hRule="atLeast"/>
        </w:trPr>
        <w:tc>
          <w:tcPr>
            <w:tcW w:w="3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4"/>
              </w:numPr>
              <w:spacing w:before="0" w:after="0"/>
              <w:ind w:hanging="360" w:left="720" w:right="11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принадлежность к определенной  </w:t>
              <w:br/>
              <w:t>территориальной зоне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/>
            </w:pPr>
            <w:r>
              <w:rPr>
                <w:sz w:val="24"/>
                <w:szCs w:val="24"/>
              </w:rPr>
              <w:t>Ж-4 «Зона индивидуальной жилой застройки городского типа»</w:t>
            </w:r>
          </w:p>
        </w:tc>
      </w:tr>
      <w:tr>
        <w:trPr>
          <w:trHeight w:val="144" w:hRule="atLeast"/>
        </w:trPr>
        <w:tc>
          <w:tcPr>
            <w:tcW w:w="3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3"/>
              </w:numPr>
              <w:spacing w:before="0" w:after="0"/>
              <w:ind w:hanging="360" w:left="720" w:right="11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ограничение прав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3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Ограничения прав подробно описаны:</w:t>
            </w:r>
          </w:p>
          <w:p>
            <w:pPr>
              <w:pStyle w:val="Normal"/>
              <w:ind w:firstLine="311"/>
              <w:jc w:val="both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>в выписке из Единого государственного реестра недвижимости об объекте недвижимости от 19.03.2026г.            № КУВИ-001/2026-36799571 (далее - ЕГРН)</w:t>
            </w:r>
            <w:r>
              <w:rPr>
                <w:sz w:val="24"/>
                <w:szCs w:val="24"/>
                <w14:ligatures w14:val="none"/>
              </w:rPr>
              <w:t>;</w:t>
            </w:r>
          </w:p>
          <w:p>
            <w:pPr>
              <w:pStyle w:val="Normal"/>
              <w:ind w:firstLine="3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градостроительном плане земельного участка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>
              <w:rPr>
                <w:color w:val="000000"/>
                <w:sz w:val="24"/>
                <w:szCs w:val="24"/>
              </w:rPr>
              <w:t>10.09.2025 № РФ-59-2-03-0-00-2025-2217-0</w:t>
            </w:r>
            <w:r>
              <w:rPr>
                <w:sz w:val="24"/>
                <w:szCs w:val="24"/>
              </w:rPr>
              <w:t xml:space="preserve"> (далее – ГПЗУ) (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4"/>
              </w:rPr>
              <w:t>Приложение 6 к настоящему извещению)</w:t>
            </w:r>
            <w:r>
              <w:rPr>
                <w:sz w:val="24"/>
                <w:szCs w:val="24"/>
              </w:rPr>
              <w:t>.</w:t>
            </w:r>
          </w:p>
          <w:p>
            <w:pPr>
              <w:pStyle w:val="BodyText"/>
              <w:ind w:firstLine="36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Участок свободен, строения, сооружения отсутствуют.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/>
            </w:pPr>
            <w:r>
              <w:rPr>
                <w:sz w:val="24"/>
                <w:szCs w:val="24"/>
              </w:rPr>
              <w:t>Ближайшие водоисточники - наружные водопроводные сети с пожарными гидрантами расположены по ул. Лабинская, 10а          и Лабинская, 14.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/>
            </w:pPr>
            <w:r>
              <w:rPr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sz w:val="24"/>
                <w:szCs w:val="24"/>
              </w:rPr>
              <w:t xml:space="preserve">администрации Ленинского района города Перми </w:t>
            </w:r>
            <w:r>
              <w:rPr>
                <w:sz w:val="24"/>
                <w:szCs w:val="24"/>
              </w:rPr>
              <w:t>от 19.09.2025 № 059-26-01-13/3-965, в акте обследования территории от 18.09.2025).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>В соответствии со сведениями из ЕГРН объекты капитального строительства отсутствуют.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>Согласно геодезической съемке, выполненной в 2024 году,      в границах Участка с южной стороны расположен забор смежного участка, сети электроснабжения.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Согласно копии планшета (требуется корректура) </w:t>
              <w:br/>
              <w:t>на Участке с северной стороны и частично с восточной стороны расположен забор смежных участков, сети электроснабжения.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eastAsia="Times New Roman" w:cs="Times New Roman"/>
                <w:color w:themeColor="text1" w:val="000000"/>
                <w:sz w:val="24"/>
                <w:szCs w:val="24"/>
                <w14:ligatures w14:val="none"/>
              </w:rPr>
            </w:r>
          </w:p>
          <w:p>
            <w:pPr>
              <w:pStyle w:val="Normal"/>
              <w:spacing w:lineRule="auto" w:line="240" w:before="0" w:after="0"/>
              <w:ind w:firstLine="3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Согласно сведениям, содержащимся в ГПЗУ, ЕГРН </w:t>
              <w:br/>
              <w:t>и справке по градостроительным ус</w:t>
            </w:r>
            <w:r>
              <w:rPr>
                <w:sz w:val="24"/>
                <w:szCs w:val="24"/>
                <w:highlight w:val="white"/>
              </w:rPr>
              <w:t>ловиям от 19.03.2026                   № 670541, Участок расположен в границах зон с особыми условиями использования территор</w:t>
            </w:r>
            <w:r>
              <w:rPr>
                <w:sz w:val="24"/>
                <w:szCs w:val="24"/>
              </w:rPr>
              <w:t>ии:</w:t>
            </w:r>
          </w:p>
          <w:p>
            <w:pPr>
              <w:pStyle w:val="Normal"/>
              <w:spacing w:lineRule="auto" w:line="240" w:before="0" w:after="0"/>
              <w:ind w:firstLine="3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полностью в Приаэродромной территории аэродрома аэропорта Большое Савино, реестровый номер границы                    59:32-6.553;</w:t>
            </w:r>
          </w:p>
          <w:p>
            <w:pPr>
              <w:pStyle w:val="Normal"/>
              <w:spacing w:lineRule="auto" w:line="240" w:before="0" w:after="0"/>
              <w:ind w:firstLine="3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частично в границах зоны с особыми условиями использования территории: Иная зона с особыми условиями использования территории «Зона затопления территорий, прилегающих к зарегулированной р. Кама (Воткинскому водохранилищу) в нижнем бьефе Камского гидроузла в г. Перми Пермского края, затапливаемых при пропуске Камским гидроузлом паводков расчетной обеспеченности 1%», реестровый номер границы 59:00-6.2017. Площадь пересечения 1450 кв.м.</w:t>
            </w:r>
          </w:p>
          <w:p>
            <w:pPr>
              <w:pStyle w:val="Normal"/>
              <w:spacing w:lineRule="auto" w:line="240" w:before="0" w:after="0"/>
              <w:ind w:firstLine="3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частично в «Охранной зоне ВЛ 0,4кВ от ТП-1658». Реестровый номер границы 59:01-6.4738, площадь пересечения составляет 136 кв.м.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Проектирование и строительство вести в соответствии с: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постановлением Правительства Российской Федерации от 11.03.2010 № 138 «Об утверждении Федеральных правил использования воздушного пространства Российской Федерации»;</w:t>
            </w:r>
          </w:p>
          <w:p>
            <w:pPr>
              <w:pStyle w:val="Normal"/>
              <w:spacing w:lineRule="auto" w:line="240" w:before="0" w:after="0"/>
              <w:ind w:firstLine="340"/>
              <w:jc w:val="both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>приказом Камского бассейнового водного управления Федерального агентства водных ресурсов от 21.11.2022 № 239 «Об установлении границ зон затопления на территориях, прилегающих к зарегулированной р. Кама (Воткинскому водохранилищу) в нижнем бьефе Камского гидроузла                            в г. Перми Пермского края, затапливаемых при пропуске Камским гидроузлом паводков расчетной обеспеченности 1%»; ограничения использования объектов недвижимости                    в соответствии с частью 3 статьи 67.1 Водного кодекса Российской Федерации.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постановлением Правительства Российской Федерации от 24.02.2009 №160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3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На Участке произрастает 20 деревьев – клен ясенелистный                         6 шт., ива 6 шт., береза 4 шт., осина 4 шт.</w:t>
            </w:r>
          </w:p>
          <w:p>
            <w:pPr>
              <w:pStyle w:val="Normal"/>
              <w:spacing w:lineRule="auto" w:line="240" w:before="0" w:after="0"/>
              <w:ind w:firstLine="3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Восстановительная стоимость сносимых зеленых насаждений в ценах 2025 года: одного лиственного дерева от 25 тыс. руб., хвойной – от 30 тыс. руб.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eastAsia="Times New Roman" w:cs="Times New Roman"/>
                <w:color w:themeColor="text1" w:val="000000"/>
                <w:spacing w:val="0"/>
                <w:sz w:val="24"/>
              </w:rPr>
              <w:t xml:space="preserve">Победителю аукциона необходимо соблюдать условия строительства, перечисленные в перечне мероприятий </w:t>
              <w:br/>
              <w:t>по охране окружающей среды от 16.09.2025 № 295.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/>
            </w:pPr>
            <w:r>
              <w:rPr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sz w:val="24"/>
                <w:szCs w:val="24"/>
              </w:rPr>
              <w:t xml:space="preserve">управления по экологии </w:t>
            </w:r>
            <w:r>
              <w:rPr>
                <w:b/>
                <w:spacing w:val="-6"/>
                <w:sz w:val="24"/>
                <w:szCs w:val="24"/>
              </w:rPr>
              <w:t>и природопользованию администрации города Перми</w:t>
            </w:r>
            <w:r>
              <w:rPr>
                <w:spacing w:val="-6"/>
                <w:sz w:val="24"/>
                <w:szCs w:val="24"/>
              </w:rPr>
              <w:t xml:space="preserve"> от 16.09.2025 № 059-33-01-10/3-638</w:t>
            </w:r>
            <w:r>
              <w:rPr>
                <w:sz w:val="24"/>
                <w:szCs w:val="24"/>
              </w:rPr>
              <w:t>).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Бюджетом города Перми на период 2025-2029 годы мероприятия по строительству, реконструкции, капитальному ремонту улично-дорожной сети на рассматриваемой территории не предусмотрены.</w:t>
            </w:r>
          </w:p>
          <w:p>
            <w:pPr>
              <w:pStyle w:val="Normal"/>
              <w:spacing w:lineRule="auto" w:line="240" w:beforeAutospacing="0" w:before="0" w:afterAutospacing="0" w:after="0"/>
              <w:ind w:firstLine="283" w:left="0" w:right="0"/>
              <w:jc w:val="both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Для примыкания Участка к улично-дорожной сети города Перми н</w:t>
            </w:r>
            <w:r>
              <w:rPr>
                <w:rFonts w:eastAsia="Times New Roman" w:cs="Times New Roman"/>
                <w:color w:themeColor="text1" w:val="000000"/>
                <w:sz w:val="24"/>
              </w:rPr>
              <w:t>еобходимо выполнить условия, указанные в письме.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Также направлена информация о соблюдении Правил благоустройства территории города Перми, утвержденных решением Пермской городской Думы </w:t>
              <w:br/>
              <w:t xml:space="preserve">от 15.12.2020 № 277 </w:t>
            </w:r>
            <w:r>
              <w:rPr>
                <w:rFonts w:eastAsia="Times New Roman" w:cs="Times New Roman"/>
                <w:color w:val="000000"/>
                <w:sz w:val="24"/>
                <w:highlight w:val="white"/>
              </w:rPr>
              <w:t>«Об утверждении правил благоустройства территории города Перми»</w:t>
            </w:r>
            <w:r>
              <w:rPr>
                <w:sz w:val="24"/>
                <w:szCs w:val="24"/>
              </w:rPr>
              <w:t>, при строительстве объектов недвижимости.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соответствии с Федеральным законом от 08.11.2007 № 257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highlight w:val="white"/>
              </w:rPr>
              <w:t>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  <w:r>
              <w:rPr>
                <w:sz w:val="24"/>
                <w:szCs w:val="24"/>
              </w:rPr>
              <w:t xml:space="preserve">, расходы на строительства, реконструкцию, капитальный ремонт, ремонт пересечений и примыканий, в том числе расходы </w:t>
              <w:br/>
              <w:t xml:space="preserve">на выполнение дополнительных работ связанных </w:t>
              <w:br/>
              <w:t xml:space="preserve">с обеспечением безопасности дорожного движения, водоотведения и исполнением других установленных техническими регламентами требований, несут лица, </w:t>
              <w:br/>
              <w:t xml:space="preserve">в интересах которых осуществляется строительство, реконструкция, капитальный ремонт, ремонт пересечений </w:t>
              <w:br/>
              <w:t>или примыканий.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/>
            </w:pPr>
            <w:r>
              <w:rPr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sz w:val="24"/>
                <w:szCs w:val="24"/>
              </w:rPr>
              <w:t>Департамента дорог и благоустройства администрации города Перми</w:t>
            </w:r>
            <w:r>
              <w:rPr>
                <w:sz w:val="24"/>
                <w:szCs w:val="24"/>
              </w:rPr>
              <w:t xml:space="preserve"> от 11.09.2025 № 059-24-01-36/3-3297).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Cs w:val="24"/>
                <w14:ligatures w14:val="none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  <w:szCs w:val="24"/>
              </w:rPr>
              <w:t>сточники противопожарного водоснабжения (пожарный водоем) расположен в радиусе 120 м по адресу: ул. Лабинская, 10а.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>Подразделения пожарной охраны расположены по адресам: ул. Екатерининская, 53а (ПСЧ-110 10-ПСО), ул. Ломоносова, 96 (ПЧ-1 6 ОППС ГКУ ПК «УГПС).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>На указанной территории оконечные устройства системы оповещения населения города Перми отсутствуют. Для обеспечения покрытия запланированной территории системой оповещения населения необходимо предусматривать размещение сиренно-речевых узлов согласно пунктам 6.38, 6.39 СП 165.1325800.2014 «Свод правил. Инженерно-технические мероприятия по гражданской обороне. Актуализированная редакция СНиП 2.01.51-90», утвержденные Приказом Минстроя России от 12.11.2014 № 705/пр.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Информация о подразделениях пожарной охраны </w:t>
              <w:br/>
              <w:t>и времени их прибытия содержится в «Расписании выезда подразделений Пермского местного пожарно-спасательного гарнизона для тушения пожаров и проведения аварийно-спасательных работ на территории Пермского городского округа, Пермского муниципального района», утвержденном Главой города Перми 26.04.2024. Помещения для аварийно-спасательных служб и (или) аварийно-спасательных формирований на указанных территориях отсутствуют.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Объекты общественной безопасности, отнесенные к объектам полиции (участковые пункты полиции) в данном микрорайоне Камская Долина отсутствуют. Ближайший участковый пункт расположен по адресу: г. Пермь, ул. Профессора Дедюкина, д. 7 (микрорайон СтудГородок, Ленинский район). В настоящее время </w:t>
              <w:br/>
              <w:t>в указанном микрорайоне строительство (приобретение) участковых пунктов полиции не планируется.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color w:val="000000"/>
                <w:sz w:val="24"/>
                <w:szCs w:val="24"/>
              </w:rPr>
              <w:t>По информации, предоставленной письмом Министерства территориальной безопасности Пермского края от 07.10.2020 № 964с, рассматриваемые территории попадает в зону возможного химического заражения в особый период.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/>
            </w:pPr>
            <w:r>
              <w:rPr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sz w:val="24"/>
                <w:szCs w:val="24"/>
              </w:rPr>
              <w:t>департамента общественной безопасности администрации города Перми</w:t>
            </w:r>
            <w:r>
              <w:rPr>
                <w:sz w:val="24"/>
                <w:szCs w:val="24"/>
              </w:rPr>
              <w:t xml:space="preserve"> от 12.09.2025 № 059-10-01-27/3-1989).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trHeight w:val="1087" w:hRule="atLeast"/>
        </w:trPr>
        <w:tc>
          <w:tcPr>
            <w:tcW w:w="3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3"/>
              </w:numPr>
              <w:spacing w:before="0" w:after="0"/>
              <w:ind w:firstLine="270" w:left="240" w:right="11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максимально и (или) минимально  допустимые параметры разрешенного строительства </w:t>
              <w:br/>
              <w:t>объекта капитального строительства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312"/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ind w:firstLine="312"/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  <w:shd w:fill="FFFFFF" w:val="clear"/>
              </w:rPr>
              <w:t xml:space="preserve">документации по земельному участку, размещенной                         с извещением о проведении аукциона в ГИС Торги </w:t>
            </w:r>
            <w:r>
              <w:rPr>
                <w:sz w:val="24"/>
                <w:szCs w:val="24"/>
                <w:lang w:val="en-US"/>
              </w:rPr>
              <w:t>www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torgi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gov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ru</w:t>
            </w:r>
            <w:r>
              <w:rPr>
                <w:sz w:val="24"/>
                <w:szCs w:val="24"/>
                <w:shd w:fill="FFFFFF" w:val="clear"/>
              </w:rPr>
              <w:t xml:space="preserve">, на официальном сайте муниципального образования город Пермь в информационно-телекоммуникационной сети Интернет </w:t>
            </w:r>
            <w:r>
              <w:rPr>
                <w:sz w:val="24"/>
                <w:szCs w:val="24"/>
              </w:rPr>
              <w:t>www.gorodperm.ru.</w:t>
            </w:r>
          </w:p>
          <w:p>
            <w:pPr>
              <w:pStyle w:val="BodyText"/>
              <w:ind w:firstLine="36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Проектирование и строительство необходимо вести </w:t>
              <w:br/>
              <w:t xml:space="preserve">в соответствии с пунктом 4.5 СП 55.13330.2016 Свода Правил. Дома жилые одноквартирные. СНиП 31-02-2001, утвержденным и введенным в действие Приказом Министерства строительства и жилищно-коммунального хозяйства Российской Федерации от 20.10.2016 № 725/пр </w:t>
            </w:r>
            <w:r>
              <w:rPr>
                <w:sz w:val="24"/>
                <w:szCs w:val="24"/>
              </w:rPr>
              <w:t>(ред. от 17.05.2023):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  <w:lang w:val="en-US"/>
              </w:rPr>
              <w:t xml:space="preserve">ом должен включать жилые комнаты – одну или несколько (общую комнату или гостиную, спальню), а также вспомогательные помещения: переднюю, кухню (в том числе кухню-столовую и (или) кухню-нишу), ванные комнаты </w:t>
              <w:br/>
              <w:t>и (или) душевые, туалет (уборную) или совмещенный санузел</w:t>
            </w:r>
            <w:r>
              <w:rPr>
                <w:sz w:val="24"/>
                <w:szCs w:val="24"/>
              </w:rPr>
              <w:t>, переднюю.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Согласно пункту 6.1 СП 55.13330.2016 площади помещений строящихся и реконструируемых жилых домов должны быть не менее: общей комнаты в однокомнатном доме - 14 м</w:t>
            </w:r>
            <w:r>
              <w:rPr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>, общей комнаты в доме с числом комнат две и более - 16 м</w:t>
            </w:r>
            <w:r>
              <w:rPr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>, спальни - 8 м</w:t>
            </w:r>
            <w:r>
              <w:rPr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 xml:space="preserve"> (на двух человек - 10 м</w:t>
            </w:r>
            <w:r>
              <w:rPr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>); кухни - 8 м</w:t>
            </w:r>
            <w:r>
              <w:rPr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 xml:space="preserve">; кухонной зоны </w:t>
              <w:br/>
              <w:t>в кухне-столовой - 6 м</w:t>
            </w:r>
            <w:r>
              <w:rPr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>. В домах с одной комнатой допускается проектировать кухни или кухни-ниши площадью не менее 5 м</w:t>
            </w:r>
            <w:r>
              <w:rPr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>. Площадь спальни и кухни в мансардном этаже (или этаже с наклонными ограждающими конструкциями) допускается не менее 7 м</w:t>
            </w:r>
            <w:r>
              <w:rPr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 xml:space="preserve"> при условии, что общая жилая комната имеет площадь не менее 16 м</w:t>
            </w:r>
            <w:r>
              <w:rPr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>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Согласно пункту 6.2 СП 55.13330.2016 высота (от пола </w:t>
              <w:br/>
              <w:t>до потолка) комнат и кухни (кухни-столовой) в климатических районах строительства IА, IБ, IГ, IД, определяемых по СП 131.13330, должна</w:t>
            </w:r>
            <w:r>
              <w:rPr>
                <w:color w:val="FF0000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быть не менее 2,7 м, а в других климатических районах строительства - не менее 2,5 м. Высота внутридомовых коридоров, холлов, передних, </w:t>
            </w:r>
            <w:r>
              <w:rPr>
                <w:spacing w:val="-2"/>
                <w:sz w:val="24"/>
                <w:szCs w:val="24"/>
                <w:lang w:val="en-US"/>
              </w:rPr>
              <w:t>антресолей должна составлять не менее 2,1 м, а высота пути эвакуации -</w:t>
            </w:r>
            <w:r>
              <w:rPr>
                <w:sz w:val="24"/>
                <w:szCs w:val="24"/>
                <w:lang w:val="en-US"/>
              </w:rPr>
              <w:t xml:space="preserve"> не менее 2,2 м.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В жилых комнатах и кухнях, расположенных в этажах 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  <w:lang w:val="en-US"/>
              </w:rPr>
              <w:t xml:space="preserve">с наклонными ограждающими конструкциями </w:t>
              <w:br/>
              <w:t>или в мансардном этаже, допускается уменьшение высоты помещений (от пола до потолка), относительно нормируемой на площади, не превышающей 50%.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Согласно информации, содержащейся в ГПЗУ, предельная высота зданий, строений не более 10,5 м.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Минимальный отступ от границ земельного участка до места допустимого размещения зданий, строений, сооружений (за исключением границ со стороны территории общего пользования, где отступ определяется с учетом красных линий и линий регулирования застройки, установленных проектом планировки территории, а также смежных земельных участков </w:t>
              <w:br/>
              <w:t>при блокированной жилой застройке) – 3 м.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Максимальный выступ за красную линию нависающих частей здания наземных уровней, выступающих </w:t>
              <w:br/>
              <w:t xml:space="preserve">из плоскости наружной стены фасада здания на высоте </w:t>
              <w:br/>
              <w:t xml:space="preserve">не менее 4,5 м над территорией общего пользования, составляет не более 1,2 м от красной линии. </w:t>
              <w:br/>
              <w:t>В случаях, когда линия регулирования застройки отличается от красной линии, указанный выступ может быть произведен за линию регулирования застройки.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процент застройки в границах Участка – 30%.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color w:val="000000"/>
              </w:rPr>
              <w:t>С уведомлением о планируемом строительстве жилого дома рекомендуется обратиться в уполномоченный орган администрации города Перми.</w:t>
            </w:r>
          </w:p>
        </w:tc>
      </w:tr>
      <w:tr>
        <w:trPr>
          <w:trHeight w:val="144" w:hRule="atLeast"/>
        </w:trPr>
        <w:tc>
          <w:tcPr>
            <w:tcW w:w="3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3"/>
              </w:numPr>
              <w:ind w:firstLine="5" w:left="24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возможность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31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ind w:firstLine="31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  <w:shd w:fill="FFFFFF" w:val="clear"/>
              </w:rPr>
              <w:t xml:space="preserve">документации по земельному участку, размещенной                      с извещением о проведении аукциона в ГИС Торги </w:t>
            </w:r>
            <w:r>
              <w:rPr>
                <w:sz w:val="24"/>
                <w:szCs w:val="24"/>
                <w:lang w:val="en-US"/>
              </w:rPr>
              <w:t>www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torgi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gov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ru</w:t>
            </w:r>
            <w:r>
              <w:rPr>
                <w:sz w:val="24"/>
                <w:szCs w:val="24"/>
                <w:shd w:fill="FFFFFF" w:val="clear"/>
              </w:rPr>
              <w:t xml:space="preserve">, на официальном сайте муниципального образования город Пермь в информационно-телекоммуникационной сети Интернет </w:t>
            </w:r>
            <w:hyperlink r:id="rId13" w:tgtFrame="http://www.gorodperm.ru/">
              <w:r>
                <w:rPr>
                  <w:rStyle w:val="Hyperlink"/>
                  <w:color w:val="000000"/>
                  <w:sz w:val="24"/>
                  <w:szCs w:val="24"/>
                </w:rPr>
                <w:t>www.gorodperm.ru</w:t>
              </w:r>
            </w:hyperlink>
            <w:r>
              <w:rPr>
                <w:color w:val="000000"/>
                <w:sz w:val="24"/>
                <w:szCs w:val="24"/>
              </w:rPr>
              <w:t>.</w:t>
            </w:r>
          </w:p>
          <w:p>
            <w:pPr>
              <w:pStyle w:val="Normal"/>
              <w:ind w:firstLine="31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sz w:val="24"/>
                <w:szCs w:val="20"/>
              </w:rPr>
              <w:t>О наличии технической возможности технологического присоединения энергопринимающего устройства объекта с предполагаемым электоропотреблением 15 кВт, сообщается следующее.</w:t>
            </w:r>
          </w:p>
          <w:p>
            <w:pPr>
              <w:pStyle w:val="Normal"/>
              <w:spacing w:lineRule="auto" w:line="240" w:before="0" w:after="0"/>
              <w:ind w:firstLine="340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spacing w:val="-6"/>
                <w:sz w:val="24"/>
                <w:highlight w:val="white"/>
              </w:rPr>
              <w:t>Порядок технологического присоединения к электрическим сетям регламентирован Правилами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сетям», утвержденных постановлением Правительства Российской Федерации от 27.12.2004 № 861 (далее – Правила ТП).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  <w:t>В силу пункта 6 Правил ТП технологическое присоединение осуществляется на основании договора заключаемого между сетевой организацией и юридическим или физическим лицом. Перечень мероприятий по технологическому присоединению определяется в технических условиях.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  <w:t>Согласно пунктам 15, 25, 25.1 Правил ТП технические условия являются неотъемлемым приложением к соответствующему договору технологического присоединения и представляют собой техническое решение присоединения конкретного энергопринимающего устройства к сетям электросетевой организации, которое предусматривают точки присоединения, требования к усилению существующей сети, иные технические требования. Следовательно, технические условия для технологического присоединения предоставляются заявителю сетевой организацией вместе с договором о технологическом присоединении.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>При подготовке ГПЗУ необходимо предусмотреть коридоры для строительства кабельных линий и место для размещения трансформаторных подстанций.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Заявку на технологическое присоединение можно подать через единый федеральный портал электросетевых услуг группы компаний «Россети» на сайте: </w:t>
            </w:r>
            <w:hyperlink r:id="rId14" w:tgtFrame="https://">
              <w:r>
                <w:rPr>
                  <w:rStyle w:val="Hyperlink"/>
                  <w:color w:themeColor="text1" w:val="000000"/>
                  <w:sz w:val="24"/>
                  <w:szCs w:val="24"/>
                </w:rPr>
                <w:t>https://</w:t>
              </w:r>
            </w:hyperlink>
            <w:r>
              <w:rPr>
                <w:color w:themeColor="text1" w:val="000000"/>
                <w:sz w:val="24"/>
                <w:szCs w:val="24"/>
              </w:rPr>
              <w:t xml:space="preserve"> портал-тп.рф, через Мобильное приложение ПАО «Россети» или при очном приеме в Центре обслуживания клиентов филиала «Россети» Урал» - «Пермэнерго» по адресу: г. Пермь, ул. Камчатовская, д. 26, а также почтовым отправлением по адресу: 614016, г. Пермь, ул. Камчатовская, 26. По дополнительным вопросам телефон контакт-центра: 8-800-220-0-220 (круглосуточно и бесплатно).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/>
            </w:pPr>
            <w:r>
              <w:rPr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sz w:val="24"/>
                <w:szCs w:val="20"/>
              </w:rPr>
              <w:t xml:space="preserve">Филиала ПАО «Россети Урал» - «Пермэнерго» </w:t>
            </w:r>
            <w:r>
              <w:rPr>
                <w:sz w:val="24"/>
                <w:szCs w:val="20"/>
              </w:rPr>
              <w:t>от 12.09.2025 № ПЭ/ПГЭС/22/414</w:t>
            </w:r>
            <w:r>
              <w:rPr>
                <w:sz w:val="24"/>
                <w:szCs w:val="24"/>
              </w:rPr>
              <w:t>).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sz w:val="24"/>
                <w:highlight w:val="white"/>
              </w:rPr>
              <w:t>Техническая возможность подключения объекта капитального строительства с предполагаемой максимальной нагрузкой (часовым расходом газа) 8м</w:t>
            </w:r>
            <w:r>
              <w:rPr>
                <w:sz w:val="24"/>
                <w:highlight w:val="white"/>
                <w:vertAlign w:val="superscript"/>
              </w:rPr>
              <w:t>3</w:t>
            </w:r>
            <w:r>
              <w:rPr>
                <w:sz w:val="24"/>
                <w:highlight w:val="white"/>
              </w:rPr>
              <w:t>/час к существующим сетям газораспределения имеется.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spacing w:val="-6"/>
                <w:sz w:val="24"/>
                <w:szCs w:val="24"/>
                <w:highlight w:val="white"/>
              </w:rPr>
              <w:t xml:space="preserve">Для рассмотрения вопроса о предоставлении технических условий на подключение (технологическое присоединение) необходимо направить заявку с приложением необходимых документов в соответствии с постановлением Правительства Российской Федерации от 13.09.2021 № 1547 «Об утверждении Правил подключения (технологического присоединения) газоиспользующего оборудования и объектов капитального строительства к сетям газораспределения и о признании утратившим силу некоторых актов Правительства Российской Федерации» на электронную почту post@pf.ugaz.ru, либо почтовым отправлением по адресу: г. Пермь, ул. Уральская, 104, через Единый центр предоставления услуг по адресу: г. Пермь, </w:t>
              <w:br/>
              <w:t>ул. Уральская, д. 104, каб. 101.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/>
            </w:pPr>
            <w:r>
              <w:rPr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sz w:val="24"/>
                <w:szCs w:val="24"/>
                <w:highlight w:val="white"/>
              </w:rPr>
              <w:t>АО «Газпром газораспределение Пермь»</w:t>
            </w:r>
            <w:r>
              <w:rPr>
                <w:sz w:val="24"/>
                <w:szCs w:val="24"/>
                <w:highlight w:val="white"/>
              </w:rPr>
              <w:t xml:space="preserve"> от 05.09.2025 № ПФ-6317</w:t>
            </w:r>
            <w:r>
              <w:rPr>
                <w:sz w:val="24"/>
                <w:szCs w:val="24"/>
              </w:rPr>
              <w:t>).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pacing w:val="-6"/>
                <w:sz w:val="24"/>
                <w:szCs w:val="24"/>
                <w:highlight w:val="white"/>
              </w:rPr>
            </w:pPr>
            <w:r>
              <w:rPr>
                <w:spacing w:val="-6"/>
                <w:sz w:val="24"/>
                <w:szCs w:val="24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О наличии технической возможности подключения объекта капитального строительства с планируемой величиной подключаемой нагрузки по водоснабжению и водоотведению – 1,0 м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>/сут. к централизованным системам водоснабжения и водоотведения сообщается следующее.</w:t>
            </w:r>
          </w:p>
          <w:p>
            <w:pPr>
              <w:pStyle w:val="Normal"/>
              <w:spacing w:lineRule="auto" w:line="240" w:before="0" w:after="0"/>
              <w:ind w:firstLine="3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Ближайшей сетью водоснабжения, эксплуатируемой ООО «НОВОГОР-Прикамье», является водопровод Д-110 мм в районе здания по ул. Борцов Пкыолюции, 1а, ориентировочное расстояние от Участка – 0,13 м.</w:t>
            </w:r>
          </w:p>
          <w:p>
            <w:pPr>
              <w:pStyle w:val="Normal"/>
              <w:spacing w:lineRule="auto" w:line="240" w:before="0" w:after="0"/>
              <w:ind w:firstLine="340"/>
              <w:jc w:val="both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>Ближайшие сети водоотведения, эксплуатируемые ООО «НОВОГОР-Прикамье», располагаются в районе ул. Борцов Революции, ориентировочно на расстоянии – более 0,07 км.</w:t>
            </w:r>
          </w:p>
          <w:p>
            <w:pPr>
              <w:pStyle w:val="Normal"/>
              <w:spacing w:lineRule="auto" w:line="240" w:before="0" w:after="0"/>
              <w:ind w:firstLine="3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Ввиду отсутствия данных о посадке проектируемого объекта, длины технологических разрывов до сетей водоснабжения и водоотведения указаны ориентировочно.</w:t>
            </w:r>
          </w:p>
          <w:p>
            <w:pPr>
              <w:pStyle w:val="Normal"/>
              <w:spacing w:lineRule="auto" w:line="240" w:before="0" w:after="0"/>
              <w:ind w:firstLine="34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Дополнительно сообщается, что ООО «НОВОГОР-Прикамье» не располагает сведениями о наличии сетей 3-х лиц в границах Участка.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/>
            </w:pPr>
            <w:r>
              <w:rPr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sz w:val="24"/>
                <w:szCs w:val="24"/>
              </w:rPr>
              <w:t>ООО «НОВОГОР-Прикамье»</w:t>
            </w:r>
            <w:r>
              <w:rPr>
                <w:sz w:val="24"/>
                <w:szCs w:val="24"/>
              </w:rPr>
              <w:t xml:space="preserve"> от 12.09.2025 № 110-14214).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sz w:val="24"/>
              </w:rPr>
              <w:t>О возможности технологического присоединения к системе теплоснабжения объекта сообщается, что Участок находится вне зоны теплоснабжения ПАО «Т плюс».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/>
            </w:pPr>
            <w:r>
              <w:rPr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sz w:val="24"/>
                <w:szCs w:val="24"/>
              </w:rPr>
              <w:t>Филиала «Пермский ПАО «Т Плюс»</w:t>
            </w:r>
            <w:r>
              <w:rPr>
                <w:sz w:val="24"/>
                <w:szCs w:val="24"/>
              </w:rPr>
              <w:t xml:space="preserve"> от 15.09.2025 № 51000-32-03342).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white"/>
              </w:rPr>
              <w:t>Техническая возможность подключения к сетям теплоснабжения отсутствует.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/>
            </w:pPr>
            <w:r>
              <w:rPr>
                <w:sz w:val="24"/>
              </w:rPr>
              <w:t>В качестве альтернативного энергоресурса рекомендуется рассмотреть газ и обратиться в АО «Газпром газораспределение Пермь» филиал в городе Пермь, либо рассмотреть иные альтернативные энергоресурсы (электричество, дрова, пеллеты).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/>
            </w:pPr>
            <w:r>
              <w:rPr>
                <w:sz w:val="24"/>
                <w:szCs w:val="24"/>
              </w:rPr>
              <w:t xml:space="preserve">(Аналогичная информация отражена в письме  </w:t>
            </w:r>
            <w:r>
              <w:rPr>
                <w:b/>
                <w:bCs/>
                <w:sz w:val="24"/>
                <w:szCs w:val="24"/>
              </w:rPr>
              <w:t>департамента жилищно-коммунального хозяйства администрации города Перми</w:t>
            </w:r>
            <w:r>
              <w:rPr>
                <w:sz w:val="24"/>
                <w:szCs w:val="24"/>
              </w:rPr>
              <w:t xml:space="preserve"> от 03.03.2026 № 059-04-25/3-38-ри).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/>
            </w:pPr>
            <w:r>
              <w:rPr>
                <w:b w:val="false"/>
                <w:bCs w:val="false"/>
                <w:sz w:val="24"/>
              </w:rPr>
              <w:t>В границах Участка и на близлежащих участках, кварталах отсутствуют централизованные сети теплоснабжения.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/>
            </w:pPr>
            <w:r>
              <w:rPr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bCs/>
                <w:sz w:val="24"/>
                <w:szCs w:val="24"/>
              </w:rPr>
              <w:t xml:space="preserve">Администрации Ленинского района города Перми </w:t>
              <w:br/>
            </w:r>
            <w:r>
              <w:rPr>
                <w:b w:val="false"/>
                <w:bCs w:val="false"/>
                <w:sz w:val="24"/>
                <w:szCs w:val="24"/>
              </w:rPr>
              <w:t>от 10.03.2026 № 059-26-01-15/3-48</w:t>
            </w:r>
            <w:r>
              <w:rPr>
                <w:sz w:val="24"/>
                <w:szCs w:val="24"/>
              </w:rPr>
              <w:t>).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b w:val="false"/>
                <w:bCs w:val="false"/>
                <w:sz w:val="24"/>
                <w:szCs w:val="24"/>
                <w:highlight w:val="none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340"/>
              <w:jc w:val="both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>Технологическое присоединение к сетям связи ПАО «Ростелеком» планируемых к строительству объектов в границах Участка может быть произведено к узлу ВОЛС (г. Пермь, ул. Днепровская, д. 32). В границах запрашиваемого земельного участка сети ПАО «Ростелеком» отсутствуют.</w:t>
            </w:r>
          </w:p>
          <w:p>
            <w:pPr>
              <w:pStyle w:val="Normal"/>
              <w:spacing w:lineRule="auto" w:line="240" w:before="0" w:after="0"/>
              <w:ind w:firstLine="340"/>
              <w:jc w:val="both"/>
              <w:rPr/>
            </w:pPr>
            <w:r>
              <w:rPr>
                <w:sz w:val="24"/>
                <w:szCs w:val="24"/>
              </w:rPr>
              <w:t>Максимальную нагрузку в точках подключения (технологического присоединения) определить на стадии проектирования для каждого из объектов.</w:t>
            </w:r>
          </w:p>
          <w:p>
            <w:pPr>
              <w:pStyle w:val="Normal"/>
              <w:spacing w:lineRule="auto" w:line="240" w:before="0" w:after="0"/>
              <w:ind w:firstLine="340"/>
              <w:jc w:val="both"/>
              <w:rPr/>
            </w:pPr>
            <w:r>
              <w:rPr>
                <w:sz w:val="24"/>
                <w:szCs w:val="24"/>
              </w:rPr>
              <w:t xml:space="preserve">Для получения технических условий на подключение к сетям связи ПАО «Ростелеком» необходимо обратиться в Отдел продаж и обслуживания по адресу: г. Пермь, </w:t>
              <w:br/>
              <w:t xml:space="preserve">ул. Крупской, 2, тел.: (342) 235-57-34 или направить запрос на </w:t>
            </w:r>
            <w:hyperlink r:id="rId15" w:tgtFrame="mailto:perm-mail@ural.rt.ru">
              <w:r>
                <w:rPr>
                  <w:rStyle w:val="Hyperlink"/>
                  <w:sz w:val="24"/>
                  <w:szCs w:val="24"/>
                </w:rPr>
                <w:t>perm-mail@ural.rt.ru</w:t>
              </w:r>
            </w:hyperlink>
            <w:r>
              <w:rPr>
                <w:sz w:val="24"/>
                <w:szCs w:val="24"/>
              </w:rPr>
              <w:t>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/>
            </w:pPr>
            <w:r>
              <w:rPr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sz w:val="24"/>
                <w:szCs w:val="24"/>
              </w:rPr>
              <w:t>ПАО «Ростелеком»</w:t>
            </w:r>
            <w:r>
              <w:rPr>
                <w:sz w:val="24"/>
                <w:szCs w:val="24"/>
              </w:rPr>
              <w:t xml:space="preserve"> от 23.09.2025 от 01/05/139374/25).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3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На территории, где расположен Участок, в рамках муниципальной программы «Развитие системы жилищно-коммунального хозяйства в г. Перми», утвержденной постановлением администрации г. Перми от 20.10.2021 № 924, реализовано мероприятие «Строительство сетей водоснабжения по ул. Борцов Революции в мкр. Средняя Курья Ленинского района г. Перми».</w:t>
            </w:r>
          </w:p>
          <w:p>
            <w:pPr>
              <w:pStyle w:val="Normal"/>
              <w:spacing w:lineRule="auto" w:line="240" w:before="0" w:after="0"/>
              <w:ind w:firstLine="3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Строительство сетей водоотведения схемами водоснабжения и водоотведения города Перми, утвержденными постановлением администрации города Перми от 28.12.2018 № 1085, на период до 2028 года не предусмотрено.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/>
            </w:pPr>
            <w:r>
              <w:rPr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bCs/>
                <w:sz w:val="24"/>
                <w:szCs w:val="24"/>
              </w:rPr>
              <w:t>департамента жилищно-коммунального хозяйства администрации города Перми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 23.09.2025 № 059-04-17/3-901-ри).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trHeight w:val="225" w:hRule="atLeast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left="113" w:right="57"/>
              <w:jc w:val="left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Начальная цена предмета аукциона</w:t>
            </w:r>
          </w:p>
          <w:p>
            <w:pPr>
              <w:pStyle w:val="Normal"/>
              <w:widowControl/>
              <w:spacing w:before="0" w:after="0"/>
              <w:ind w:hanging="0" w:left="113" w:right="57"/>
              <w:jc w:val="left"/>
              <w:rPr>
                <w:highlight w:val="none"/>
                <w:shd w:fill="auto" w:val="clear"/>
              </w:rPr>
            </w:pPr>
            <w:r>
              <w:rPr>
                <w:b/>
                <w:sz w:val="24"/>
                <w:szCs w:val="24"/>
                <w:shd w:fill="auto" w:val="clear"/>
              </w:rPr>
              <w:t>(рыночная стоимость земельного участка)</w:t>
            </w:r>
          </w:p>
          <w:p>
            <w:pPr>
              <w:pStyle w:val="Normal"/>
              <w:ind w:right="-263"/>
              <w:rPr>
                <w:b/>
                <w:bCs/>
                <w:sz w:val="24"/>
                <w:szCs w:val="24"/>
                <w:highlight w:val="none"/>
              </w:rPr>
            </w:pPr>
            <w:r>
              <w:rPr>
                <w:b/>
                <w:bCs/>
                <w:sz w:val="24"/>
                <w:szCs w:val="24"/>
              </w:rPr>
            </w:r>
          </w:p>
          <w:p>
            <w:pPr>
              <w:pStyle w:val="Normal"/>
              <w:ind w:hanging="0" w:left="120" w:right="0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sz w:val="24"/>
                <w:szCs w:val="24"/>
                <w:highlight w:val="none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24"/>
              </w:rPr>
              <w:t>По условиям пункта 4.1 проекта договора купли-продажи земельного участка, приобретаемого на торгах в форме аукциона (Приложение 5 к настоящему извещению),</w:t>
            </w:r>
          </w:p>
          <w:p>
            <w:pPr>
              <w:pStyle w:val="Normal"/>
              <w:ind w:hanging="0" w:left="120" w:right="0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победитель аукциона, иное лицо, с которым договор заключается в соответствии с п.13, п.14, п. 20 или п. 25</w:t>
            </w:r>
          </w:p>
          <w:p>
            <w:pPr>
              <w:pStyle w:val="Normal"/>
              <w:ind w:hanging="0" w:left="120" w:right="0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 xml:space="preserve">ст. 39.12 Земельного Кодекса Российской Федерации (далее – ЗК РФ), обязан </w:t>
            </w:r>
            <w:r>
              <w:rPr>
                <w:b/>
                <w:sz w:val="24"/>
                <w:szCs w:val="24"/>
                <w:shd w:fill="auto" w:val="clear"/>
              </w:rPr>
              <w:t>в течение 15 дней</w:t>
            </w:r>
            <w:r>
              <w:rPr>
                <w:sz w:val="24"/>
                <w:szCs w:val="24"/>
                <w:shd w:fill="auto" w:val="clear"/>
              </w:rPr>
              <w:t xml:space="preserve"> со дня размещения  протокола о результатах аукциона, а в случаях, определенных п.13, п.14, ст. 39.12 ЗК РФ, протокола рассмотрения заявок, </w:t>
            </w:r>
            <w:r>
              <w:rPr>
                <w:b/>
                <w:sz w:val="24"/>
                <w:szCs w:val="24"/>
                <w:shd w:fill="auto" w:val="clear"/>
              </w:rPr>
              <w:t xml:space="preserve">перечислить денежные средства </w:t>
            </w:r>
            <w:r>
              <w:rPr>
                <w:sz w:val="24"/>
                <w:szCs w:val="24"/>
                <w:shd w:fill="auto" w:val="clear"/>
              </w:rPr>
              <w:t>за земельный участок (за вычетом задатка, внесенного для участия в аукционе) на счет департамента земельных отношений администрации города Перми, 614000, ул. Сибирская,15, тел. 212-61-90 (отдел договоров), реквизиты которого указаны в проекте договора купли-продажи земельного участка (Приложение 5 к настоящему извещению)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7 142 000 руб.</w:t>
            </w:r>
          </w:p>
        </w:tc>
      </w:tr>
      <w:tr>
        <w:trPr>
          <w:trHeight w:val="225" w:hRule="atLeast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«Шаг аукциона» (5% от</w:t>
            </w:r>
          </w:p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>
                <w:highlight w:val="none"/>
              </w:rPr>
            </w:pPr>
            <w:r>
              <w:rPr>
                <w:sz w:val="24"/>
                <w:szCs w:val="24"/>
                <w:shd w:fill="auto" w:val="clear"/>
              </w:rPr>
              <w:t>начальной цены предмета аукциона)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357 100 руб.</w:t>
            </w:r>
          </w:p>
        </w:tc>
      </w:tr>
      <w:tr>
        <w:trPr>
          <w:trHeight w:val="416" w:hRule="atLeast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Форма заявки на участие в аукционе</w:t>
            </w:r>
          </w:p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  <w:t>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документов, указанных в подпунктах 2-4 пункта 1, пункте 1.1 статьи 39.12 Земельного кодекса Российской Федерации (копии документов, удостоверяющих личность заявителя (для граждан); надлежащим образом заверенный перевод на русский язык документов                                        о государственной регистрации юридического лица                                    в соответствии с законодательством иностранного государства в случае, если заявителем является иностранное юридическое лицо; документы, подтверждающие внесение задатка).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каждый лот представляется отдельный пакет документов.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Решение о проведении аукциона принято в соответствии со статьей 39.18 Земельного кодекса Российской Федерации, участниками аукциона могут являться только граждане.</w:t>
            </w:r>
          </w:p>
        </w:tc>
      </w:tr>
      <w:tr>
        <w:trPr>
          <w:trHeight w:val="236" w:hRule="atLeast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Размер задатка (50% от</w:t>
            </w:r>
          </w:p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>
                <w:highlight w:val="none"/>
              </w:rPr>
            </w:pPr>
            <w:r>
              <w:rPr>
                <w:sz w:val="24"/>
                <w:szCs w:val="24"/>
                <w:shd w:fill="auto" w:val="clear"/>
              </w:rPr>
              <w:t>начальной цены предмета аукциона)</w:t>
            </w:r>
          </w:p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3 571 000 руб.</w:t>
            </w:r>
          </w:p>
        </w:tc>
      </w:tr>
      <w:tr>
        <w:trPr>
          <w:trHeight w:val="236" w:hRule="atLeast"/>
        </w:trPr>
        <w:tc>
          <w:tcPr>
            <w:tcW w:w="3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3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>
                <w:b w:val="false"/>
                <w:bCs w:val="fals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 xml:space="preserve">Дата </w:t>
            </w:r>
            <w:r>
              <w:rPr>
                <w:b w:val="false"/>
                <w:shd w:fill="auto" w:val="clear"/>
              </w:rPr>
              <w:t>размещения</w:t>
            </w:r>
          </w:p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>
                <w:highlight w:val="none"/>
              </w:rPr>
            </w:pPr>
            <w:r>
              <w:rPr>
                <w:b w:val="false"/>
                <w:shd w:fill="auto" w:val="clear"/>
              </w:rPr>
              <w:t xml:space="preserve">извещения в соответствии с пп. 1 п. 1 ст. 39.18 Земельного кодекса Российской Федерации на  </w:t>
            </w:r>
            <w:r>
              <w:rPr>
                <w:b w:val="false"/>
                <w:sz w:val="24"/>
                <w:szCs w:val="24"/>
                <w:shd w:fill="auto" w:val="clear"/>
                <w:lang w:val="en-US" w:eastAsia="en-US"/>
              </w:rPr>
              <w:t>сайтах www.torgi.gov.ru, www.gorodperm.ru</w:t>
            </w:r>
          </w:p>
        </w:tc>
        <w:tc>
          <w:tcPr>
            <w:tcW w:w="6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09.06.2023</w:t>
            </w:r>
          </w:p>
        </w:tc>
      </w:tr>
      <w:tr>
        <w:trPr>
          <w:trHeight w:val="1884" w:hRule="atLeast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договора купли-продажи земельного</w:t>
            </w:r>
          </w:p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участка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Проект договора купли-продажи земельного участка,                     приобретаемого на торгах в форме аукциона, является </w:t>
              <w:br/>
              <w:t xml:space="preserve">Приложением 5 к настоящему извещению и </w:t>
            </w:r>
            <w:r>
              <w:rPr>
                <w:sz w:val="24"/>
                <w:szCs w:val="24"/>
                <w:lang w:val="en-US" w:eastAsia="en-US"/>
              </w:rPr>
              <w:t>размещен на сайтах www.torgi.gov.ru, www.gorodperm.ru (раздел Деятельность/ Муниципальная собственность/ Торговая площадка Вид торгов Продажа и аренда земельных участков)</w:t>
            </w:r>
          </w:p>
        </w:tc>
      </w:tr>
      <w:tr>
        <w:trPr>
          <w:trHeight w:val="76" w:hRule="atLeast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 w:left="120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осмотра земельного участка на местности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Осмотр земельного участка производится заявителем   самостоятельно в любое время с даты опубликования настоящего извещения.</w:t>
            </w:r>
          </w:p>
        </w:tc>
      </w:tr>
    </w:tbl>
    <w:p>
      <w:pPr>
        <w:pStyle w:val="PlainText"/>
        <w:spacing w:lineRule="exact" w:line="240"/>
        <w:ind w:hanging="1134" w:left="113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tabs>
          <w:tab w:val="clear" w:pos="708"/>
          <w:tab w:val="left" w:pos="5103" w:leader="none"/>
        </w:tabs>
        <w:ind w:right="-263"/>
        <w:rPr>
          <w:b/>
          <w:bCs/>
          <w:highlight w:val="none"/>
          <w:lang w:val="en-US"/>
        </w:rPr>
      </w:pPr>
      <w:r>
        <w:rPr>
          <w:b/>
          <w:lang w:val="en-US"/>
        </w:rPr>
        <w:t>Лот № 4</w:t>
      </w:r>
    </w:p>
    <w:tbl>
      <w:tblPr>
        <w:tblW w:w="10485" w:type="dxa"/>
        <w:jc w:val="left"/>
        <w:tblInd w:w="-4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356"/>
        <w:gridCol w:w="3308"/>
        <w:gridCol w:w="6821"/>
      </w:tblGrid>
      <w:tr>
        <w:trPr>
          <w:trHeight w:val="877" w:hRule="atLeast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12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органа местного самоуправления, принявшего решение о проведении аукциона, реквизиты указанного решения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sz w:val="24"/>
                <w:szCs w:val="24"/>
              </w:rPr>
              <w:t xml:space="preserve">Администрация города Перми, распоряжение начальника </w:t>
              <w:br/>
              <w:t xml:space="preserve">департамента земельных отношений администрации города Перми от 17 октября 2025 г. № 21-01-03-8125 «О проведении аукциона по продаже земельного участка в Свердловском </w:t>
              <w:br/>
              <w:t>районе города Перми»</w:t>
            </w:r>
          </w:p>
        </w:tc>
      </w:tr>
      <w:tr>
        <w:trPr>
          <w:trHeight w:val="225" w:hRule="atLeast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firstLine="7" w:left="113" w:right="11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 аукциона по продаже земельного участка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93" w:hRule="atLeast"/>
        </w:trPr>
        <w:tc>
          <w:tcPr>
            <w:tcW w:w="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ind w:hanging="360" w:left="720"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местоположение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sz w:val="24"/>
                <w:szCs w:val="24"/>
              </w:rPr>
              <w:t xml:space="preserve">Российская Федерация, Пермский край, городской округ </w:t>
              <w:br/>
              <w:t>Пермский, город Пермь, жилой район Ново-Бродовский, улица Смородиновая, з/у 4</w:t>
            </w:r>
          </w:p>
        </w:tc>
      </w:tr>
      <w:tr>
        <w:trPr>
          <w:trHeight w:val="148" w:hRule="atLeast"/>
        </w:trPr>
        <w:tc>
          <w:tcPr>
            <w:tcW w:w="3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ind w:hanging="360" w:left="720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площадь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1050 кв. м</w:t>
            </w:r>
          </w:p>
        </w:tc>
      </w:tr>
      <w:tr>
        <w:trPr>
          <w:trHeight w:val="155" w:hRule="atLeast"/>
        </w:trPr>
        <w:tc>
          <w:tcPr>
            <w:tcW w:w="3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ind w:hanging="360" w:left="720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кадастровый номер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59:01:5010025:210</w:t>
            </w:r>
          </w:p>
        </w:tc>
      </w:tr>
      <w:tr>
        <w:trPr>
          <w:trHeight w:val="144" w:hRule="atLeast"/>
        </w:trPr>
        <w:tc>
          <w:tcPr>
            <w:tcW w:w="3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4"/>
              </w:numPr>
              <w:spacing w:before="0" w:after="0"/>
              <w:ind w:hanging="360" w:left="720" w:right="11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права на земельный участок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государственная собственность не разграничена</w:t>
            </w:r>
          </w:p>
        </w:tc>
      </w:tr>
      <w:tr>
        <w:trPr>
          <w:trHeight w:val="144" w:hRule="atLeast"/>
        </w:trPr>
        <w:tc>
          <w:tcPr>
            <w:tcW w:w="3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4"/>
              </w:numPr>
              <w:spacing w:before="0" w:after="0"/>
              <w:ind w:hanging="360" w:left="720" w:right="11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разрешенного использования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для индивидуального жилищного строительства</w:t>
            </w:r>
          </w:p>
        </w:tc>
      </w:tr>
      <w:tr>
        <w:trPr>
          <w:trHeight w:val="576" w:hRule="atLeast"/>
        </w:trPr>
        <w:tc>
          <w:tcPr>
            <w:tcW w:w="3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4"/>
              </w:numPr>
              <w:spacing w:before="0" w:after="0"/>
              <w:ind w:hanging="360" w:left="720" w:right="11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принадлежность к определенной  </w:t>
              <w:br/>
              <w:t>категории земель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земли населенных пунктов</w:t>
            </w:r>
          </w:p>
        </w:tc>
      </w:tr>
      <w:tr>
        <w:trPr>
          <w:trHeight w:val="576" w:hRule="atLeast"/>
        </w:trPr>
        <w:tc>
          <w:tcPr>
            <w:tcW w:w="3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3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3"/>
              </w:numPr>
              <w:spacing w:before="0" w:after="0"/>
              <w:ind w:hanging="360" w:left="720" w:right="113"/>
              <w:jc w:val="left"/>
              <w:rPr/>
            </w:pPr>
            <w:r>
              <w:rPr>
                <w:sz w:val="24"/>
                <w:szCs w:val="24"/>
              </w:rPr>
              <w:t>принадлежность к определенной  территориальной зоне</w:t>
            </w:r>
          </w:p>
        </w:tc>
        <w:tc>
          <w:tcPr>
            <w:tcW w:w="6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/>
            </w:pPr>
            <w:r>
              <w:rPr/>
              <w:t>Ж-4 «Зона индивидуальной жилой застройки городского типа»</w:t>
            </w:r>
          </w:p>
        </w:tc>
      </w:tr>
      <w:tr>
        <w:trPr>
          <w:trHeight w:val="144" w:hRule="atLeast"/>
        </w:trPr>
        <w:tc>
          <w:tcPr>
            <w:tcW w:w="3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4"/>
              </w:numPr>
              <w:spacing w:before="0" w:after="0"/>
              <w:ind w:hanging="360" w:left="720" w:right="11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ограничение прав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3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Ограничения прав подробно описаны:</w:t>
            </w:r>
          </w:p>
          <w:p>
            <w:pPr>
              <w:pStyle w:val="Normal"/>
              <w:ind w:firstLine="311"/>
              <w:jc w:val="both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в выписке из Единого государственного реестра недвижимости об объекте недвижимости </w:t>
            </w:r>
            <w:r>
              <w:rPr>
                <w:color w:val="000000"/>
                <w:sz w:val="24"/>
                <w:szCs w:val="24"/>
                <w:highlight w:val="white"/>
                <w:shd w:fill="FFFFFF" w:val="clear"/>
              </w:rPr>
              <w:t>от 20.07.2026г. № КУВИ-001/2026-97669013</w:t>
            </w:r>
            <w:r>
              <w:rPr>
                <w:sz w:val="24"/>
                <w:szCs w:val="24"/>
              </w:rPr>
              <w:t xml:space="preserve"> (далее - ЕГРН)</w:t>
            </w:r>
            <w:r>
              <w:rPr>
                <w:sz w:val="24"/>
                <w:szCs w:val="24"/>
                <w14:ligatures w14:val="none"/>
              </w:rPr>
              <w:t>;</w:t>
            </w:r>
          </w:p>
          <w:p>
            <w:pPr>
              <w:pStyle w:val="Normal"/>
              <w:ind w:firstLine="3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градостроительном плане земельного участка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  <w:r>
              <w:rPr>
                <w:sz w:val="24"/>
                <w:szCs w:val="24"/>
                <w:highlight w:val="white"/>
              </w:rPr>
              <w:t xml:space="preserve"> </w:t>
            </w:r>
            <w:r>
              <w:rPr>
                <w:color w:val="000000"/>
                <w:sz w:val="24"/>
                <w:szCs w:val="24"/>
                <w:highlight w:val="white"/>
              </w:rPr>
              <w:t>10.09.2025 № РФ-59-2-03-0-00-2025-2236-0 </w:t>
            </w:r>
            <w:r>
              <w:rPr>
                <w:sz w:val="24"/>
                <w:szCs w:val="24"/>
              </w:rPr>
              <w:t>(далее – ГПЗУ) (приложение 8 к настоящему извещению).</w:t>
            </w:r>
          </w:p>
          <w:p>
            <w:pPr>
              <w:pStyle w:val="BodyText"/>
              <w:ind w:firstLine="36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BodyText"/>
              <w:spacing w:before="0" w:after="0"/>
              <w:ind w:firstLine="283" w:left="0" w:right="0"/>
              <w:jc w:val="both"/>
              <w:rPr/>
            </w:pPr>
            <w:r>
              <w:rPr>
                <w:color w:val="000000"/>
                <w:sz w:val="24"/>
                <w:szCs w:val="24"/>
              </w:rPr>
              <w:t>Земельный участок пустой, строения, сооружения отсутствуют.</w:t>
            </w:r>
          </w:p>
          <w:p>
            <w:pPr>
              <w:pStyle w:val="BodyText"/>
              <w:spacing w:before="0" w:after="0"/>
              <w:ind w:firstLine="362" w:left="0" w:right="0"/>
              <w:jc w:val="both"/>
              <w:rPr>
                <w:color w:val="000000"/>
                <w:sz w:val="24"/>
                <w:szCs w:val="24"/>
                <w:highlight w:val="none"/>
              </w:rPr>
            </w:pPr>
            <w:r>
              <w:rPr>
                <w:color w:val="000000"/>
                <w:sz w:val="24"/>
              </w:rPr>
              <w:t xml:space="preserve">(Аналогичная информация отражена в акте обследования                      </w:t>
            </w:r>
            <w:r>
              <w:rPr>
                <w:b/>
                <w:color w:val="000000"/>
                <w:sz w:val="24"/>
              </w:rPr>
              <w:t>администрации Свердловского района города Перми</w:t>
            </w:r>
            <w:r>
              <w:rPr>
                <w:color w:val="000000"/>
                <w:sz w:val="24"/>
              </w:rPr>
              <w:t xml:space="preserve">                        от 01.09.2025).</w:t>
            </w:r>
          </w:p>
          <w:p>
            <w:pPr>
              <w:pStyle w:val="BodyText"/>
              <w:spacing w:before="0" w:after="0"/>
              <w:ind w:firstLine="362" w:left="0" w:right="0"/>
              <w:jc w:val="both"/>
              <w:rPr/>
            </w:pPr>
            <w:r>
              <w:rPr/>
            </w:r>
          </w:p>
          <w:p>
            <w:pPr>
              <w:pStyle w:val="BodyText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Согласно копии планшета М 1:1000 (требуется корректура)                 с востока частично по границе земельного участка установлено ограждение-деревянный забор смежного землепользования                   с кадастровым номером 59:01:5010025:3. С юга по границе земельного участка расположен деревянный забор смежного землепользования с кадастровым номером 59:01:5010025:5. Участок зарос лиственными деревьями.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</w:r>
          </w:p>
          <w:p>
            <w:pPr>
              <w:pStyle w:val="BodyText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В соответствии с геодезической съемкой, выполненной                          в 2024 году, по всей площади участка расположен контур древесно кустарниковой растительности. С юго-запада                           по границе земельного участка установлен деревянный забор смежного землепользования с кадастровым номером 59:01:5010025:1. С востока в границах Участка установлено ограждение-деревянный забор смежного землепользования с кадастровым номером 59:01:5010025:3. С юга в границах земельного участка расположен деревянный забор смежного землепользования  с кадастровым номером 59:01:5010025:5.</w:t>
            </w:r>
          </w:p>
          <w:p>
            <w:pPr>
              <w:pStyle w:val="BodyText"/>
              <w:spacing w:before="0" w:after="0"/>
              <w:ind w:firstLine="311" w:left="0" w:right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</w:p>
          <w:p>
            <w:pPr>
              <w:pStyle w:val="BodyText"/>
              <w:spacing w:lineRule="auto" w:line="235" w:before="0" w:afterAutospacing="0" w:after="0"/>
              <w:ind w:firstLine="311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  <w:shd w:fill="FFFFFF" w:val="clear"/>
              </w:rPr>
              <w:t xml:space="preserve">Согласно сведениям, содержащимся ЕГРН, ГПЗУ </w:t>
              <w:br/>
              <w:t> и градостроительной справке от 20.07.2026 № 687254 Участок расположен в границах зон с особыми условиями использования территории:</w:t>
            </w:r>
          </w:p>
          <w:p>
            <w:pPr>
              <w:pStyle w:val="BodyText"/>
              <w:spacing w:lineRule="auto" w:line="228" w:before="0" w:after="0"/>
              <w:ind w:firstLine="283" w:left="0" w:right="0"/>
              <w:jc w:val="both"/>
              <w:rPr/>
            </w:pPr>
            <w:r>
              <w:rPr>
                <w:color w:val="000000"/>
                <w:sz w:val="24"/>
                <w:shd w:fill="FFFFFF" w:val="clear"/>
              </w:rPr>
              <w:t>приаэродромная территория аэродрома аэропорта Большое Савино, реестровый номер 59:32-6.553;</w:t>
            </w:r>
          </w:p>
          <w:p>
            <w:pPr>
              <w:pStyle w:val="BodyText"/>
              <w:spacing w:lineRule="auto" w:line="228" w:before="0" w:after="0"/>
              <w:ind w:firstLine="283" w:left="0" w:right="0"/>
              <w:jc w:val="both"/>
              <w:rPr>
                <w:rFonts w:ascii="Times New Roman" w:hAnsi="Times New Roman"/>
                <w:color w:val="000000"/>
                <w:sz w:val="24"/>
                <w:shd w:fill="FFFFFF" w:val="clear"/>
              </w:rPr>
            </w:pPr>
            <w:r>
              <w:rPr>
                <w:color w:val="000000"/>
                <w:sz w:val="24"/>
                <w:shd w:fill="FFFFFF" w:val="clear"/>
              </w:rPr>
              <w:t>Проектирование и строительство вести в соответствии:</w:t>
            </w:r>
          </w:p>
          <w:p>
            <w:pPr>
              <w:pStyle w:val="BodyText"/>
              <w:spacing w:lineRule="auto" w:line="228" w:before="0" w:after="0"/>
              <w:ind w:firstLine="283" w:left="0" w:right="0"/>
              <w:jc w:val="both"/>
              <w:rPr/>
            </w:pPr>
            <w:r>
              <w:rPr>
                <w:color w:val="000000"/>
                <w:sz w:val="24"/>
                <w:shd w:fill="FFFFFF" w:val="clear"/>
              </w:rPr>
              <w:t>с постановлением Правительства Российской Федерации от 11.03.2010 № 138 «Об утверждении Федеральных правил использования воздушного пространства Российской Федерации»: «Запрещается размещать в полосах воздушных подходов  на удалении до 30 км, а вне полос воздушных подходов – до 15 км от контрольной точки аэродрома объекты выбросов (размещения) отходов, животноводческие фермы, скотобойни и другие объекты,</w:t>
            </w:r>
            <w:r>
              <w:rPr>
                <w:color w:val="000000"/>
                <w:shd w:fill="FFFFFF" w:val="clear"/>
              </w:rPr>
              <w:t xml:space="preserve"> </w:t>
            </w:r>
            <w:r>
              <w:rPr>
                <w:color w:val="000000"/>
                <w:sz w:val="24"/>
                <w:shd w:fill="FFFFFF" w:val="clear"/>
              </w:rPr>
              <w:t>способствующие привлечению и массовому скоплению птиц».</w:t>
            </w:r>
          </w:p>
          <w:p>
            <w:pPr>
              <w:pStyle w:val="BodyText"/>
              <w:spacing w:before="0" w:after="0"/>
              <w:ind w:firstLine="283" w:left="0" w:right="0"/>
              <w:jc w:val="both"/>
              <w:rPr/>
            </w:pPr>
            <w:r>
              <w:rPr/>
            </w:r>
          </w:p>
          <w:p>
            <w:pPr>
              <w:pStyle w:val="BodyText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rFonts w:eastAsia="Times New Roman" w:cs="Times New Roman"/>
                <w:color w:val="000000"/>
                <w:spacing w:val="0"/>
                <w:sz w:val="24"/>
                <w:szCs w:val="24"/>
                <w14:ligatures w14:val="none"/>
              </w:rPr>
              <w:t>На земельном участке произрастает 45 деревьев: осина 32 шт., ива 12 шт., береза 1 шт.</w:t>
            </w:r>
          </w:p>
          <w:p>
            <w:pPr>
              <w:pStyle w:val="BodyText"/>
              <w:spacing w:lineRule="auto" w:line="228" w:before="0" w:after="0"/>
              <w:ind w:firstLine="311" w:left="0" w:right="0"/>
              <w:jc w:val="both"/>
              <w:rPr/>
            </w:pPr>
            <w:r>
              <w:rPr>
                <w:color w:val="000000"/>
                <w:sz w:val="24"/>
                <w:shd w:fill="FFFFFF" w:val="clear"/>
              </w:rPr>
              <w:t>Средняя стоимость в ценах 2025 года одного дерева лиственной породы от 25</w:t>
            </w:r>
            <w:r>
              <w:rPr>
                <w:color w:val="000000"/>
                <w:shd w:fill="FFFFFF" w:val="clear"/>
              </w:rPr>
              <w:t xml:space="preserve"> </w:t>
            </w:r>
            <w:r>
              <w:rPr>
                <w:color w:val="000000"/>
                <w:sz w:val="24"/>
                <w:shd w:fill="FFFFFF" w:val="clear"/>
              </w:rPr>
              <w:t xml:space="preserve">тыс. руб., а хвойной – </w:t>
              <w:br/>
              <w:t> от 30</w:t>
            </w:r>
            <w:r>
              <w:rPr>
                <w:color w:val="000000"/>
                <w:shd w:fill="FFFFFF" w:val="clear"/>
              </w:rPr>
              <w:t xml:space="preserve"> </w:t>
            </w:r>
            <w:r>
              <w:rPr>
                <w:color w:val="000000"/>
                <w:sz w:val="24"/>
                <w:shd w:fill="FFFFFF" w:val="clear"/>
              </w:rPr>
              <w:t>тыс. руб.</w:t>
            </w:r>
          </w:p>
          <w:p>
            <w:pPr>
              <w:pStyle w:val="BodyText"/>
              <w:spacing w:lineRule="auto" w:line="228" w:before="0" w:after="0"/>
              <w:ind w:firstLine="283" w:left="0" w:right="0"/>
              <w:jc w:val="both"/>
              <w:rPr/>
            </w:pPr>
            <w:r>
              <w:rPr>
                <w:color w:val="000000"/>
                <w:sz w:val="24"/>
              </w:rPr>
              <w:t>Победителю аукциона необходимо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z w:val="24"/>
              </w:rPr>
              <w:t xml:space="preserve">соблюдать условия строительства, перечисленные в перечне мероприятий </w:t>
              <w:br/>
              <w:t>по охране окружающей среды от 23.09.2025 № 313.</w:t>
            </w:r>
          </w:p>
          <w:p>
            <w:pPr>
              <w:pStyle w:val="BodyText"/>
              <w:spacing w:before="0" w:after="0"/>
              <w:ind w:firstLine="362" w:left="0" w:right="0"/>
              <w:jc w:val="both"/>
              <w:rPr/>
            </w:pPr>
            <w:r>
              <w:rPr>
                <w:color w:val="000000"/>
                <w:sz w:val="24"/>
              </w:rPr>
              <w:t xml:space="preserve">(Аналогичная информация отражена в письме </w:t>
            </w:r>
            <w:r>
              <w:rPr>
                <w:color w:val="000000"/>
                <w:sz w:val="24"/>
                <w:szCs w:val="24"/>
              </w:rPr>
              <w:t>у</w:t>
            </w:r>
            <w:r>
              <w:rPr>
                <w:b/>
                <w:color w:val="000000"/>
                <w:sz w:val="24"/>
                <w:szCs w:val="24"/>
              </w:rPr>
              <w:t>правления по экологии и природопользованию администрации города Перми</w:t>
            </w:r>
            <w:r>
              <w:rPr>
                <w:color w:val="000000"/>
                <w:sz w:val="24"/>
                <w:szCs w:val="24"/>
              </w:rPr>
              <w:t xml:space="preserve"> от 24.09.2025 № 059-33-01-10/3-8).</w:t>
            </w:r>
          </w:p>
          <w:p>
            <w:pPr>
              <w:pStyle w:val="BodyText"/>
              <w:spacing w:before="0" w:after="0"/>
              <w:ind w:firstLine="362" w:left="0" w:right="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</w:p>
          <w:p>
            <w:pPr>
              <w:pStyle w:val="BodyText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Муниципальной программой «Дорожная деятельность                       и благоустройство города Перми», утвержденной постановлением администрации города Перми от 18.10.2024                    № 966,  </w:t>
            </w:r>
            <w:r>
              <w:rPr>
                <w:color w:val="000000"/>
                <w:sz w:val="24"/>
                <w:szCs w:val="24"/>
                <w:highlight w:val="white"/>
                <w:shd w:fill="FFFFFF" w:val="clear"/>
              </w:rPr>
              <w:t>«Об утверждении муниципальной программы «Дорожная деятельность и благоустройство города Перми» бюджетом города Перми на период 2025-2029 годы мероприятия по строительству, реконструкции, капитальному ремонту улично-дорожной сети на рассматриваемой территории не предусмотрены.</w:t>
            </w:r>
          </w:p>
          <w:p>
            <w:pPr>
              <w:pStyle w:val="BodyText"/>
              <w:spacing w:lineRule="auto" w:line="228" w:before="0" w:after="0"/>
              <w:ind w:firstLine="425" w:left="0" w:right="0"/>
              <w:jc w:val="both"/>
              <w:rPr/>
            </w:pPr>
            <w:r>
              <w:rPr>
                <w:color w:val="000000"/>
                <w:sz w:val="24"/>
              </w:rPr>
              <w:t>Для примыкания Участка к улично-дорожной сети города Перми необходимо выполнить условия, указанные в письме (прилагается).</w:t>
            </w:r>
          </w:p>
          <w:p>
            <w:pPr>
              <w:pStyle w:val="BodyText"/>
              <w:spacing w:lineRule="auto" w:line="228" w:before="0" w:after="0"/>
              <w:ind w:firstLine="425" w:left="0" w:right="0"/>
              <w:jc w:val="both"/>
              <w:rPr/>
            </w:pPr>
            <w:r>
              <w:rPr>
                <w:color w:val="000000"/>
                <w:sz w:val="24"/>
              </w:rPr>
              <w:t xml:space="preserve">Также направлена информация о соблюдении Правил благоустройства территории города Перми, утвержденных решением Пермской городской Думы </w:t>
              <w:br/>
              <w:t xml:space="preserve">от 15.12.2020 № 277 </w:t>
            </w:r>
            <w:r>
              <w:rPr>
                <w:color w:val="000000"/>
                <w:sz w:val="24"/>
                <w:shd w:fill="FFFFFF" w:val="clear"/>
              </w:rPr>
              <w:t>«Об утверждении Правил благоустройства территории города Перми», при строительстве объектов недвижимости на земельных участках</w:t>
            </w:r>
            <w:r>
              <w:rPr>
                <w:color w:val="000000"/>
                <w:sz w:val="24"/>
              </w:rPr>
              <w:t>, предоставленных на торгах.</w:t>
            </w:r>
          </w:p>
          <w:p>
            <w:pPr>
              <w:pStyle w:val="BodyText"/>
              <w:spacing w:lineRule="auto" w:line="228" w:before="0" w:after="0"/>
              <w:ind w:firstLine="360" w:left="0" w:right="0"/>
              <w:jc w:val="both"/>
              <w:rPr/>
            </w:pPr>
            <w:r>
              <w:rPr>
                <w:color w:val="000000"/>
                <w:sz w:val="24"/>
              </w:rPr>
              <w:t>В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z w:val="24"/>
              </w:rPr>
              <w:t>соответствии с Федеральным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z w:val="24"/>
              </w:rPr>
              <w:t xml:space="preserve">Законом </w:t>
              <w:br/>
              <w:t xml:space="preserve">от 08.11.2007 </w:t>
            </w:r>
            <w:r>
              <w:rPr>
                <w:color w:val="000000"/>
              </w:rPr>
              <w:t xml:space="preserve">№ </w:t>
            </w:r>
            <w:r>
              <w:rPr>
                <w:color w:val="000000"/>
                <w:sz w:val="24"/>
              </w:rPr>
              <w:t xml:space="preserve">257-ФЗ «Об автомобильных дорогах </w:t>
              <w:br/>
              <w:t xml:space="preserve">и о дорожной деятельности в Российской Федерации </w:t>
              <w:br/>
              <w:t xml:space="preserve">и о внесении изменений в отдельные законодательные акты Российской Федерации», расходы на строительство, реконструкцию, капитальный ремонт, ремонт пересечений и примыканий, в том числе расходы </w:t>
              <w:br/>
              <w:t xml:space="preserve">на выполнение дополнительных работ, связанных </w:t>
              <w:br/>
              <w:t xml:space="preserve">с обеспечением безопасности дорожного движения, водоотведения и исполнением других установленных техническими регламентами требований, несут лица, </w:t>
              <w:br/>
              <w:t xml:space="preserve">в интересах которых осуществляются строительство, реконструкция, капитальный ремонт, ремонт пересечений </w:t>
              <w:br/>
              <w:t>или примыканий.</w:t>
            </w:r>
          </w:p>
          <w:p>
            <w:pPr>
              <w:pStyle w:val="BodyText"/>
              <w:spacing w:before="0" w:after="0"/>
              <w:ind w:firstLine="362" w:left="0" w:right="0"/>
              <w:jc w:val="both"/>
              <w:rPr/>
            </w:pPr>
            <w:r>
              <w:rPr>
                <w:color w:val="000000"/>
                <w:sz w:val="24"/>
              </w:rPr>
              <w:t xml:space="preserve">(Аналогичная информация отражена в письме </w:t>
            </w:r>
            <w:r>
              <w:rPr>
                <w:b/>
                <w:color w:val="000000"/>
                <w:sz w:val="24"/>
              </w:rPr>
              <w:t>департамента дорог и благоустройства администрации города Перми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01.09.2025 № 059-24-01-36/3-3144</w:t>
            </w:r>
            <w:r>
              <w:rPr>
                <w:color w:val="000000"/>
                <w:sz w:val="24"/>
              </w:rPr>
              <w:t>).</w:t>
            </w:r>
          </w:p>
          <w:p>
            <w:pPr>
              <w:pStyle w:val="BodyText"/>
              <w:spacing w:before="0" w:after="0"/>
              <w:ind w:firstLine="362" w:left="0" w:right="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</w:p>
          <w:p>
            <w:pPr>
              <w:pStyle w:val="BodyText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auto"/>
                <w:sz w:val="24"/>
                <w:szCs w:val="24"/>
              </w:rPr>
              <w:t>Источники противопожарного водоснабжения на указанной территории отсутствуют.</w:t>
            </w:r>
          </w:p>
          <w:p>
            <w:pPr>
              <w:pStyle w:val="BodyText"/>
              <w:spacing w:lineRule="auto" w:line="228" w:before="0" w:after="0"/>
              <w:ind w:firstLine="459" w:left="0" w:right="0"/>
              <w:jc w:val="both"/>
              <w:rPr/>
            </w:pPr>
            <w:r>
              <w:rPr>
                <w:color w:val="000000"/>
                <w:sz w:val="24"/>
              </w:rPr>
              <w:t xml:space="preserve">Информация о подразделениях пожарной охраны </w:t>
              <w:br/>
              <w:t>и времени их прибытия содержится в «Расписании выезда подразделений Пермского местного пожарно-спасательного гарнизона для тушения пожаров и проведения аварийно-спасательных работ на территории Пермского городского округа, Пермского муниципального района», утвержденном Главой города Перми 26.04.2024.</w:t>
            </w:r>
          </w:p>
          <w:p>
            <w:pPr>
              <w:pStyle w:val="BodyText"/>
              <w:spacing w:lineRule="auto" w:line="228" w:before="0" w:after="0"/>
              <w:ind w:firstLine="459" w:left="0" w:right="0"/>
              <w:jc w:val="both"/>
              <w:rPr/>
            </w:pPr>
            <w:r>
              <w:rPr>
                <w:color w:val="000000"/>
                <w:sz w:val="24"/>
              </w:rPr>
              <w:t>Ближайшее подразделение пожарной охраны расположено по адресу: ул. Белинского, 52 (ПСЧ-5 10-ПСО).</w:t>
            </w:r>
          </w:p>
          <w:p>
            <w:pPr>
              <w:pStyle w:val="BodyText"/>
              <w:spacing w:lineRule="auto" w:line="228" w:before="0" w:after="0"/>
              <w:ind w:firstLine="459" w:left="0" w:right="0"/>
              <w:jc w:val="both"/>
              <w:rPr/>
            </w:pPr>
            <w:r>
              <w:rPr>
                <w:color w:val="000000"/>
                <w:sz w:val="24"/>
              </w:rPr>
              <w:t xml:space="preserve">Помещения для аварийно-спасательных служб </w:t>
              <w:br/>
              <w:t xml:space="preserve">и (или) аварийно-спасательных формирований </w:t>
              <w:br/>
              <w:t>на указанной территории отсутствуют.</w:t>
            </w:r>
          </w:p>
          <w:p>
            <w:pPr>
              <w:pStyle w:val="BodyText"/>
              <w:spacing w:lineRule="auto" w:line="228" w:before="0" w:after="0"/>
              <w:ind w:firstLine="459" w:left="0" w:right="0"/>
              <w:jc w:val="both"/>
              <w:rPr/>
            </w:pPr>
            <w:r>
              <w:rPr>
                <w:color w:val="000000"/>
                <w:sz w:val="24"/>
              </w:rPr>
              <w:t xml:space="preserve">При планировке и размещении объектов </w:t>
              <w:br/>
              <w:t xml:space="preserve">на вышеуказанной территории необходимо соблюдать нормы и требования действующего законодательства: федеральных законов от 21 декабря 1994 г. № 69-ФЗ </w:t>
              <w:br/>
              <w:t xml:space="preserve">«О пожарной безопасности» и от 22 июля 2008 г. </w:t>
              <w:br/>
              <w:t>№ 123-ФЗ «Технический регламент о требованиях пожарной безопасности», Свода правил 8.13130. «Системы противопожарной защиты.</w:t>
            </w:r>
          </w:p>
          <w:p>
            <w:pPr>
              <w:pStyle w:val="BodyText"/>
              <w:spacing w:lineRule="auto" w:line="228" w:before="0" w:after="0"/>
              <w:ind w:firstLine="459" w:left="0" w:right="0"/>
              <w:jc w:val="both"/>
              <w:rPr/>
            </w:pPr>
            <w:r>
              <w:rPr>
                <w:color w:val="000000"/>
                <w:sz w:val="24"/>
              </w:rPr>
              <w:t>Источники наружного противопожарного водоснабжения. Требования пожарной безопасности», утвержденных приказом МЧС России от 30.03.2020 № 225, Свода правил 4.13130 «Системы противопожарной защиты.</w:t>
            </w:r>
          </w:p>
          <w:p>
            <w:pPr>
              <w:pStyle w:val="BodyText"/>
              <w:spacing w:lineRule="auto" w:line="228" w:before="0" w:after="0"/>
              <w:ind w:firstLine="459" w:left="0" w:right="0"/>
              <w:jc w:val="both"/>
              <w:rPr/>
            </w:pPr>
            <w:r>
              <w:rPr>
                <w:color w:val="000000"/>
                <w:sz w:val="24"/>
              </w:rPr>
              <w:t>Ограничение распространения пожара на объектах защиты. Требования к объемно-планировочным и конструктивным решениям», утвержденных Приказом МЧС России от 24.04.2013 № 288 и иной документации, касающейся норм противопожарной безопасности.</w:t>
            </w:r>
          </w:p>
          <w:p>
            <w:pPr>
              <w:pStyle w:val="BodyText"/>
              <w:spacing w:lineRule="auto" w:line="228" w:before="0" w:after="0"/>
              <w:ind w:firstLine="459" w:left="0" w:right="0"/>
              <w:jc w:val="both"/>
              <w:rPr/>
            </w:pPr>
            <w:r>
              <w:rPr>
                <w:color w:val="000000"/>
                <w:sz w:val="24"/>
              </w:rPr>
              <w:t xml:space="preserve">Объекты общественной безопасности, отнесенные </w:t>
              <w:br/>
              <w:t xml:space="preserve">объектам полиции (участковые пункты полиции) </w:t>
              <w:br/>
              <w:t>в данном микрорайоне отсутствуют.</w:t>
            </w:r>
          </w:p>
          <w:p>
            <w:pPr>
              <w:pStyle w:val="BodyText"/>
              <w:spacing w:lineRule="auto" w:line="228" w:before="0" w:after="0"/>
              <w:ind w:firstLine="459" w:left="0" w:right="0"/>
              <w:jc w:val="both"/>
              <w:rPr/>
            </w:pPr>
            <w:r>
              <w:rPr>
                <w:color w:val="000000"/>
                <w:sz w:val="24"/>
              </w:rPr>
              <w:t>В соответствии с информацией, предоставленной Министерством территориальной безопасности Пермского края (письмо от 07.10.2020 № 964-с), данная территория попадает                          в зону возможного химического заражения в особый период.</w:t>
            </w:r>
          </w:p>
          <w:p>
            <w:pPr>
              <w:pStyle w:val="BodyText"/>
              <w:spacing w:lineRule="auto" w:line="228" w:before="0" w:after="0"/>
              <w:ind w:firstLine="459" w:left="0" w:right="0"/>
              <w:jc w:val="both"/>
              <w:rPr/>
            </w:pPr>
            <w:r>
              <w:rPr>
                <w:color w:val="000000"/>
                <w:sz w:val="24"/>
              </w:rPr>
              <w:t xml:space="preserve">На указанной территории оконечные устройства системы оповещения населения города Перми отсутствуют. </w:t>
              <w:br/>
              <w:t> Для обеспечения покрытия запланированной территории системой оповещения населения необходимо предусматривать размещение сиренно-речевых узлов согласно пунктам 6.38, 6.39 СП 165.1325800.2014 «Свод правил. Инженерно-технические мероприятия по гражданской обороне. Актуализированная редакция СНиП 2.01.51-90», утвержденные Приказом Минстроя России от 12.11.2014 № 705/пр.</w:t>
            </w:r>
          </w:p>
          <w:p>
            <w:pPr>
              <w:pStyle w:val="BodyText"/>
              <w:spacing w:before="0" w:after="0"/>
              <w:ind w:firstLine="362" w:left="0" w:right="0"/>
              <w:jc w:val="both"/>
              <w:rPr/>
            </w:pPr>
            <w:r>
              <w:rPr>
                <w:color w:val="000000"/>
                <w:sz w:val="24"/>
                <w:szCs w:val="24"/>
              </w:rPr>
              <w:t>(Аналогичная информация отражена в письме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b/>
                <w:color w:val="000000"/>
                <w:sz w:val="24"/>
              </w:rPr>
              <w:t>департамента общественной безопасности администрации города Перми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z w:val="24"/>
              </w:rPr>
              <w:t xml:space="preserve">от </w:t>
            </w:r>
            <w:r>
              <w:rPr>
                <w:color w:val="000000"/>
                <w:sz w:val="24"/>
                <w:szCs w:val="24"/>
              </w:rPr>
              <w:t>29.08.2025 № 059-10-01-27/3-1864</w:t>
            </w:r>
            <w:r>
              <w:rPr>
                <w:color w:val="000000"/>
                <w:sz w:val="24"/>
              </w:rPr>
              <w:t>).</w:t>
            </w:r>
          </w:p>
        </w:tc>
      </w:tr>
      <w:tr>
        <w:trPr>
          <w:trHeight w:val="1087" w:hRule="atLeast"/>
        </w:trPr>
        <w:tc>
          <w:tcPr>
            <w:tcW w:w="3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4"/>
              </w:numPr>
              <w:spacing w:before="0" w:after="0"/>
              <w:ind w:firstLine="270" w:left="240" w:right="11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максимально и (или) минимально  допустимые параметры разрешенного строительства </w:t>
              <w:br/>
              <w:t>объекта капитального строительства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312"/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ind w:firstLine="312"/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  <w:shd w:fill="FFFFFF" w:val="clear"/>
              </w:rPr>
              <w:t xml:space="preserve">документации по земельному участку, размещенной                         с извещением о проведении аукциона в ГИС Торги </w:t>
            </w:r>
            <w:r>
              <w:rPr>
                <w:sz w:val="24"/>
                <w:szCs w:val="24"/>
                <w:lang w:val="en-US"/>
              </w:rPr>
              <w:t>www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torgi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gov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ru</w:t>
            </w:r>
            <w:r>
              <w:rPr>
                <w:sz w:val="24"/>
                <w:szCs w:val="24"/>
                <w:shd w:fill="FFFFFF" w:val="clear"/>
              </w:rPr>
              <w:t xml:space="preserve">, на официальном сайте муниципального образования город Пермь в информационно-телекоммуникационной сети Интернет </w:t>
            </w:r>
            <w:r>
              <w:rPr>
                <w:sz w:val="24"/>
                <w:szCs w:val="24"/>
              </w:rPr>
              <w:t>www.gorodperm.ru.</w:t>
            </w:r>
          </w:p>
          <w:p>
            <w:pPr>
              <w:pStyle w:val="BodyText"/>
              <w:ind w:firstLine="36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 xml:space="preserve">Проектирование и строительство необходимо вести </w:t>
              <w:br/>
              <w:t>в соответствии с пунктом 4.5 СП 55.13330.2016 Свода Правил. Дома жилые одноквартирные. СНиП 31-02-2001, утвержденным и введенным в действие Приказом Министерства строительства и жилищно-коммунального хозяйства Российской Федерации от 20.10.2016 № 725/пр. Дом должен включать жилые комнаты – одну или несколько (общую комнату или гостиную, спальню),</w:t>
            </w:r>
            <w:r>
              <w:rPr>
                <w:color w:val="auto"/>
                <w:sz w:val="24"/>
                <w:szCs w:val="24"/>
              </w:rPr>
              <w:t xml:space="preserve"> </w:t>
              <w:br/>
            </w:r>
            <w:r>
              <w:rPr>
                <w:color w:val="auto"/>
                <w:sz w:val="24"/>
                <w:szCs w:val="24"/>
                <w:lang w:val="en-US"/>
              </w:rPr>
              <w:t>а также вспомогательные помещения: переднюю, кухню (в том числе кухню-столовую и (или) кухню-нишу), ванные комнаты и (или) душевые, туалет (уборную) или совмещенный санузел</w:t>
            </w:r>
            <w:r>
              <w:rPr>
                <w:color w:val="auto"/>
                <w:sz w:val="24"/>
                <w:szCs w:val="24"/>
              </w:rPr>
              <w:t>, переднюю.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>Согласно пункту 6.1 СП 55.13330.2016 площади помещений строящихся и реконструируемых жилых домов должны быть не менее: общей комнаты в однокомнатном доме - 14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val="auto"/>
                <w:sz w:val="24"/>
                <w:szCs w:val="24"/>
                <w:lang w:val="en-US"/>
              </w:rPr>
              <w:t>, общей комнаты в доме с числом комнат две и более - 16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val="auto"/>
                <w:sz w:val="24"/>
                <w:szCs w:val="24"/>
                <w:lang w:val="en-US"/>
              </w:rPr>
              <w:t>, спальни - 8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val="auto"/>
                <w:sz w:val="24"/>
                <w:szCs w:val="24"/>
                <w:lang w:val="en-US"/>
              </w:rPr>
              <w:t xml:space="preserve"> (на двух человек - 10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val="auto"/>
                <w:sz w:val="24"/>
                <w:szCs w:val="24"/>
                <w:lang w:val="en-US"/>
              </w:rPr>
              <w:t>); кухни - 8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val="auto"/>
                <w:sz w:val="24"/>
                <w:szCs w:val="24"/>
                <w:lang w:val="en-US"/>
              </w:rPr>
              <w:t xml:space="preserve">; кухонной зоны </w:t>
              <w:br/>
              <w:t>в кухне-столовой - 6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val="auto"/>
                <w:sz w:val="24"/>
                <w:szCs w:val="24"/>
                <w:lang w:val="en-US"/>
              </w:rPr>
              <w:t>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  <w:lang w:val="en-US"/>
              </w:rPr>
              <w:t>В домах с одной комнатой допускается проектировать кухни или кухни-ниши площадью не менее 5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val="auto"/>
                <w:sz w:val="24"/>
                <w:szCs w:val="24"/>
                <w:lang w:val="en-US"/>
              </w:rPr>
              <w:t>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  <w:lang w:val="en-US"/>
              </w:rPr>
              <w:t>Площадь спальни и кухни в мансардном этаже (или этаже                       с наклонными ограждающими конструкциями) допускается                      не менее 7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val="auto"/>
                <w:sz w:val="24"/>
                <w:szCs w:val="24"/>
                <w:lang w:val="en-US"/>
              </w:rPr>
              <w:t xml:space="preserve"> при условии, что общая жилая комната имеет площадь не менее 16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val="auto"/>
                <w:sz w:val="24"/>
                <w:szCs w:val="24"/>
                <w:lang w:val="en-US"/>
              </w:rPr>
              <w:t>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 xml:space="preserve">Согласно пункту 6.2 СП 55.13330.2016 высота (от пола </w:t>
              <w:br/>
              <w:t xml:space="preserve">до потолка) комнат и кухни (кухни-столовой) </w:t>
              <w:br/>
              <w:t xml:space="preserve">в климатических районах строительства IА, IБ, IГ, IД, определяемых по СП 131.13330, должна быть не менее </w:t>
              <w:br/>
              <w:t xml:space="preserve">2,7 м, а в других климатических районах строительства - не менее 2,5 м. Высота внутридомовых коридоров, холлов, передних, </w:t>
            </w:r>
            <w:r>
              <w:rPr>
                <w:color w:val="auto"/>
                <w:spacing w:val="-2"/>
                <w:sz w:val="24"/>
                <w:szCs w:val="24"/>
                <w:lang w:val="en-US"/>
              </w:rPr>
              <w:t>антресолей должна составлять не менее 2,1 м,</w:t>
            </w:r>
            <w:r>
              <w:rPr>
                <w:color w:val="auto"/>
                <w:spacing w:val="-2"/>
                <w:sz w:val="24"/>
                <w:szCs w:val="24"/>
              </w:rPr>
              <w:t xml:space="preserve">                               </w:t>
            </w:r>
            <w:r>
              <w:rPr>
                <w:color w:val="auto"/>
                <w:spacing w:val="-2"/>
                <w:sz w:val="24"/>
                <w:szCs w:val="24"/>
                <w:lang w:val="en-US"/>
              </w:rPr>
              <w:t>а высота пути эвакуации -</w:t>
            </w:r>
            <w:r>
              <w:rPr>
                <w:color w:val="auto"/>
                <w:sz w:val="24"/>
                <w:szCs w:val="24"/>
                <w:lang w:val="en-US"/>
              </w:rPr>
              <w:t xml:space="preserve"> не менее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  <w:lang w:val="en-US"/>
              </w:rPr>
              <w:t>2,2 м.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 xml:space="preserve">В жилых комнатах и кухнях, расположенных в этажах </w:t>
            </w:r>
            <w:r>
              <w:rPr>
                <w:color w:val="auto"/>
                <w:sz w:val="24"/>
                <w:szCs w:val="24"/>
              </w:rPr>
              <w:br/>
            </w:r>
            <w:r>
              <w:rPr>
                <w:color w:val="auto"/>
                <w:sz w:val="24"/>
                <w:szCs w:val="24"/>
                <w:lang w:val="en-US"/>
              </w:rPr>
              <w:t xml:space="preserve">с наклонными ограждающими конструкциями или </w:t>
              <w:br/>
              <w:t>в мансардном этаже, допускается уменьшение высоты помещений (от пола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  <w:lang w:val="en-US"/>
              </w:rPr>
              <w:t>до потолка), относительно нормируемой на площади, не превышающей 50%.</w:t>
            </w:r>
          </w:p>
          <w:p>
            <w:pPr>
              <w:pStyle w:val="BodyText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Согласно ГПЗУ: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  <w:t xml:space="preserve">минимальный отступ от границ Участка до места допустимого размещения зданий, строений </w:t>
              <w:br/>
              <w:t>(за исключением границ со стороны территории общего пользования, где отступ определяется с учетом красных линий и линий регулирования застройки, установленных проектом планировки территории, а также границ смежных земельных участков при блокированной жилой застройке) – 3 м;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highlight w:val="white"/>
              </w:rPr>
            </w:pPr>
            <w:r>
              <w:rPr>
                <w:color w:val="auto"/>
                <w:sz w:val="24"/>
              </w:rPr>
              <w:t>м</w:t>
            </w:r>
            <w:r>
              <w:rPr>
                <w:color w:val="auto"/>
                <w:sz w:val="24"/>
                <w:highlight w:val="white"/>
              </w:rPr>
              <w:t xml:space="preserve">аксимальный выступ за красную линию нависающих частей здания наземных уровней, выступающих </w:t>
              <w:br/>
              <w:t>из плоскости наружной стены фасада здания на высоте</w:t>
              <w:br/>
              <w:t xml:space="preserve">не менее 4,5 м над территорией общего пользования, составляет не более 1,2 м от красной линии. </w:t>
              <w:br/>
              <w:t>В случаях, когда линия регулирования застройки отличается                    от красной линии, указанный выступ может быть произведен       за линию регулирования застройки;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 – 40%.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Согласно документации по планировке территории, утвержденной постановлением администрации города Перми от</w:t>
            </w:r>
            <w:r>
              <w:rPr>
                <w:color w:val="auto"/>
                <w:sz w:val="24"/>
                <w:szCs w:val="24"/>
                <w:highlight w:val="white"/>
              </w:rPr>
              <w:t xml:space="preserve"> 22.12.2017 № 1</w:t>
            </w:r>
            <w:r>
              <w:rPr>
                <w:color w:val="auto"/>
                <w:sz w:val="24"/>
                <w:szCs w:val="24"/>
              </w:rPr>
              <w:t>178, предельная высота жилой застройки – до 10,5 метров.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Победителю аукциона (единственному участнику) рекомендовано обратиться в уполномоченный орган </w:t>
              <w:br/>
              <w:t>с уведомлением о планируемом строительстве жилого дома.</w:t>
            </w:r>
          </w:p>
          <w:p>
            <w:pPr>
              <w:pStyle w:val="BodyText"/>
              <w:spacing w:before="0" w:after="0"/>
              <w:ind w:firstLine="311" w:left="0" w:righ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3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ind w:firstLine="125" w:left="12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возможность</w:t>
            </w:r>
          </w:p>
          <w:p>
            <w:pPr>
              <w:pStyle w:val="Normal"/>
              <w:ind w:hanging="0" w:left="245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31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ind w:firstLine="31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  <w:shd w:fill="FFFFFF" w:val="clear"/>
              </w:rPr>
              <w:t xml:space="preserve">документации по земельному участку, размещенной                      с извещением о проведении аукциона в ГИС Торги </w:t>
            </w:r>
            <w:r>
              <w:rPr>
                <w:sz w:val="24"/>
                <w:szCs w:val="24"/>
                <w:lang w:val="en-US"/>
              </w:rPr>
              <w:t>www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torgi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gov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ru</w:t>
            </w:r>
            <w:r>
              <w:rPr>
                <w:sz w:val="24"/>
                <w:szCs w:val="24"/>
                <w:shd w:fill="FFFFFF" w:val="clear"/>
              </w:rPr>
              <w:t xml:space="preserve">, на официальном сайте муниципального образования город Пермь в информационно-телекоммуникационной сети Интернет </w:t>
            </w:r>
            <w:hyperlink r:id="rId16" w:tgtFrame="http://www.gorodperm.ru/">
              <w:r>
                <w:rPr>
                  <w:rStyle w:val="Hyperlink"/>
                  <w:color w:val="000000"/>
                  <w:sz w:val="24"/>
                  <w:szCs w:val="24"/>
                </w:rPr>
                <w:t>www.gorodperm.ru</w:t>
              </w:r>
            </w:hyperlink>
            <w:r>
              <w:rPr>
                <w:color w:val="000000"/>
                <w:sz w:val="24"/>
                <w:szCs w:val="24"/>
              </w:rPr>
              <w:t>.</w:t>
            </w:r>
          </w:p>
          <w:p>
            <w:pPr>
              <w:pStyle w:val="Normal"/>
              <w:ind w:firstLine="31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>О наличии технической возможности технологического присоединения к электросетям филиала энергопринимающего устройства объекта капитального строительства                                с предполагаемой максимальной мощностью 15 кВт сообщает следующее.</w:t>
            </w:r>
          </w:p>
          <w:p>
            <w:pPr>
              <w:pStyle w:val="Normal"/>
              <w:spacing w:lineRule="auto" w:line="240" w:before="0" w:after="0"/>
              <w:ind w:firstLine="452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Порядок технологического присоединения </w:t>
              <w:br/>
              <w:t xml:space="preserve">к электрическим сетям регламентирован Правилами технологического присоединения энергопринимающих устройств потребителей электрической энергии, объектов                     по производству электрической энергии, а также объектов электросетевого хозяйства, принадлежащих сетевым организациям и иным лица, к электрическим сетям, утвержденными постановлением Правительства РФ </w:t>
              <w:br/>
              <w:t>от 27.12.2004 № 861 (далее – Правила ТП).</w:t>
            </w:r>
          </w:p>
          <w:p>
            <w:pPr>
              <w:pStyle w:val="Normal"/>
              <w:spacing w:lineRule="auto" w:line="240" w:before="0" w:after="0"/>
              <w:ind w:firstLine="452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В силу пункта 6 Правил ТП технологическое присоединение осуществляется на основании договора заключаемого между сетевой организацией </w:t>
              <w:br/>
              <w:t>и юридическим или физическим лицом. Перечень мероприятий по технологическому присоединению определяется                                     в технических условиях.</w:t>
            </w:r>
          </w:p>
          <w:p>
            <w:pPr>
              <w:pStyle w:val="Normal"/>
              <w:spacing w:lineRule="auto" w:line="240" w:before="0" w:after="0"/>
              <w:ind w:firstLine="452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>Согласно пунктам 15, 25, 25.1 Правил ТП технические условия являются неотъемлемым приложением                                         к соответствующему договору технологического присоединения и представляют собой техническое решение присоединения конкретного энергопринимающего устройства             к сетям электросетевой организации, которое предусматривают точки присоединения, требования к усилению существующей сети, иные технические требования. Следовательно, технические условия для технологического присоединения предоставляются заявителю сетевой организацией вместе                                   с договором о технологическом присоединении.</w:t>
            </w:r>
          </w:p>
          <w:p>
            <w:pPr>
              <w:pStyle w:val="Normal"/>
              <w:spacing w:lineRule="auto" w:line="240" w:before="0" w:after="0"/>
              <w:ind w:firstLine="452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Для получения технических условий и заключения договора на технологическое присоединении необходимо направить в адрес филиала ПАО «Россети Урал» - «Пермэнерго» соответствующую заявку с указанием сведений и приложением необходимых документов </w:t>
              <w:br/>
              <w:t>в соответствии с Правилами ТП через единый федеральный портал электросетевых услуг группы компаний «Россети» – ПОРТАЛ-ТП.РФ.</w:t>
            </w:r>
          </w:p>
          <w:p>
            <w:pPr>
              <w:pStyle w:val="Normal"/>
              <w:spacing w:lineRule="auto" w:line="240" w:before="0" w:after="0"/>
              <w:ind w:firstLine="452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>При подготовке ГПЗУ необходимо предусмотреть коридоры для строительства кабельных линий и место для размещения трансформаторных подстанций.</w:t>
            </w:r>
          </w:p>
          <w:p>
            <w:pPr>
              <w:pStyle w:val="BodyText"/>
              <w:ind w:firstLine="312"/>
              <w:jc w:val="both"/>
              <w:rPr>
                <w:color w:val="000000"/>
                <w:sz w:val="24"/>
                <w:szCs w:val="24"/>
                <w:highlight w:val="none"/>
              </w:rPr>
            </w:pPr>
            <w:r>
              <w:rPr>
                <w:color w:val="000000"/>
                <w:sz w:val="24"/>
                <w:szCs w:val="24"/>
              </w:rPr>
              <w:t xml:space="preserve">(Аналогичная информация отражена в письме Филиала </w:t>
            </w:r>
            <w:r>
              <w:rPr>
                <w:b/>
                <w:color w:val="000000"/>
                <w:sz w:val="24"/>
                <w:szCs w:val="24"/>
              </w:rPr>
              <w:t>ПАО «Россети Урал» - «Пермэнерго» Пермские городские электрические сети»</w:t>
            </w:r>
            <w:r>
              <w:rPr>
                <w:color w:val="000000"/>
                <w:sz w:val="24"/>
                <w:szCs w:val="24"/>
              </w:rPr>
              <w:t xml:space="preserve">  от 02.09.2025 № ПЭ/ПГЭС/22/369).</w:t>
            </w:r>
          </w:p>
          <w:p>
            <w:pPr>
              <w:pStyle w:val="BodyText"/>
              <w:ind w:firstLine="31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BodyText"/>
              <w:ind w:firstLine="312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Техническая возможность подключения объекта капитального строительства с предполагаемой максимальной нагрузкой 8 куб.м/час к существующим сетям газораспределения имеется.</w:t>
            </w:r>
          </w:p>
          <w:p>
            <w:pPr>
              <w:pStyle w:val="BodyText"/>
              <w:spacing w:before="0" w:after="0"/>
              <w:ind w:firstLine="283" w:left="0" w:right="0"/>
              <w:jc w:val="both"/>
              <w:rPr/>
            </w:pPr>
            <w:r>
              <w:rPr>
                <w:color w:val="000000"/>
                <w:sz w:val="24"/>
              </w:rPr>
              <w:t>Для рассмотрения вопроса о предоставлении технических условий на подключение (технологическое присоединение) необходимо направить запрос с приложением необходимых документов и сведений на электронную почту post@pf.ugaz.ru, либо почтовым отправлением по адресу: г. Пермь,</w:t>
              <w:br/>
              <w:t>ул. Уральская, 104, через Единый центр предоставления услуг по адресу: г. Пермь, ул. Уральская, д. 104, каб. 101.</w:t>
            </w:r>
          </w:p>
          <w:p>
            <w:pPr>
              <w:pStyle w:val="BodyText"/>
              <w:spacing w:before="0" w:after="0"/>
              <w:ind w:firstLine="362" w:left="0" w:right="0"/>
              <w:jc w:val="both"/>
              <w:rPr/>
            </w:pPr>
            <w:r>
              <w:rPr>
                <w:color w:val="000000"/>
                <w:sz w:val="24"/>
              </w:rPr>
              <w:t xml:space="preserve">(Аналогичная информация отражена в письме </w:t>
              <w:br/>
            </w:r>
            <w:r>
              <w:rPr>
                <w:b/>
                <w:color w:val="000000"/>
                <w:sz w:val="24"/>
                <w:szCs w:val="24"/>
              </w:rPr>
              <w:t xml:space="preserve">АО «Газпром газораспределение Пермь»  </w:t>
            </w:r>
            <w:r>
              <w:rPr>
                <w:b w:val="false"/>
                <w:bCs w:val="false"/>
                <w:color w:val="000000"/>
                <w:sz w:val="24"/>
                <w:szCs w:val="24"/>
              </w:rPr>
              <w:t xml:space="preserve">от </w:t>
            </w:r>
            <w:r>
              <w:rPr>
                <w:b w:val="false"/>
                <w:bCs w:val="false"/>
                <w:color w:val="000000"/>
                <w:sz w:val="24"/>
                <w:szCs w:val="24"/>
                <w:highlight w:val="white"/>
              </w:rPr>
              <w:t xml:space="preserve">17.10.2025 </w:t>
              <w:br/>
              <w:t>№ ПФ-7538</w:t>
            </w:r>
            <w:r>
              <w:rPr>
                <w:color w:val="000000"/>
                <w:sz w:val="24"/>
                <w:szCs w:val="24"/>
              </w:rPr>
              <w:t>).</w:t>
            </w:r>
          </w:p>
          <w:p>
            <w:pPr>
              <w:pStyle w:val="BodyText"/>
              <w:spacing w:before="0" w:after="0"/>
              <w:ind w:firstLine="362" w:left="0" w:right="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</w:p>
          <w:p>
            <w:pPr>
              <w:pStyle w:val="BodyText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О наличии технической возможности для подключения сетей водоснабжения и водоотведения с предполагаемой величиной нагрузки 1,0 м3/сут. сообщается, </w:t>
              <w:br/>
              <w:t>что в районе, где расположен Участок, отсутствуют централизованные сети водоснабжения и водоотведения, эксплуатируемые ООО «Новогор-Прикамье».</w:t>
            </w:r>
          </w:p>
          <w:p>
            <w:pPr>
              <w:pStyle w:val="BodyText"/>
              <w:spacing w:lineRule="auto" w:line="228" w:before="0" w:after="0"/>
              <w:ind w:firstLine="452" w:left="0" w:right="0"/>
              <w:jc w:val="both"/>
              <w:rPr/>
            </w:pPr>
            <w:r>
              <w:rPr>
                <w:color w:val="000000"/>
                <w:sz w:val="24"/>
              </w:rPr>
              <w:t xml:space="preserve">Ближайшей сетью водоснабжения, эксплуатируемой </w:t>
              <w:br/>
              <w:t xml:space="preserve">ООО «НОВОГОР- Прикамье», располагаются в районе здания по Бродовскому тракту, 15 ориентировочно </w:t>
              <w:br/>
              <w:t>на расстоянии - 10,00 км от выше указанного земельного участка. Ближайшие сети водоотведения, эксплуатируемой ООО «НОВОГОР- Прикамье», располагаются в районе здания по ул. Героев Хасана, 109/2 ориентировочно на расстоянии - 11,0 км от выше указанного земельного участка.</w:t>
            </w:r>
          </w:p>
          <w:p>
            <w:pPr>
              <w:pStyle w:val="BodyText"/>
              <w:spacing w:lineRule="auto" w:line="228" w:before="0" w:after="0"/>
              <w:ind w:firstLine="452" w:left="0" w:right="0"/>
              <w:jc w:val="both"/>
              <w:rPr/>
            </w:pPr>
            <w:r>
              <w:rPr>
                <w:color w:val="000000"/>
                <w:sz w:val="24"/>
              </w:rPr>
              <w:t xml:space="preserve">При проектировании может быть применен альтернативный способ водоснабжения без подключения к централизованной системе водоснабжения </w:t>
              <w:br/>
              <w:t xml:space="preserve">(от скважины) и альтернативный способ канализования, без подключения к централизованной системе канализации г. Перми (отвод стоков на локальные очистные сооружения, канализование объекта </w:t>
              <w:br/>
              <w:t>в выгребную ямус последующим вывозом стоков спец. машинами), который должен соответствовать всем нормативным требованиям Российской Федерации.</w:t>
            </w:r>
          </w:p>
          <w:p>
            <w:pPr>
              <w:pStyle w:val="BodyText"/>
              <w:spacing w:lineRule="auto" w:line="228" w:before="0" w:after="0"/>
              <w:ind w:firstLine="452" w:left="0" w:right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Кроме того, ООО «НОВОГОР-Прикамье» </w:t>
              <w:br/>
              <w:t xml:space="preserve">не располагает сведениями о наличии сетей 3-х лиц </w:t>
              <w:br/>
              <w:t>в границах Участка.</w:t>
            </w:r>
          </w:p>
          <w:p>
            <w:pPr>
              <w:pStyle w:val="BodyText"/>
              <w:spacing w:before="0" w:after="0"/>
              <w:ind w:firstLine="362" w:left="0" w:right="0"/>
              <w:jc w:val="both"/>
              <w:rPr/>
            </w:pPr>
            <w:r>
              <w:rPr>
                <w:color w:val="000000"/>
                <w:sz w:val="24"/>
              </w:rPr>
              <w:t>(Аналогичная информация отражена в письме</w:t>
              <w:br/>
            </w:r>
            <w:r>
              <w:rPr>
                <w:b/>
                <w:color w:val="000000"/>
                <w:sz w:val="24"/>
              </w:rPr>
              <w:t xml:space="preserve">ООО «НОВОГОР-Прикамье» </w:t>
            </w:r>
            <w:r>
              <w:rPr>
                <w:b w:val="false"/>
                <w:bCs w:val="false"/>
                <w:color w:val="000000"/>
                <w:sz w:val="24"/>
              </w:rPr>
              <w:t xml:space="preserve">от </w:t>
            </w:r>
            <w:r>
              <w:rPr>
                <w:b w:val="false"/>
                <w:bCs w:val="false"/>
                <w:color w:val="000000"/>
                <w:sz w:val="24"/>
                <w:szCs w:val="24"/>
              </w:rPr>
              <w:t>27.08.2025 № 110-13133</w:t>
            </w:r>
            <w:r>
              <w:rPr>
                <w:color w:val="000000"/>
                <w:sz w:val="24"/>
              </w:rPr>
              <w:t>).</w:t>
            </w:r>
          </w:p>
          <w:p>
            <w:pPr>
              <w:pStyle w:val="BodyText"/>
              <w:spacing w:before="0" w:after="0"/>
              <w:ind w:firstLine="362" w:left="0" w:right="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</w:p>
          <w:p>
            <w:pPr>
              <w:pStyle w:val="BodyText"/>
              <w:spacing w:before="0" w:after="0"/>
              <w:ind w:firstLine="311" w:left="0" w:right="0"/>
              <w:jc w:val="both"/>
              <w:rPr/>
            </w:pPr>
            <w:r>
              <w:rPr>
                <w:color w:val="000000"/>
                <w:sz w:val="24"/>
              </w:rPr>
              <w:t>Участок находится вне зоны теплоснабжения</w:t>
              <w:br/>
              <w:t>ПАО «Т Плюс».</w:t>
            </w:r>
          </w:p>
          <w:p>
            <w:pPr>
              <w:pStyle w:val="BodyText"/>
              <w:spacing w:before="0" w:after="0"/>
              <w:ind w:firstLine="311" w:left="0" w:right="0"/>
              <w:jc w:val="both"/>
              <w:rPr/>
            </w:pPr>
            <w:r>
              <w:rPr>
                <w:color w:val="000000"/>
                <w:sz w:val="24"/>
              </w:rPr>
              <w:t>Для запроса информации о возможности подключения земельного участка рекомендуется обратиться</w:t>
              <w:br/>
              <w:t>к собственникам близлежащих тепловых сетей/источников теплоснабжения или рассмотреть возможность альтернативного источника теплоснабжения.</w:t>
            </w:r>
          </w:p>
          <w:p>
            <w:pPr>
              <w:pStyle w:val="BodyText"/>
              <w:spacing w:before="0" w:after="0"/>
              <w:ind w:firstLine="362" w:left="0" w:right="0"/>
              <w:jc w:val="both"/>
              <w:rPr/>
            </w:pPr>
            <w:r>
              <w:rPr>
                <w:color w:val="000000"/>
                <w:sz w:val="24"/>
              </w:rPr>
              <w:t xml:space="preserve">(Аналогичная информация отражена в письме </w:t>
            </w:r>
            <w:r>
              <w:rPr>
                <w:b/>
                <w:color w:val="000000"/>
                <w:sz w:val="24"/>
              </w:rPr>
              <w:t xml:space="preserve">Филиала «Пермский ПАО «Т Плюс» </w:t>
            </w:r>
            <w:r>
              <w:rPr>
                <w:color w:val="000000"/>
                <w:sz w:val="24"/>
              </w:rPr>
              <w:t xml:space="preserve">от </w:t>
            </w:r>
            <w:r>
              <w:rPr>
                <w:color w:val="000000"/>
                <w:sz w:val="24"/>
                <w:szCs w:val="24"/>
              </w:rPr>
              <w:t>01.09.2025 № 51000-32-03149</w:t>
            </w:r>
            <w:r>
              <w:rPr>
                <w:color w:val="000000"/>
                <w:sz w:val="24"/>
              </w:rPr>
              <w:t>).</w:t>
            </w:r>
          </w:p>
          <w:p>
            <w:pPr>
              <w:pStyle w:val="BodyText"/>
              <w:spacing w:before="0" w:after="0"/>
              <w:ind w:firstLine="362" w:left="0" w:right="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</w:p>
          <w:p>
            <w:pPr>
              <w:pStyle w:val="BodyText"/>
              <w:spacing w:before="0" w:after="0"/>
              <w:ind w:firstLine="311" w:left="0" w:right="0"/>
              <w:jc w:val="both"/>
              <w:rPr/>
            </w:pPr>
            <w:r>
              <w:rPr>
                <w:color w:val="000000"/>
                <w:sz w:val="24"/>
              </w:rPr>
              <w:t>Техническая возможность подключения к сетям теплоснабжения отсутствует. Рекомендовано рассмотреть альтернативные источники теплоснабжения – газ, дрова, пеллеты.</w:t>
            </w:r>
          </w:p>
          <w:p>
            <w:pPr>
              <w:pStyle w:val="BodyText"/>
              <w:spacing w:before="0" w:after="0"/>
              <w:ind w:firstLine="362" w:left="0" w:right="0"/>
              <w:jc w:val="both"/>
              <w:rPr/>
            </w:pPr>
            <w:r>
              <w:rPr>
                <w:color w:val="000000"/>
                <w:sz w:val="24"/>
              </w:rPr>
              <w:t xml:space="preserve">(Аналогичная информация отражена в письме  </w:t>
            </w:r>
            <w:r>
              <w:rPr>
                <w:b/>
                <w:color w:val="000000"/>
                <w:sz w:val="24"/>
              </w:rPr>
              <w:t xml:space="preserve">департамента жилищно-коммунального хозяйства администрации города Перми </w:t>
            </w:r>
            <w:r>
              <w:rPr>
                <w:color w:val="000000"/>
                <w:sz w:val="24"/>
              </w:rPr>
              <w:t xml:space="preserve">от </w:t>
            </w:r>
            <w:r>
              <w:rPr>
                <w:color w:val="000000"/>
                <w:sz w:val="24"/>
                <w:szCs w:val="24"/>
              </w:rPr>
              <w:t>09.09.2025 № 059-04-25/3-166-ри</w:t>
            </w:r>
            <w:r>
              <w:rPr>
                <w:color w:val="000000"/>
                <w:sz w:val="24"/>
              </w:rPr>
              <w:t>).</w:t>
            </w:r>
          </w:p>
          <w:p>
            <w:pPr>
              <w:pStyle w:val="BodyText"/>
              <w:spacing w:before="0" w:after="0"/>
              <w:ind w:firstLine="362" w:left="0" w:right="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</w:p>
          <w:p>
            <w:pPr>
              <w:pStyle w:val="BodyText"/>
              <w:spacing w:before="0" w:after="0"/>
              <w:ind w:firstLine="311" w:left="0" w:right="0"/>
              <w:jc w:val="both"/>
              <w:rPr/>
            </w:pPr>
            <w:r>
              <w:rPr>
                <w:color w:val="000000"/>
                <w:sz w:val="24"/>
              </w:rPr>
              <w:t>Технологическое присоединение к сетям связи</w:t>
              <w:br/>
              <w:t xml:space="preserve">ПАО «Ростелеком» может быть произведено к узлу ВОЛС                 (г. Пермь, </w:t>
            </w:r>
            <w:r>
              <w:rPr>
                <w:b w:val="false"/>
                <w:bCs w:val="false"/>
                <w:color w:val="auto"/>
                <w:sz w:val="24"/>
                <w:szCs w:val="24"/>
              </w:rPr>
              <w:t>ул. Патриса Лумумбы, д. 6</w:t>
            </w:r>
            <w:r>
              <w:rPr>
                <w:color w:val="000000"/>
                <w:sz w:val="24"/>
              </w:rPr>
              <w:t>), максимальную нагрузку в точке подключения (технологического присоединения) необходимо определить на стадии проектирования.</w:t>
            </w:r>
          </w:p>
          <w:p>
            <w:pPr>
              <w:pStyle w:val="BodyText"/>
              <w:spacing w:before="0" w:after="0"/>
              <w:ind w:firstLine="283" w:left="0" w:right="0"/>
              <w:jc w:val="both"/>
              <w:rPr/>
            </w:pPr>
            <w:r>
              <w:rPr>
                <w:color w:val="000000"/>
                <w:sz w:val="24"/>
              </w:rPr>
              <w:t>Для подключения технологического присоединения к сетям электросвязи ПАО «Ростелеком» необходим запрос правообладателя земельного участка на выдачу технических условий подключения или заявки о заключении договора                          о подключении в порядке, определенном действующим законодательством.</w:t>
            </w:r>
          </w:p>
          <w:p>
            <w:pPr>
              <w:pStyle w:val="BodyText"/>
              <w:spacing w:before="0" w:after="0"/>
              <w:ind w:firstLine="283" w:left="0" w:right="0"/>
              <w:jc w:val="both"/>
              <w:rPr/>
            </w:pPr>
            <w:r>
              <w:rPr>
                <w:color w:val="000000"/>
                <w:sz w:val="24"/>
              </w:rPr>
              <w:t>Для получения технических условий на подключение                            к сетям связи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z w:val="24"/>
              </w:rPr>
              <w:t>необходимо обратиться в Отдел продаж                               и обслуживания по адресу: г. Пермь, ул. Крупской, 2, тел.:(342) 235-57-34 или направить запрос на perm-mail@ural.rt.ru.</w:t>
            </w:r>
          </w:p>
          <w:p>
            <w:pPr>
              <w:pStyle w:val="BodyText"/>
              <w:spacing w:before="0" w:after="0"/>
              <w:ind w:firstLine="362" w:left="0" w:right="0"/>
              <w:jc w:val="both"/>
              <w:rPr/>
            </w:pPr>
            <w:r>
              <w:rPr>
                <w:color w:val="000000"/>
                <w:sz w:val="24"/>
              </w:rPr>
              <w:t xml:space="preserve">(Аналогичная информация отражена в письме                               </w:t>
            </w:r>
            <w:r>
              <w:rPr>
                <w:b/>
                <w:color w:val="000000"/>
                <w:sz w:val="24"/>
              </w:rPr>
              <w:t xml:space="preserve">ПАО «Ростелеком» </w:t>
            </w:r>
            <w:r>
              <w:rPr>
                <w:b w:val="false"/>
                <w:bCs w:val="false"/>
                <w:color w:val="000000"/>
                <w:sz w:val="24"/>
              </w:rPr>
              <w:t xml:space="preserve">от </w:t>
            </w:r>
            <w:r>
              <w:rPr>
                <w:b w:val="false"/>
                <w:bCs w:val="false"/>
                <w:color w:val="auto"/>
                <w:sz w:val="24"/>
                <w:szCs w:val="24"/>
              </w:rPr>
              <w:t>28.08.2025 № 01/05/125624/25</w:t>
            </w:r>
            <w:r>
              <w:rPr>
                <w:b w:val="false"/>
                <w:bCs w:val="false"/>
                <w:color w:val="000000"/>
                <w:sz w:val="24"/>
              </w:rPr>
              <w:t>).</w:t>
            </w:r>
          </w:p>
          <w:p>
            <w:pPr>
              <w:pStyle w:val="BodyText"/>
              <w:spacing w:before="0" w:after="0"/>
              <w:ind w:firstLine="362" w:left="0" w:right="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</w:p>
          <w:p>
            <w:pPr>
              <w:pStyle w:val="BodyText"/>
              <w:spacing w:before="0" w:after="0"/>
              <w:ind w:firstLine="311" w:left="0" w:right="0"/>
              <w:jc w:val="both"/>
              <w:rPr/>
            </w:pPr>
            <w:r>
              <w:rPr>
                <w:color w:val="000000"/>
                <w:sz w:val="24"/>
              </w:rPr>
              <w:t>На период до 2028 года на территории, где расположен Участок, схемами водоснабжения и водоотведения города Перми, утвержденными постановлением администрации города Перми от 28.12.2018 № 1085, не предусмотрено строительство сетей водоснабжения и водоотведения.</w:t>
            </w:r>
          </w:p>
          <w:p>
            <w:pPr>
              <w:pStyle w:val="BodyText"/>
              <w:spacing w:before="0" w:after="0"/>
              <w:ind w:firstLine="362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>(Аналогичная информация отражена в письме</w:t>
            </w:r>
            <w:r>
              <w:rPr/>
              <w:t xml:space="preserve">  </w:t>
            </w:r>
            <w:r>
              <w:rPr>
                <w:b/>
                <w:color w:val="000000"/>
                <w:sz w:val="24"/>
              </w:rPr>
              <w:t xml:space="preserve">департамента жилищно-коммунального хозяйства администрации города Перми </w:t>
            </w:r>
            <w:r>
              <w:rPr>
                <w:color w:val="000000"/>
                <w:sz w:val="24"/>
              </w:rPr>
              <w:t xml:space="preserve">от </w:t>
            </w:r>
            <w:r>
              <w:rPr>
                <w:color w:val="000000"/>
                <w:sz w:val="24"/>
                <w:szCs w:val="24"/>
                <w:shd w:fill="FFFFFF" w:val="clear"/>
              </w:rPr>
              <w:t>29.08.2025 № 059-04-17/3-798-ри</w:t>
            </w:r>
            <w:r>
              <w:rPr>
                <w:color w:val="auto"/>
                <w:sz w:val="24"/>
                <w:szCs w:val="24"/>
              </w:rPr>
              <w:t>).</w:t>
            </w:r>
          </w:p>
          <w:p>
            <w:pPr>
              <w:pStyle w:val="BodyText"/>
              <w:spacing w:before="0" w:after="0"/>
              <w:ind w:firstLine="362" w:left="0" w:right="0"/>
              <w:jc w:val="both"/>
              <w:rPr>
                <w:color w:val="000000"/>
                <w:sz w:val="24"/>
                <w:szCs w:val="24"/>
                <w:highlight w:val="none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trHeight w:val="225" w:hRule="atLeast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left="113" w:right="57"/>
              <w:jc w:val="left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Начальная цена предмета аукциона</w:t>
            </w:r>
          </w:p>
          <w:p>
            <w:pPr>
              <w:pStyle w:val="Normal"/>
              <w:widowControl/>
              <w:spacing w:before="0" w:after="0"/>
              <w:ind w:hanging="0" w:left="113" w:right="57"/>
              <w:jc w:val="left"/>
              <w:rPr>
                <w:highlight w:val="none"/>
                <w:shd w:fill="auto" w:val="clear"/>
              </w:rPr>
            </w:pPr>
            <w:r>
              <w:rPr>
                <w:b/>
                <w:sz w:val="24"/>
                <w:szCs w:val="24"/>
                <w:shd w:fill="auto" w:val="clear"/>
              </w:rPr>
              <w:t>(рыночная стоимость земельного участка)</w:t>
            </w:r>
          </w:p>
          <w:p>
            <w:pPr>
              <w:pStyle w:val="Normal"/>
              <w:ind w:right="-263"/>
              <w:rPr>
                <w:b/>
                <w:bCs/>
                <w:sz w:val="24"/>
                <w:szCs w:val="24"/>
                <w:highlight w:val="none"/>
              </w:rPr>
            </w:pPr>
            <w:r>
              <w:rPr>
                <w:b/>
                <w:bCs/>
                <w:sz w:val="24"/>
                <w:szCs w:val="24"/>
              </w:rPr>
            </w:r>
          </w:p>
          <w:p>
            <w:pPr>
              <w:pStyle w:val="Normal"/>
              <w:ind w:hanging="0" w:left="120" w:right="0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sz w:val="24"/>
                <w:szCs w:val="24"/>
                <w:highlight w:val="none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24"/>
              </w:rPr>
              <w:t xml:space="preserve">По условиям пункта 4.1 проекта договора купли-продажи земельного участка, приобретаемого на торгах в форме аукциона (Приложение 7 к настоящему извещению), </w:t>
            </w:r>
            <w:r>
              <w:rPr>
                <w:sz w:val="24"/>
                <w:szCs w:val="24"/>
                <w:shd w:fill="auto" w:val="clear"/>
              </w:rPr>
              <w:t xml:space="preserve">победитель аукциона, иное лицо, с которым договор заключается в соответствии </w:t>
              <w:br/>
              <w:t>с п.13, п.14, п. 20 или п. 25</w:t>
            </w:r>
          </w:p>
          <w:p>
            <w:pPr>
              <w:pStyle w:val="Normal"/>
              <w:ind w:hanging="0" w:left="120" w:right="0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 xml:space="preserve">ст. 39.12 Земельного Кодекса Российской Федерации (далее – ЗК РФ), обязан </w:t>
            </w:r>
            <w:r>
              <w:rPr>
                <w:b/>
                <w:sz w:val="24"/>
                <w:szCs w:val="24"/>
                <w:shd w:fill="auto" w:val="clear"/>
              </w:rPr>
              <w:t>в течение 15 дней</w:t>
            </w:r>
            <w:r>
              <w:rPr>
                <w:sz w:val="24"/>
                <w:szCs w:val="24"/>
                <w:shd w:fill="auto" w:val="clear"/>
              </w:rPr>
              <w:t xml:space="preserve"> со дня размещения  протокола </w:t>
              <w:br/>
              <w:t xml:space="preserve">о результатах аукциона, </w:t>
              <w:br/>
              <w:t xml:space="preserve">а в случаях, определенных п.13, п.14, ст. 39.12 ЗК РФ, протокола рассмотрения заявок, </w:t>
            </w:r>
            <w:r>
              <w:rPr>
                <w:b/>
                <w:sz w:val="24"/>
                <w:szCs w:val="24"/>
                <w:shd w:fill="auto" w:val="clear"/>
              </w:rPr>
              <w:t xml:space="preserve">перечислить денежные средства                              </w:t>
            </w:r>
            <w:r>
              <w:rPr>
                <w:sz w:val="24"/>
                <w:szCs w:val="24"/>
                <w:shd w:fill="auto" w:val="clear"/>
              </w:rPr>
              <w:t>за земельный участок                        (за вычетом задатка, внесенного для участия</w:t>
            </w:r>
          </w:p>
          <w:p>
            <w:pPr>
              <w:pStyle w:val="Normal"/>
              <w:ind w:hanging="0" w:left="120" w:right="0"/>
              <w:rPr>
                <w:highlight w:val="none"/>
              </w:rPr>
            </w:pPr>
            <w:r>
              <w:rPr>
                <w:sz w:val="24"/>
                <w:szCs w:val="24"/>
                <w:shd w:fill="auto" w:val="clear"/>
              </w:rPr>
              <w:t>в аукционе) на счет департамента земельных отношений администрации города Перми, 614000, ул. Сибирская,15, тел. 212-61-90 (отдел договоров), реквизиты которого указаны в проекте договора купли-продажи земельного участка (Приложение 7 к настоящему извещению)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2 611 600</w:t>
            </w:r>
            <w:r>
              <w:rPr>
                <w:sz w:val="24"/>
                <w:szCs w:val="24"/>
              </w:rPr>
              <w:t xml:space="preserve"> руб.</w:t>
            </w:r>
          </w:p>
        </w:tc>
      </w:tr>
      <w:tr>
        <w:trPr>
          <w:trHeight w:val="225" w:hRule="atLeast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«Шаг аукциона» (5% от начальной цены предмета аукциона)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130 580</w:t>
            </w:r>
            <w:r>
              <w:rPr>
                <w:sz w:val="24"/>
                <w:szCs w:val="24"/>
              </w:rPr>
              <w:t xml:space="preserve"> руб.</w:t>
            </w:r>
          </w:p>
        </w:tc>
      </w:tr>
      <w:tr>
        <w:trPr>
          <w:trHeight w:val="416" w:hRule="atLeast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 xml:space="preserve">Форма заявки на участие </w:t>
              <w:br/>
              <w:t>в аукционе</w:t>
            </w:r>
          </w:p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  <w:t>Заявка на участие в электронном аукционе с указанием    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документов, указанных в подпунктах 2-4 пункта 1, пункте 1.1 статьи 39.12 Земельного кодекса Российской Федерации (копии документов, удостоверяющих личность заявителя (для граждан); надлежащим образом заверенный перевод на русский язык документов                                      о государственной регистрации юридического лица                                   в соответствии с законодательством иностранного государства в случае, если заявителем является иностранное юридическое лицо; документы, подтверждающие внесение задатка).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каждый лот представляется отдельный пакет документов.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Решение о проведении аукциона принято в соответствии</w:t>
            </w:r>
          </w:p>
          <w:p>
            <w:pPr>
              <w:pStyle w:val="Normal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 статьей 39.18 Земельного кодекса Российской Федерации, участниками аукциона могут являться только граждане.</w:t>
            </w:r>
          </w:p>
        </w:tc>
      </w:tr>
      <w:tr>
        <w:trPr>
          <w:trHeight w:val="236" w:hRule="atLeast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Размер задатка (50% от начальной цены предмета аукциона)</w:t>
            </w:r>
          </w:p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1 305 800</w:t>
            </w:r>
            <w:r>
              <w:rPr>
                <w:sz w:val="24"/>
                <w:szCs w:val="24"/>
              </w:rPr>
              <w:t xml:space="preserve"> руб.</w:t>
            </w:r>
          </w:p>
        </w:tc>
      </w:tr>
      <w:tr>
        <w:trPr>
          <w:trHeight w:val="236" w:hRule="atLeast"/>
        </w:trPr>
        <w:tc>
          <w:tcPr>
            <w:tcW w:w="3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3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 xml:space="preserve">Дата </w:t>
            </w:r>
            <w:r>
              <w:rPr>
                <w:b w:val="false"/>
                <w:shd w:fill="auto" w:val="clear"/>
              </w:rPr>
              <w:t xml:space="preserve">размещения извещения в соответствии с пп. 1 п. 1 ст. 39.18 Земельного кодекса Российской Федерации на  </w:t>
            </w:r>
            <w:r>
              <w:rPr>
                <w:b w:val="false"/>
                <w:sz w:val="24"/>
                <w:szCs w:val="24"/>
                <w:shd w:fill="auto" w:val="clear"/>
                <w:lang w:val="en-US" w:eastAsia="en-US"/>
              </w:rPr>
              <w:t>сайтах www.torgi.gov.ru, www.gorodperm.ru</w:t>
            </w:r>
          </w:p>
        </w:tc>
        <w:tc>
          <w:tcPr>
            <w:tcW w:w="6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  <w:highlight w:val="white"/>
              </w:rPr>
              <w:t>.06.2023</w:t>
            </w:r>
          </w:p>
        </w:tc>
      </w:tr>
      <w:tr>
        <w:trPr>
          <w:trHeight w:val="1884" w:hRule="atLeast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договора</w:t>
            </w:r>
          </w:p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купли-продажи земельного участка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Проект договора купли-продажи земельного участка,     приобретаемого на торгах в форме аукциона, является Приложением 7 к настоящему извещению и </w:t>
            </w:r>
            <w:r>
              <w:rPr>
                <w:sz w:val="24"/>
                <w:szCs w:val="24"/>
                <w:lang w:val="en-US" w:eastAsia="en-US"/>
              </w:rPr>
              <w:t>размещен на сайтах www.torgi.gov.ru, www.gorodperm.ru (раздел Деятельность/ Муниципальная собственность/ Торговая площадка Вид торгов Продажа и аренда земельных участков)</w:t>
            </w:r>
          </w:p>
        </w:tc>
      </w:tr>
      <w:tr>
        <w:trPr>
          <w:trHeight w:val="76" w:hRule="atLeast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 w:left="120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осмотра земельного участка на местности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Осмотр земельного участка производится заявителем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 в любое время с даты опубликования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настоящего извещения.</w:t>
            </w:r>
          </w:p>
        </w:tc>
      </w:tr>
    </w:tbl>
    <w:p>
      <w:pPr>
        <w:pStyle w:val="Normal"/>
        <w:tabs>
          <w:tab w:val="clear" w:pos="708"/>
          <w:tab w:val="left" w:pos="5103" w:leader="none"/>
        </w:tabs>
        <w:ind w:right="-263"/>
        <w:rPr>
          <w:sz w:val="20"/>
          <w:szCs w:val="20"/>
          <w:highlight w:val="none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08"/>
          <w:tab w:val="left" w:pos="5103" w:leader="none"/>
        </w:tabs>
        <w:ind w:right="-263"/>
        <w:rPr>
          <w:b/>
          <w:bCs/>
          <w:highlight w:val="none"/>
          <w:lang w:val="en-US"/>
        </w:rPr>
      </w:pPr>
      <w:r>
        <w:rPr>
          <w:b/>
          <w:lang w:val="en-US"/>
        </w:rPr>
        <w:t>Лот № 5</w:t>
      </w:r>
    </w:p>
    <w:tbl>
      <w:tblPr>
        <w:tblW w:w="10485" w:type="dxa"/>
        <w:jc w:val="left"/>
        <w:tblInd w:w="-4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356"/>
        <w:gridCol w:w="3308"/>
        <w:gridCol w:w="6821"/>
      </w:tblGrid>
      <w:tr>
        <w:trPr>
          <w:trHeight w:val="877" w:hRule="atLeast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12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органа местного самоуправления, принявшего решение о проведении аукциона, реквизиты указанного решения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sz w:val="24"/>
                <w:szCs w:val="24"/>
              </w:rPr>
              <w:t xml:space="preserve">Администрация города Перми, распоряжение начальника </w:t>
              <w:br/>
              <w:t xml:space="preserve">департамента земельных отношений администрации города Перми </w:t>
            </w:r>
            <w:r>
              <w:rPr>
                <w:rFonts w:eastAsia="Times New Roman" w:cs="Times New Roman"/>
                <w:color w:val="000000"/>
                <w:sz w:val="24"/>
                <w:szCs w:val="28"/>
                <w:highlight w:val="white"/>
              </w:rPr>
              <w:t>от 22 мая 2026 г. № 21-01-03-3446 «О проведении аукциона по продаже земельного участка в Кировском районе города Перми», от 29 июня 2026 г. № 21-01-03-4456 «О внесении изменений в абзац первый пункта 1 распоряжения начальника департамента земельных отношений администрации города Перми от 22 мая 2026 г. № 21-01-03-3446  «О проведении аукциона по продаже земельного участка в Кировском районе города Перми»</w:t>
            </w:r>
          </w:p>
        </w:tc>
      </w:tr>
      <w:tr>
        <w:trPr>
          <w:trHeight w:val="225" w:hRule="atLeast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firstLine="7" w:left="113" w:right="11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 аукциона по продаже земельного участка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93" w:hRule="atLeast"/>
        </w:trPr>
        <w:tc>
          <w:tcPr>
            <w:tcW w:w="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ind w:hanging="360" w:left="720"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местоположение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sz w:val="24"/>
                <w:szCs w:val="24"/>
              </w:rPr>
              <w:t>Российская Федерация, Пермский край, городской округ Пермский, город Пермь, улица Ирбитская, з/у 83а</w:t>
            </w:r>
          </w:p>
        </w:tc>
      </w:tr>
      <w:tr>
        <w:trPr>
          <w:trHeight w:val="148" w:hRule="atLeast"/>
        </w:trPr>
        <w:tc>
          <w:tcPr>
            <w:tcW w:w="3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ind w:hanging="360" w:left="720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площадь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599 кв. м</w:t>
            </w:r>
          </w:p>
        </w:tc>
      </w:tr>
      <w:tr>
        <w:trPr>
          <w:trHeight w:val="155" w:hRule="atLeast"/>
        </w:trPr>
        <w:tc>
          <w:tcPr>
            <w:tcW w:w="3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ind w:hanging="360" w:left="720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кадастровый номер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59:01:1810045:188</w:t>
            </w:r>
          </w:p>
        </w:tc>
      </w:tr>
      <w:tr>
        <w:trPr>
          <w:trHeight w:val="144" w:hRule="atLeast"/>
        </w:trPr>
        <w:tc>
          <w:tcPr>
            <w:tcW w:w="3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4"/>
              </w:numPr>
              <w:spacing w:before="0" w:after="0"/>
              <w:ind w:hanging="360" w:left="720" w:right="11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права на земельный участок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государственная собственность не разграничена</w:t>
            </w:r>
          </w:p>
        </w:tc>
      </w:tr>
      <w:tr>
        <w:trPr>
          <w:trHeight w:val="144" w:hRule="atLeast"/>
        </w:trPr>
        <w:tc>
          <w:tcPr>
            <w:tcW w:w="3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4"/>
              </w:numPr>
              <w:spacing w:before="0" w:after="0"/>
              <w:ind w:hanging="360" w:left="720" w:right="11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разрешенного использования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для индивидуального жилищного строительства</w:t>
            </w:r>
          </w:p>
        </w:tc>
      </w:tr>
      <w:tr>
        <w:trPr>
          <w:trHeight w:val="576" w:hRule="atLeast"/>
        </w:trPr>
        <w:tc>
          <w:tcPr>
            <w:tcW w:w="3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4"/>
              </w:numPr>
              <w:spacing w:before="0" w:after="0"/>
              <w:ind w:hanging="360" w:left="720" w:right="11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принадлежность к определенной  </w:t>
              <w:br/>
              <w:t>категории земель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земли населенных пунктов</w:t>
            </w:r>
          </w:p>
        </w:tc>
      </w:tr>
      <w:tr>
        <w:trPr>
          <w:trHeight w:val="576" w:hRule="atLeast"/>
        </w:trPr>
        <w:tc>
          <w:tcPr>
            <w:tcW w:w="3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3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2"/>
              </w:numPr>
              <w:spacing w:before="0" w:after="0"/>
              <w:ind w:hanging="360" w:left="720" w:right="113"/>
              <w:jc w:val="left"/>
              <w:rPr>
                <w:sz w:val="24"/>
                <w:szCs w:val="24"/>
              </w:rPr>
            </w:pPr>
            <w:r>
              <w:rPr/>
              <w:t>принадлежность к определенной территориальной зоне</w:t>
            </w:r>
          </w:p>
        </w:tc>
        <w:tc>
          <w:tcPr>
            <w:tcW w:w="6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Ж-5 «Зона индивидуальной усадебной жилой застройки»</w:t>
            </w:r>
          </w:p>
        </w:tc>
      </w:tr>
      <w:tr>
        <w:trPr>
          <w:trHeight w:val="144" w:hRule="atLeast"/>
        </w:trPr>
        <w:tc>
          <w:tcPr>
            <w:tcW w:w="3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4"/>
              </w:numPr>
              <w:spacing w:before="0" w:after="0"/>
              <w:ind w:hanging="360" w:left="720" w:right="11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ограничение прав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3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Ограничения прав подробно описаны:</w:t>
            </w:r>
          </w:p>
          <w:p>
            <w:pPr>
              <w:pStyle w:val="Normal"/>
              <w:ind w:firstLine="311"/>
              <w:jc w:val="both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в выписке из Единого государственного реестра недвижимости об объекте недвижимости </w:t>
            </w:r>
            <w:r>
              <w:rPr>
                <w:color w:val="000000"/>
                <w:sz w:val="24"/>
                <w:szCs w:val="24"/>
                <w:highlight w:val="white"/>
                <w:shd w:fill="FFFFFF" w:val="clear"/>
              </w:rPr>
              <w:t>от 28.07.2026г. № КУВИ-001/2026-101710030</w:t>
            </w:r>
            <w:r>
              <w:rPr>
                <w:sz w:val="24"/>
                <w:szCs w:val="24"/>
              </w:rPr>
              <w:t xml:space="preserve"> (далее - ЕГРН)</w:t>
            </w:r>
            <w:r>
              <w:rPr>
                <w:sz w:val="24"/>
                <w:szCs w:val="24"/>
                <w14:ligatures w14:val="none"/>
              </w:rPr>
              <w:t>;</w:t>
            </w:r>
          </w:p>
          <w:p>
            <w:pPr>
              <w:pStyle w:val="Normal"/>
              <w:ind w:firstLine="3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градостроительном плане земельного участка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  <w:r>
              <w:rPr>
                <w:sz w:val="24"/>
                <w:szCs w:val="24"/>
                <w:highlight w:val="white"/>
              </w:rPr>
              <w:t xml:space="preserve"> 20</w:t>
            </w:r>
            <w:r>
              <w:rPr>
                <w:color w:val="000000"/>
                <w:sz w:val="24"/>
                <w:szCs w:val="24"/>
                <w:highlight w:val="white"/>
              </w:rPr>
              <w:t>.05.2026 № РФ-59-2-03-0-00-2026-1274-0 </w:t>
            </w:r>
            <w:r>
              <w:rPr>
                <w:sz w:val="24"/>
                <w:szCs w:val="24"/>
              </w:rPr>
              <w:t>(далее – ГПЗУ) (приложение 10 к настоящему извещению).</w:t>
            </w:r>
          </w:p>
          <w:p>
            <w:pPr>
              <w:pStyle w:val="BodyText"/>
              <w:ind w:firstLine="36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  <w:t>На земельном участке капитальные/некапитальные объекты отсутствуют, доступ на Участок не ограничен.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  <w14:ligatures w14:val="none"/>
              </w:rPr>
            </w:pPr>
            <w:r>
              <w:rPr>
                <w:color w:themeColor="text1" w:val="000000"/>
                <w:sz w:val="24"/>
                <w:szCs w:val="24"/>
              </w:rPr>
              <w:t>Близлежащие источники противопожарного водоснабжения относительно земельного участка по ул. Ирбитская расположены: ул. Копейская, д. 34 (пожарный водоем), ул. Кудымкарская, д. 24 (пожарный гидрант).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  <w14:ligatures w14:val="none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themeColor="text1" w:val="000000"/>
                <w:sz w:val="24"/>
                <w:szCs w:val="24"/>
              </w:rPr>
              <w:t>администрации Кировского района города Перми</w:t>
            </w:r>
            <w:r>
              <w:rPr>
                <w:color w:themeColor="text1" w:val="000000"/>
                <w:sz w:val="24"/>
                <w:szCs w:val="24"/>
              </w:rPr>
              <w:t xml:space="preserve"> от 05.05.2026 № 059-23-01-25/3-137, в акте обследования 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>от 04.05.2026</w:t>
            </w:r>
            <w:r>
              <w:rPr>
                <w:color w:themeColor="text1" w:val="000000"/>
                <w:sz w:val="24"/>
                <w:szCs w:val="24"/>
              </w:rPr>
              <w:t xml:space="preserve"> № б/н).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  <w14:ligatures w14:val="none"/>
              </w:rPr>
            </w:pPr>
            <w:r>
              <w:rPr>
                <w:color w:themeColor="text1" w:val="000000"/>
                <w:sz w:val="24"/>
                <w:szCs w:val="24"/>
                <w14:ligatures w14:val="none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white"/>
              </w:rPr>
            </w:pPr>
            <w:r>
              <w:rPr>
                <w:color w:themeColor="text1" w:val="000000"/>
                <w:sz w:val="24"/>
                <w:szCs w:val="24"/>
                <w:highlight w:val="white"/>
              </w:rPr>
              <w:t>В соответствии со сведениями ЕГРН капитальные/некапитальные строения отсутствуют.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b w:val="false"/>
                <w:bCs w:val="false"/>
                <w:color w:themeColor="text1" w:val="000000"/>
                <w:sz w:val="24"/>
                <w:szCs w:val="24"/>
                <w:highlight w:val="none"/>
                <w14:ligatures w14:val="none"/>
              </w:rPr>
            </w:pPr>
            <w:r>
              <w:rPr>
                <w:color w:themeColor="text1" w:val="000000"/>
                <w:sz w:val="24"/>
                <w:szCs w:val="24"/>
              </w:rPr>
              <w:t>В соответствии с геодезической съёмкой, выполненной в 2024 году, участок частично зарос древесной растительностью, деревьями породы «берёза». С запада на север по углу Участок пересекает грунтовая дорога.</w:t>
            </w:r>
            <w:r>
              <w:rPr>
                <w:b w:val="false"/>
                <w:bCs w:val="false"/>
                <w:color w:themeColor="text1" w:val="000000"/>
                <w:sz w:val="24"/>
                <w:szCs w:val="24"/>
              </w:rPr>
              <w:t xml:space="preserve"> В границах Участка отсутствуют капитальные и некапитальные строения.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b w:val="false"/>
                <w:bCs w:val="false"/>
                <w:color w:themeColor="text1" w:val="000000"/>
                <w:sz w:val="24"/>
                <w:szCs w:val="24"/>
                <w:highlight w:val="none"/>
                <w14:ligatures w14:val="none"/>
              </w:rPr>
            </w:pPr>
            <w:r>
              <w:rPr>
                <w:color w:themeColor="text1" w:val="000000"/>
                <w:sz w:val="24"/>
                <w:szCs w:val="24"/>
                <w:highlight w:val="white"/>
              </w:rPr>
              <w:t>В соответствии с копией планшета М 1:500 (требуется корректура)</w:t>
            </w:r>
            <w:r>
              <w:rPr>
                <w:b w:val="false"/>
                <w:bCs w:val="false"/>
                <w:color w:themeColor="text1" w:val="000000"/>
                <w:sz w:val="24"/>
                <w:szCs w:val="24"/>
              </w:rPr>
              <w:t xml:space="preserve"> на Участке отсутствуют капитальные </w:t>
              <w:br/>
              <w:t>и некапитальные строения. На Участке преобладают одиночные ели и травянистая растительность.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white"/>
                <w14:ligatures w14:val="none"/>
              </w:rPr>
            </w:pPr>
            <w:r>
              <w:rPr>
                <w:color w:themeColor="text1" w:val="000000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white"/>
              </w:rPr>
            </w:pPr>
            <w:r>
              <w:rPr>
                <w:color w:themeColor="text1" w:val="000000"/>
                <w:sz w:val="24"/>
                <w:szCs w:val="24"/>
                <w:highlight w:val="white"/>
              </w:rPr>
              <w:t>Согласно сведениям, содержащимся</w:t>
            </w:r>
            <w:r>
              <w:rPr>
                <w:b w:val="false"/>
                <w:bCs w:val="false"/>
                <w:color w:themeColor="text1" w:val="000000"/>
                <w:sz w:val="24"/>
                <w:szCs w:val="24"/>
              </w:rPr>
              <w:t xml:space="preserve"> в 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 xml:space="preserve">ЕГРН, ГПЗУ </w:t>
              <w:br/>
              <w:t xml:space="preserve">и справке по градостроительным условиям участка </w:t>
              <w:br/>
              <w:t>от 28.07.2026 № 688255 Участок расположен в границах зоны с особыми условиями использования территории: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  <w14:ligatures w14:val="none"/>
              </w:rPr>
            </w:pPr>
            <w:r>
              <w:rPr>
                <w:b w:val="false"/>
                <w:bCs w:val="false"/>
                <w:color w:themeColor="text1" w:val="000000"/>
                <w:sz w:val="24"/>
                <w:szCs w:val="24"/>
              </w:rPr>
              <w:t>приаэродромная территория аэродрома аэропорта Большое Савино, реестровый номер 59:32-6.55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>3</w:t>
            </w:r>
            <w:r>
              <w:rPr>
                <w:color w:themeColor="text1" w:val="000000"/>
                <w:sz w:val="24"/>
                <w:szCs w:val="24"/>
                <w14:ligatures w14:val="none"/>
              </w:rPr>
              <w:t>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  <w:highlight w:val="white"/>
              </w:rPr>
              <w:t>Проектирование и строительство вести в соответствии</w:t>
            </w:r>
            <w:r>
              <w:rPr>
                <w:color w:themeColor="text1" w:val="000000"/>
                <w:sz w:val="24"/>
                <w:szCs w:val="24"/>
              </w:rPr>
              <w:t xml:space="preserve"> </w:t>
              <w:br/>
            </w:r>
            <w:r>
              <w:rPr>
                <w:b w:val="false"/>
                <w:bCs w:val="false"/>
                <w:color w:themeColor="text1" w:val="000000"/>
                <w:sz w:val="24"/>
                <w:szCs w:val="24"/>
              </w:rPr>
              <w:t xml:space="preserve">с 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 xml:space="preserve">постановлением Правительства Российской Федерации </w:t>
              <w:br/>
              <w:t xml:space="preserve">от 11.03.2010 № 138 «Об утверждении Федеральных правил использования воздушного пространства Российской Федерации»: «Запрещается размещать </w:t>
              <w:br/>
              <w:t xml:space="preserve">в полосах воздушных подходов на удалении до 30 км, </w:t>
              <w:br/>
              <w:t xml:space="preserve">а вне полос воздушных подходов – до 15 км </w:t>
              <w:br/>
              <w:t>от контрольной точки аэродрома объекты выбросов (размещения) отходов, животноводческие фермы, скотобойни и другие объекты, способствующие привлечению и массовому скоплению птиц»</w:t>
            </w:r>
            <w:r>
              <w:rPr>
                <w:b w:val="false"/>
                <w:bCs w:val="false"/>
                <w:color w:themeColor="text1" w:val="000000"/>
                <w:sz w:val="24"/>
                <w:szCs w:val="24"/>
              </w:rPr>
              <w:t>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>На Участке произрастает 28 деревьев пород – сосна 2 шт., ель - 12 шт., береза 14 шт.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  <w:highlight w:val="white"/>
              </w:rPr>
              <w:t>Средняя стоимость в ценах 2026 года одного дерева лиственной породы от 25 тыс. руб., а хвойной – от 30 тыс. руб.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 w:eastAsia="Times New Roman" w:cs="Times New Roman"/>
                <w:color w:themeColor="text1" w:val="000000"/>
                <w:spacing w:val="0"/>
                <w14:ligatures w14:val="none"/>
              </w:rPr>
            </w:pPr>
            <w:r>
              <w:rPr>
                <w:rFonts w:eastAsia="Times New Roman" w:cs="Times New Roman"/>
                <w:color w:themeColor="text1" w:val="000000"/>
                <w:spacing w:val="0"/>
                <w:sz w:val="24"/>
              </w:rPr>
              <w:t xml:space="preserve">Победителю аукциона необходимо соблюдать условия строительства, перечисленные в </w:t>
            </w:r>
            <w:r>
              <w:rPr>
                <w:rFonts w:eastAsia="Times New Roman" w:cs="Times New Roman"/>
                <w:color w:themeColor="text1" w:val="000000"/>
                <w:spacing w:val="0"/>
                <w:sz w:val="24"/>
                <w:szCs w:val="24"/>
              </w:rPr>
              <w:t>перечне мероприятий по охране окружающей среды от 08.05.2026 № 102.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  <w14:ligatures w14:val="none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bCs/>
                <w:color w:themeColor="text1" w:val="000000"/>
                <w:sz w:val="24"/>
                <w:szCs w:val="24"/>
              </w:rPr>
              <w:t>у</w:t>
            </w:r>
            <w:r>
              <w:rPr>
                <w:b/>
                <w:color w:themeColor="text1" w:val="000000"/>
                <w:sz w:val="24"/>
                <w:szCs w:val="24"/>
              </w:rPr>
              <w:t>правления по экологии и природопользованию администрации города Перми</w:t>
            </w:r>
            <w:r>
              <w:rPr>
                <w:color w:themeColor="text1" w:val="000000"/>
                <w:sz w:val="24"/>
                <w:szCs w:val="24"/>
              </w:rPr>
              <w:t xml:space="preserve"> от 08.05.2026 № 059-33-01-10/3-263).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  <w14:ligatures w14:val="none"/>
              </w:rPr>
            </w:pPr>
            <w:r>
              <w:rPr>
                <w:color w:themeColor="text1" w:val="000000"/>
                <w:sz w:val="24"/>
                <w:szCs w:val="24"/>
                <w14:ligatures w14:val="none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  <w:t>Муниципальной программой «Дорожная деятельность и благоустройство города Перми», утвержденной постановлением администрации города Перми от 18.10.2024 № 966 «Об утверждении муниципальной программы «Дорожная деятельность и благоустройство города Перми»,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 xml:space="preserve"> бюджетом города Перми на период 2025-2029 годы мероприятия по строительству, реконструкции, капитальному ремонту улично-дорожной сети на рассматриваемой территории не предусмотрены.</w:t>
            </w:r>
          </w:p>
          <w:p>
            <w:pPr>
              <w:pStyle w:val="Normal"/>
              <w:spacing w:lineRule="auto" w:line="240" w:beforeAutospacing="0" w:before="0" w:afterAutospacing="0" w:after="0"/>
              <w:ind w:firstLine="283" w:left="0" w:right="0"/>
              <w:jc w:val="both"/>
              <w:rPr>
                <w:color w:themeColor="text1" w:val="000000"/>
              </w:rPr>
            </w:pPr>
            <w:r>
              <w:rPr>
                <w:rFonts w:eastAsia="Times New Roman" w:cs="Times New Roman"/>
                <w:color w:themeColor="text1" w:val="000000"/>
                <w:sz w:val="24"/>
              </w:rPr>
              <w:t>Для примыкания Участка к улично-дорожной сети города Перми необходимо выполнить условия, указанные в письме.</w:t>
            </w:r>
          </w:p>
          <w:p>
            <w:pPr>
              <w:pStyle w:val="Normal"/>
              <w:spacing w:lineRule="auto" w:line="240" w:beforeAutospacing="0" w:before="0" w:afterAutospacing="0" w:after="0"/>
              <w:ind w:firstLine="283" w:left="0" w:right="0"/>
              <w:jc w:val="both"/>
              <w:rPr>
                <w:color w:themeColor="text1" w:val="000000"/>
              </w:rPr>
            </w:pPr>
            <w:r>
              <w:rPr>
                <w:rFonts w:eastAsia="Times New Roman" w:cs="Times New Roman"/>
                <w:color w:themeColor="text1" w:val="000000"/>
                <w:sz w:val="24"/>
              </w:rPr>
              <w:t>Также направлена информация о соблюдении Правил благоустройства территории города Перми, утвержденных решением Пермской городской Думы от 15.12.2020 № 277 «Об утверждении Правил благоустройства территории города Перми», при строительстве объектов недвижимости на земельных участках, предоставленных на торгах.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themeColor="text1" w:val="000000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В соответствии с Федеральным Законом от 08.11.2007 </w:t>
              <w:br/>
              <w:t xml:space="preserve">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расходы на строительство, реконструкцию, капитальный ремонт, ремонт пересечений и примыканий, в том числе расходы на выполнение дополнительных работ, связанных </w:t>
              <w:br/>
              <w:t xml:space="preserve">с обеспечением безопасности дорожного движения, водоотведения и исполнением других установленных техническими регламентами требований, несут лица, </w:t>
              <w:br/>
              <w:t>в интересах которых осуществляются строительство, реконструкция, капитальный ремонт, ремонт пересечений или примыканий.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  <w14:ligatures w14:val="none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themeColor="text1" w:val="000000"/>
                <w:sz w:val="24"/>
                <w:szCs w:val="24"/>
              </w:rPr>
              <w:t>департамента дорог и благоустройства администрации города Перми</w:t>
            </w:r>
            <w:r>
              <w:rPr>
                <w:color w:themeColor="text1" w:val="000000"/>
                <w:sz w:val="24"/>
                <w:szCs w:val="24"/>
              </w:rPr>
              <w:t xml:space="preserve"> от 07.05.2026 № 059-24-01-36/3-1412).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  <w14:ligatures w14:val="none"/>
              </w:rPr>
            </w:pPr>
            <w:r>
              <w:rPr>
                <w:color w:themeColor="text1" w:val="000000"/>
                <w:sz w:val="24"/>
                <w:szCs w:val="24"/>
                <w14:ligatures w14:val="none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rFonts w:eastAsia="Times New Roman" w:cs="Times New Roman"/>
                <w:color w:themeColor="text1" w:val="000000"/>
                <w:sz w:val="24"/>
                <w:szCs w:val="24"/>
              </w:rPr>
              <w:t>Источники противопожарного водоснабжения (далее - ИПВ) на указанной территории отсутствуют.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eastAsia="Times New Roman" w:cs="Times New Roman"/>
                <w:color w:themeColor="text1" w:val="000000"/>
                <w:sz w:val="24"/>
                <w:szCs w:val="24"/>
              </w:rPr>
              <w:t>При планировке и размещении объектов на вышеуказанной территории необходимо соблюдать нормы и требования действующего законодательства: федеральных законов от 21 декабря 1994 г. № 69-ФЗ «О пожарной безопасности» и от 22 июля 2008 г. № 123-ФЗ «Технический регламент о требованиях пожарной безопасности», Свода правил 8.13130. «Системы противопожарной защиты. Источники наружного противопожарного водоснабжения. Требования пожарной безопасности», утвержденных приказом МЧС России от 30.03.2020 № 225, Свода правил 4.13130 «Системы противопожарной защиты. Ограничение распространения пожара на объектах защиты. Требования к объемно - планировочным и конструктивным решениям», утвержденных Приказом МЧС России от 24.04.2013 № 288 и иной документации, касающейся норм противопожарной безопасности.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themeColor="text1" w:val="000000"/>
              </w:rPr>
            </w:pPr>
            <w:r>
              <w:rPr>
                <w:rFonts w:eastAsia="Times New Roman" w:cs="Times New Roman"/>
                <w:color w:themeColor="text1" w:val="000000"/>
                <w:sz w:val="24"/>
                <w:szCs w:val="24"/>
              </w:rPr>
              <w:t>Ближайший ИПВ расположен в радиусе 625 метров по адресу: ул. Налимихинская/ул. Грушевая.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themeColor="text1" w:val="000000"/>
              </w:rPr>
            </w:pPr>
            <w:r>
              <w:rPr>
                <w:rFonts w:eastAsia="Times New Roman" w:cs="Times New Roman"/>
                <w:color w:themeColor="text1" w:val="000000"/>
                <w:sz w:val="24"/>
                <w:szCs w:val="24"/>
              </w:rPr>
              <w:t xml:space="preserve">Информация о подразделениях пожарной охраны и времени их прибытия содержится в «Расписании выезда подразделений Пермского местного пожарно -спасательного гарнизона для тушения пожаров и проведения аварийно - спасательных работ </w:t>
              <w:br/>
              <w:t>на территории Пермского городского округа, Пермского муниципального района», утвержденном Главой города Перми 26.04.2024. Ближайшее подразделение пожарной охраны расположено по адресу: ул. Сысольская, 16 (ПСЧ-6 10-ПСО).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themeColor="text1" w:val="000000"/>
              </w:rPr>
            </w:pPr>
            <w:r>
              <w:rPr>
                <w:rFonts w:eastAsia="Times New Roman" w:cs="Times New Roman"/>
                <w:color w:themeColor="text1" w:val="000000"/>
                <w:sz w:val="24"/>
                <w:szCs w:val="24"/>
              </w:rPr>
              <w:t>Помещения для аварийно-спасательных служб и (или) аварийно-спасательных формирований на указанной территории отсутствуют.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themeColor="text1" w:val="000000"/>
              </w:rPr>
            </w:pPr>
            <w:r>
              <w:rPr>
                <w:rFonts w:eastAsia="Times New Roman" w:cs="Times New Roman"/>
                <w:color w:themeColor="text1" w:val="000000"/>
                <w:sz w:val="24"/>
                <w:szCs w:val="24"/>
              </w:rPr>
              <w:t>Объекты общественной безопасности, отнесенные к объектам полиции (участковые пункты полиции), в данном микрорайоне (Налимиха) отсутствуют. Ближайший участковый пункт расположен по адресу: г. Пермь, ул. Судозаводская, 8 (микрорайон Нижняя Курья, Кировский район). В настоящее время в указанном микрорайоне строительство (приобретение) участковых пунктов полиции не планируется.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themeColor="text1" w:val="000000"/>
              </w:rPr>
            </w:pPr>
            <w:r>
              <w:rPr>
                <w:rFonts w:eastAsia="Times New Roman" w:cs="Times New Roman"/>
                <w:color w:themeColor="text1" w:val="000000"/>
                <w:sz w:val="24"/>
                <w:szCs w:val="24"/>
              </w:rPr>
              <w:t xml:space="preserve">По информации, предоставленной Министерством территориальной безопасности Пермского края (письмо </w:t>
              <w:br/>
              <w:t>от 07.10.2020 № 964с), рассматриваемый земельный участок попадает в зону возможного химического заражения в особый период.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themeColor="text1" w:val="000000"/>
              </w:rPr>
            </w:pPr>
            <w:r>
              <w:rPr>
                <w:rFonts w:eastAsia="Times New Roman" w:cs="Times New Roman"/>
                <w:color w:themeColor="text1" w:val="000000"/>
                <w:sz w:val="24"/>
                <w:szCs w:val="24"/>
              </w:rPr>
              <w:t>На указанной территории оконечные устройства системы оповещения населения города Перми отсутствуют. Для обеспечения покрытия запланированной территории системой оповещения населения необходимо предусматривать размещение сиренно-речевых узлов согласно пунктам 6.38, 6.39 СП 165.1325800.2014 «Свод правил. Инженерно - технические мероприятия по гражданской обороне. Актуализированная редакция СНиП 2.01.51-90».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  <w14:ligatures w14:val="none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rFonts w:eastAsia="Times New Roman" w:cs="Times New Roman"/>
                <w:b/>
                <w:color w:themeColor="text1" w:val="000000"/>
                <w:sz w:val="24"/>
                <w:szCs w:val="24"/>
              </w:rPr>
              <w:t>департамента общественной безопасности администрации города Перми</w:t>
            </w:r>
            <w:r>
              <w:rPr>
                <w:rFonts w:eastAsia="Times New Roman" w:cs="Times New Roman"/>
                <w:color w:themeColor="text1" w:val="000000"/>
                <w:sz w:val="24"/>
                <w:szCs w:val="24"/>
              </w:rPr>
              <w:t xml:space="preserve"> от 04.05.2026 № 059-10-01-27/3-650</w:t>
            </w:r>
            <w:r>
              <w:rPr>
                <w:color w:themeColor="text1" w:val="000000"/>
                <w:sz w:val="24"/>
                <w:szCs w:val="24"/>
              </w:rPr>
              <w:t>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  <w14:ligatures w14:val="none"/>
              </w:rPr>
            </w:pPr>
            <w:r>
              <w:rPr>
                <w:color w:themeColor="text1" w:val="000000"/>
                <w:sz w:val="24"/>
                <w:szCs w:val="24"/>
                <w14:ligatures w14:val="none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themeColor="text1" w:val="000000"/>
              </w:rPr>
            </w:pPr>
            <w:r>
              <w:rPr>
                <w:b w:val="false"/>
                <w:bCs w:val="false"/>
                <w:color w:themeColor="text1" w:val="000000"/>
                <w:sz w:val="24"/>
                <w:szCs w:val="24"/>
              </w:rPr>
              <w:t>На период до 2028 года на территории, где расположен Участок, схемами водоснабжения и водоотведения города Перми, утвержденными постановлением администрации города Перми от 28.12.2018 № 1085, строительство сетей водоснабжения и водоотведения в мкр. Налимиха не предусмотрено.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  <w14:ligatures w14:val="none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bCs w:val="false"/>
                <w:color w:themeColor="text1" w:val="000000"/>
                <w:sz w:val="24"/>
                <w:szCs w:val="24"/>
              </w:rPr>
              <w:t>департамента жилищно-коммунального хозяйства администрации города Перми</w:t>
            </w:r>
            <w:r>
              <w:rPr>
                <w:b w:val="false"/>
                <w:bCs w:val="false"/>
                <w:color w:themeColor="text1" w:val="000000"/>
                <w:sz w:val="24"/>
                <w:szCs w:val="24"/>
              </w:rPr>
              <w:t xml:space="preserve"> от 05.05.2026 № 059-04-17/3-376-ри</w:t>
            </w:r>
            <w:r>
              <w:rPr>
                <w:color w:themeColor="text1" w:val="000000"/>
                <w:sz w:val="24"/>
                <w:szCs w:val="24"/>
              </w:rPr>
              <w:t>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  <w14:ligatures w14:val="none"/>
              </w:rPr>
            </w:pPr>
            <w:r>
              <w:rPr>
                <w:color w:themeColor="text1" w:val="000000"/>
                <w:sz w:val="24"/>
                <w:szCs w:val="24"/>
                <w14:ligatures w14:val="none"/>
              </w:rPr>
            </w:r>
          </w:p>
        </w:tc>
      </w:tr>
      <w:tr>
        <w:trPr>
          <w:trHeight w:val="1087" w:hRule="atLeast"/>
        </w:trPr>
        <w:tc>
          <w:tcPr>
            <w:tcW w:w="3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4"/>
              </w:numPr>
              <w:spacing w:before="0" w:after="0"/>
              <w:ind w:firstLine="270" w:left="240" w:right="11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максимально и (или) минимально  допустимые параметры разрешенного строительства </w:t>
              <w:br/>
              <w:t>объекта капитального строительства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312"/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ind w:firstLine="312"/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  <w:shd w:fill="FFFFFF" w:val="clear"/>
              </w:rPr>
              <w:t xml:space="preserve">документации по земельному участку, размещенной                         с извещением о проведении аукциона в ГИС Торги </w:t>
            </w:r>
            <w:r>
              <w:rPr>
                <w:sz w:val="24"/>
                <w:szCs w:val="24"/>
                <w:lang w:val="en-US"/>
              </w:rPr>
              <w:t>www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torgi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gov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ru</w:t>
            </w:r>
            <w:r>
              <w:rPr>
                <w:sz w:val="24"/>
                <w:szCs w:val="24"/>
                <w:shd w:fill="FFFFFF" w:val="clear"/>
              </w:rPr>
              <w:t xml:space="preserve">, на официальном сайте муниципального образования город Пермь в информационно-телекоммуникационной сети Интернет </w:t>
            </w:r>
            <w:r>
              <w:rPr>
                <w:sz w:val="24"/>
                <w:szCs w:val="24"/>
              </w:rPr>
              <w:t>www.gorodperm.ru.</w:t>
            </w:r>
          </w:p>
          <w:p>
            <w:pPr>
              <w:pStyle w:val="BodyText"/>
              <w:ind w:firstLine="36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  <w:lang w:val="en-US"/>
              </w:rPr>
              <w:t xml:space="preserve">Проектирование и строительство необходимо вести </w:t>
              <w:br/>
              <w:t>в соответствии с пунктом 4.5 СП 55.13330.2016 Свода Правил. Дома жилые одноквартирные. СНиП 31-02-2001, утвержденным и введенным в действие Приказом Министерства строительства и жилищно-коммунального хозяйства Российской Федерации от 20.10.2016 № 725/пр. Дом должен включать жилые комнаты – одну или несколько (общую комнату или гостиную, спальню),</w:t>
            </w:r>
            <w:r>
              <w:rPr>
                <w:color w:themeColor="text1" w:val="000000"/>
                <w:sz w:val="24"/>
                <w:szCs w:val="24"/>
              </w:rPr>
              <w:t xml:space="preserve"> </w:t>
            </w:r>
            <w:r>
              <w:rPr>
                <w:color w:themeColor="text1" w:val="000000"/>
                <w:sz w:val="24"/>
                <w:szCs w:val="24"/>
                <w:lang w:val="en-US"/>
              </w:rPr>
              <w:t>а также вспомогательные помещения: переднюю, кухню (в том числе кухню-столовую и (или) кухню-нишу), ванные комнаты и (или) душевые, туалет (уборную) или совмещенный санузел</w:t>
            </w:r>
            <w:r>
              <w:rPr>
                <w:color w:themeColor="text1" w:val="000000"/>
                <w:sz w:val="24"/>
                <w:szCs w:val="24"/>
              </w:rPr>
              <w:t>, переднюю.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  <w:lang w:val="en-US"/>
              </w:rPr>
              <w:t>Согласно пункту 6.1 СП 55.13330.2016 площади помещений строящихся и реконструируемых жилых домов должны быть не менее: общей комнаты в однокомнатном доме - 14 м</w:t>
            </w:r>
            <w:r>
              <w:rPr>
                <w:color w:themeColor="text1" w:val="000000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themeColor="text1" w:val="000000"/>
                <w:sz w:val="24"/>
                <w:szCs w:val="24"/>
                <w:lang w:val="en-US"/>
              </w:rPr>
              <w:t>, общей комнаты в доме с числом комнат две и более - 16 м</w:t>
            </w:r>
            <w:r>
              <w:rPr>
                <w:color w:themeColor="text1" w:val="000000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themeColor="text1" w:val="000000"/>
                <w:sz w:val="24"/>
                <w:szCs w:val="24"/>
                <w:lang w:val="en-US"/>
              </w:rPr>
              <w:t>, спальни - 8 м</w:t>
            </w:r>
            <w:r>
              <w:rPr>
                <w:color w:themeColor="text1" w:val="000000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themeColor="text1" w:val="000000"/>
                <w:sz w:val="24"/>
                <w:szCs w:val="24"/>
                <w:lang w:val="en-US"/>
              </w:rPr>
              <w:t>(на двух человек - 10 м</w:t>
            </w:r>
            <w:r>
              <w:rPr>
                <w:color w:themeColor="text1" w:val="000000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themeColor="text1" w:val="000000"/>
                <w:sz w:val="24"/>
                <w:szCs w:val="24"/>
                <w:lang w:val="en-US"/>
              </w:rPr>
              <w:t>); кухни - 8 м</w:t>
            </w:r>
            <w:r>
              <w:rPr>
                <w:color w:themeColor="text1" w:val="000000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themeColor="text1" w:val="000000"/>
                <w:sz w:val="24"/>
                <w:szCs w:val="24"/>
                <w:lang w:val="en-US"/>
              </w:rPr>
              <w:t xml:space="preserve">; кухонной зоны </w:t>
              <w:br/>
              <w:t>в кухне-столовой - 6 м</w:t>
            </w:r>
            <w:r>
              <w:rPr>
                <w:color w:themeColor="text1" w:val="000000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themeColor="text1" w:val="000000"/>
                <w:sz w:val="24"/>
                <w:szCs w:val="24"/>
                <w:lang w:val="en-US"/>
              </w:rPr>
              <w:t>.</w:t>
            </w:r>
            <w:r>
              <w:rPr>
                <w:color w:themeColor="text1" w:val="000000"/>
                <w:sz w:val="24"/>
                <w:szCs w:val="24"/>
              </w:rPr>
              <w:t xml:space="preserve"> </w:t>
            </w:r>
            <w:r>
              <w:rPr>
                <w:color w:themeColor="text1" w:val="000000"/>
                <w:sz w:val="24"/>
                <w:szCs w:val="24"/>
                <w:lang w:val="en-US"/>
              </w:rPr>
              <w:t>В домах с одной комнатой допускается проектировать кухни или кухни-ниши площадью не менее 5 м</w:t>
            </w:r>
            <w:r>
              <w:rPr>
                <w:color w:themeColor="text1" w:val="000000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themeColor="text1" w:val="000000"/>
                <w:sz w:val="24"/>
                <w:szCs w:val="24"/>
                <w:lang w:val="en-US"/>
              </w:rPr>
              <w:t>.</w:t>
            </w:r>
            <w:r>
              <w:rPr>
                <w:color w:themeColor="text1" w:val="000000"/>
                <w:sz w:val="24"/>
                <w:szCs w:val="24"/>
              </w:rPr>
              <w:t xml:space="preserve"> </w:t>
            </w:r>
            <w:r>
              <w:rPr>
                <w:color w:themeColor="text1" w:val="000000"/>
                <w:sz w:val="24"/>
                <w:szCs w:val="24"/>
                <w:lang w:val="en-US"/>
              </w:rPr>
              <w:t>Площадь спальни и кухни в мансардном этаже (или этаже с наклонными ограждающими конструкциями) допускается не менее 7 м</w:t>
            </w:r>
            <w:r>
              <w:rPr>
                <w:color w:themeColor="text1" w:val="000000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themeColor="text1" w:val="000000"/>
                <w:sz w:val="24"/>
                <w:szCs w:val="24"/>
                <w:lang w:val="en-US"/>
              </w:rPr>
              <w:t xml:space="preserve"> при условии, что общая жилая комната имеет площадь не менее 16 м</w:t>
            </w:r>
            <w:r>
              <w:rPr>
                <w:color w:themeColor="text1" w:val="000000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themeColor="text1" w:val="000000"/>
                <w:sz w:val="24"/>
                <w:szCs w:val="24"/>
                <w:lang w:val="en-US"/>
              </w:rPr>
              <w:t>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  <w:lang w:val="en-US"/>
              </w:rPr>
              <w:t xml:space="preserve">Согласно пункту 6.2 СП 55.13330.2016 высота (от пола </w:t>
              <w:br/>
              <w:t xml:space="preserve">до потолка) комнат и кухни (кухни-столовой) </w:t>
              <w:br/>
              <w:t xml:space="preserve">в климатических районах строительства IА, IБ, IГ, IД, определяемых по СП 131.13330, должна быть не менее 2,7 м, а в других климатических районах строительства - </w:t>
              <w:br/>
              <w:t xml:space="preserve">не менее 2,5 м. Высота внутридомовых коридоров, холлов, передних, </w:t>
            </w:r>
            <w:r>
              <w:rPr>
                <w:color w:themeColor="text1" w:val="000000"/>
                <w:spacing w:val="-2"/>
                <w:sz w:val="24"/>
                <w:szCs w:val="24"/>
                <w:lang w:val="en-US"/>
              </w:rPr>
              <w:t>антресолей должна составлять не менее 2,1 м,</w:t>
            </w:r>
            <w:r>
              <w:rPr>
                <w:color w:themeColor="text1" w:val="000000"/>
                <w:spacing w:val="-2"/>
                <w:sz w:val="24"/>
                <w:szCs w:val="24"/>
              </w:rPr>
              <w:t xml:space="preserve"> </w:t>
            </w:r>
            <w:r>
              <w:rPr>
                <w:color w:themeColor="text1" w:val="000000"/>
                <w:spacing w:val="-2"/>
                <w:sz w:val="24"/>
                <w:szCs w:val="24"/>
                <w:lang w:val="en-US"/>
              </w:rPr>
              <w:t>а высота пути эвакуации -</w:t>
            </w:r>
            <w:r>
              <w:rPr>
                <w:color w:themeColor="text1" w:val="000000"/>
                <w:sz w:val="24"/>
                <w:szCs w:val="24"/>
                <w:lang w:val="en-US"/>
              </w:rPr>
              <w:t xml:space="preserve"> не менее</w:t>
            </w:r>
            <w:r>
              <w:rPr>
                <w:color w:themeColor="text1" w:val="000000"/>
                <w:sz w:val="24"/>
                <w:szCs w:val="24"/>
              </w:rPr>
              <w:t xml:space="preserve"> </w:t>
            </w:r>
            <w:r>
              <w:rPr>
                <w:color w:themeColor="text1" w:val="000000"/>
                <w:sz w:val="24"/>
                <w:szCs w:val="24"/>
                <w:lang w:val="en-US"/>
              </w:rPr>
              <w:t>2,2 м.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  <w:lang w:val="en-US"/>
              </w:rPr>
              <w:t xml:space="preserve">В жилых комнатах и кухнях, расположенных в этажах </w:t>
            </w:r>
            <w:r>
              <w:rPr>
                <w:color w:themeColor="text1" w:val="000000"/>
                <w:sz w:val="24"/>
                <w:szCs w:val="24"/>
              </w:rPr>
              <w:br/>
            </w:r>
            <w:r>
              <w:rPr>
                <w:color w:themeColor="text1" w:val="000000"/>
                <w:sz w:val="24"/>
                <w:szCs w:val="24"/>
                <w:lang w:val="en-US"/>
              </w:rPr>
              <w:t xml:space="preserve">с наклонными ограждающими конструкциями или </w:t>
              <w:br/>
              <w:t>в мансардном этаже, допускается уменьшение высоты помещений (от пола</w:t>
            </w:r>
            <w:r>
              <w:rPr>
                <w:color w:themeColor="text1" w:val="000000"/>
                <w:sz w:val="24"/>
                <w:szCs w:val="24"/>
              </w:rPr>
              <w:t xml:space="preserve"> </w:t>
            </w:r>
            <w:r>
              <w:rPr>
                <w:color w:themeColor="text1" w:val="000000"/>
                <w:sz w:val="24"/>
                <w:szCs w:val="24"/>
                <w:lang w:val="en-US"/>
              </w:rPr>
              <w:t>до потолка), относительно нормируемой на площади, не превышающей 50%.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>Согласно ГПЗУ: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минимальный отступ от границ Участка до места допустимого размещения зданий, строений </w:t>
              <w:br/>
              <w:t>(за исключением границ со стороны территории общего пользования, где отступ определяется с учетом красных линий и линий регулирования застройки, установленных проектом планировки территории, а также границ смежных земельных участков при блокированной жилой застройке) – 3 м;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</w:rPr>
              <w:t>м</w:t>
            </w:r>
            <w:r>
              <w:rPr>
                <w:color w:themeColor="text1" w:val="000000"/>
                <w:sz w:val="24"/>
                <w:highlight w:val="white"/>
              </w:rPr>
              <w:t xml:space="preserve">аксимальный выступ за красную линию нависающих частей здания наземных уровней, выступающих </w:t>
              <w:br/>
              <w:t xml:space="preserve">из плоскости наружной стены фасада здания на высоте </w:t>
              <w:br/>
              <w:t>не менее 4,5 м над территорией общего пользования, составляет не более 1,2 м от красной линии. В случаях, когда линия регулирования застройки отличается от красной линии, указанный выступ может быть произведен за линию регулирования застройки;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white"/>
              </w:rPr>
            </w:pPr>
            <w:r>
              <w:rPr>
                <w:color w:themeColor="text1" w:val="000000"/>
                <w:sz w:val="24"/>
                <w:szCs w:val="24"/>
              </w:rPr>
      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 – 40%;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themeColor="text1" w:val="000000"/>
                <w:sz w:val="24"/>
                <w:szCs w:val="24"/>
              </w:rPr>
              <w:t>Согласно документации по планировке территории, утверждённой постановлением администрации города Перми от 23.12.2016 № 1159, предельная высота жилой застройки до 10,5 метров.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</w:rPr>
              <w:t xml:space="preserve">Победителю аукциона (единственному участнику) рекомендовано обратиться в уполномоченный орган </w:t>
              <w:br/>
              <w:t>с уведомлением о планируемом строительстве жилого дома.</w:t>
            </w:r>
          </w:p>
        </w:tc>
      </w:tr>
      <w:tr>
        <w:trPr>
          <w:trHeight w:val="144" w:hRule="atLeast"/>
        </w:trPr>
        <w:tc>
          <w:tcPr>
            <w:tcW w:w="3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ind w:firstLine="125" w:left="12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возможность</w:t>
            </w:r>
          </w:p>
          <w:p>
            <w:pPr>
              <w:pStyle w:val="Normal"/>
              <w:ind w:hanging="0" w:left="245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31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ind w:firstLine="31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  <w:shd w:fill="FFFFFF" w:val="clear"/>
              </w:rPr>
              <w:t xml:space="preserve">документации по земельному участку, размещенной                      с извещением о проведении аукциона в ГИС Торги </w:t>
            </w:r>
            <w:r>
              <w:rPr>
                <w:sz w:val="24"/>
                <w:szCs w:val="24"/>
                <w:lang w:val="en-US"/>
              </w:rPr>
              <w:t>www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torgi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gov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ru</w:t>
            </w:r>
            <w:r>
              <w:rPr>
                <w:sz w:val="24"/>
                <w:szCs w:val="24"/>
                <w:shd w:fill="FFFFFF" w:val="clear"/>
              </w:rPr>
              <w:t xml:space="preserve">, на официальном сайте муниципального образования город Пермь в информационно-телекоммуникационной сети Интернет </w:t>
            </w:r>
            <w:hyperlink r:id="rId17" w:tgtFrame="http://www.gorodperm.ru/">
              <w:r>
                <w:rPr>
                  <w:rStyle w:val="Hyperlink"/>
                  <w:color w:val="000000"/>
                  <w:sz w:val="24"/>
                  <w:szCs w:val="24"/>
                </w:rPr>
                <w:t>www.gorodperm.ru</w:t>
              </w:r>
            </w:hyperlink>
            <w:r>
              <w:rPr>
                <w:color w:val="000000"/>
                <w:sz w:val="24"/>
                <w:szCs w:val="24"/>
              </w:rPr>
              <w:t>.</w:t>
            </w:r>
          </w:p>
          <w:p>
            <w:pPr>
              <w:pStyle w:val="Normal"/>
              <w:ind w:firstLine="31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  <w:t>О наличии технической возможности технологического присоединения к электросетям филиала энергопринимающего устройства объекта капитального строительства с предполагаемой максимальной мощностью 15 кВт сообщает следующее.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>В границах Участка расположена охранная зона воздушной линии электропередачи 0,4 кВ от трансформаторной подстанции 1303, принадлежащая на праве собственности ПАО «Россети Урал».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>Порядок технологического присоединения к электрическим сетям регламентирован Правилами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лица, к электрическим сетям, утвержденными постановлением Правительства РФ от 27.12.2004 № 861 (далее – Правила ТП).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  <w:t>В силу пункта 6 Правил ТП технологическое присоединение осуществляется на основании договора заключаемого между сетевой организацией и юридическим или физическим лицом. Перечень мероприятий по технологическому присоединению определяется в технических условиях.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>Согласно пунктам 15, 25, 25.1 Правил ТП технические условия являются неотъемлемым приложением к соответствующему договору технологического присоединения и представляют собой техническое решение присоединения конкретного энергопринимающего устройства к сетям электросетевой организации, которое предусматривают точки присоединения, требования к усилению существующей сети, иные технические требования. Следовательно, технические условия для технологического присоединения предоставляются заявителю сетевой организацией вместе с договором о технологическом присоединении.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Для получения технических условий и заключения договора на технологическое присоединении необходимо направить в адрес филиала ПАО «Россети Урал» - «Пермэнерго» соответствующую заявку с указанием сведений и приложением необходимых документов в соответствии с Правилами ТП через единый федеральный портал электросетевых услуг группы компаний «Россети» на сайте: </w:t>
            </w:r>
            <w:hyperlink r:id="rId18" w:tgtFrame="https://">
              <w:r>
                <w:rPr>
                  <w:rStyle w:val="Hyperlink"/>
                  <w:color w:themeColor="text1" w:val="000000"/>
                  <w:sz w:val="24"/>
                  <w:szCs w:val="24"/>
                </w:rPr>
                <w:t>https://</w:t>
              </w:r>
            </w:hyperlink>
            <w:r>
              <w:rPr>
                <w:color w:themeColor="text1" w:val="000000"/>
                <w:sz w:val="24"/>
                <w:szCs w:val="24"/>
              </w:rPr>
              <w:t xml:space="preserve"> портал-тп.рф, через Мобильное приложение ПАО «Россети» или при очном приеме в Центре обслуживания клиентов филиала «Россети» или рот очном приеме в Центре обслуживания клиентов филиала «Россети Урал» - «Пермэнерго» по адресу: г. Пермь, ул. Камчатовская, д. 26, а также почтовым отправлением по адресу: 614016, г. Пермь, ул. Камчатовская, 26. По дополнительным вопросам телефон контакт-центра: 8-800-220-0-220 (круглосуточно и бесплатно).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>При подготовке градостроительного плана земельного участка необходимо предусмотреть коридоры для строительства кабельных линий и место для размещения трансформаторных подстанций.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  <w14:ligatures w14:val="none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филиала </w:t>
            </w:r>
            <w:r>
              <w:rPr>
                <w:b/>
                <w:bCs/>
                <w:color w:themeColor="text1" w:val="000000"/>
                <w:sz w:val="24"/>
                <w:szCs w:val="24"/>
              </w:rPr>
              <w:t xml:space="preserve">ПАО «Россети Урал» - «Пермэнерго» Пермские </w:t>
            </w:r>
            <w:r>
              <w:rPr>
                <w:b/>
                <w:color w:themeColor="text1" w:val="000000"/>
                <w:sz w:val="24"/>
                <w:szCs w:val="24"/>
              </w:rPr>
              <w:t>городские электрические сети»</w:t>
            </w:r>
            <w:r>
              <w:rPr>
                <w:color w:themeColor="text1" w:val="000000"/>
                <w:sz w:val="24"/>
                <w:szCs w:val="24"/>
              </w:rPr>
              <w:t xml:space="preserve"> от 19.05.2026 № ПЭ/ПГЭС/01/22/7351).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  <w14:ligatures w14:val="none"/>
              </w:rPr>
            </w:pPr>
            <w:r>
              <w:rPr>
                <w:color w:themeColor="text1" w:val="000000"/>
                <w:sz w:val="24"/>
                <w:szCs w:val="24"/>
                <w14:ligatures w14:val="none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  <w14:ligatures w14:val="none"/>
              </w:rPr>
            </w:pPr>
            <w:r>
              <w:rPr>
                <w:color w:themeColor="text1" w:val="000000"/>
                <w:sz w:val="24"/>
                <w:szCs w:val="24"/>
              </w:rPr>
              <w:t>Участок находится вне зоны теплоснабжения ПАО «Т Плюс».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  <w14:ligatures w14:val="none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Для запроса информации о возможности подключения земельного участка рекомендуется обратиться </w:t>
              <w:br/>
              <w:t>к собственникам близлежащих тепловых сетей/источников теплоснабжения или рассмотреть возможность альтернативного источника теплоснабжения.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  <w14:ligatures w14:val="none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themeColor="text1" w:val="000000"/>
                <w:sz w:val="24"/>
                <w:szCs w:val="24"/>
              </w:rPr>
              <w:t>ПАО «Т Плюс»</w:t>
            </w:r>
            <w:r>
              <w:rPr>
                <w:color w:themeColor="text1" w:val="000000"/>
                <w:sz w:val="24"/>
                <w:szCs w:val="24"/>
              </w:rPr>
              <w:t xml:space="preserve"> от 08.05.2026 № 51000-32-01876).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  <w14:ligatures w14:val="none"/>
              </w:rPr>
            </w:pPr>
            <w:r>
              <w:rPr>
                <w:color w:themeColor="text1" w:val="000000"/>
                <w:sz w:val="24"/>
                <w:szCs w:val="24"/>
                <w14:ligatures w14:val="none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  <w:t>Техническая возможность подключения к сетям теплоснабжения отсутствует. Рекомендовано рассмотреть альтернативный источник теплоснабжения – газ, электричество, дрова, пеллеты.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  <w14:ligatures w14:val="none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themeColor="text1" w:val="000000"/>
                <w:sz w:val="24"/>
                <w:szCs w:val="24"/>
              </w:rPr>
              <w:t xml:space="preserve">департамента жилищно-коммунального хозяйства администрации города Перми </w:t>
            </w:r>
            <w:r>
              <w:rPr>
                <w:color w:themeColor="text1" w:val="000000"/>
                <w:sz w:val="24"/>
                <w:szCs w:val="24"/>
              </w:rPr>
              <w:t xml:space="preserve"> от 13.05.2026 № 059-04-25/3-75-ри).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  <w14:ligatures w14:val="none"/>
              </w:rPr>
            </w:pPr>
            <w:r>
              <w:rPr>
                <w:color w:themeColor="text1" w:val="000000"/>
                <w:sz w:val="24"/>
                <w:szCs w:val="24"/>
                <w14:ligatures w14:val="none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14:ligatures w14:val="none"/>
              </w:rPr>
            </w:pPr>
            <w:r>
              <w:rPr>
                <w:color w:themeColor="text1" w:val="000000"/>
                <w:sz w:val="24"/>
                <w:szCs w:val="24"/>
              </w:rPr>
              <w:t>Техническая возможность подключения объекта капитального строительства с предполагаемой максимальной нагрузкой 8 куб.м/час к существующим сетям газораспределения имеется.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14:ligatures w14:val="none"/>
              </w:rPr>
            </w:pPr>
            <w:r>
              <w:rPr>
                <w:color w:themeColor="text1" w:val="000000"/>
                <w:sz w:val="24"/>
                <w:szCs w:val="24"/>
              </w:rPr>
              <w:t>Для рассмотрения вопроса о предоставлении технических условий на подключение (технологическое присоединение) необходимо направить запрос с приложением необходимых документов и сведений на электронную почту post@pf.ugaz.ru, либо почтовым отправлением по адресу: г. Пермь, ул. Уральская, 104, через Единый центр предоставления услуг по адресу: г. Пермь, ул. Уральская, д. 104, каб. 101.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14:ligatures w14:val="none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В границах земельного участка могут располагаться газораспределительные сети (сети ЭХЗ), находящиеся как в собственности AO «Газпром газораспределение Пермь», так и в собственности третьих лиц. Для определения месторасположения газораспределительных сетей </w:t>
              <w:br/>
              <w:t>на интересуемом земельном участке необходимо направить в адрес Филиала в г. Пермь AO «Газпром газораспределение Пермь» инженерно-топографический план на бумажном носителе, выполненный в масштабе 1:500, в координатах г. Перми, на котором отображены рельеф местности, объекты ситуации и границы интересующей территории.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  <w14:ligatures w14:val="none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bCs/>
                <w:color w:themeColor="text1" w:val="000000"/>
                <w:sz w:val="24"/>
                <w:szCs w:val="24"/>
              </w:rPr>
              <w:t>АО «Газпром газораспределение Пермь»</w:t>
            </w:r>
            <w:r>
              <w:rPr>
                <w:color w:themeColor="text1" w:val="000000"/>
                <w:sz w:val="24"/>
                <w:szCs w:val="24"/>
              </w:rPr>
              <w:t xml:space="preserve"> от 21.05.2026 № ПФ-3759).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  <w14:ligatures w14:val="none"/>
              </w:rPr>
            </w:pPr>
            <w:r>
              <w:rPr>
                <w:color w:themeColor="text1" w:val="000000"/>
                <w:sz w:val="24"/>
                <w:szCs w:val="24"/>
                <w14:ligatures w14:val="none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  <w:t>О наличии технической возможности для подключения сетей водоснабжения и водоотведения с предполагаемой величиной нагрузки 1,0 м3/сут. сообщается следующее.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14:ligatures w14:val="none"/>
              </w:rPr>
            </w:pPr>
            <w:r>
              <w:rPr>
                <w:color w:themeColor="text1" w:val="000000"/>
                <w:sz w:val="24"/>
                <w:szCs w:val="24"/>
              </w:rPr>
              <w:t>В районе земельного участка отсутствуют централизованные сети водоснабжения и водоотведения, эксплуатируемые ООО «Новогор - Прикамье».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14:ligatures w14:val="none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Ближайшей сетью водоснабжения, эксплуатируемой </w:t>
              <w:br/>
              <w:t>ООО «НОВОГОР - Прикамье», располагаются на пересечении ул. Римская - ул. Солдатова, ориентировочное расстояние от земельного участка - 1,3d км.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14:ligatures w14:val="none"/>
              </w:rPr>
            </w:pPr>
            <w:r>
              <w:rPr>
                <w:color w:themeColor="text1" w:val="000000"/>
                <w:sz w:val="24"/>
                <w:szCs w:val="24"/>
              </w:rPr>
              <w:t>Ближайшие сети водоотведения эксплуатируемые ООО «НОВОГОР - Прикамье», располагаются вдоль ул. Разъездная, ориентировочно на расстоянии - 1,78 км от вышеуказанного земельного участка.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14:ligatures w14:val="none"/>
              </w:rPr>
            </w:pPr>
            <w:r>
              <w:rPr>
                <w:color w:themeColor="text1" w:val="000000"/>
                <w:sz w:val="24"/>
                <w:szCs w:val="24"/>
              </w:rPr>
              <w:t>Альтернативный способ водоснабжения без подключения к централизованной системе водоснабжения (от скважины) и альтернативный способ канализования, без подключения к централизованной системе канализации г. Перми (отвод стоков на локальные очистные сооружения, канализование объекта в выгребную яму с последующим вывозом стоков спец. машинами), который должен соответствовать всем нормативным требованиям Российской Федерации.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14:ligatures w14:val="none"/>
              </w:rPr>
            </w:pPr>
            <w:r>
              <w:rPr>
                <w:color w:themeColor="text1" w:val="000000"/>
                <w:sz w:val="24"/>
                <w:szCs w:val="24"/>
              </w:rPr>
              <w:t>Ввиду отсутствия данных о посадке проектируемого объекта, длина технологического разрыва до сетей водоснабжения указаны ориентировочно.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14:ligatures w14:val="none"/>
              </w:rPr>
            </w:pPr>
            <w:bookmarkStart w:id="0" w:name="undefined"/>
            <w:bookmarkEnd w:id="0"/>
            <w:r>
              <w:rPr>
                <w:color w:themeColor="text1" w:val="000000"/>
                <w:sz w:val="24"/>
                <w:szCs w:val="24"/>
              </w:rPr>
              <w:t xml:space="preserve">Для сведения сообщаем, в связи с тем, что </w:t>
              <w:br/>
              <w:t xml:space="preserve">ООО «НОВОГОР - Прикамье» эксплуатирует только централизованные системы водоснабжения и водоотведения, по вопросу возможности обеспечения индивидуального жилого дома холодным водоснабжением от скважины и отвода канализационных стоков локально, предлагаем вам обратиться </w:t>
              <w:br/>
              <w:t>в соответствующие организации, регулирующие недропользование.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14:ligatures w14:val="none"/>
              </w:rPr>
            </w:pPr>
            <w:r>
              <w:rPr>
                <w:color w:themeColor="text1" w:val="000000"/>
                <w:sz w:val="24"/>
                <w:szCs w:val="24"/>
              </w:rPr>
              <w:t>ООО «НОВОГОР - Прикамье» не располагает сведениями о наличии сетей 3-x лиц в границах вышеуказанного земельного участка.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  <w14:ligatures w14:val="none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themeColor="text1" w:val="000000"/>
                <w:sz w:val="24"/>
                <w:szCs w:val="24"/>
              </w:rPr>
              <w:t xml:space="preserve">ООО «НОВОГОР - Прикамье» </w:t>
            </w:r>
            <w:r>
              <w:rPr>
                <w:color w:themeColor="text1" w:val="000000"/>
                <w:sz w:val="24"/>
                <w:szCs w:val="24"/>
              </w:rPr>
              <w:t>от 05.05.2026 № 110-6401).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  <w14:ligatures w14:val="none"/>
              </w:rPr>
            </w:pPr>
            <w:r>
              <w:rPr>
                <w:color w:themeColor="text1" w:val="000000"/>
                <w:sz w:val="24"/>
                <w:szCs w:val="24"/>
                <w14:ligatures w14:val="none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themeColor="text1" w:val="000000"/>
              </w:rPr>
            </w:pPr>
            <w:r>
              <w:rPr>
                <w:b w:val="false"/>
                <w:bCs w:val="false"/>
                <w:color w:themeColor="text1" w:val="000000"/>
                <w:sz w:val="24"/>
                <w:szCs w:val="24"/>
              </w:rPr>
              <w:t>Технологическое присоединение к сетям связи ПАО «Ростелеком» может быть произведено к узлу ВОЛС (г. Пермь, ул. Заречная (Дзержинский р-н), д. 162А), максимальную нагрузку в точке подключения (технологического присоединения) необходимо определить на стадии проектирования.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b w:val="false"/>
                <w:bCs w:val="false"/>
                <w:color w:themeColor="text1" w:val="000000"/>
              </w:rPr>
            </w:pPr>
            <w:r>
              <w:rPr>
                <w:b w:val="false"/>
                <w:bCs w:val="false"/>
                <w:color w:themeColor="text1" w:val="000000"/>
              </w:rPr>
              <w:t xml:space="preserve">Для получения технических условий на подключение </w:t>
              <w:br/>
              <w:t xml:space="preserve">к сетям связи необходимо направить запрос на </w:t>
            </w:r>
            <w:hyperlink r:id="rId19">
              <w:r>
                <w:rPr>
                  <w:rStyle w:val="Hyperlink"/>
                  <w:b w:val="false"/>
                  <w:bCs w:val="false"/>
                  <w:color w:themeColor="text1" w:val="000000"/>
                </w:rPr>
                <w:t>perm-mail@ural.rt.ru</w:t>
              </w:r>
            </w:hyperlink>
            <w:r>
              <w:rPr>
                <w:b w:val="false"/>
                <w:bCs w:val="false"/>
                <w:color w:themeColor="text1" w:val="000000"/>
              </w:rPr>
              <w:t>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  <w14:ligatures w14:val="none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bCs/>
                <w:color w:themeColor="text1" w:val="000000"/>
                <w:sz w:val="24"/>
                <w:szCs w:val="24"/>
              </w:rPr>
              <w:t xml:space="preserve">ПАО «Ростелеком» </w:t>
            </w:r>
            <w:r>
              <w:rPr>
                <w:b w:val="false"/>
                <w:bCs w:val="false"/>
                <w:color w:themeColor="text1" w:val="000000"/>
                <w:sz w:val="24"/>
                <w:szCs w:val="24"/>
              </w:rPr>
              <w:t>от 12.05.2026 № 01/05/76090/26</w:t>
            </w:r>
            <w:r>
              <w:rPr>
                <w:color w:themeColor="text1" w:val="000000"/>
                <w:sz w:val="24"/>
                <w:szCs w:val="24"/>
              </w:rPr>
              <w:t>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  <w14:ligatures w14:val="none"/>
              </w:rPr>
            </w:pPr>
            <w:r>
              <w:rPr>
                <w:color w:themeColor="text1" w:val="000000"/>
                <w:sz w:val="24"/>
                <w:szCs w:val="24"/>
                <w14:ligatures w14:val="none"/>
              </w:rPr>
            </w:r>
          </w:p>
        </w:tc>
      </w:tr>
      <w:tr>
        <w:trPr>
          <w:trHeight w:val="225" w:hRule="atLeast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left="113" w:right="57"/>
              <w:jc w:val="left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Начальная цена предмета аукциона</w:t>
            </w:r>
          </w:p>
          <w:p>
            <w:pPr>
              <w:pStyle w:val="Normal"/>
              <w:widowControl/>
              <w:spacing w:before="0" w:after="0"/>
              <w:ind w:hanging="0" w:left="113" w:right="57"/>
              <w:jc w:val="left"/>
              <w:rPr>
                <w:highlight w:val="none"/>
                <w:shd w:fill="auto" w:val="clear"/>
              </w:rPr>
            </w:pPr>
            <w:r>
              <w:rPr>
                <w:b/>
                <w:sz w:val="24"/>
                <w:szCs w:val="24"/>
                <w:shd w:fill="auto" w:val="clear"/>
              </w:rPr>
              <w:t>(рыночная стоимость земельного участка)</w:t>
            </w:r>
          </w:p>
          <w:p>
            <w:pPr>
              <w:pStyle w:val="Normal"/>
              <w:ind w:right="-263"/>
              <w:rPr>
                <w:b/>
                <w:bCs/>
                <w:sz w:val="24"/>
                <w:szCs w:val="24"/>
                <w:highlight w:val="none"/>
              </w:rPr>
            </w:pPr>
            <w:r>
              <w:rPr>
                <w:b/>
                <w:bCs/>
                <w:sz w:val="24"/>
                <w:szCs w:val="24"/>
              </w:rPr>
            </w:r>
          </w:p>
          <w:p>
            <w:pPr>
              <w:pStyle w:val="Normal"/>
              <w:ind w:hanging="0" w:left="120" w:right="0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sz w:val="24"/>
                <w:szCs w:val="24"/>
                <w:highlight w:val="none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24"/>
              </w:rPr>
              <w:t xml:space="preserve">По условиям пункта 4.1 проекта договора купли-продажи земельного участка, приобретаемого на торгах в форме аукциона (Приложение 9 к настоящему извещению), </w:t>
            </w:r>
            <w:r>
              <w:rPr>
                <w:sz w:val="24"/>
                <w:szCs w:val="24"/>
                <w:shd w:fill="auto" w:val="clear"/>
              </w:rPr>
              <w:t xml:space="preserve">победитель аукциона, иное лицо, с которым договор заключается в соответствии </w:t>
              <w:br/>
              <w:t>с п.13, п.14, п. 20 или п. 25</w:t>
            </w:r>
          </w:p>
          <w:p>
            <w:pPr>
              <w:pStyle w:val="Normal"/>
              <w:ind w:hanging="0" w:left="120" w:right="0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 xml:space="preserve">ст. 39.12 Земельного Кодекса Российской Федерации (далее – ЗК РФ), обязан </w:t>
            </w:r>
            <w:r>
              <w:rPr>
                <w:b/>
                <w:sz w:val="24"/>
                <w:szCs w:val="24"/>
                <w:shd w:fill="auto" w:val="clear"/>
              </w:rPr>
              <w:t>в течение 15 дней</w:t>
            </w:r>
            <w:r>
              <w:rPr>
                <w:sz w:val="24"/>
                <w:szCs w:val="24"/>
                <w:shd w:fill="auto" w:val="clear"/>
              </w:rPr>
              <w:t xml:space="preserve"> со дня размещения  протокола </w:t>
              <w:br/>
              <w:t xml:space="preserve">о результатах аукциона, </w:t>
              <w:br/>
              <w:t xml:space="preserve">а в случаях, определенных п.13, п.14, ст. 39.12 ЗК РФ, протокола рассмотрения заявок, </w:t>
            </w:r>
            <w:r>
              <w:rPr>
                <w:b/>
                <w:sz w:val="24"/>
                <w:szCs w:val="24"/>
                <w:shd w:fill="auto" w:val="clear"/>
              </w:rPr>
              <w:t xml:space="preserve">перечислить денежные средства                              </w:t>
            </w:r>
            <w:r>
              <w:rPr>
                <w:sz w:val="24"/>
                <w:szCs w:val="24"/>
                <w:shd w:fill="auto" w:val="clear"/>
              </w:rPr>
              <w:t>за земельный участок                        (за вычетом задатка, внесенного для участия</w:t>
            </w:r>
          </w:p>
          <w:p>
            <w:pPr>
              <w:pStyle w:val="Normal"/>
              <w:ind w:hanging="0" w:left="120" w:right="0"/>
              <w:rPr>
                <w:highlight w:val="none"/>
              </w:rPr>
            </w:pPr>
            <w:r>
              <w:rPr>
                <w:sz w:val="24"/>
                <w:szCs w:val="24"/>
                <w:shd w:fill="auto" w:val="clear"/>
              </w:rPr>
              <w:t>в аукционе) на счет департамента земельных отношений администрации города Перми, 614000, ул. Сибирская,15, тел. 212-61-90 (отдел договоров), реквизиты которого указаны в проекте договора купли-продажи земельного участка (Приложение 9 к настоящему извещению)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1 797 000</w:t>
            </w:r>
            <w:r>
              <w:rPr>
                <w:sz w:val="24"/>
                <w:szCs w:val="24"/>
              </w:rPr>
              <w:t xml:space="preserve"> руб.</w:t>
            </w:r>
          </w:p>
        </w:tc>
      </w:tr>
      <w:tr>
        <w:trPr>
          <w:trHeight w:val="225" w:hRule="atLeast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«Шаг аукциона» (5% от начальной цены предмета аукциона)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89 850 </w:t>
            </w:r>
            <w:r>
              <w:rPr>
                <w:sz w:val="24"/>
                <w:szCs w:val="24"/>
              </w:rPr>
              <w:t>руб.</w:t>
            </w:r>
          </w:p>
        </w:tc>
      </w:tr>
      <w:tr>
        <w:trPr>
          <w:trHeight w:val="416" w:hRule="atLeast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 xml:space="preserve">Форма заявки на участие </w:t>
              <w:br/>
              <w:t>в аукционе</w:t>
            </w:r>
          </w:p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  <w:t>Заявка на участие в электронном аукционе с указанием    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документов, указанных в подпунктах 2-4 пункта 1, пункте 1.1 статьи 39.12 Земельного кодекса Российской Федерации (копии документов, удостоверяющих личность заявителя (для граждан); надлежащим образом заверенный перевод на русский язык документов                                      о государственной регистрации юридического лица                                   в соответствии с законодательством иностранного государства в случае, если заявителем является иностранное юридическое лицо; документы, подтверждающие внесение задатка).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каждый лот представляется отдельный пакет документов.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BodyText"/>
              <w:jc w:val="both"/>
              <w:rPr>
                <w:b/>
                <w:color w:val="000000"/>
                <w:sz w:val="24"/>
                <w:szCs w:val="24"/>
                <w:shd w:fill="auto" w:val="clear"/>
              </w:rPr>
            </w:pPr>
            <w:r>
              <w:rPr>
                <w:b/>
                <w:color w:val="000000"/>
                <w:sz w:val="24"/>
                <w:szCs w:val="24"/>
                <w:shd w:fill="auto" w:val="clear"/>
              </w:rPr>
              <w:t>Решение о проведении аукциона принято в соответствии со статьей 39.11 Земельного кодекса Российской Федерации. Аукцион является открытым по составу участников.</w:t>
            </w:r>
          </w:p>
        </w:tc>
      </w:tr>
      <w:tr>
        <w:trPr>
          <w:trHeight w:val="236" w:hRule="atLeast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Размер задатка (50% от начальной цены предмета аукциона)</w:t>
            </w:r>
          </w:p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898 500</w:t>
            </w:r>
            <w:r>
              <w:rPr>
                <w:sz w:val="24"/>
                <w:szCs w:val="24"/>
              </w:rPr>
              <w:t xml:space="preserve"> руб.</w:t>
            </w:r>
          </w:p>
        </w:tc>
      </w:tr>
      <w:tr>
        <w:trPr>
          <w:trHeight w:val="1884" w:hRule="atLeast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договора</w:t>
            </w:r>
          </w:p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купли-продажи земельного участка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Проект договора купли-продажи земельного участка,     приобретаемого на торгах в форме аукциона, является Приложением 9 к настоящему извещению и </w:t>
            </w:r>
            <w:r>
              <w:rPr>
                <w:sz w:val="24"/>
                <w:szCs w:val="24"/>
                <w:lang w:val="en-US" w:eastAsia="en-US"/>
              </w:rPr>
              <w:t>размещен на сайтах www.torgi.gov.ru, www.gorodperm.ru (раздел Деятельность/ Муниципальная собственность/ Торговая площадка Вид торгов Продажа и аренда земельных участков)</w:t>
            </w:r>
          </w:p>
        </w:tc>
      </w:tr>
      <w:tr>
        <w:trPr>
          <w:trHeight w:val="76" w:hRule="atLeast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 w:left="120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осмотра земельного участка на местности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Осмотр земельного участка производится заявителем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 в любое время с даты опубликования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настоящего извещения.</w:t>
            </w:r>
          </w:p>
        </w:tc>
      </w:tr>
    </w:tbl>
    <w:p>
      <w:pPr>
        <w:pStyle w:val="Normal"/>
        <w:tabs>
          <w:tab w:val="clear" w:pos="708"/>
          <w:tab w:val="left" w:pos="5103" w:leader="none"/>
        </w:tabs>
        <w:ind w:right="-263"/>
        <w:rPr>
          <w:sz w:val="20"/>
          <w:szCs w:val="20"/>
          <w:highlight w:val="none"/>
        </w:rPr>
      </w:pPr>
      <w:r>
        <w:rPr>
          <w:sz w:val="20"/>
          <w:szCs w:val="20"/>
        </w:rPr>
      </w:r>
    </w:p>
    <w:p>
      <w:pPr>
        <w:pStyle w:val="PlainText"/>
        <w:spacing w:lineRule="exact" w:line="240"/>
        <w:ind w:hanging="1134" w:left="113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  <w:bookmarkStart w:id="1" w:name="_GoBack_Копия_1"/>
      <w:bookmarkStart w:id="2" w:name="_GoBack_Копия_1_Копия_1"/>
      <w:bookmarkStart w:id="3" w:name="_GoBack_Копия_1"/>
      <w:bookmarkStart w:id="4" w:name="_GoBack_Копия_1_Копия_1"/>
      <w:bookmarkEnd w:id="3"/>
      <w:bookmarkEnd w:id="4"/>
    </w:p>
    <w:p>
      <w:pPr>
        <w:pStyle w:val="Normal"/>
        <w:widowControl w:val="false"/>
        <w:spacing w:before="0" w:after="0"/>
        <w:ind w:left="567"/>
        <w:contextualSpacing/>
        <w:jc w:val="center"/>
        <w:rPr>
          <w:rFonts w:eastAsia="Courier New"/>
          <w:b/>
          <w:lang w:bidi="ru-RU"/>
        </w:rPr>
      </w:pPr>
      <w:r>
        <w:rPr>
          <w:rFonts w:eastAsia="Courier New"/>
          <w:b/>
          <w:lang w:bidi="ru-RU"/>
        </w:rPr>
        <w:t>Сроки, время подачи заявок, рассмотрения заявок, проведения аукциона</w:t>
      </w:r>
    </w:p>
    <w:p>
      <w:pPr>
        <w:pStyle w:val="Normal"/>
        <w:widowControl w:val="false"/>
        <w:spacing w:before="0" w:after="0"/>
        <w:ind w:left="567"/>
        <w:contextualSpacing/>
        <w:jc w:val="center"/>
        <w:rPr>
          <w:rFonts w:eastAsia="Courier New"/>
          <w:b/>
          <w:lang w:bidi="ru-RU"/>
        </w:rPr>
      </w:pPr>
      <w:r>
        <w:rPr>
          <w:rFonts w:eastAsia="Courier New"/>
          <w:b/>
          <w:lang w:bidi="ru-RU"/>
        </w:rPr>
      </w:r>
    </w:p>
    <w:p>
      <w:pPr>
        <w:pStyle w:val="Normal"/>
        <w:widowControl w:val="false"/>
        <w:ind w:firstLine="709" w:left="-567"/>
        <w:jc w:val="both"/>
        <w:rPr>
          <w:rFonts w:eastAsia="Courier New"/>
          <w:lang w:bidi="ru-RU"/>
        </w:rPr>
      </w:pPr>
      <w:r>
        <w:rPr>
          <w:rFonts w:eastAsia="Courier New"/>
          <w:b/>
          <w:lang w:bidi="ru-RU"/>
        </w:rPr>
        <w:t>Дата и время начала срока подачи заявок на участие в аукционе – 15.08.2026</w:t>
      </w:r>
      <w:r>
        <w:rPr>
          <w:rFonts w:eastAsia="Courier New"/>
          <w:lang w:bidi="ru-RU"/>
        </w:rPr>
        <w:t xml:space="preserve"> в 9:00 </w:t>
      </w:r>
      <w:r>
        <w:rPr>
          <w:rFonts w:eastAsia="Courier New"/>
          <w:lang w:bidi="ru-RU"/>
        </w:rPr>
        <w:br w:type="textWrapping" w:clear="all"/>
      </w:r>
      <w:r>
        <w:rPr>
          <w:rFonts w:eastAsia="Courier New"/>
          <w:lang w:bidi="ru-RU"/>
        </w:rPr>
        <w:t>по местному времени (7:00 МСК).</w:t>
      </w:r>
    </w:p>
    <w:p>
      <w:pPr>
        <w:pStyle w:val="Normal"/>
        <w:widowControl w:val="false"/>
        <w:ind w:firstLine="709" w:left="-567"/>
        <w:jc w:val="both"/>
        <w:rPr>
          <w:rFonts w:eastAsia="Courier New"/>
          <w:lang w:bidi="ru-RU"/>
        </w:rPr>
      </w:pPr>
      <w:r>
        <w:rPr>
          <w:rFonts w:eastAsia="Courier New"/>
          <w:lang w:bidi="ru-RU"/>
        </w:rPr>
      </w:r>
    </w:p>
    <w:p>
      <w:pPr>
        <w:pStyle w:val="Normal"/>
        <w:widowControl w:val="false"/>
        <w:ind w:firstLine="709" w:left="-567"/>
        <w:jc w:val="both"/>
        <w:rPr>
          <w:rFonts w:eastAsia="Courier New"/>
          <w:b/>
          <w:lang w:bidi="ru-RU"/>
        </w:rPr>
      </w:pPr>
      <w:r>
        <w:rPr>
          <w:rFonts w:eastAsia="Courier New"/>
          <w:b/>
          <w:lang w:bidi="ru-RU"/>
        </w:rPr>
        <w:t>Дата и время окончания срока подачи заявок на участие в аукционе – 01.09.2026</w:t>
      </w:r>
      <w:r>
        <w:rPr>
          <w:rFonts w:eastAsia="Courier New"/>
          <w:lang w:bidi="ru-RU"/>
        </w:rPr>
        <w:t xml:space="preserve"> </w:t>
      </w:r>
      <w:r>
        <w:rPr>
          <w:rFonts w:eastAsia="Courier New"/>
          <w:lang w:bidi="ru-RU"/>
        </w:rPr>
        <w:br w:type="textWrapping" w:clear="all"/>
      </w:r>
      <w:r>
        <w:rPr>
          <w:rFonts w:eastAsia="Courier New"/>
          <w:lang w:bidi="ru-RU"/>
        </w:rPr>
        <w:t xml:space="preserve">в 18:00 по местному времени (16:00 МСК). </w:t>
      </w:r>
    </w:p>
    <w:p>
      <w:pPr>
        <w:pStyle w:val="Normal"/>
        <w:widowControl w:val="false"/>
        <w:ind w:firstLine="709" w:left="-567"/>
        <w:jc w:val="both"/>
        <w:rPr>
          <w:rFonts w:eastAsia="Courier New"/>
          <w:b/>
          <w:lang w:bidi="ru-RU"/>
        </w:rPr>
      </w:pPr>
      <w:r>
        <w:rPr>
          <w:rFonts w:eastAsia="Courier New"/>
          <w:b/>
          <w:lang w:bidi="ru-RU"/>
        </w:rPr>
      </w:r>
    </w:p>
    <w:p>
      <w:pPr>
        <w:pStyle w:val="Normal"/>
        <w:widowControl w:val="false"/>
        <w:ind w:firstLine="709" w:left="-567"/>
        <w:jc w:val="both"/>
        <w:rPr>
          <w:rFonts w:eastAsia="Courier New"/>
          <w:lang w:bidi="ru-RU"/>
        </w:rPr>
      </w:pPr>
      <w:r>
        <w:rPr>
          <w:rFonts w:eastAsia="Courier New"/>
          <w:b/>
          <w:lang w:bidi="ru-RU"/>
        </w:rPr>
        <w:t>Дата окончания срока рассмотрения заявок на участие в аукционе (определение участников аукциона)</w:t>
      </w:r>
      <w:r>
        <w:rPr>
          <w:rFonts w:eastAsia="Courier New"/>
          <w:lang w:bidi="ru-RU"/>
        </w:rPr>
        <w:t xml:space="preserve"> –</w:t>
      </w:r>
      <w:r>
        <w:rPr>
          <w:rFonts w:eastAsia="Courier New"/>
          <w:b/>
          <w:bCs/>
          <w:lang w:bidi="ru-RU"/>
        </w:rPr>
        <w:t xml:space="preserve"> 02.09.2026. </w:t>
      </w:r>
    </w:p>
    <w:p>
      <w:pPr>
        <w:pStyle w:val="Normal"/>
        <w:widowControl w:val="false"/>
        <w:ind w:firstLine="709" w:left="-567"/>
        <w:jc w:val="both"/>
        <w:rPr>
          <w:rFonts w:eastAsia="Courier New"/>
          <w:b/>
          <w:bCs/>
          <w:lang w:bidi="ru-RU"/>
        </w:rPr>
      </w:pPr>
      <w:r>
        <w:rPr>
          <w:rFonts w:eastAsia="Courier New"/>
          <w:b/>
          <w:bCs/>
          <w:lang w:bidi="ru-RU"/>
        </w:rPr>
      </w:r>
    </w:p>
    <w:p>
      <w:pPr>
        <w:pStyle w:val="Normal"/>
        <w:widowControl w:val="false"/>
        <w:ind w:firstLine="709" w:left="-567"/>
        <w:jc w:val="both"/>
        <w:rPr>
          <w:rFonts w:eastAsia="Courier New"/>
          <w:b/>
          <w:lang w:bidi="ru-RU"/>
        </w:rPr>
      </w:pPr>
      <w:r>
        <w:rPr>
          <w:rFonts w:eastAsia="Courier New"/>
          <w:b/>
          <w:bCs/>
          <w:lang w:bidi="ru-RU"/>
        </w:rPr>
        <w:t xml:space="preserve">Дата проведения аукциона (дата и время начала приема предложений </w:t>
      </w:r>
      <w:r>
        <w:rPr>
          <w:rFonts w:eastAsia="Courier New"/>
          <w:b/>
          <w:bCs/>
          <w:lang w:bidi="ru-RU"/>
        </w:rPr>
        <w:br w:type="textWrapping" w:clear="all"/>
      </w:r>
      <w:r>
        <w:rPr>
          <w:rFonts w:eastAsia="Courier New"/>
          <w:b/>
          <w:bCs/>
          <w:lang w:bidi="ru-RU"/>
        </w:rPr>
        <w:t>от участников аукциона) – 03.09</w:t>
      </w:r>
      <w:r>
        <w:rPr>
          <w:rFonts w:eastAsia="Courier New"/>
          <w:b/>
          <w:lang w:bidi="ru-RU"/>
        </w:rPr>
        <w:t>.2026</w:t>
      </w:r>
      <w:r>
        <w:rPr>
          <w:rFonts w:eastAsia="Courier New"/>
          <w:lang w:bidi="ru-RU"/>
        </w:rPr>
        <w:t xml:space="preserve"> в 09:00 по местному времени (07:00 МСК). </w:t>
      </w:r>
    </w:p>
    <w:p>
      <w:pPr>
        <w:pStyle w:val="Normal"/>
        <w:widowControl w:val="false"/>
        <w:ind w:firstLine="709" w:left="-567"/>
        <w:jc w:val="both"/>
        <w:rPr>
          <w:rFonts w:eastAsia="Courier New"/>
          <w:b/>
          <w:lang w:bidi="ru-RU"/>
        </w:rPr>
      </w:pPr>
      <w:r>
        <w:rPr>
          <w:rFonts w:eastAsia="Courier New"/>
          <w:b/>
          <w:lang w:bidi="ru-RU"/>
        </w:rPr>
      </w:r>
    </w:p>
    <w:p>
      <w:pPr>
        <w:pStyle w:val="Normal"/>
        <w:widowControl w:val="false"/>
        <w:ind w:firstLine="709" w:left="-567"/>
        <w:jc w:val="both"/>
        <w:rPr/>
      </w:pPr>
      <w:r>
        <w:rPr>
          <w:b/>
        </w:rPr>
        <w:t>Место подачи (приема) заявок и место проведения аукциона:</w:t>
      </w:r>
      <w:r>
        <w:rPr/>
        <w:t xml:space="preserve"> электронная площадка – универсальная торговая платформа АО «Сбербанк-АСТ», размещенная на сайте http://utp.sberbank-ast.ru в сети Интернет (торговая секция «Приватизация, аренда и продажа прав»).</w:t>
      </w:r>
    </w:p>
    <w:p>
      <w:pPr>
        <w:pStyle w:val="Normal"/>
        <w:widowControl w:val="false"/>
        <w:jc w:val="both"/>
        <w:rPr/>
      </w:pPr>
      <w:r>
        <w:rPr/>
      </w:r>
    </w:p>
    <w:p>
      <w:pPr>
        <w:pStyle w:val="Normal"/>
        <w:widowControl w:val="false"/>
        <w:ind w:firstLine="709" w:left="-567"/>
        <w:jc w:val="center"/>
        <w:rPr>
          <w:b/>
        </w:rPr>
      </w:pPr>
      <w:r>
        <w:rPr>
          <w:b/>
        </w:rPr>
        <w:t>Плата оператору электронной площадки за участие в электронном аукционе</w:t>
      </w:r>
    </w:p>
    <w:p>
      <w:pPr>
        <w:pStyle w:val="Normal"/>
        <w:widowControl w:val="false"/>
        <w:ind w:firstLine="709" w:left="-567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ind w:firstLine="709" w:left="-567"/>
        <w:jc w:val="both"/>
        <w:rPr/>
      </w:pPr>
      <w:r>
        <w:rPr/>
        <w:t xml:space="preserve">В соответствии с постановлением Правительства Российской Федерации от 10 мая 2018 г. </w:t>
      </w:r>
      <w:r>
        <w:rPr/>
        <w:br w:type="textWrapping" w:clear="all"/>
      </w:r>
      <w:r>
        <w:rPr/>
        <w:t>№ 564 «О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установления ее предельных размеров» оператор электронной площадки вправе взимать плату с победителя аукциона или иного лица, с которыми в соответствии с пунктами 13, 14, 20 и 25 статьи 39.12 Земельного кодекса Российской Федерации заключается договор купли-продажи земельного участка, находящегося в государственной или муниципальной собственности, либо договор аренды такого участка, в размере 1% начальной цены предмета аукциона, но не более 5 тыс. рублей без учета налога на добавленную стоимость.</w:t>
      </w:r>
    </w:p>
    <w:p>
      <w:pPr>
        <w:pStyle w:val="Normal"/>
        <w:widowControl w:val="false"/>
        <w:ind w:firstLine="709" w:left="-567"/>
        <w:jc w:val="both"/>
        <w:rPr/>
      </w:pPr>
      <w:r>
        <w:rPr/>
        <w:t>По информации оператора электронной площадки АО «Сбербанк-АСТ» в настоящее время взимание платы не установлено.</w:t>
      </w:r>
    </w:p>
    <w:p>
      <w:pPr>
        <w:pStyle w:val="Normal"/>
        <w:widowControl w:val="false"/>
        <w:ind w:firstLine="709" w:left="-567"/>
        <w:jc w:val="both"/>
        <w:rPr/>
      </w:pPr>
      <w:r>
        <w:rPr/>
      </w:r>
    </w:p>
    <w:p>
      <w:pPr>
        <w:pStyle w:val="Normal"/>
        <w:widowControl w:val="false"/>
        <w:spacing w:before="0" w:after="0"/>
        <w:ind w:left="502"/>
        <w:contextualSpacing/>
        <w:jc w:val="center"/>
        <w:rPr>
          <w:b/>
          <w:bCs/>
          <w:lang w:bidi="ru-RU"/>
        </w:rPr>
      </w:pPr>
      <w:r>
        <w:rPr>
          <w:b/>
          <w:bCs/>
          <w:lang w:bidi="ru-RU"/>
        </w:rPr>
        <w:t>Размер задатка для участия в аукционе, порядок его внесения и возврата, реквизиты счета для перечисления задатка</w:t>
      </w:r>
    </w:p>
    <w:p>
      <w:pPr>
        <w:pStyle w:val="Normal"/>
        <w:widowControl w:val="false"/>
        <w:spacing w:before="0" w:after="0"/>
        <w:ind w:left="502"/>
        <w:contextualSpacing/>
        <w:jc w:val="center"/>
        <w:rPr>
          <w:b/>
          <w:bCs/>
          <w:lang w:bidi="ru-RU"/>
        </w:rPr>
      </w:pPr>
      <w:r>
        <w:rPr>
          <w:b/>
          <w:bCs/>
          <w:lang w:bidi="ru-RU"/>
        </w:rPr>
      </w:r>
    </w:p>
    <w:p>
      <w:pPr>
        <w:pStyle w:val="Normal"/>
        <w:widowControl w:val="false"/>
        <w:spacing w:before="0" w:after="0"/>
        <w:ind w:firstLine="567" w:left="-567"/>
        <w:contextualSpacing/>
        <w:jc w:val="both"/>
        <w:rPr>
          <w:bCs/>
          <w:lang w:bidi="ru-RU"/>
        </w:rPr>
      </w:pPr>
      <w:r>
        <w:rPr>
          <w:bCs/>
          <w:lang w:bidi="ru-RU"/>
        </w:rPr>
        <w:t xml:space="preserve">Заявители, зарегистрированные на электронной площадке в установленном порядке, </w:t>
        <w:br/>
        <w:t xml:space="preserve">до подачи заявки на участие в аукционе (далее – заявка), осуществляют перечисление суммы задатка на участие в аукционе на банковские реквизиты Оператора, размещенные в открытой части торговой секции. </w:t>
      </w:r>
    </w:p>
    <w:p>
      <w:pPr>
        <w:pStyle w:val="Normal"/>
        <w:widowControl w:val="false"/>
        <w:spacing w:before="0" w:after="0"/>
        <w:ind w:firstLine="567" w:left="-567"/>
        <w:contextualSpacing/>
        <w:jc w:val="both"/>
        <w:rPr>
          <w:bCs/>
          <w:lang w:bidi="ru-RU"/>
        </w:rPr>
      </w:pPr>
      <w:r>
        <w:rPr>
          <w:bCs/>
          <w:lang w:bidi="ru-RU"/>
        </w:rPr>
        <w:t xml:space="preserve">В момент подачи заявки Оператор проверяет наличие денежной суммы в размере задатка </w:t>
      </w:r>
      <w:r>
        <w:rPr>
          <w:bCs/>
          <w:lang w:bidi="ru-RU"/>
        </w:rPr>
        <w:br w:type="textWrapping" w:clear="all"/>
      </w:r>
      <w:r>
        <w:rPr>
          <w:bCs/>
          <w:lang w:bidi="ru-RU"/>
        </w:rPr>
        <w:t>на лицевом счете заявителя и осуществляет блокирование необходимой денежной суммы.</w:t>
      </w:r>
    </w:p>
    <w:p>
      <w:pPr>
        <w:pStyle w:val="Normal"/>
        <w:widowControl w:val="false"/>
        <w:spacing w:before="0" w:after="0"/>
        <w:ind w:firstLine="567" w:left="-567"/>
        <w:contextualSpacing/>
        <w:jc w:val="both"/>
        <w:rPr>
          <w:bCs/>
          <w:lang w:bidi="ru-RU"/>
        </w:rPr>
      </w:pPr>
      <w:r>
        <w:rPr>
          <w:bCs/>
          <w:lang w:bidi="ru-RU"/>
        </w:rPr>
        <w:t>Представление документов, подтверждающих внесение задатка, признается заключением соглашения о задатке (п.2 ст. 39.12 Земельного кодекса Российской Федерации).</w:t>
      </w:r>
    </w:p>
    <w:p>
      <w:pPr>
        <w:pStyle w:val="Normal"/>
        <w:widowControl w:val="false"/>
        <w:spacing w:before="0" w:after="0"/>
        <w:ind w:firstLine="567" w:left="-567"/>
        <w:contextualSpacing/>
        <w:jc w:val="both"/>
        <w:rPr>
          <w:bCs/>
          <w:lang w:bidi="ru-RU"/>
        </w:rPr>
      </w:pPr>
      <w:r>
        <w:rPr>
          <w:bCs/>
          <w:lang w:bidi="ru-RU"/>
        </w:rPr>
        <w:t>Сумма задатка для участия в аукционе определяется в размере 50 процентов начальной цены предмета аукциона. Размер задатка в извещении о проведении аукциона указан по каждому лоту.</w:t>
      </w:r>
    </w:p>
    <w:p>
      <w:pPr>
        <w:pStyle w:val="Normal"/>
        <w:widowControl w:val="false"/>
        <w:spacing w:before="0" w:after="0"/>
        <w:ind w:firstLine="567" w:left="-567"/>
        <w:contextualSpacing/>
        <w:jc w:val="both"/>
        <w:rPr>
          <w:b/>
          <w:bCs/>
          <w:lang w:bidi="ru-RU"/>
        </w:rPr>
      </w:pPr>
      <w:r>
        <w:rPr>
          <w:bCs/>
          <w:lang w:bidi="ru-RU"/>
        </w:rPr>
        <w:t xml:space="preserve">Перечисление задатка для участия в аукционе и возврат задатка осуществляются с учетом особенностей, установленных регламентом электронной площадки. </w:t>
      </w:r>
    </w:p>
    <w:p>
      <w:pPr>
        <w:pStyle w:val="Normal"/>
        <w:widowControl w:val="false"/>
        <w:ind w:firstLine="567" w:left="-567"/>
        <w:jc w:val="both"/>
        <w:rPr>
          <w:rFonts w:eastAsia="Calibri"/>
          <w:bCs/>
          <w:lang w:eastAsia="en-US"/>
        </w:rPr>
      </w:pPr>
      <w:r>
        <w:rPr>
          <w:b/>
          <w:bCs/>
          <w:lang w:bidi="ru-RU"/>
        </w:rPr>
        <w:t>Задаток перечисляется на реквизиты Оператора электронной площадки (</w:t>
      </w:r>
      <w:hyperlink r:id="rId20" w:tgtFrame="http://utp.sberbank-ast.ru/AP/Notice/653/Requisites">
        <w:r>
          <w:rPr>
            <w:rStyle w:val="Hyperlink"/>
            <w:b/>
            <w:bCs/>
            <w:lang w:bidi="ru-RU"/>
          </w:rPr>
          <w:t>http://utp.sberbank-ast.ru/AP/Notice/653/Requisites</w:t>
        </w:r>
      </w:hyperlink>
      <w:r>
        <w:rPr>
          <w:b/>
          <w:bCs/>
          <w:lang w:bidi="ru-RU"/>
        </w:rPr>
        <w:t>).</w:t>
      </w:r>
    </w:p>
    <w:p>
      <w:pPr>
        <w:pStyle w:val="Normal"/>
        <w:spacing w:lineRule="exact" w:line="240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Получатель: АО «Сбербанк-АСТ»</w:t>
      </w:r>
    </w:p>
    <w:p>
      <w:pPr>
        <w:pStyle w:val="Normal"/>
        <w:spacing w:lineRule="exact" w:line="240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ИНН: 7707308480, КПП: 770401001, </w:t>
      </w:r>
    </w:p>
    <w:p>
      <w:pPr>
        <w:pStyle w:val="Normal"/>
        <w:spacing w:lineRule="exact" w:line="240"/>
        <w:rPr/>
      </w:pPr>
      <w:r>
        <w:rPr>
          <w:rFonts w:eastAsia="Calibri"/>
          <w:bCs/>
          <w:lang w:eastAsia="en-US"/>
        </w:rPr>
        <w:t>Банк получателя: ПАО «СБЕРБАНК РОССИИ» Г. МОСКВА</w:t>
      </w:r>
    </w:p>
    <w:p>
      <w:pPr>
        <w:pStyle w:val="Normal"/>
        <w:spacing w:lineRule="exact" w:line="240"/>
        <w:rPr>
          <w:rFonts w:eastAsia="Calibri"/>
          <w:bCs/>
          <w:lang w:eastAsia="en-US"/>
        </w:rPr>
      </w:pPr>
      <w:r>
        <w:rPr/>
        <w:t xml:space="preserve">Расчетный счет: </w:t>
      </w:r>
      <w:r>
        <w:rPr>
          <w:rFonts w:eastAsia="Calibri"/>
          <w:bCs/>
          <w:lang w:eastAsia="en-US"/>
        </w:rPr>
        <w:t>40702810300020038047</w:t>
      </w:r>
    </w:p>
    <w:p>
      <w:pPr>
        <w:pStyle w:val="Normal"/>
        <w:spacing w:lineRule="exact" w:line="240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БИК: 044525225</w:t>
      </w:r>
    </w:p>
    <w:p>
      <w:pPr>
        <w:pStyle w:val="Normal"/>
        <w:spacing w:lineRule="exact" w:line="240"/>
        <w:rPr>
          <w:bCs/>
          <w:lang w:bidi="ru-RU"/>
        </w:rPr>
      </w:pPr>
      <w:r>
        <w:rPr>
          <w:rFonts w:eastAsia="Calibri"/>
          <w:bCs/>
          <w:lang w:eastAsia="en-US"/>
        </w:rPr>
        <w:t>Корреспондентский счет: 30101810400000000225</w:t>
      </w:r>
    </w:p>
    <w:p>
      <w:pPr>
        <w:pStyle w:val="Normal"/>
        <w:widowControl w:val="false"/>
        <w:ind w:firstLine="567" w:left="-567"/>
        <w:jc w:val="both"/>
        <w:rPr>
          <w:b/>
        </w:rPr>
      </w:pPr>
      <w:r>
        <w:rPr>
          <w:bCs/>
          <w:lang w:bidi="ru-RU"/>
        </w:rPr>
        <w:t>В платёжном поручении в части «Назначение платежа» необходимо указать: Задаток по лоту  № ___, ИНН плательщика. НДС не облагается.</w:t>
      </w:r>
    </w:p>
    <w:p>
      <w:pPr>
        <w:pStyle w:val="Normal"/>
        <w:widowControl w:val="false"/>
        <w:ind w:firstLine="567" w:left="-567"/>
        <w:jc w:val="both"/>
        <w:rPr>
          <w:bCs/>
          <w:lang w:bidi="ru-RU"/>
        </w:rPr>
      </w:pPr>
      <w:r>
        <w:rPr>
          <w:b/>
        </w:rPr>
        <w:t xml:space="preserve">Срок внесения задатка, т.е. поступления суммы задатка на счет </w:t>
      </w:r>
      <w:r>
        <w:rPr>
          <w:rFonts w:eastAsia="Calibri"/>
          <w:b/>
        </w:rPr>
        <w:t>Оператора</w:t>
      </w:r>
      <w:r>
        <w:rPr>
          <w:b/>
        </w:rPr>
        <w:t xml:space="preserve">: </w:t>
      </w:r>
      <w:r>
        <w:rPr>
          <w:b/>
        </w:rPr>
        <w:br w:type="textWrapping" w:clear="all"/>
      </w:r>
      <w:r>
        <w:rPr>
          <w:bCs/>
          <w:lang w:bidi="ru-RU"/>
        </w:rPr>
        <w:t>c 15.08.2026 по 01.09.2026.</w:t>
      </w:r>
    </w:p>
    <w:p>
      <w:pPr>
        <w:pStyle w:val="Normal"/>
        <w:widowControl w:val="false"/>
        <w:ind w:firstLine="709" w:left="-567"/>
        <w:jc w:val="both"/>
        <w:rPr>
          <w:bCs/>
          <w:lang w:bidi="ru-RU"/>
        </w:rPr>
      </w:pPr>
      <w:r>
        <w:rPr>
          <w:bCs/>
          <w:lang w:bidi="ru-RU"/>
        </w:rPr>
      </w:r>
    </w:p>
    <w:p>
      <w:pPr>
        <w:pStyle w:val="Normal"/>
        <w:widowControl w:val="false"/>
        <w:ind w:firstLine="709" w:left="-567"/>
        <w:jc w:val="center"/>
        <w:rPr>
          <w:b/>
          <w:lang w:bidi="ru-RU"/>
        </w:rPr>
      </w:pPr>
      <w:r>
        <w:rPr>
          <w:b/>
          <w:lang w:bidi="ru-RU"/>
        </w:rPr>
        <w:t>Порядок возврата задатка:</w:t>
      </w:r>
    </w:p>
    <w:p>
      <w:pPr>
        <w:pStyle w:val="Normal"/>
        <w:widowControl w:val="false"/>
        <w:ind w:firstLine="709" w:left="-567"/>
        <w:jc w:val="both"/>
        <w:rPr>
          <w:b/>
          <w:lang w:bidi="ru-RU"/>
        </w:rPr>
      </w:pPr>
      <w:r>
        <w:rPr>
          <w:b/>
          <w:lang w:bidi="ru-RU"/>
        </w:rPr>
      </w:r>
    </w:p>
    <w:p>
      <w:pPr>
        <w:pStyle w:val="Normal"/>
        <w:widowControl w:val="false"/>
        <w:spacing w:before="0" w:after="0"/>
        <w:ind w:firstLine="567" w:left="-567"/>
        <w:contextualSpacing/>
        <w:jc w:val="both"/>
        <w:rPr>
          <w:lang w:bidi="ru-RU"/>
        </w:rPr>
      </w:pPr>
      <w:r>
        <w:rPr>
          <w:bCs/>
          <w:lang w:bidi="ru-RU"/>
        </w:rPr>
        <w:t>Задаток возвращается лицам, участвовавшим в аукционе, но не победившим в нем, в течение трех ра</w:t>
      </w:r>
      <w:r>
        <w:rPr>
          <w:bCs/>
          <w:shd w:fill="auto" w:val="clear"/>
          <w:lang w:bidi="ru-RU"/>
        </w:rPr>
        <w:t xml:space="preserve">бочих дней со дня подписания протокола о результатах аукциона, </w:t>
      </w:r>
      <w:r>
        <w:rPr>
          <w:b w:val="false"/>
          <w:bCs/>
          <w:shd w:fill="auto" w:val="clear"/>
          <w:lang w:bidi="ru-RU"/>
        </w:rPr>
        <w:t>за исключением участника аукциона, который сделал предпоследнее предложение о цене предмета аукциона. Задаток, внесенный таким участником, возвращается ему в течение трех дней со дня подписания договора купли-продажи земельного участка.</w:t>
      </w:r>
    </w:p>
    <w:p>
      <w:pPr>
        <w:pStyle w:val="Normal"/>
        <w:widowControl w:val="false"/>
        <w:spacing w:before="0" w:after="0"/>
        <w:ind w:firstLine="567" w:left="-567"/>
        <w:contextualSpacing/>
        <w:jc w:val="both"/>
        <w:rPr>
          <w:highlight w:val="none"/>
          <w:shd w:fill="auto" w:val="clear"/>
        </w:rPr>
      </w:pPr>
      <w:r>
        <w:rPr>
          <w:shd w:fill="auto" w:val="clear"/>
          <w:lang w:bidi="ru-RU"/>
        </w:rPr>
        <w:t xml:space="preserve">Заявителю, не допущенному к участию в аукционе, внесенный им задаток возвращается </w:t>
      </w:r>
      <w:r>
        <w:rPr>
          <w:shd w:fill="auto" w:val="clear"/>
          <w:lang w:bidi="ru-RU"/>
        </w:rPr>
        <w:br w:type="textWrapping" w:clear="all"/>
      </w:r>
      <w:r>
        <w:rPr>
          <w:shd w:fill="auto" w:val="clear"/>
          <w:lang w:bidi="ru-RU"/>
        </w:rPr>
        <w:t xml:space="preserve">в течение трех рабочих дней со дня оформления протокола рассмотрения заявок на участие                                в аукционе. 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  <w:lang w:bidi="ru-RU"/>
        </w:rPr>
        <w:t xml:space="preserve">Оператор прекращает блокирование в отношении денежных средств участников аукциона, заблокированных в размере задатков на их лицевых счетах на электронной площадке после публикации протокола о результатах аукциона, за исключением единственного заявителя, признанного участником аукциона, победителя аукциона, единственного принявшего участие </w:t>
        <w:br/>
        <w:t xml:space="preserve">в аукционе участника, а также </w:t>
      </w:r>
      <w:r>
        <w:rPr>
          <w:b w:val="false"/>
          <w:shd w:fill="auto" w:val="clear"/>
          <w:lang w:bidi="ru-RU"/>
        </w:rPr>
        <w:t>участника аукциона, который сделал предпоследнее предложение                       о цене предмета аукциона.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  <w:lang w:bidi="ru-RU"/>
        </w:rPr>
        <w:t xml:space="preserve">Организатор аукциона посредством штатного интерфейса торговой секции </w:t>
      </w:r>
      <w:r>
        <w:rPr>
          <w:shd w:fill="auto" w:val="clear"/>
          <w:lang w:bidi="ru-RU"/>
        </w:rPr>
        <w:br w:type="textWrapping" w:clear="all"/>
      </w:r>
      <w:r>
        <w:rPr>
          <w:shd w:fill="auto" w:val="clear"/>
          <w:lang w:bidi="ru-RU"/>
        </w:rPr>
        <w:t>в установленные сроки формирует поручение Оператору: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  <w:lang w:bidi="ru-RU"/>
        </w:rPr>
        <w:t>- о перечислении задатка единственного заявителя, признанного участником аукциона, победителя аукциона или единственного принявшего участие в аукционе участника после формирования протокола о результатах аукциона на указанные в поручении банковские реквизиты;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bCs/>
          <w:shd w:fill="auto" w:val="clear"/>
          <w:lang w:bidi="ru-RU"/>
        </w:rPr>
        <w:t xml:space="preserve">Задаток, внесенный лицом, признанным победителем аукциона, задаток, внесенный иным лицом, с которым договор купли-продажи земельного участка заключается в соответствии                                  с пунктами 13, 14, 20 или 25 ст. 39.12 Земельного кодекса Российской Федерации, засчитываются                                   в оплату приобретаемого земельного участка. Задатки, внесенные этими лицами, не заключившими         в установленном настоящей статьей порядке договор купли-продажи земельного участка вследствие уклонения от заключения указанного договора, не возвращаются. </w:t>
      </w:r>
    </w:p>
    <w:p>
      <w:pPr>
        <w:pStyle w:val="Normal"/>
        <w:widowControl w:val="false"/>
        <w:spacing w:lineRule="auto" w:line="276"/>
        <w:jc w:val="both"/>
        <w:rPr>
          <w:bCs/>
          <w:highlight w:val="none"/>
          <w:shd w:fill="auto" w:val="clear"/>
          <w:lang w:bidi="ru-RU"/>
        </w:rPr>
      </w:pPr>
      <w:r>
        <w:rPr>
          <w:bCs/>
          <w:shd w:fill="auto" w:val="clear"/>
          <w:lang w:bidi="ru-RU"/>
        </w:rPr>
      </w:r>
    </w:p>
    <w:p>
      <w:pPr>
        <w:pStyle w:val="Normal"/>
        <w:widowControl w:val="false"/>
        <w:jc w:val="center"/>
        <w:rPr>
          <w:highlight w:val="none"/>
          <w:shd w:fill="auto" w:val="clear"/>
        </w:rPr>
      </w:pPr>
      <w:r>
        <w:rPr>
          <w:b/>
          <w:shd w:fill="auto" w:val="clear"/>
        </w:rPr>
        <w:t>Организатор аукциона вправе:</w:t>
      </w:r>
    </w:p>
    <w:p>
      <w:pPr>
        <w:pStyle w:val="Normal"/>
        <w:widowControl w:val="false"/>
        <w:jc w:val="center"/>
        <w:rPr>
          <w:rFonts w:eastAsia="Courier New"/>
          <w:highlight w:val="none"/>
          <w:shd w:fill="auto" w:val="clear"/>
          <w:lang w:bidi="ru-RU"/>
        </w:rPr>
      </w:pPr>
      <w:r>
        <w:rPr>
          <w:rFonts w:eastAsia="Courier New"/>
          <w:shd w:fill="auto" w:val="clear"/>
          <w:lang w:bidi="ru-RU"/>
        </w:rPr>
      </w:r>
    </w:p>
    <w:p>
      <w:pPr>
        <w:pStyle w:val="BodyText"/>
        <w:widowControl w:val="false"/>
        <w:ind w:firstLine="709" w:left="-567"/>
        <w:jc w:val="both"/>
        <w:rPr>
          <w:highlight w:val="none"/>
          <w:shd w:fill="auto" w:val="clear"/>
        </w:rPr>
      </w:pPr>
      <w:r>
        <w:rPr>
          <w:rFonts w:eastAsia="Droid Sans Fallback" w:cs="Lohit Devanagari"/>
          <w:color w:val="000000"/>
          <w:sz w:val="24"/>
          <w:szCs w:val="24"/>
          <w:shd w:fill="auto" w:val="clear"/>
          <w:lang w:val="ru-RU" w:eastAsia="zh-CN" w:bidi="ar-SA"/>
        </w:rPr>
        <w:t xml:space="preserve">Не позднее чем за один рабочий день до даты окончания приема заявок на участие в аукционе  принять решение о внесении изменений в извещение о проведении аукциона в целях исправления технических ошибок, не связанных с предметом аукциона, начальной ценой предмета аукциона, «шагом аукциона», размером задатка, со сроком заключаемого по результатам аукциона договора аренды, а также с видом права, на котором земельный участок предоставляется по результатам аукциона. При этом срок подачи заявок на участие в аукционе должен быть продлен таким образом, чтобы со дня размещения в порядке, установленном п. 19 ст. 39.11 Земельного кодекса Российской Федерации, изменений в извещение о проведении аукциона до дня проведения аукциона такой срок составлял не менее десяти рабочих дней. </w:t>
      </w:r>
      <w:r>
        <w:rPr>
          <w:rFonts w:eastAsia="Droid Sans Fallback" w:cs="Lohit Devanagari"/>
          <w:b w:val="false"/>
          <w:color w:val="000000"/>
          <w:sz w:val="24"/>
          <w:szCs w:val="24"/>
          <w:shd w:fill="auto" w:val="clear"/>
          <w:lang w:val="ru-RU" w:eastAsia="zh-CN" w:bidi="ar-SA"/>
        </w:rPr>
        <w:t xml:space="preserve">Информация о внесении изменений в извещение                                    о проведении аукциона размещается на официальных сайтах </w:t>
      </w:r>
      <w:r>
        <w:rPr>
          <w:rFonts w:eastAsia="Droid Sans Fallback" w:cs="Lohit Devanagari"/>
          <w:b w:val="false"/>
          <w:bCs/>
          <w:color w:val="000000"/>
          <w:sz w:val="24"/>
          <w:szCs w:val="24"/>
          <w:shd w:fill="auto" w:val="clear"/>
          <w:lang w:val="ru-RU" w:eastAsia="zh-CN" w:bidi="ar-SA"/>
        </w:rPr>
        <w:t>www.torgi.gov.ru,  www.gorodperm.ru.</w:t>
      </w:r>
    </w:p>
    <w:p>
      <w:pPr>
        <w:pStyle w:val="BodyText"/>
        <w:widowControl w:val="false"/>
        <w:ind w:firstLine="709" w:left="-567"/>
        <w:jc w:val="both"/>
        <w:rPr>
          <w:highlight w:val="none"/>
          <w:shd w:fill="auto" w:val="clear"/>
        </w:rPr>
      </w:pPr>
      <w:r>
        <w:rPr>
          <w:rFonts w:eastAsia="Droid Sans Fallback" w:cs="Lohit Devanagari"/>
          <w:b w:val="false"/>
          <w:color w:val="000000"/>
          <w:sz w:val="24"/>
          <w:szCs w:val="24"/>
          <w:shd w:fill="auto" w:val="clear"/>
          <w:lang w:val="ru-RU" w:eastAsia="zh-CN" w:bidi="ar-SA"/>
        </w:rPr>
        <w:t xml:space="preserve">В случае, если за один рабочий день до даты окончания приема заявок на участие в аукционе не поступило ни одной заявки, организатор аукциона до момента окончания срока подачи заявок на участие в аукционе может принять решение о продлении срока подачи заявок в соответствии </w:t>
        <w:br/>
        <w:t>с правилами, предусмотренными п. 22.1  ст. 39.11 Земельного кодекса Российской Федерации.</w:t>
      </w:r>
    </w:p>
    <w:p>
      <w:pPr>
        <w:pStyle w:val="Normal"/>
        <w:widowControl w:val="false"/>
        <w:ind w:firstLine="567" w:left="-567"/>
        <w:jc w:val="both"/>
        <w:rPr/>
      </w:pPr>
      <w:r>
        <w:rPr>
          <w:shd w:fill="auto" w:val="clear"/>
        </w:rPr>
        <w:t xml:space="preserve">В соответствии с п. 4 ст. 448 Гражданского кодекса Российской Федерации отказаться </w:t>
      </w:r>
      <w:r>
        <w:rPr/>
        <w:br w:type="textWrapping" w:clear="all"/>
      </w:r>
      <w:r>
        <w:rPr/>
        <w:t xml:space="preserve">от проведения аукциона в любое время, но не позднее чем за три дня до наступления даты </w:t>
      </w:r>
      <w:r>
        <w:rPr/>
        <w:br w:type="textWrapping" w:clear="all"/>
      </w:r>
      <w:r>
        <w:rPr/>
        <w:t xml:space="preserve">его проведения, указанной в извещении </w:t>
      </w:r>
      <w:r>
        <w:rPr>
          <w:shd w:fill="auto" w:val="clear"/>
        </w:rPr>
        <w:t xml:space="preserve">о проведении аукциона. </w:t>
      </w:r>
    </w:p>
    <w:p>
      <w:pPr>
        <w:pStyle w:val="Normal"/>
        <w:widowControl w:val="false"/>
        <w:jc w:val="center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widowControl w:val="false"/>
        <w:jc w:val="center"/>
        <w:rPr>
          <w:highlight w:val="none"/>
          <w:shd w:fill="auto" w:val="clear"/>
        </w:rPr>
      </w:pPr>
      <w:r>
        <w:rPr>
          <w:b/>
          <w:shd w:fill="auto" w:val="clear"/>
        </w:rPr>
        <w:t xml:space="preserve">Организатор аукциона обязан:  </w:t>
      </w:r>
    </w:p>
    <w:p>
      <w:pPr>
        <w:pStyle w:val="Normal"/>
        <w:widowControl w:val="false"/>
        <w:ind w:firstLine="567" w:left="-567"/>
        <w:jc w:val="both"/>
        <w:rPr>
          <w:shd w:fill="auto" w:val="clear"/>
        </w:rPr>
      </w:pPr>
      <w:r>
        <w:rPr>
          <w:shd w:fill="auto" w:val="clear"/>
        </w:rPr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Принять решение об отказе в проведении аукциона в случае выявления обстоятельств,предусмотренных п. 8 ст. 39.11 Земельного кодекса Российской Федерации. 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Извещение об отказе в проведении аукциона размещается организатором аукциона </w:t>
        <w:br/>
        <w:t xml:space="preserve">на официальных сайтах  </w:t>
      </w:r>
      <w:r>
        <w:rPr>
          <w:rFonts w:eastAsia="Droid Sans Fallback" w:cs="Lohit Devanagari"/>
          <w:b w:val="false"/>
          <w:bCs/>
          <w:color w:val="000000"/>
          <w:sz w:val="24"/>
          <w:szCs w:val="24"/>
          <w:shd w:fill="auto" w:val="clear"/>
          <w:lang w:val="ru-RU" w:eastAsia="zh-CN" w:bidi="ar-SA"/>
        </w:rPr>
        <w:t xml:space="preserve">www.torgi.gov.ru,  www.gorodperm.ru </w:t>
      </w:r>
      <w:r>
        <w:rPr>
          <w:shd w:fill="auto" w:val="clear"/>
        </w:rPr>
        <w:t xml:space="preserve"> и на электронной площадке в течение трех дней со дня принятия данного решения.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В течение трех дней со дня принятия решения об отказе в проведении аукциона участники аукциона извещаются об отказе в проведении аукциона, внесенные задатки возвращаются его участникам.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В случае отказа от проведения аукциона организатором (в т. ч. одного или нескольких лотов), Оператор в течение одного часа прекращает блокирование денежных средств участников аукциона </w:t>
        <w:br/>
        <w:t>в размере задатка на их лицевых счетах на электронной площадке.</w:t>
      </w:r>
    </w:p>
    <w:p>
      <w:pPr>
        <w:pStyle w:val="Normal"/>
        <w:widowControl w:val="false"/>
        <w:jc w:val="both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widowControl w:val="false"/>
        <w:ind w:left="502"/>
        <w:jc w:val="center"/>
        <w:rPr>
          <w:highlight w:val="none"/>
          <w:shd w:fill="auto" w:val="clear"/>
        </w:rPr>
      </w:pPr>
      <w:r>
        <w:rPr>
          <w:rFonts w:eastAsia="Courier New"/>
          <w:b/>
          <w:shd w:fill="auto" w:val="clear"/>
          <w:lang w:bidi="ru-RU"/>
        </w:rPr>
        <w:t>Порядок регистрации на электронной площадке</w:t>
      </w:r>
    </w:p>
    <w:p>
      <w:pPr>
        <w:pStyle w:val="Normal"/>
        <w:widowControl w:val="false"/>
        <w:ind w:firstLine="709" w:left="-567"/>
        <w:jc w:val="both"/>
        <w:rPr>
          <w:rFonts w:eastAsia="Courier New"/>
          <w:b/>
          <w:bCs/>
          <w:highlight w:val="none"/>
          <w:shd w:fill="auto" w:val="clear"/>
          <w:lang w:bidi="ru-RU"/>
        </w:rPr>
      </w:pPr>
      <w:r>
        <w:rPr>
          <w:rFonts w:eastAsia="Courier New"/>
          <w:b/>
          <w:bCs/>
          <w:shd w:fill="auto" w:val="clear"/>
          <w:lang w:bidi="ru-RU"/>
        </w:rPr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bCs/>
          <w:shd w:fill="auto" w:val="clear"/>
          <w:lang w:bidi="ru-RU"/>
        </w:rPr>
        <w:t>Для обеспечения доступа к участию в аукционе заявителю необходимо пройти процедуру регистрации на электронной площадке. Регистрации на электронной площадке подлежат лица, ранее не зарегистрированные на электронной площадке.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bCs/>
          <w:shd w:fill="auto" w:val="clear"/>
          <w:lang w:bidi="ru-RU"/>
        </w:rPr>
        <w:t>Регистрация на электронной площадке проводится в соответствии с регламентом электронной площадки.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bCs/>
          <w:shd w:fill="auto" w:val="clear"/>
          <w:lang w:bidi="ru-RU"/>
        </w:rPr>
        <w:t xml:space="preserve">Дата и время регистрации участников аукциона на участие в аукционе на электронной площадке на сайте в сети Интернет: c 15.08.2026 по 01.09.2026 с 9.00 до 18.00 по местному времени (7:00 – 16:00 МСК). </w:t>
      </w:r>
    </w:p>
    <w:p>
      <w:pPr>
        <w:pStyle w:val="NormalWeb"/>
        <w:jc w:val="center"/>
        <w:rPr>
          <w:highlight w:val="none"/>
          <w:shd w:fill="auto" w:val="clear"/>
        </w:rPr>
      </w:pPr>
      <w:r>
        <w:rPr>
          <w:b/>
          <w:color w:val="000000"/>
          <w:shd w:fill="auto" w:val="clear"/>
        </w:rPr>
        <w:t>Разъяснение положений извещения о проведении аукциона</w:t>
      </w:r>
    </w:p>
    <w:p>
      <w:pPr>
        <w:pStyle w:val="ListParagraph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bCs/>
          <w:shd w:fill="auto" w:val="clear"/>
          <w:lang w:bidi="ru-RU"/>
        </w:rPr>
        <w:t xml:space="preserve">На этапе приема заявок любое заинтересованное лицо вправе не позднее 10 календарных дней до окончания срока подачи заявок направить Организатору аукциона запрос о разъяснениях положений извещения о проведении аукциона посредством функционала электронной площадки. Запросы о разъяснении положений извещения, полученные после вышеуказанного срока, </w:t>
        <w:br/>
        <w:t>не рассматриваются.</w:t>
      </w:r>
    </w:p>
    <w:p>
      <w:pPr>
        <w:pStyle w:val="ListParagraph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bCs/>
          <w:shd w:fill="auto" w:val="clear"/>
          <w:lang w:bidi="ru-RU"/>
        </w:rPr>
        <w:t xml:space="preserve">Ответ на запрос о разъяснении положений извещения должен быть подготовлен в течение трех рабочих дней со дня поступления указанного запроса.  </w:t>
      </w:r>
    </w:p>
    <w:p>
      <w:pPr>
        <w:pStyle w:val="Normal"/>
        <w:widowControl w:val="false"/>
        <w:spacing w:lineRule="auto" w:line="276"/>
        <w:ind w:firstLine="709" w:left="-567"/>
        <w:jc w:val="both"/>
        <w:rPr>
          <w:bCs/>
          <w:highlight w:val="none"/>
          <w:shd w:fill="auto" w:val="clear"/>
          <w:lang w:bidi="ru-RU"/>
        </w:rPr>
      </w:pPr>
      <w:r>
        <w:rPr>
          <w:bCs/>
          <w:shd w:fill="auto" w:val="clear"/>
          <w:lang w:bidi="ru-RU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076" w:leader="none"/>
        </w:tabs>
        <w:ind w:hanging="0" w:left="0"/>
        <w:jc w:val="center"/>
        <w:outlineLvl w:val="0"/>
        <w:rPr>
          <w:highlight w:val="none"/>
          <w:shd w:fill="auto" w:val="clear"/>
        </w:rPr>
      </w:pPr>
      <w:r>
        <w:rPr>
          <w:b/>
          <w:bCs/>
          <w:shd w:fill="auto" w:val="clear"/>
        </w:rPr>
        <w:t>Требования к содержанию и составу заявки на участие в аукционе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076" w:leader="none"/>
        </w:tabs>
        <w:ind w:hanging="0" w:left="0"/>
        <w:jc w:val="center"/>
        <w:outlineLvl w:val="0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rFonts w:eastAsia="Courier New"/>
          <w:shd w:fill="auto" w:val="clear"/>
          <w:lang w:bidi="ru-RU"/>
        </w:rPr>
        <w:t xml:space="preserve">Для участия в аукционе заявители представляют в установленный в извещении </w:t>
      </w:r>
      <w:r>
        <w:rPr>
          <w:rFonts w:eastAsia="Courier New"/>
          <w:shd w:fill="auto" w:val="clear"/>
          <w:lang w:bidi="ru-RU"/>
        </w:rPr>
        <w:br w:type="textWrapping" w:clear="all"/>
      </w:r>
      <w:r>
        <w:rPr>
          <w:rFonts w:eastAsia="Courier New"/>
          <w:shd w:fill="auto" w:val="clear"/>
          <w:lang w:bidi="ru-RU"/>
        </w:rPr>
        <w:t>о проведении аукциона срок следующие документы:</w:t>
      </w:r>
    </w:p>
    <w:p>
      <w:pPr>
        <w:pStyle w:val="Normal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1) копии документов, удостоверяющих личность заявителя (для граждан), всех страниц;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 xml:space="preserve">2) надлежащим образом заверенный перевод на русский язык документов </w:t>
      </w:r>
      <w:r>
        <w:rPr>
          <w:rFonts w:eastAsia="Calibri"/>
          <w:shd w:fill="auto" w:val="clear"/>
        </w:rPr>
        <w:br w:type="textWrapping" w:clear="all"/>
      </w:r>
      <w:r>
        <w:rPr>
          <w:rFonts w:eastAsia="Calibri"/>
          <w:shd w:fill="auto" w:val="clear"/>
        </w:rPr>
        <w:t>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>
      <w:pPr>
        <w:pStyle w:val="Normal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3) документы, подтверждающие внесение задатка.</w:t>
      </w:r>
    </w:p>
    <w:p>
      <w:pPr>
        <w:pStyle w:val="Normal"/>
        <w:jc w:val="both"/>
        <w:rPr>
          <w:rFonts w:eastAsia="Calibri"/>
          <w:highlight w:val="none"/>
          <w:shd w:fill="auto" w:val="clear"/>
        </w:rPr>
      </w:pPr>
      <w:r>
        <w:rPr>
          <w:rFonts w:eastAsia="Calibri"/>
          <w:shd w:fill="auto" w:val="clear"/>
        </w:rPr>
      </w:r>
    </w:p>
    <w:p>
      <w:pPr>
        <w:pStyle w:val="Normal"/>
        <w:ind w:firstLine="708"/>
        <w:jc w:val="center"/>
        <w:rPr>
          <w:highlight w:val="none"/>
          <w:shd w:fill="auto" w:val="clear"/>
        </w:rPr>
      </w:pPr>
      <w:r>
        <w:rPr>
          <w:b/>
          <w:shd w:fill="auto" w:val="clear"/>
        </w:rPr>
        <w:t>Инструкция по заполнению и подаче заявки, порядок приема заявки</w:t>
      </w:r>
    </w:p>
    <w:p>
      <w:pPr>
        <w:pStyle w:val="Normal"/>
        <w:ind w:firstLine="708"/>
        <w:jc w:val="center"/>
        <w:rPr>
          <w:b/>
          <w:highlight w:val="none"/>
          <w:shd w:fill="auto" w:val="clear"/>
        </w:rPr>
      </w:pPr>
      <w:r>
        <w:rPr>
          <w:b/>
          <w:shd w:fill="auto" w:val="clear"/>
        </w:rPr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                       с приложением документов, указанных в подпунктах 2 - 4 пункта 1, пункте 1.1 статьи 39.12 Земельного кодекса Российской Федерации (копии </w:t>
      </w:r>
      <w:r>
        <w:rPr>
          <w:b w:val="false"/>
          <w:shd w:fill="auto" w:val="clear"/>
        </w:rPr>
        <w:t xml:space="preserve">документов, удостоверяющих личность заявителя (для граждан); </w:t>
      </w:r>
      <w:r>
        <w:rPr>
          <w:b w:val="false"/>
        </w:rPr>
        <w:t xml:space="preserve">надлежащим образом заверенный перевод на русский язык документов                                        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 документы, подтверждающие внесение задатка). 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>
      <w:pPr>
        <w:pStyle w:val="Normal"/>
        <w:ind w:firstLine="567" w:left="-567"/>
        <w:jc w:val="both"/>
        <w:rPr>
          <w:highlight w:val="none"/>
        </w:rPr>
      </w:pPr>
      <w:r>
        <w:rPr>
          <w:sz w:val="24"/>
          <w:szCs w:val="24"/>
        </w:rPr>
        <w:t>На каждый лот представляется отдельный пакет документов.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Заполнение заявки осуществляется в соответствии с порядком, определенным регламентом электронной площадки АО «Сбербанк-АСТ».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Все документы и сведения, связанные с получением регистрации на универсальной торговой платформе и проведением закупок/продаж, направляются заявителями, пользователями, оператором электронной площадки либо размещаются ими на универсальной торговой платформе в форме электронных документов (п. 10.1.1. Регламента Универсальной торговой платформы).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Пользователи принимают, что в случае наличия требований к формату и содержанию электронного документа, в системе используются электронные документы установленного формата (п. 10.2.3.</w:t>
      </w:r>
      <w:r>
        <w:rPr>
          <w:rFonts w:eastAsia="Droid Sans Fallback" w:cs="Lohit Devanagari"/>
          <w:color w:val="000000"/>
          <w:sz w:val="24"/>
          <w:szCs w:val="24"/>
          <w:shd w:fill="auto" w:val="clear"/>
          <w:lang w:val="ru-RU" w:eastAsia="zh-CN" w:bidi="ar-SA"/>
        </w:rPr>
        <w:t xml:space="preserve"> Регламента Универсальной торговой платформы).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Droid Sans Fallback" w:cs="Lohit Devanagari"/>
          <w:color w:val="000000"/>
          <w:sz w:val="24"/>
          <w:szCs w:val="24"/>
          <w:shd w:fill="auto" w:val="clear"/>
          <w:lang w:val="ru-RU" w:eastAsia="zh-CN" w:bidi="ar-SA"/>
        </w:rPr>
        <w:t>Заявка подается в виде электронного документа, подписанного электронной подписью заявителя (п. 3.2.2. Регламента торговой секции).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Droid Sans Fallback" w:cs="Lohit Devanagari"/>
          <w:color w:val="000000"/>
          <w:sz w:val="24"/>
          <w:szCs w:val="24"/>
          <w:shd w:fill="auto" w:val="clear"/>
          <w:lang w:val="ru-RU" w:eastAsia="zh-CN" w:bidi="ar-SA"/>
        </w:rPr>
        <w:t>Заявитель заполняет электронную форму заявки, при</w:t>
      </w:r>
      <w:r>
        <w:rPr>
          <w:shd w:fill="auto" w:val="clear"/>
        </w:rPr>
        <w:t>кладывает предусмотренные извещением о проведении аукциона файлы документов (при необходимости). Документы и сведения из регистрационных данных заявителя на универсальной торговой платформе, актуальные на дату и время окончания приема заявок, направляются оператором электронной площадки вместе с заявкой организатору аукциона после окончания приема заявок (п. 3.2.3. Регламента торговой секции).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Подача заявки осуществляется заявителем, зарегистрированным в торговой секции, </w:t>
      </w:r>
      <w:r>
        <w:rPr>
          <w:shd w:fill="auto" w:val="clear"/>
        </w:rPr>
        <w:br w:type="textWrapping" w:clear="all"/>
      </w:r>
      <w:r>
        <w:rPr>
          <w:shd w:fill="auto" w:val="clear"/>
        </w:rPr>
        <w:t>из личного кабинета посредством штатного интерфейса отдельно по каждому лоту в сроки, установленные в извещении о проведении аукциона.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Заявитель вправе подать заявку в любое время с момента размещения извещения </w:t>
      </w:r>
      <w:r>
        <w:rPr>
          <w:shd w:fill="auto" w:val="clear"/>
        </w:rPr>
        <w:br w:type="textWrapping" w:clear="all"/>
      </w:r>
      <w:r>
        <w:rPr>
          <w:shd w:fill="auto" w:val="clear"/>
        </w:rPr>
        <w:t>о проведении аукциона до предусмотренных указанным извещением даты и времени окончания срока подачи заявок.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Один заявитель вправе подать только одну заявку на участие в аукционе в отношении каждого лота.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Заявка на участие в аукционе, поступившая по истечении срока приема заявок, возвращается заявителю в день ее поступления.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Участие в аукционе возможно при наличии на лицевом счете заявителя денежных средств </w:t>
      </w:r>
      <w:r>
        <w:rPr>
          <w:shd w:fill="auto" w:val="clear"/>
        </w:rPr>
        <w:br w:type="textWrapping" w:clear="all"/>
      </w:r>
      <w:r>
        <w:rPr>
          <w:shd w:fill="auto" w:val="clear"/>
        </w:rPr>
        <w:t xml:space="preserve">в размере не менее чем размер задатка на участие в аукционе, предусмотренный извещением </w:t>
      </w:r>
      <w:r>
        <w:rPr>
          <w:shd w:fill="auto" w:val="clear"/>
        </w:rPr>
        <w:br w:type="textWrapping" w:clear="all"/>
      </w:r>
      <w:r>
        <w:rPr>
          <w:shd w:fill="auto" w:val="clear"/>
        </w:rPr>
        <w:t>о проведении аукциона.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Все документы, входящие в состав заявки, должны иметь четко читаемый текст.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Заявка предоставляется организатору аукциона через Оператора.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076" w:leader="none"/>
        </w:tabs>
        <w:ind w:hanging="0" w:left="0"/>
        <w:jc w:val="both"/>
        <w:outlineLvl w:val="0"/>
        <w:rPr>
          <w:highlight w:val="none"/>
          <w:shd w:fill="auto" w:val="clear"/>
        </w:rPr>
      </w:pPr>
      <w:r>
        <w:rPr>
          <w:bCs/>
          <w:shd w:fill="auto" w:val="clear"/>
        </w:rPr>
        <w:t>Заявка не может быть принята Оператором в случае: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076" w:leader="none"/>
        </w:tabs>
        <w:ind w:firstLine="567" w:left="-567"/>
        <w:jc w:val="both"/>
        <w:outlineLvl w:val="0"/>
        <w:rPr>
          <w:highlight w:val="none"/>
          <w:shd w:fill="auto" w:val="clear"/>
        </w:rPr>
      </w:pPr>
      <w:r>
        <w:rPr>
          <w:bCs/>
          <w:shd w:fill="auto" w:val="clear"/>
        </w:rPr>
        <w:t xml:space="preserve">а) отсутствия на лицевом счете заявителя достаточной суммы денежных средств </w:t>
      </w:r>
      <w:r>
        <w:rPr>
          <w:bCs/>
          <w:shd w:fill="auto" w:val="clear"/>
        </w:rPr>
        <w:br w:type="textWrapping" w:clear="all"/>
      </w:r>
      <w:r>
        <w:rPr>
          <w:bCs/>
          <w:shd w:fill="auto" w:val="clear"/>
        </w:rPr>
        <w:t>в размере задатка;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076" w:leader="none"/>
        </w:tabs>
        <w:ind w:firstLine="567" w:left="-567"/>
        <w:jc w:val="both"/>
        <w:outlineLvl w:val="0"/>
        <w:rPr>
          <w:highlight w:val="none"/>
          <w:shd w:fill="auto" w:val="clear"/>
        </w:rPr>
      </w:pPr>
      <w:r>
        <w:rPr>
          <w:bCs/>
          <w:shd w:fill="auto" w:val="clear"/>
        </w:rPr>
        <w:t>б) подачи заявителем второй заявки на участие в отношении одного и того же лота при условии, что поданная ранее заявка таким заявителем не отозвана;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076" w:leader="none"/>
        </w:tabs>
        <w:ind w:hanging="0" w:left="0"/>
        <w:jc w:val="both"/>
        <w:outlineLvl w:val="0"/>
        <w:rPr>
          <w:highlight w:val="none"/>
          <w:shd w:fill="auto" w:val="clear"/>
        </w:rPr>
      </w:pPr>
      <w:r>
        <w:rPr>
          <w:bCs/>
          <w:shd w:fill="auto" w:val="clear"/>
        </w:rPr>
        <w:t>в) подачи заявки по истечении установленного срока подачи заявок;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076" w:leader="none"/>
        </w:tabs>
        <w:ind w:firstLine="567" w:left="-567"/>
        <w:jc w:val="both"/>
        <w:outlineLvl w:val="0"/>
        <w:rPr>
          <w:highlight w:val="none"/>
          <w:shd w:fill="auto" w:val="clear"/>
        </w:rPr>
      </w:pPr>
      <w:r>
        <w:rPr>
          <w:bCs/>
          <w:shd w:fill="auto" w:val="clear"/>
        </w:rPr>
        <w:t>г) некорректного заполнения формы заявки, в том числе незаполнения полей, являющихся обязательными для заполнения.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284" w:leader="none"/>
        </w:tabs>
        <w:ind w:firstLine="567" w:left="-567"/>
        <w:jc w:val="both"/>
        <w:outlineLvl w:val="0"/>
        <w:rPr>
          <w:highlight w:val="none"/>
          <w:shd w:fill="auto" w:val="clear"/>
        </w:rPr>
      </w:pPr>
      <w:r>
        <w:rPr>
          <w:bCs/>
          <w:shd w:fill="auto" w:val="clear"/>
        </w:rPr>
        <w:t xml:space="preserve">Заявителям, признанным участниками аукциона, и заявителям, не допущенным к участию </w:t>
        <w:br/>
        <w:t xml:space="preserve">в аукционе, оператор электронной площадки направляет в электронной форме уведомления </w:t>
        <w:br/>
        <w:t xml:space="preserve">о принятых в отношении их решениях не позднее дня, следующего после дня подписания протокола рассмотрения заявок на участие в аукционе. 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284" w:leader="none"/>
        </w:tabs>
        <w:spacing w:lineRule="auto" w:line="276"/>
        <w:ind w:firstLine="567" w:left="-567"/>
        <w:jc w:val="both"/>
        <w:outlineLvl w:val="0"/>
        <w:rPr>
          <w:bCs/>
          <w:highlight w:val="none"/>
          <w:shd w:fill="auto" w:val="clear"/>
        </w:rPr>
      </w:pPr>
      <w:r>
        <w:rPr>
          <w:bCs/>
          <w:shd w:fill="auto" w:val="clear"/>
        </w:rPr>
      </w:r>
    </w:p>
    <w:p>
      <w:pPr>
        <w:pStyle w:val="Normal"/>
        <w:widowControl w:val="false"/>
        <w:ind w:left="502"/>
        <w:jc w:val="center"/>
        <w:rPr>
          <w:highlight w:val="none"/>
          <w:shd w:fill="auto" w:val="clear"/>
        </w:rPr>
      </w:pPr>
      <w:r>
        <w:rPr>
          <w:b/>
          <w:bCs/>
          <w:shd w:fill="auto" w:val="clear"/>
          <w:lang w:bidi="ru-RU"/>
        </w:rPr>
        <w:t>Порядок и срок изменения, отзыва заявки на участие в аукционе</w:t>
      </w:r>
    </w:p>
    <w:p>
      <w:pPr>
        <w:pStyle w:val="Normal"/>
        <w:widowControl w:val="false"/>
        <w:ind w:left="502"/>
        <w:rPr>
          <w:b/>
          <w:bCs/>
          <w:highlight w:val="none"/>
          <w:shd w:fill="auto" w:val="clear"/>
          <w:lang w:bidi="ru-RU"/>
        </w:rPr>
      </w:pPr>
      <w:r>
        <w:rPr>
          <w:b/>
          <w:bCs/>
          <w:shd w:fill="auto" w:val="clear"/>
          <w:lang w:bidi="ru-RU"/>
        </w:rPr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Заявитель имеет право отозвать принятую организатором аукциона заявку на участие </w:t>
      </w:r>
      <w:r>
        <w:rPr>
          <w:shd w:fill="auto" w:val="clear"/>
        </w:rPr>
        <w:br w:type="textWrapping" w:clear="all"/>
      </w:r>
      <w:r>
        <w:rPr>
          <w:shd w:fill="auto" w:val="clear"/>
        </w:rPr>
        <w:t xml:space="preserve">в аукционе до дня окончания срока приема заявок, путем направления уведомления об отзыве заявки на электронную площадку. В случае отзыва заявки в установленном порядке, уведомление об отзыве заявки поступает в «личный кабинет» организатора аукциона, о чем заявителю направляется соответствующее уведомление. Заявителю внесенный им задаток возвращается в течение трех рабочих дней со дня поступления уведомления об отзыве заявки. В случае отзыва заявки заявителем позднее дня окончания срока приема заявок задаток возвращается в порядке, установленном для участников аукциона. 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jc w:val="center"/>
        <w:rPr>
          <w:highlight w:val="none"/>
          <w:shd w:fill="auto" w:val="clear"/>
        </w:rPr>
      </w:pPr>
      <w:r>
        <w:rPr>
          <w:b/>
          <w:bCs/>
          <w:shd w:fill="auto" w:val="clear"/>
        </w:rPr>
        <w:t>Определение участников аукциона</w:t>
      </w:r>
    </w:p>
    <w:p>
      <w:pPr>
        <w:pStyle w:val="Normal"/>
        <w:jc w:val="center"/>
        <w:rPr>
          <w:b/>
          <w:bCs/>
          <w:highlight w:val="none"/>
          <w:shd w:fill="auto" w:val="clear"/>
        </w:rPr>
      </w:pPr>
      <w:r>
        <w:rPr>
          <w:b/>
          <w:bCs/>
          <w:shd w:fill="auto" w:val="clear"/>
        </w:rPr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bCs/>
          <w:shd w:fill="auto" w:val="clear"/>
        </w:rPr>
        <w:t xml:space="preserve">По результатам рассмотрения заявок комиссия принимает решение о допуске заявителей </w:t>
      </w:r>
      <w:r>
        <w:rPr>
          <w:bCs/>
          <w:shd w:fill="auto" w:val="clear"/>
        </w:rPr>
        <w:br w:type="textWrapping" w:clear="all"/>
      </w:r>
      <w:r>
        <w:rPr>
          <w:bCs/>
          <w:shd w:fill="auto" w:val="clear"/>
        </w:rPr>
        <w:t>к участию в аукционе или об отказе в допуске к участию в аукционе.</w:t>
      </w:r>
    </w:p>
    <w:p>
      <w:pPr>
        <w:pStyle w:val="Normal"/>
        <w:jc w:val="both"/>
        <w:rPr>
          <w:highlight w:val="none"/>
          <w:shd w:fill="auto" w:val="clear"/>
        </w:rPr>
      </w:pPr>
      <w:r>
        <w:rPr>
          <w:shd w:fill="auto" w:val="clear"/>
        </w:rPr>
        <w:t>Заявитель не допускается к участию в аукционе в следующих случаях: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z w:val="20"/>
          <w:shd w:fill="auto" w:val="clear"/>
        </w:rPr>
        <w:t xml:space="preserve">1) </w:t>
      </w:r>
      <w:r>
        <w:rPr>
          <w:shd w:fill="auto" w:val="clear"/>
        </w:rPr>
        <w:t>непредставление необходимых для участия в аукционе документов или представление недостоверных сведений;</w:t>
      </w:r>
    </w:p>
    <w:p>
      <w:pPr>
        <w:pStyle w:val="Normal"/>
        <w:widowControl w:val="false"/>
        <w:jc w:val="both"/>
        <w:rPr>
          <w:highlight w:val="none"/>
          <w:shd w:fill="auto" w:val="clear"/>
        </w:rPr>
      </w:pPr>
      <w:r>
        <w:rPr>
          <w:shd w:fill="auto" w:val="clear"/>
        </w:rPr>
        <w:t>2) непоступление задатка на дату рассмотрения заявок на участие в аукционе;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3) подача заявки на участие в аукционе лицом, которое в соответствии с Земельным кодексом Российской Федерации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</w:t>
        <w:br/>
        <w:t>в аренду;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В день признания заявителей участниками аукциона, указанный в извещении </w:t>
        <w:br/>
        <w:t>о проведении аукциона, оператор через «личный кабинет» организатора торгов обеспечивает доступ организатора торгов к поданным  заявителями заявкам и документам, а также к журналу приема заявок.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Заявитель приобретает статус участника аукциона с момента подписания протокола рассмотрения заявок.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Не позднее следующего рабочего дня после дня подписания протокола рассмотрения заявок, всем заявителям оператором электронной площадки направляется в личные кабинеты уведомления о признании их участниками аукциона или об отказе в признании участниками аукциона с указанием оснований отказа. </w:t>
      </w:r>
    </w:p>
    <w:p>
      <w:pPr>
        <w:pStyle w:val="BodyText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rFonts w:eastAsia="Droid Sans Fallback" w:cs="Lohit Devanagari"/>
          <w:color w:val="000000"/>
          <w:sz w:val="24"/>
          <w:szCs w:val="24"/>
          <w:shd w:fill="auto" w:val="clear"/>
          <w:lang w:val="ru-RU" w:eastAsia="zh-CN" w:bidi="ar-SA"/>
        </w:rPr>
        <w:t>В случае, если по окончании срока подачи заявок на участие в аукционе не подано ни одной заявки на участие в аукционе, подана только одна заявка на участие в аукционе либо по результатам рассмотрения заявок на участие в аукционе принято решение об отказе в допуске к участию                             в аукционе всех заявителей или о допуске к участию в аукционе и признании участником аукциона только одного заявителя, аукцион признается несостоявшимся. При признании аукциона несостоявшимся в протокол рассмотрения заявок на участие в аукционе, включается информация об основании признания аукциона несостоявшимся и сведения, указанные в подпункте 4 пункта 15 ст. 39.12 З</w:t>
      </w:r>
      <w:r>
        <w:rPr>
          <w:rFonts w:eastAsia="Droid Sans Fallback" w:cs="Lohit Devanagari"/>
          <w:bCs/>
          <w:color w:val="000000"/>
          <w:sz w:val="24"/>
          <w:szCs w:val="24"/>
          <w:shd w:fill="auto" w:val="clear"/>
          <w:lang w:val="ru-RU" w:eastAsia="zh-CN" w:bidi="ar-SA"/>
        </w:rPr>
        <w:t>емельного кодекса Российской Федерации</w:t>
      </w:r>
      <w:r>
        <w:rPr>
          <w:rFonts w:eastAsia="Droid Sans Fallback" w:cs="Lohit Devanagari"/>
          <w:color w:val="000000"/>
          <w:sz w:val="24"/>
          <w:szCs w:val="24"/>
          <w:shd w:fill="auto" w:val="clear"/>
          <w:lang w:val="ru-RU" w:eastAsia="zh-CN" w:bidi="ar-SA"/>
        </w:rPr>
        <w:t>, в отношении лиц, указанных в пунктах 13 и 14 ст. 39.12 З</w:t>
      </w:r>
      <w:r>
        <w:rPr>
          <w:rFonts w:eastAsia="Droid Sans Fallback" w:cs="Lohit Devanagari"/>
          <w:bCs/>
          <w:color w:val="000000"/>
          <w:sz w:val="24"/>
          <w:szCs w:val="24"/>
          <w:shd w:fill="auto" w:val="clear"/>
          <w:lang w:val="ru-RU" w:eastAsia="zh-CN" w:bidi="ar-SA"/>
        </w:rPr>
        <w:t>емельного кодекса Российской Федерации.</w:t>
      </w:r>
    </w:p>
    <w:p>
      <w:pPr>
        <w:pStyle w:val="Normal"/>
        <w:widowControl w:val="false"/>
        <w:spacing w:lineRule="auto" w:line="276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jc w:val="center"/>
        <w:rPr>
          <w:highlight w:val="none"/>
          <w:shd w:fill="auto" w:val="clear"/>
        </w:rPr>
      </w:pPr>
      <w:r>
        <w:rPr>
          <w:b/>
          <w:bCs/>
          <w:shd w:fill="auto" w:val="clear"/>
        </w:rPr>
        <w:t>Порядок проведения аукциона</w:t>
      </w:r>
    </w:p>
    <w:p>
      <w:pPr>
        <w:pStyle w:val="Normal"/>
        <w:widowControl w:val="false"/>
        <w:ind w:left="502"/>
        <w:jc w:val="center"/>
        <w:rPr>
          <w:rFonts w:eastAsia="Courier New"/>
          <w:b/>
          <w:bCs/>
          <w:highlight w:val="none"/>
          <w:shd w:fill="auto" w:val="clear"/>
          <w:lang w:bidi="ru-RU"/>
        </w:rPr>
      </w:pPr>
      <w:r>
        <w:rPr>
          <w:rFonts w:eastAsia="Courier New"/>
          <w:b/>
          <w:bCs/>
          <w:shd w:fill="auto" w:val="clear"/>
          <w:lang w:bidi="ru-RU"/>
        </w:rPr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Торговая сессия проводится путем последовательного повышения участниками аукциона начальной цены аукциона на величину, равную величине «шага аукциона».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 xml:space="preserve">«Шаг аукциона» устанавливается Организатором аукциона в фиксированной сумме, составляющей </w:t>
      </w:r>
      <w:r>
        <w:rPr>
          <w:rFonts w:eastAsia="Droid Sans Fallback" w:cs="Lohit Devanagari"/>
          <w:bCs/>
          <w:color w:val="000000"/>
          <w:sz w:val="24"/>
          <w:szCs w:val="24"/>
          <w:shd w:fill="auto" w:val="clear"/>
          <w:lang w:val="ru-RU" w:eastAsia="zh-CN" w:bidi="ar-SA"/>
        </w:rPr>
        <w:t>5% от начальной цены предмета аукциона</w:t>
      </w:r>
      <w:r>
        <w:rPr>
          <w:rFonts w:eastAsia="Calibri"/>
          <w:shd w:fill="auto" w:val="clear"/>
        </w:rPr>
        <w:t>, и не изменяется в течение всего времени подачи предложений о цене.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В ходе проведения аукциона участники аукциона подают предложения о цене предмета аукциона в соответствии со следующими требованиями: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 xml:space="preserve">1) предложение о цене предмета аукциона увеличивает текущее максимальное предложение </w:t>
      </w:r>
      <w:r>
        <w:rPr>
          <w:rFonts w:eastAsia="Calibri"/>
          <w:shd w:fill="auto" w:val="clear"/>
        </w:rPr>
        <w:br w:type="textWrapping" w:clear="all"/>
      </w:r>
      <w:r>
        <w:rPr>
          <w:rFonts w:eastAsia="Calibri"/>
          <w:shd w:fill="auto" w:val="clear"/>
        </w:rPr>
        <w:t>о цене предмета аукциона на величину «шага аукциона»;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2) участник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Время для подачи предложений о цене аукциона определяется в следующем порядке: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 xml:space="preserve">Время ожидания предложения участника аукциона о цене предмета аукциона составляет </w:t>
      </w:r>
      <w:r>
        <w:rPr>
          <w:rFonts w:eastAsia="Calibri"/>
          <w:shd w:fill="auto" w:val="clear"/>
        </w:rPr>
        <w:br w:type="textWrapping" w:clear="all"/>
      </w:r>
      <w:r>
        <w:rPr>
          <w:rFonts w:eastAsia="Calibri"/>
          <w:shd w:fill="auto" w:val="clear"/>
        </w:rPr>
        <w:t xml:space="preserve">10 (десять) минут. При поступлении предложения участника аукциона </w:t>
        <w:br/>
        <w:t>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аукцион завершается.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 xml:space="preserve">Срок для подачи предложений о цене обновляется автоматически после улучшения текущего предложения о цене. Время срока подачи предложений отсчитывается с момента подачи последнего (лучшего) предложения (или с начала подачи предложений о цене), отображается в закрытой части электронной площадки как расчетное время окончания торгов, </w:t>
        <w:br/>
        <w:t>а так же как время, оставшееся до окончания торгов в минутах.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 xml:space="preserve">В ходе проведения подачи предложений о цене аукциона Оператор программными средствами электронной площадки обеспечивает отклонение предложения о цене аукциона </w:t>
      </w:r>
      <w:r>
        <w:rPr>
          <w:rFonts w:eastAsia="Calibri"/>
          <w:shd w:fill="auto" w:val="clear"/>
        </w:rPr>
        <w:br w:type="textWrapping" w:clear="all"/>
      </w:r>
      <w:r>
        <w:rPr>
          <w:rFonts w:eastAsia="Calibri"/>
          <w:shd w:fill="auto" w:val="clear"/>
        </w:rPr>
        <w:t>в момент его поступления и соответствующее уведомление участника аукциона, в случаях, если: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- предложение о цене аукциона предоставлено до начала или по истечении установленного времени для подачи предложений о цене аукциона;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- представленное предложение о цене аукциона ниже начальной цены;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- представленное предложение о цене аукциона равно нулю;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- представленное предложение о цене аукциона не соответствует увеличению текущей цены на величину «шага аукциона»;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- предыдущее представленное данным участником аукциона предложение о цене аукциона является лучшим текущим предложением о цене;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- представленное участником аукциона предложение о цене аукциона меньше ранее представленных предложений.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В случае если при проведении процедуры подачи ценовых предложений были поданы равные ценовые предложения несколькими участниками аукциона, то лучшим признается ценовое предложение, поступившее ранее других ценовых предложений.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 xml:space="preserve">Победителем аукциона признается участник аукциона, предложивший наибольшую цену </w:t>
      </w:r>
      <w:r>
        <w:rPr>
          <w:rFonts w:eastAsia="Calibri"/>
          <w:shd w:fill="auto" w:val="clear"/>
        </w:rPr>
        <w:br w:type="textWrapping" w:clear="all"/>
      </w:r>
      <w:r>
        <w:rPr>
          <w:rFonts w:eastAsia="Calibri"/>
          <w:shd w:fill="auto" w:val="clear"/>
        </w:rPr>
        <w:t>за земельный участок.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Протокол проведения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аукциона.</w:t>
      </w:r>
    </w:p>
    <w:p>
      <w:pPr>
        <w:pStyle w:val="Normal"/>
        <w:ind w:firstLine="567" w:left="-567"/>
        <w:jc w:val="both"/>
        <w:rPr>
          <w:rFonts w:eastAsia="Calibri"/>
          <w:highlight w:val="none"/>
          <w:shd w:fill="auto" w:val="clear"/>
        </w:rPr>
      </w:pPr>
      <w:r>
        <w:rPr>
          <w:rFonts w:eastAsia="Calibri"/>
          <w:shd w:fill="auto" w:val="clear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076" w:leader="none"/>
        </w:tabs>
        <w:ind w:hanging="0" w:left="0"/>
        <w:jc w:val="center"/>
        <w:outlineLvl w:val="0"/>
        <w:rPr>
          <w:highlight w:val="none"/>
          <w:shd w:fill="auto" w:val="clear"/>
        </w:rPr>
      </w:pPr>
      <w:r>
        <w:rPr>
          <w:b/>
          <w:bCs/>
          <w:shd w:fill="auto" w:val="clear"/>
        </w:rPr>
        <w:t>Порядок и срок заключения договора</w:t>
      </w:r>
      <w:r>
        <w:rPr>
          <w:b/>
          <w:bCs/>
          <w:shd w:fill="auto" w:val="clear"/>
        </w:rPr>
        <w:br w:type="textWrapping" w:clear="all"/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076" w:leader="none"/>
        </w:tabs>
        <w:ind w:firstLine="567" w:left="-567"/>
        <w:jc w:val="both"/>
        <w:outlineLvl w:val="0"/>
        <w:rPr>
          <w:highlight w:val="none"/>
          <w:shd w:fill="auto" w:val="clear"/>
        </w:rPr>
      </w:pPr>
      <w:r>
        <w:rPr>
          <w:bCs/>
          <w:shd w:fill="auto" w:val="clear"/>
        </w:rPr>
        <w:t>По результатам проведения аукциона не допускается заключение договора купли-продажи земельного участка, находящегося в государственной или муниципальной собственности ранее чем через десять дней со дня размещения протокола рассмотрения заявок на участие в аукционе в случае, ес</w:t>
      </w:r>
      <w:r>
        <w:rPr>
          <w:rFonts w:eastAsia="Droid Sans Fallback" w:cs="Lohit Devanagari"/>
          <w:bCs/>
          <w:color w:val="000000"/>
          <w:sz w:val="24"/>
          <w:szCs w:val="24"/>
          <w:shd w:fill="auto" w:val="clear"/>
          <w:lang w:val="ru-RU" w:eastAsia="zh-CN" w:bidi="ar-SA"/>
        </w:rPr>
        <w:t>ли аукцион признан несостоявшимся, либо протокола о результатах аукциона на официальных сайтах www.torgi.gov.ru,  www.gorodperm.ru.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076" w:leader="none"/>
        </w:tabs>
        <w:ind w:firstLine="567" w:left="-567"/>
        <w:jc w:val="both"/>
        <w:outlineLvl w:val="0"/>
        <w:rPr>
          <w:highlight w:val="none"/>
          <w:shd w:fill="auto" w:val="clear"/>
        </w:rPr>
      </w:pPr>
      <w:r>
        <w:rPr>
          <w:bCs/>
          <w:shd w:fill="auto" w:val="clear"/>
        </w:rPr>
        <w:t xml:space="preserve">Департамент земельных отношений администрации города Перми обязан в течение пяти дней со дня истечения срока, предусмотренного пунктом 11 статьи 39.13 Земельного кодекса Российской Федерации, направить победителю аукциона или иным лицам, с которыми </w:t>
        <w:br/>
        <w:t xml:space="preserve">в соответствии с пунктами 13, 14, 20 и 25 статьи 39.12 Земельного кодекса Российской Федерации заключается договор купли-продажи земельного участка, находящегося </w:t>
        <w:br/>
        <w:t>в государственной или муниципальной собственности, подписанный проект договора купли-продажи земельного участка, находящегося в государственной или муниципальной собственности.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076" w:leader="none"/>
        </w:tabs>
        <w:ind w:firstLine="567" w:left="-567"/>
        <w:jc w:val="both"/>
        <w:outlineLvl w:val="0"/>
        <w:rPr>
          <w:highlight w:val="none"/>
          <w:shd w:fill="auto" w:val="clear"/>
        </w:rPr>
      </w:pPr>
      <w:r>
        <w:rPr>
          <w:bCs/>
          <w:shd w:fill="auto" w:val="clear"/>
        </w:rPr>
        <w:t>По результатам проведения аукциона договор купли-продажи земельного участка, находящегося в государственной или муниципальной собственности заключается в электронной форме и подписывается усиленной квалифицированной электронной подписью сторон такого договора.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bCs/>
          <w:shd w:fill="auto" w:val="clear"/>
        </w:rPr>
        <w:t xml:space="preserve">Проекты договоров являются частью извещения и представлены в Приложениях 1,3,5,7,9 </w:t>
        <w:br/>
        <w:t>к настоящему извещению.</w:t>
        <w:tab/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bCs/>
          <w:shd w:fill="auto" w:val="clear"/>
        </w:rPr>
        <w:t xml:space="preserve">Если договор купли-продажи  в течение десяти рабочих дней со дня направления победителю аукциона проекта указанного договора не был им подписан и представлен в департамент земельных отношений администрации города Перми, департамент земельных отношений администрации города Перми направляет указанный договор участнику аукциона, который сделал предпоследнее предложение о цене предмета аукциона, </w:t>
      </w:r>
      <w:r>
        <w:rPr>
          <w:b w:val="false"/>
          <w:bCs/>
          <w:shd w:fill="auto" w:val="clear"/>
        </w:rPr>
        <w:t>для их заключения по цене, предложенной таким участником аукциона.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67" w:leader="none"/>
        </w:tabs>
        <w:ind w:firstLine="567" w:left="-567"/>
        <w:jc w:val="both"/>
        <w:outlineLvl w:val="0"/>
        <w:rPr>
          <w:highlight w:val="none"/>
          <w:shd w:fill="auto" w:val="clear"/>
        </w:rPr>
      </w:pPr>
      <w:r>
        <w:rPr>
          <w:rFonts w:eastAsia="Courier New"/>
          <w:shd w:fill="auto" w:val="clear"/>
          <w:lang w:bidi="ru-RU"/>
        </w:rPr>
        <w:t>Сведения о победителях аукционов, уклонившихся от заключения договора купли-продажи, являющегося предметом аукциона, и об иных лицах, с которыми указанный договор заключается в соответствии с пунктом 13, 14, 20 или 25 ст. 39.12 Земельного кодекса Российской Федерации и которые уклонились от их заключения, включаются в реестр недобросовестных участников аукциона.</w:t>
      </w:r>
    </w:p>
    <w:sectPr>
      <w:headerReference w:type="default" r:id="rId21"/>
      <w:headerReference w:type="first" r:id="rId22"/>
      <w:type w:val="nextPage"/>
      <w:pgSz w:w="11906" w:h="16838"/>
      <w:pgMar w:left="1418" w:right="567" w:gutter="0" w:header="363" w:top="420" w:footer="0" w:bottom="1134"/>
      <w:pgNumType w:start="1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Symbol">
    <w:charset w:val="01"/>
    <w:family w:val="roman"/>
    <w:pitch w:val="variable"/>
  </w:font>
  <w:font w:name="Courier New">
    <w:charset w:val="01"/>
    <w:family w:val="roman"/>
    <w:pitch w:val="variable"/>
  </w:font>
  <w:font w:name="Calibri Light">
    <w:charset w:val="01"/>
    <w:family w:val="roman"/>
    <w:pitch w:val="variable"/>
  </w:font>
  <w:font w:name="Open Sans">
    <w:charset w:val="01"/>
    <w:family w:val="roman"/>
    <w:pitch w:val="variable"/>
  </w:font>
  <w:font w:name="Consultant">
    <w:charset w:val="01"/>
    <w:family w:val="roman"/>
    <w:pitch w:val="variable"/>
  </w:font>
  <w:font w:name="Tahoma">
    <w:charset w:val="01"/>
    <w:family w:val="roman"/>
    <w:pitch w:val="variable"/>
  </w:font>
  <w:font w:name="Verdana">
    <w:charset w:val="01"/>
    <w:family w:val="roman"/>
    <w:pitch w:val="variable"/>
  </w:font>
  <w:font w:name="Calibri">
    <w:charset w:val="01"/>
    <w:family w:val="roman"/>
    <w:pitch w:val="variable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sz w:val="20"/>
        <w:szCs w:val="28"/>
      </w:rPr>
    </w:pPr>
    <w:r>
      <w:rPr>
        <w:sz w:val="20"/>
        <w:szCs w:val="28"/>
      </w:rPr>
      <w:fldChar w:fldCharType="begin"/>
    </w:r>
    <w:r>
      <w:rPr>
        <w:sz w:val="20"/>
        <w:szCs w:val="28"/>
      </w:rPr>
      <w:instrText xml:space="preserve"> PAGE </w:instrText>
    </w:r>
    <w:r>
      <w:rPr>
        <w:sz w:val="20"/>
        <w:szCs w:val="28"/>
      </w:rPr>
      <w:fldChar w:fldCharType="separate"/>
    </w:r>
    <w:r>
      <w:rPr>
        <w:sz w:val="20"/>
        <w:szCs w:val="28"/>
      </w:rPr>
      <w:t>50</w:t>
    </w:r>
    <w:r>
      <w:rPr>
        <w:sz w:val="20"/>
        <w:szCs w:val="28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pStyle w:val="Heading6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4"/>
        <w:shd w:fill="FFFFFF" w:val="clear"/>
        <w:szCs w:val="24"/>
        <w:color w:val="000000"/>
        <w:lang w:val="ru-RU" w:eastAsia="zh-CN" w:bidi="ar-SA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sz w:val="24"/>
        <w:u w:val="single"/>
        <w:szCs w:val="24"/>
        <w:color w:themeColor="text1" w:val="00000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  <w:bCs/>
        <w:lang w:bidi="ru-RU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4"/>
        <w:u w:val="none"/>
        <w:szCs w:val="24"/>
        <w:color w:val="00000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sz w:val="24"/>
        <w:u w:val="none"/>
        <w:szCs w:val="24"/>
        <w:color w:val="000000"/>
        <w:lang w:val="ru-RU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sz w:val="24"/>
        <w:szCs w:val="24"/>
        <w:lang w:val="ru-RU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eastAsia="Courier New"/>
        <w:lang w:bidi="ru-RU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eastAsia="Calibri"/>
        <w:lang w:eastAsia="en-US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bCs/>
        <w:lang w:eastAsia="en-US" w:bidi="ru-RU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sz w:val="24"/>
        <w:szCs w:val="24"/>
        <w:color w:themeColor="text1" w:val="00000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roid Sans Fallback" w:cs="Lohit Devanagari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Droid Sans Fallback" w:cs="Lohit Devanagari"/>
      <w:color w:val="auto"/>
      <w:kern w:val="0"/>
      <w:sz w:val="24"/>
      <w:szCs w:val="24"/>
      <w:lang w:val="ru-RU" w:eastAsia="zh-CN" w:bidi="ar-SA"/>
    </w:rPr>
  </w:style>
  <w:style w:type="paragraph" w:styleId="Heading1">
    <w:name w:val="Heading 1"/>
    <w:basedOn w:val="Normal"/>
    <w:qFormat/>
    <w:pPr>
      <w:keepNext w:val="true"/>
      <w:numPr>
        <w:ilvl w:val="0"/>
        <w:numId w:val="1"/>
      </w:numPr>
      <w:jc w:val="center"/>
      <w:outlineLvl w:val="0"/>
    </w:pPr>
    <w:rPr>
      <w:b/>
      <w:sz w:val="28"/>
      <w:szCs w:val="20"/>
    </w:rPr>
  </w:style>
  <w:style w:type="paragraph" w:styleId="Heading2">
    <w:name w:val="Heading 2"/>
    <w:basedOn w:val="Normal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Heading6">
    <w:name w:val="Heading 6"/>
    <w:basedOn w:val="Normal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basedOn w:val="DefaultParagraphFont"/>
    <w:uiPriority w:val="10"/>
    <w:qFormat/>
    <w:rPr>
      <w:sz w:val="48"/>
      <w:szCs w:val="48"/>
    </w:rPr>
  </w:style>
  <w:style w:type="character" w:styleId="SubtitleChar">
    <w:name w:val="Subtitle Char"/>
    <w:basedOn w:val="DefaultParagraphFont"/>
    <w:uiPriority w:val="11"/>
    <w:qFormat/>
    <w:rPr>
      <w:sz w:val="24"/>
      <w:szCs w:val="24"/>
    </w:rPr>
  </w:style>
  <w:style w:type="character" w:styleId="QuoteChar">
    <w:name w:val="Quote Char"/>
    <w:uiPriority w:val="29"/>
    <w:qFormat/>
    <w:rPr>
      <w:i/>
    </w:rPr>
  </w:style>
  <w:style w:type="character" w:styleId="IntenseQuoteChar">
    <w:name w:val="Intense Quote Char"/>
    <w:uiPriority w:val="30"/>
    <w:qFormat/>
    <w:rPr>
      <w:i/>
    </w:rPr>
  </w:style>
  <w:style w:type="character" w:styleId="HeaderChar">
    <w:name w:val="Header Char"/>
    <w:basedOn w:val="DefaultParagraphFont"/>
    <w:uiPriority w:val="99"/>
    <w:qFormat/>
    <w:rPr/>
  </w:style>
  <w:style w:type="character" w:styleId="CaptionChar">
    <w:name w:val="Caption Char"/>
    <w:uiPriority w:val="99"/>
    <w:qFormat/>
    <w:rPr/>
  </w:style>
  <w:style w:type="character" w:styleId="FootnoteTextChar">
    <w:name w:val="Footnote Text Char"/>
    <w:uiPriority w:val="99"/>
    <w:qFormat/>
    <w:rPr>
      <w:sz w:val="18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uiPriority w:val="9"/>
    <w:qFormat/>
    <w:rPr>
      <w:rFonts w:ascii="Arial" w:hAnsi="Arial" w:eastAsia="Arial" w:cs="Arial"/>
      <w:sz w:val="40"/>
      <w:szCs w:val="40"/>
    </w:rPr>
  </w:style>
  <w:style w:type="character" w:styleId="2" w:customStyle="1">
    <w:name w:val="Заголовок 2 Знак"/>
    <w:uiPriority w:val="9"/>
    <w:qFormat/>
    <w:rPr>
      <w:rFonts w:ascii="Arial" w:hAnsi="Arial" w:eastAsia="Arial" w:cs="Arial"/>
      <w:sz w:val="34"/>
    </w:rPr>
  </w:style>
  <w:style w:type="character" w:styleId="3" w:customStyle="1">
    <w:name w:val="Заголовок 3 Знак"/>
    <w:uiPriority w:val="9"/>
    <w:qFormat/>
    <w:rPr>
      <w:rFonts w:ascii="Arial" w:hAnsi="Arial" w:eastAsia="Arial" w:cs="Arial"/>
      <w:sz w:val="30"/>
      <w:szCs w:val="30"/>
    </w:rPr>
  </w:style>
  <w:style w:type="character" w:styleId="4" w:customStyle="1">
    <w:name w:val="Заголовок 4 Знак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" w:customStyle="1">
    <w:name w:val="Заголовок 5 Знак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1" w:customStyle="1">
    <w:name w:val="Заголовок 6 Знак1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" w:customStyle="1">
    <w:name w:val="Заголовок 7 Знак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" w:customStyle="1">
    <w:name w:val="Заголовок 8 Знак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" w:customStyle="1">
    <w:name w:val="Заголовок 9 Знак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11" w:customStyle="1">
    <w:name w:val="Заголовок Знак1"/>
    <w:uiPriority w:val="10"/>
    <w:qFormat/>
    <w:rPr>
      <w:sz w:val="48"/>
      <w:szCs w:val="48"/>
    </w:rPr>
  </w:style>
  <w:style w:type="character" w:styleId="Style5" w:customStyle="1">
    <w:name w:val="Подзаголовок Знак"/>
    <w:uiPriority w:val="11"/>
    <w:qFormat/>
    <w:rPr>
      <w:sz w:val="24"/>
      <w:szCs w:val="24"/>
    </w:rPr>
  </w:style>
  <w:style w:type="character" w:styleId="21" w:customStyle="1">
    <w:name w:val="Цитата 2 Знак"/>
    <w:uiPriority w:val="29"/>
    <w:qFormat/>
    <w:rPr>
      <w:i/>
    </w:rPr>
  </w:style>
  <w:style w:type="character" w:styleId="Style6" w:customStyle="1">
    <w:name w:val="Выделенная цитата Знак"/>
    <w:uiPriority w:val="30"/>
    <w:qFormat/>
    <w:rPr>
      <w:i/>
    </w:rPr>
  </w:style>
  <w:style w:type="character" w:styleId="12" w:customStyle="1">
    <w:name w:val="Верхний колонтитул Знак1"/>
    <w:uiPriority w:val="99"/>
    <w:qFormat/>
    <w:rPr/>
  </w:style>
  <w:style w:type="character" w:styleId="FooterChar" w:customStyle="1">
    <w:name w:val="Footer Char"/>
    <w:uiPriority w:val="99"/>
    <w:qFormat/>
    <w:rPr/>
  </w:style>
  <w:style w:type="character" w:styleId="13" w:customStyle="1">
    <w:name w:val="Нижний колонтитул Знак1"/>
    <w:uiPriority w:val="99"/>
    <w:qFormat/>
    <w:rPr/>
  </w:style>
  <w:style w:type="character" w:styleId="Style7" w:customStyle="1">
    <w:name w:val="Текст сноски Знак"/>
    <w:uiPriority w:val="99"/>
    <w:qFormat/>
    <w:rPr>
      <w:sz w:val="18"/>
    </w:rPr>
  </w:style>
  <w:style w:type="character" w:styleId="Style8">
    <w:name w:val="Символ сноски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9" w:customStyle="1">
    <w:name w:val="Текст концевой сноски Знак"/>
    <w:uiPriority w:val="99"/>
    <w:qFormat/>
    <w:rPr>
      <w:sz w:val="20"/>
    </w:rPr>
  </w:style>
  <w:style w:type="character" w:styleId="Style10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WW8Num2z0" w:customStyle="1">
    <w:name w:val="WW8Num2z0"/>
    <w:qFormat/>
    <w:rPr>
      <w:rFonts w:ascii="Symbol" w:hAnsi="Symbol" w:cs="Symbol"/>
    </w:rPr>
  </w:style>
  <w:style w:type="character" w:styleId="WW8Num3z0" w:customStyle="1">
    <w:name w:val="WW8Num3z0"/>
    <w:qFormat/>
    <w:rPr/>
  </w:style>
  <w:style w:type="character" w:styleId="WW8Num4z0" w:customStyle="1">
    <w:name w:val="WW8Num4z0"/>
    <w:qFormat/>
    <w:rPr/>
  </w:style>
  <w:style w:type="character" w:styleId="WW8Num5z0" w:customStyle="1">
    <w:name w:val="WW8Num5z0"/>
    <w:qFormat/>
    <w:rPr>
      <w:sz w:val="16"/>
      <w:szCs w:val="16"/>
    </w:rPr>
  </w:style>
  <w:style w:type="character" w:styleId="WW8Num6z0" w:customStyle="1">
    <w:name w:val="WW8Num6z0"/>
    <w:qFormat/>
    <w:rPr/>
  </w:style>
  <w:style w:type="character" w:styleId="WW8Num7z0" w:customStyle="1">
    <w:name w:val="WW8Num7z0"/>
    <w:qFormat/>
    <w:rPr/>
  </w:style>
  <w:style w:type="character" w:styleId="WW8Num8z0" w:customStyle="1">
    <w:name w:val="WW8Num8z0"/>
    <w:qFormat/>
    <w:rPr/>
  </w:style>
  <w:style w:type="character" w:styleId="WW8Num9z0" w:customStyle="1">
    <w:name w:val="WW8Num9z0"/>
    <w:qFormat/>
    <w:rPr/>
  </w:style>
  <w:style w:type="character" w:styleId="WW8Num10z0" w:customStyle="1">
    <w:name w:val="WW8Num10z0"/>
    <w:qFormat/>
    <w:rPr/>
  </w:style>
  <w:style w:type="character" w:styleId="WW8Num11z0" w:customStyle="1">
    <w:name w:val="WW8Num11z0"/>
    <w:qFormat/>
    <w:rPr/>
  </w:style>
  <w:style w:type="character" w:styleId="WW8Num12z0" w:customStyle="1">
    <w:name w:val="WW8Num12z0"/>
    <w:qFormat/>
    <w:rPr/>
  </w:style>
  <w:style w:type="character" w:styleId="WW8Num13z0" w:customStyle="1">
    <w:name w:val="WW8Num13z0"/>
    <w:qFormat/>
    <w:rPr/>
  </w:style>
  <w:style w:type="character" w:styleId="WW8Num14z0" w:customStyle="1">
    <w:name w:val="WW8Num14z0"/>
    <w:qFormat/>
    <w:rPr/>
  </w:style>
  <w:style w:type="character" w:styleId="WW8Num15z0" w:customStyle="1">
    <w:name w:val="WW8Num15z0"/>
    <w:qFormat/>
    <w:rPr/>
  </w:style>
  <w:style w:type="character" w:styleId="WW8Num18z0" w:customStyle="1">
    <w:name w:val="WW8Num18z0"/>
    <w:qFormat/>
    <w:rPr/>
  </w:style>
  <w:style w:type="character" w:styleId="WW8Num19z0" w:customStyle="1">
    <w:name w:val="WW8Num19z0"/>
    <w:qFormat/>
    <w:rPr/>
  </w:style>
  <w:style w:type="character" w:styleId="WW8Num20z0" w:customStyle="1">
    <w:name w:val="WW8Num20z0"/>
    <w:qFormat/>
    <w:rPr/>
  </w:style>
  <w:style w:type="character" w:styleId="WW8Num21z0" w:customStyle="1">
    <w:name w:val="WW8Num21z0"/>
    <w:qFormat/>
    <w:rPr/>
  </w:style>
  <w:style w:type="character" w:styleId="WW8Num22z0" w:customStyle="1">
    <w:name w:val="WW8Num22z0"/>
    <w:qFormat/>
    <w:rPr/>
  </w:style>
  <w:style w:type="character" w:styleId="WW8Num23z0" w:customStyle="1">
    <w:name w:val="WW8Num23z0"/>
    <w:qFormat/>
    <w:rPr/>
  </w:style>
  <w:style w:type="character" w:styleId="WW8Num25z0" w:customStyle="1">
    <w:name w:val="WW8Num25z0"/>
    <w:qFormat/>
    <w:rPr/>
  </w:style>
  <w:style w:type="character" w:styleId="WW8Num26z0" w:customStyle="1">
    <w:name w:val="WW8Num26z0"/>
    <w:qFormat/>
    <w:rPr/>
  </w:style>
  <w:style w:type="character" w:styleId="WW8Num27z0" w:customStyle="1">
    <w:name w:val="WW8Num27z0"/>
    <w:qFormat/>
    <w:rPr/>
  </w:style>
  <w:style w:type="character" w:styleId="WW8Num29z0" w:customStyle="1">
    <w:name w:val="WW8Num29z0"/>
    <w:qFormat/>
    <w:rPr>
      <w:rFonts w:ascii="Symbol" w:hAnsi="Symbol" w:cs="Symbol"/>
    </w:rPr>
  </w:style>
  <w:style w:type="character" w:styleId="WW8Num30z0" w:customStyle="1">
    <w:name w:val="WW8Num30z0"/>
    <w:qFormat/>
    <w:rPr/>
  </w:style>
  <w:style w:type="character" w:styleId="WW8Num31z0" w:customStyle="1">
    <w:name w:val="WW8Num31z0"/>
    <w:qFormat/>
    <w:rPr/>
  </w:style>
  <w:style w:type="character" w:styleId="WW8Num32z0" w:customStyle="1">
    <w:name w:val="WW8Num32z0"/>
    <w:qFormat/>
    <w:rPr/>
  </w:style>
  <w:style w:type="character" w:styleId="WW8Num33z0" w:customStyle="1">
    <w:name w:val="WW8Num33z0"/>
    <w:qFormat/>
    <w:rPr/>
  </w:style>
  <w:style w:type="character" w:styleId="WW8Num34z0" w:customStyle="1">
    <w:name w:val="WW8Num34z0"/>
    <w:qFormat/>
    <w:rPr/>
  </w:style>
  <w:style w:type="character" w:styleId="Pagenumber">
    <w:name w:val="page number"/>
    <w:basedOn w:val="DefaultParagraphFont"/>
    <w:qFormat/>
    <w:rPr/>
  </w:style>
  <w:style w:type="character" w:styleId="Style11" w:customStyle="1">
    <w:name w:val="Текст Знак"/>
    <w:qFormat/>
    <w:rPr>
      <w:rFonts w:ascii="Courier New" w:hAnsi="Courier New" w:cs="Courier New"/>
    </w:rPr>
  </w:style>
  <w:style w:type="character" w:styleId="Style12" w:customStyle="1">
    <w:name w:val="Верхний колонтитул Знак"/>
    <w:qFormat/>
    <w:rPr>
      <w:sz w:val="16"/>
      <w:lang w:val="ru-RU" w:bidi="ar-SA"/>
    </w:rPr>
  </w:style>
  <w:style w:type="character" w:styleId="31" w:customStyle="1">
    <w:name w:val="Основной текст с отступом 3 Знак"/>
    <w:qFormat/>
    <w:rPr>
      <w:sz w:val="16"/>
      <w:szCs w:val="16"/>
    </w:rPr>
  </w:style>
  <w:style w:type="character" w:styleId="Hyperlink">
    <w:name w:val="Hyperlink"/>
    <w:rPr>
      <w:color w:val="0563C1"/>
      <w:u w:val="single"/>
    </w:rPr>
  </w:style>
  <w:style w:type="character" w:styleId="Style13" w:customStyle="1">
    <w:name w:val="Абзац списка Знак"/>
    <w:qFormat/>
    <w:rPr>
      <w:sz w:val="24"/>
      <w:szCs w:val="24"/>
    </w:rPr>
  </w:style>
  <w:style w:type="character" w:styleId="6" w:customStyle="1">
    <w:name w:val="Заголовок 6 Знак"/>
    <w:qFormat/>
    <w:rPr>
      <w:b/>
      <w:bCs/>
      <w:sz w:val="22"/>
      <w:szCs w:val="22"/>
    </w:rPr>
  </w:style>
  <w:style w:type="character" w:styleId="Style14" w:customStyle="1">
    <w:name w:val="Название Знак"/>
    <w:qFormat/>
    <w:rPr>
      <w:sz w:val="28"/>
      <w:lang w:val="ru-RU" w:bidi="ar-SA"/>
    </w:rPr>
  </w:style>
  <w:style w:type="character" w:styleId="Style15" w:customStyle="1">
    <w:name w:val="Заголовок Знак"/>
    <w:qFormat/>
    <w:rPr>
      <w:rFonts w:ascii="Calibri Light" w:hAnsi="Calibri Light" w:eastAsia="Times New Roman" w:cs="Times New Roman"/>
      <w:b/>
      <w:bCs/>
      <w:sz w:val="32"/>
      <w:szCs w:val="32"/>
    </w:rPr>
  </w:style>
  <w:style w:type="character" w:styleId="Style16" w:customStyle="1">
    <w:name w:val="Нижний колонтитул Знак"/>
    <w:qFormat/>
    <w:rPr/>
  </w:style>
  <w:style w:type="character" w:styleId="FollowedHyperlink">
    <w:name w:val="FollowedHyperlink"/>
    <w:rPr>
      <w:color w:val="954F72"/>
      <w:u w:val="single"/>
    </w:rPr>
  </w:style>
  <w:style w:type="character" w:styleId="Style17" w:customStyle="1">
    <w:name w:val="Гиперссылка"/>
    <w:qFormat/>
    <w:rPr>
      <w:color w:val="0000FF"/>
      <w:u w:val="single"/>
    </w:rPr>
  </w:style>
  <w:style w:type="character" w:styleId="Style18">
    <w:name w:val="Символ нумерации"/>
    <w:qFormat/>
    <w:rPr/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jc w:val="right"/>
    </w:pPr>
    <w:rPr>
      <w:sz w:val="28"/>
    </w:rPr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qFormat/>
    <w:pPr>
      <w:ind w:left="708"/>
    </w:pPr>
    <w:rPr/>
  </w:style>
  <w:style w:type="paragraph" w:styleId="NoSpacing">
    <w:name w:val="No Spacing"/>
    <w:uiPriority w:val="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Droid Sans Fallback" w:cs="Lohit Devanagari"/>
      <w:color w:val="auto"/>
      <w:kern w:val="0"/>
      <w:sz w:val="20"/>
      <w:szCs w:val="20"/>
      <w:lang w:val="ru-RU" w:eastAsia="ru-RU" w:bidi="ar-SA"/>
    </w:r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paragraph" w:styleId="Subtitle">
    <w:name w:val="Subtitle"/>
    <w:basedOn w:val="Normal"/>
    <w:uiPriority w:val="11"/>
    <w:qFormat/>
    <w:pPr>
      <w:spacing w:before="200" w:after="200"/>
    </w:pPr>
    <w:rPr/>
  </w:style>
  <w:style w:type="paragraph" w:styleId="Quote">
    <w:name w:val="Quote"/>
    <w:basedOn w:val="Normal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FootnoteText">
    <w:name w:val="Footnote Text"/>
    <w:basedOn w:val="Normal"/>
    <w:uiPriority w:val="99"/>
    <w:semiHidden/>
    <w:unhideWhenUsed/>
    <w:pPr>
      <w:spacing w:before="0" w:after="40"/>
    </w:pPr>
    <w:rPr>
      <w:sz w:val="18"/>
    </w:rPr>
  </w:style>
  <w:style w:type="paragraph" w:styleId="EndnoteText">
    <w:name w:val="Endnote Text"/>
    <w:basedOn w:val="Normal"/>
    <w:uiPriority w:val="99"/>
    <w:semiHidden/>
    <w:unhideWhenUsed/>
    <w:pPr/>
    <w:rPr>
      <w:sz w:val="20"/>
    </w:rPr>
  </w:style>
  <w:style w:type="paragraph" w:styleId="TOC1">
    <w:name w:val="TOC 1"/>
    <w:basedOn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uiPriority w:val="39"/>
    <w:unhideWhenUsed/>
    <w:pPr>
      <w:spacing w:before="0" w:after="57"/>
      <w:ind w:left="283"/>
    </w:pPr>
    <w:rPr/>
  </w:style>
  <w:style w:type="paragraph" w:styleId="TOC3">
    <w:name w:val="TOC 3"/>
    <w:basedOn w:val="Normal"/>
    <w:uiPriority w:val="39"/>
    <w:unhideWhenUsed/>
    <w:pPr>
      <w:spacing w:before="0" w:after="57"/>
      <w:ind w:left="567"/>
    </w:pPr>
    <w:rPr/>
  </w:style>
  <w:style w:type="paragraph" w:styleId="TOC4">
    <w:name w:val="TOC 4"/>
    <w:basedOn w:val="Normal"/>
    <w:uiPriority w:val="39"/>
    <w:unhideWhenUsed/>
    <w:pPr>
      <w:spacing w:before="0" w:after="57"/>
      <w:ind w:left="850"/>
    </w:pPr>
    <w:rPr/>
  </w:style>
  <w:style w:type="paragraph" w:styleId="TOC5">
    <w:name w:val="TOC 5"/>
    <w:basedOn w:val="Normal"/>
    <w:uiPriority w:val="39"/>
    <w:unhideWhenUsed/>
    <w:pPr>
      <w:spacing w:before="0" w:after="57"/>
      <w:ind w:left="1134"/>
    </w:pPr>
    <w:rPr/>
  </w:style>
  <w:style w:type="paragraph" w:styleId="TOC6">
    <w:name w:val="TOC 6"/>
    <w:basedOn w:val="Normal"/>
    <w:uiPriority w:val="39"/>
    <w:unhideWhenUsed/>
    <w:pPr>
      <w:spacing w:before="0" w:after="57"/>
      <w:ind w:left="1417"/>
    </w:pPr>
    <w:rPr/>
  </w:style>
  <w:style w:type="paragraph" w:styleId="TOC7">
    <w:name w:val="TOC 7"/>
    <w:basedOn w:val="Normal"/>
    <w:uiPriority w:val="39"/>
    <w:unhideWhenUsed/>
    <w:pPr>
      <w:spacing w:before="0" w:after="57"/>
      <w:ind w:left="1701"/>
    </w:pPr>
    <w:rPr/>
  </w:style>
  <w:style w:type="paragraph" w:styleId="TOC8">
    <w:name w:val="TOC 8"/>
    <w:basedOn w:val="Normal"/>
    <w:uiPriority w:val="39"/>
    <w:unhideWhenUsed/>
    <w:pPr>
      <w:spacing w:before="0" w:after="57"/>
      <w:ind w:left="1984"/>
    </w:pPr>
    <w:rPr/>
  </w:style>
  <w:style w:type="paragraph" w:styleId="TOC9">
    <w:name w:val="TOC 9"/>
    <w:basedOn w:val="Normal"/>
    <w:uiPriority w:val="39"/>
    <w:unhideWhenUsed/>
    <w:pPr>
      <w:spacing w:before="0" w:after="57"/>
      <w:ind w:left="2268"/>
    </w:pPr>
    <w:rPr/>
  </w:style>
  <w:style w:type="paragraph" w:styleId="IndexHeading">
    <w:name w:val="Index Heading"/>
    <w:basedOn w:val="Style19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Droid Sans Fallback" w:cs="Lohit Devanagari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uiPriority w:val="99"/>
    <w:unhideWhenUsed/>
    <w:pPr/>
    <w:rPr/>
  </w:style>
  <w:style w:type="paragraph" w:styleId="Indexheading1">
    <w:name w:val="index heading1"/>
    <w:basedOn w:val="Normal"/>
    <w:qFormat/>
    <w:pPr>
      <w:suppressLineNumbers/>
    </w:pPr>
    <w:rPr>
      <w:rFonts w:cs="Lohit Devanagari"/>
    </w:rPr>
  </w:style>
  <w:style w:type="paragraph" w:styleId="Caption1" w:customStyle="1">
    <w:name w:val="Caption1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styleId="PlainText">
    <w:name w:val="Plain Text"/>
    <w:basedOn w:val="Normal"/>
    <w:qFormat/>
    <w:pPr/>
    <w:rPr>
      <w:rFonts w:ascii="Courier New" w:hAnsi="Courier New" w:cs="Courier New"/>
      <w:sz w:val="20"/>
      <w:szCs w:val="20"/>
      <w:lang w:val="en-US"/>
    </w:rPr>
  </w:style>
  <w:style w:type="paragraph" w:styleId="ConsNormal" w:customStyle="1">
    <w:name w:val="ConsNormal"/>
    <w:qFormat/>
    <w:pPr>
      <w:widowControl/>
      <w:suppressAutoHyphens w:val="true"/>
      <w:bidi w:val="0"/>
      <w:spacing w:before="0" w:after="0"/>
      <w:ind w:firstLine="720"/>
      <w:jc w:val="left"/>
    </w:pPr>
    <w:rPr>
      <w:rFonts w:ascii="Consultant" w:hAnsi="Consultant" w:eastAsia="Droid Sans Fallback" w:cs="Consultant"/>
      <w:color w:val="auto"/>
      <w:kern w:val="0"/>
      <w:sz w:val="20"/>
      <w:szCs w:val="20"/>
      <w:lang w:val="ru-RU" w:eastAsia="zh-CN" w:bidi="ar-SA"/>
    </w:rPr>
  </w:style>
  <w:style w:type="paragraph" w:styleId="BodyText2">
    <w:name w:val="Body Text 2"/>
    <w:basedOn w:val="Normal"/>
    <w:qFormat/>
    <w:pPr>
      <w:spacing w:lineRule="auto" w:line="480" w:before="0" w:after="120"/>
    </w:pPr>
    <w:rPr/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</w:rPr>
  </w:style>
  <w:style w:type="paragraph" w:styleId="Style21" w:customStyle="1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Style22" w:customStyle="1">
    <w:name w:val="Знак Знак Знак Знак Знак Знак Знак Знак Знак Знак Знак Знак"/>
    <w:basedOn w:val="Normal"/>
    <w:qFormat/>
    <w:pPr/>
    <w:rPr>
      <w:rFonts w:ascii="Verdana" w:hAnsi="Verdana" w:cs="Verdana"/>
      <w:sz w:val="20"/>
      <w:szCs w:val="20"/>
      <w:lang w:val="en-US"/>
    </w:rPr>
  </w:style>
  <w:style w:type="paragraph" w:styleId="ConsPlusNormal" w:customStyle="1">
    <w:name w:val="ConsPlus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Lohit Devanagari"/>
      <w:color w:val="auto"/>
      <w:kern w:val="0"/>
      <w:sz w:val="20"/>
      <w:szCs w:val="20"/>
      <w:lang w:val="ru-RU" w:eastAsia="zh-CN" w:bidi="ar-SA"/>
    </w:rPr>
  </w:style>
  <w:style w:type="paragraph" w:styleId="Header">
    <w:name w:val="Header"/>
    <w:pPr>
      <w:widowControl/>
      <w:tabs>
        <w:tab w:val="clear" w:pos="708"/>
        <w:tab w:val="center" w:pos="4153" w:leader="none"/>
        <w:tab w:val="right" w:pos="8306" w:leader="none"/>
      </w:tabs>
      <w:suppressAutoHyphens w:val="true"/>
      <w:bidi w:val="0"/>
      <w:spacing w:before="0" w:after="0"/>
      <w:jc w:val="center"/>
    </w:pPr>
    <w:rPr>
      <w:rFonts w:ascii="Times New Roman" w:hAnsi="Times New Roman" w:eastAsia="Droid Sans Fallback" w:cs="Lohit Devanagari"/>
      <w:color w:val="auto"/>
      <w:kern w:val="0"/>
      <w:sz w:val="16"/>
      <w:szCs w:val="20"/>
      <w:lang w:val="ru-RU" w:eastAsia="zh-CN" w:bidi="ar-SA"/>
    </w:rPr>
  </w:style>
  <w:style w:type="paragraph" w:styleId="BodyTextIndent3">
    <w:name w:val="Body Text Indent 3"/>
    <w:basedOn w:val="Normal"/>
    <w:qFormat/>
    <w:pPr>
      <w:spacing w:before="0" w:after="120"/>
      <w:ind w:left="283"/>
    </w:pPr>
    <w:rPr>
      <w:sz w:val="16"/>
      <w:szCs w:val="16"/>
      <w:lang w:val="en-US"/>
    </w:rPr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Droid Sans Fallback" w:cs="Lohit Devanagari"/>
      <w:color w:val="000000"/>
      <w:kern w:val="0"/>
      <w:sz w:val="24"/>
      <w:szCs w:val="24"/>
      <w:lang w:val="ru-RU" w:eastAsia="zh-CN" w:bidi="ar-SA"/>
    </w:rPr>
  </w:style>
  <w:style w:type="paragraph" w:styleId="Style23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4" w:customStyle="1">
    <w:name w:val="Заголовок таблицы"/>
    <w:basedOn w:val="Style23"/>
    <w:qFormat/>
    <w:pPr>
      <w:jc w:val="center"/>
    </w:pPr>
    <w:rPr>
      <w:b/>
      <w:bCs/>
    </w:rPr>
  </w:style>
  <w:style w:type="paragraph" w:styleId="14">
    <w:name w:val="Основной текст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TableParagraph">
    <w:name w:val="Table Paragraph"/>
    <w:qFormat/>
    <w:pPr>
      <w:widowControl w:val="false"/>
      <w:suppressAutoHyphens w:val="true"/>
      <w:bidi w:val="0"/>
      <w:spacing w:before="0" w:after="0"/>
      <w:ind w:hanging="0" w:left="107" w:right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TimesNewRoman">
    <w:name w:val="Times New Roman"/>
    <w:qFormat/>
    <w:pPr>
      <w:keepNext w:val="false"/>
      <w:keepLines w:val="false"/>
      <w:pageBreakBefore w:val="false"/>
      <w:widowControl/>
      <w:shd w:val="nil"/>
      <w:suppressAutoHyphens w:val="true"/>
      <w:bidi w:val="0"/>
      <w:spacing w:lineRule="auto" w:line="240" w:beforeAutospacing="0" w:before="0" w:afterAutospacing="0" w:after="0"/>
      <w:ind w:firstLine="311" w:left="0" w:right="0"/>
      <w:jc w:val="both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auto"/>
      <w:spacing w:val="0"/>
      <w:kern w:val="0"/>
      <w:position w:val="0"/>
      <w:sz w:val="24"/>
      <w:sz w:val="24"/>
      <w:szCs w:val="24"/>
      <w:u w:val="none"/>
      <w:vertAlign w:val="baseline"/>
      <w:lang w:val="ru-RU" w:eastAsia="ru-RU" w:bidi="ar-SA"/>
      <w14:ligatures w14:val="none"/>
    </w:rPr>
  </w:style>
  <w:style w:type="numbering" w:styleId="NoList" w:default="1">
    <w:name w:val="No List"/>
    <w:uiPriority w:val="99"/>
    <w:semiHidden/>
    <w:unhideWhenUsed/>
    <w:qFormat/>
  </w:style>
  <w:style w:type="table" w:styleId="788">
    <w:name w:val="Table Grid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9">
    <w:name w:val="Table Grid Light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90">
    <w:name w:val="Plain Table 1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0"/>
      </w:tcPr>
    </w:tblStylePr>
    <w:tblStylePr w:type="band1Vert">
      <w:tblPr/>
      <w:tcPr>
        <w:shd w:val="clear" w:color="FFFFFF" w:fill="F2F2F2" w:themeFill="text1" w:themeFillTint="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</w:style>
  <w:style w:type="table" w:styleId="791">
    <w:name w:val="Plain Table 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</w:style>
  <w:style w:type="table" w:styleId="792">
    <w:name w:val="Plain Table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0"/>
      </w:tcPr>
    </w:tblStylePr>
    <w:tblStylePr w:type="band1Vert">
      <w:rPr>
        <w:sz w:val="22"/>
      </w:rPr>
      <w:tblPr/>
      <w:tcPr>
        <w:shd w:val="clear" w:color="FFFFFF" w:fill="F2F2F2" w:themeFill="text1" w:themeFillTint="0"/>
      </w:tcPr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tblPr/>
    </w:tblStylePr>
    <w:tblStylePr w:type="lastRow">
      <w:rPr>
        <w:b/>
        <w:caps/>
      </w:rPr>
      <w:tblPr/>
    </w:tblStylePr>
  </w:style>
  <w:style w:type="table" w:styleId="793">
    <w:name w:val="Plain Table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0"/>
      </w:tcPr>
    </w:tblStylePr>
    <w:tblStylePr w:type="band1Vert">
      <w:rPr>
        <w:sz w:val="22"/>
      </w:rPr>
      <w:tblPr/>
      <w:tcPr>
        <w:shd w:val="clear" w:color="FFFFFF" w:fill="F2F2F2" w:themeFill="text1" w:themeFillTint="0"/>
      </w:tcPr>
    </w:tblStylePr>
    <w:tblStylePr w:type="firstCol">
      <w:rPr>
        <w:b/>
      </w:rPr>
      <w:tblPr/>
    </w:tblStylePr>
    <w:tblStylePr w:type="firstRow">
      <w:rPr>
        <w:b/>
      </w:rPr>
      <w:tblPr/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94">
    <w:name w:val="Plain Table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0"/>
      </w:tcPr>
    </w:tblStylePr>
    <w:tblStylePr w:type="band1Vert">
      <w:rPr>
        <w:sz w:val="22"/>
      </w:rPr>
      <w:tblPr/>
      <w:tcPr>
        <w:shd w:val="clear" w:color="FFFFFF" w:fill="F2F2F2" w:themeFill="text1" w:themeFillTint="0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95">
    <w:name w:val="Grid Table 1 Light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96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97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98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99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00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01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02">
    <w:name w:val="Grid Table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03">
    <w:name w:val="Grid Table 2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AE5F1" w:themeFill="accent1" w:themeFillTint="34"/>
      </w:tc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04">
    <w:name w:val="Grid Table 2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05">
    <w:name w:val="Grid Table 2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06">
    <w:name w:val="Grid Table 2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07">
    <w:name w:val="Grid Table 2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08">
    <w:name w:val="Grid Table 2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09">
    <w:name w:val="Grid Table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10">
    <w:name w:val="Grid Table 3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AE5F1" w:themeFill="accent1" w:themeFillTint="34"/>
      </w:tc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11">
    <w:name w:val="Grid Table 3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12">
    <w:name w:val="Grid Table 3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13">
    <w:name w:val="Grid Table 3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14">
    <w:name w:val="Grid Table 3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15">
    <w:name w:val="Grid Table 3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16">
    <w:name w:val="Grid Table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</w:style>
  <w:style w:type="table" w:styleId="817">
    <w:name w:val="Grid Table 4 - Accent 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CE6F1" w:themeFill="accent1" w:themeFillTint="32"/>
      </w:tcPr>
    </w:tblStylePr>
    <w:tblStylePr w:type="band1Vert">
      <w:rPr>
        <w:sz w:val="22"/>
      </w:rPr>
      <w:tblPr/>
      <w:tcPr>
        <w:shd w:val="clear" w:color="FFFFFF" w:fill="DCE6F1" w:themeFill="accent1" w:themeFillTint="32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DC2" w:themeFill="accent1" w:themeFillTint="e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</w:tcBorders>
      </w:tcPr>
    </w:tblStylePr>
  </w:style>
  <w:style w:type="table" w:styleId="818">
    <w:name w:val="Grid Table 4 - Accent 2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99694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</w:tcBorders>
      </w:tcPr>
    </w:tblStylePr>
  </w:style>
  <w:style w:type="table" w:styleId="819">
    <w:name w:val="Grid Table 4 - Accent 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A59" w:themeFill="accent3" w:themeFillTint="fe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</w:tcBorders>
      </w:tcPr>
    </w:tblStylePr>
  </w:style>
  <w:style w:type="table" w:styleId="820">
    <w:name w:val="Grid Table 4 - Accent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6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</w:tcBorders>
      </w:tcPr>
    </w:tblStylePr>
  </w:style>
  <w:style w:type="table" w:styleId="821">
    <w:name w:val="Grid Table 4 - Accent 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</w:tcBorders>
      </w:tcPr>
    </w:tblStylePr>
  </w:style>
  <w:style w:type="table" w:styleId="822">
    <w:name w:val="Grid Table 4 - Accent 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</w:tcBorders>
      </w:tcPr>
    </w:tblStylePr>
  </w:style>
  <w:style w:type="table" w:styleId="823">
    <w:name w:val="Grid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</w:style>
  <w:style w:type="table" w:styleId="824">
    <w:name w:val="Grid Table 5 Dark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DC5E0" w:themeFill="accent1" w:themeFillTint="75"/>
      </w:tcPr>
    </w:tblStylePr>
    <w:tblStylePr w:type="band1Vert">
      <w:tblPr/>
      <w:tcPr>
        <w:shd w:val="clear" w:color="FFFFFF" w:fill="ADC5E0" w:themeFill="accent1" w:themeFillTint="75"/>
      </w:tcPr>
    </w:tblStylePr>
    <w:tblStylePr w:type="firstCol">
      <w:rPr>
        <w:b/>
        <w:sz w:val="22"/>
      </w:rPr>
      <w:tblPr/>
      <w:tcPr>
        <w:shd w:val="clear" w:color="FFFFFF" w:fill="4F81BD" w:themeFill="accent1"/>
      </w:tcPr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</w:style>
  <w:style w:type="table" w:styleId="825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E1ADAC" w:themeFill="accent2" w:themeFillTint="75"/>
      </w:tcPr>
    </w:tblStylePr>
    <w:tblStylePr w:type="band1Vert">
      <w:tblPr/>
      <w:tcPr>
        <w:shd w:val="clear" w:color="FFFFFF" w:fill="E1ADAC" w:themeFill="accent2" w:themeFillTint="75"/>
      </w:tcPr>
    </w:tblStylePr>
    <w:tblStylePr w:type="firstCol">
      <w:rPr>
        <w:b/>
        <w:sz w:val="22"/>
      </w:rPr>
      <w:tblPr/>
      <w:tcPr>
        <w:shd w:val="clear" w:color="FFFFFF" w:fill="C0504D" w:themeFill="accent2"/>
      </w:tcPr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</w:style>
  <w:style w:type="table" w:styleId="826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1DFB2" w:themeFill="accent3" w:themeFillTint="75"/>
      </w:tcPr>
    </w:tblStylePr>
    <w:tblStylePr w:type="band1Vert">
      <w:tblPr/>
      <w:tcPr>
        <w:shd w:val="clear" w:color="FFFFFF" w:fill="D1DFB2" w:themeFill="accent3" w:themeFillTint="75"/>
      </w:tcPr>
    </w:tblStylePr>
    <w:tblStylePr w:type="firstCol">
      <w:rPr>
        <w:b/>
        <w:sz w:val="22"/>
      </w:rPr>
      <w:tblPr/>
      <w:tcPr>
        <w:shd w:val="clear" w:color="FFFFFF" w:fill="9BBB59" w:themeFill="accent3"/>
      </w:tcPr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</w:style>
  <w:style w:type="table" w:styleId="827">
    <w:name w:val="Grid Table 5 Dark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C4B7D4" w:themeFill="accent4" w:themeFillTint="75"/>
      </w:tcPr>
    </w:tblStylePr>
    <w:tblStylePr w:type="band1Vert">
      <w:tblPr/>
      <w:tcPr>
        <w:shd w:val="clear" w:color="FFFFFF" w:fill="C4B7D4" w:themeFill="accent4" w:themeFillTint="75"/>
      </w:tcPr>
    </w:tblStylePr>
    <w:tblStylePr w:type="firstCol">
      <w:rPr>
        <w:b/>
        <w:sz w:val="22"/>
      </w:rPr>
      <w:tblPr/>
      <w:tcPr>
        <w:shd w:val="clear" w:color="FFFFFF" w:fill="8064A2" w:themeFill="accent4"/>
      </w:tcPr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</w:style>
  <w:style w:type="table" w:styleId="828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BD9E4" w:themeFill="accent5" w:themeFillTint="75"/>
      </w:tcPr>
    </w:tblStylePr>
    <w:tblStylePr w:type="band1Vert">
      <w:tblPr/>
      <w:tcPr>
        <w:shd w:val="clear" w:color="FFFFFF" w:fill="ABD9E4" w:themeFill="accent5" w:themeFillTint="75"/>
      </w:tcPr>
    </w:tblStylePr>
    <w:tblStylePr w:type="firstCol">
      <w:rPr>
        <w:b/>
        <w:sz w:val="22"/>
      </w:rPr>
      <w:tblPr/>
      <w:tcPr>
        <w:shd w:val="clear" w:color="FFFFFF" w:fill="4BACC6" w:themeFill="accent5"/>
      </w:tcPr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</w:style>
  <w:style w:type="table" w:styleId="829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BCDA8" w:themeFill="accent6" w:themeFillTint="75"/>
      </w:tcPr>
    </w:tblStylePr>
    <w:tblStylePr w:type="band1Vert">
      <w:tblPr/>
      <w:tcPr>
        <w:shd w:val="clear" w:color="FFFFFF" w:fill="FBCDA8" w:themeFill="accent6" w:themeFillTint="75"/>
      </w:tcPr>
    </w:tblStylePr>
    <w:tblStylePr w:type="firstCol">
      <w:rPr>
        <w:b/>
        <w:sz w:val="22"/>
      </w:rPr>
      <w:tblPr/>
      <w:tcPr>
        <w:shd w:val="clear" w:color="FFFFFF" w:fill="F79646" w:themeFill="accent6"/>
      </w:tcPr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</w:style>
  <w:style w:type="table" w:styleId="830">
    <w:name w:val="Grid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rPr>
        <w:b/>
        <w:color w:themeColor="text1" w:themeTint="80" w:themeShade="95"/>
      </w:rPr>
      <w:tblPr/>
    </w:tblStylePr>
    <w:tblStylePr w:type="firstRow">
      <w:rPr>
        <w:b/>
        <w:color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themeColor="text1" w:themeTint="80" w:themeShade="95"/>
      </w:rPr>
      <w:tblPr/>
    </w:tblStylePr>
    <w:tblStylePr w:type="lastRow">
      <w:rPr>
        <w:b/>
        <w:color w:themeColor="text1" w:themeTint="80" w:themeShade="95"/>
      </w:rPr>
      <w:tblPr/>
    </w:tblStylePr>
    <w:tblStylePr w:type="wholeTable">
      <w:rPr>
        <w:color w:themeColor="text1" w:themeTint="80" w:themeShade="95"/>
        <w:sz w:val="22"/>
      </w:rPr>
      <w:tblPr/>
    </w:tblStylePr>
  </w:style>
  <w:style w:type="table" w:styleId="831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firstCol">
      <w:rPr>
        <w:b/>
        <w:color w:themeColor="accent1" w:themeTint="80" w:themeShade="95"/>
      </w:rPr>
      <w:tblPr/>
    </w:tblStylePr>
    <w:tblStylePr w:type="firstRow">
      <w:rPr>
        <w:b/>
        <w:color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themeColor="accent1" w:themeTint="80" w:themeShade="95"/>
      </w:rPr>
      <w:tblPr/>
    </w:tblStylePr>
    <w:tblStylePr w:type="lastRow">
      <w:rPr>
        <w:b/>
        <w:color w:themeColor="accent1" w:themeTint="80" w:themeShade="95"/>
      </w:rPr>
      <w:tblPr/>
    </w:tblStylePr>
    <w:tblStylePr w:type="wholeTable">
      <w:rPr>
        <w:color w:themeColor="accent1" w:themeTint="80" w:themeShade="95"/>
        <w:sz w:val="22"/>
      </w:rPr>
      <w:tblPr/>
    </w:tblStylePr>
  </w:style>
  <w:style w:type="table" w:styleId="832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2DCDB" w:themeFill="accent2" w:themeFillTint="32"/>
      </w:tcPr>
    </w:tblStylePr>
    <w:tblStylePr w:type="band1Vert">
      <w:tblPr/>
      <w:tcPr>
        <w:shd w:val="clear" w:color="FFFFFF" w:fill="F2DCDB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833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AF0DD" w:themeFill="accent3" w:themeFillTint="34"/>
      </w:tcPr>
    </w:tblStylePr>
    <w:tblStylePr w:type="band1Vert">
      <w:tblPr/>
      <w:tcPr>
        <w:shd w:val="clear" w:color="FFFFFF" w:fill="EAF0D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firstCol">
      <w:rPr>
        <w:b/>
        <w:color w:themeColor="accent3" w:themeTint="fe" w:themeShade="95"/>
      </w:rPr>
      <w:tblPr/>
    </w:tblStylePr>
    <w:tblStylePr w:type="firstRow">
      <w:rPr>
        <w:b/>
        <w:color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themeColor="accent3" w:themeTint="fe" w:themeShade="95"/>
      </w:rPr>
      <w:tblPr/>
    </w:tblStylePr>
    <w:tblStylePr w:type="lastRow">
      <w:rPr>
        <w:b/>
        <w:color w:themeColor="accent3" w:themeTint="fe" w:themeShade="95"/>
      </w:rPr>
      <w:tblPr/>
    </w:tblStylePr>
    <w:tblStylePr w:type="wholeTable">
      <w:rPr>
        <w:color w:themeColor="accent3" w:themeTint="fe" w:themeShade="95"/>
        <w:sz w:val="22"/>
      </w:rPr>
      <w:tblPr/>
    </w:tblStylePr>
  </w:style>
  <w:style w:type="table" w:styleId="834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835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836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837">
    <w:name w:val="Grid Table 7 Colorfu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F2F2F2" w:themeFill="text1" w:themeFillTint="0"/>
      </w:tcPr>
    </w:tblStylePr>
    <w:tblStylePr w:type="band1Vert">
      <w:tblPr/>
      <w:tcPr>
        <w:shd w:val="clear" w:color="FFFFFF" w:fill="F2F2F2" w:themeFill="text1" w:themeFillTint="0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38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39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2DCDB" w:themeFill="accent2" w:themeFillTint="32"/>
      </w:tcPr>
    </w:tblStylePr>
    <w:tblStylePr w:type="band1Vert">
      <w:tblPr/>
      <w:tcPr>
        <w:shd w:val="clear" w:color="FFFFFF" w:fill="F2DCDB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40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AF0DD" w:themeFill="accent3" w:themeFillTint="34"/>
      </w:tcPr>
    </w:tblStylePr>
    <w:tblStylePr w:type="band1Vert">
      <w:tblPr/>
      <w:tcPr>
        <w:shd w:val="clear" w:color="FFFFFF" w:fill="EAF0D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41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42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b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43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b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44">
    <w:name w:val="List Table 1 Ligh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>
    <w:name w:val="List Table 1 Light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>
    <w:name w:val="List Table 1 Light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>
    <w:name w:val="List Table 1 Light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>
    <w:name w:val="List Table 1 Light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>
    <w:name w:val="List Table 1 Light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>
    <w:name w:val="List Table 1 Light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>
    <w:name w:val="List Table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852">
    <w:name w:val="List Table 2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E0EE" w:themeFill="accent1" w:themeFillTint="40"/>
      </w:tcPr>
    </w:tblStylePr>
    <w:tblStylePr w:type="band1Vert">
      <w:rPr>
        <w:sz w:val="22"/>
      </w:rPr>
      <w:tblPr/>
      <w:tcPr>
        <w:shd w:val="clear" w:color="FFFFFF" w:fill="D3E0EE" w:themeFill="accent1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853">
    <w:name w:val="List Table 2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854">
    <w:name w:val="List Table 2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855">
    <w:name w:val="List Table 2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7" w:themeFill="accent4" w:themeFillTint="40"/>
      </w:tc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856">
    <w:name w:val="List Table 2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1EAF0" w:themeFill="accent5" w:themeFillTint="40"/>
      </w:tc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857">
    <w:name w:val="List Table 2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CE4D1" w:themeFill="accent6" w:themeFillTint="40"/>
      </w:tcPr>
    </w:tblStylePr>
    <w:tblStylePr w:type="band1Vert">
      <w:rPr>
        <w:sz w:val="22"/>
      </w:rPr>
      <w:tblPr/>
      <w:tcPr>
        <w:shd w:val="clear" w:color="FFFFFF" w:fill="FCE4D1" w:themeFill="accent6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858">
    <w:name w:val="List Table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59">
    <w:name w:val="List Table 3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60">
    <w:name w:val="List Table 3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61">
    <w:name w:val="List Table 3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3D69B" w:themeFill="accent3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62">
    <w:name w:val="List Table 3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63">
    <w:name w:val="List Table 3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1CDDC" w:themeFill="accent5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64">
    <w:name w:val="List Table 3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9BF90" w:themeFill="accent6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65">
    <w:name w:val="List Table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66">
    <w:name w:val="List Table 4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E0EE" w:themeFill="accent1" w:themeFillTint="40"/>
      </w:tcPr>
    </w:tblStylePr>
    <w:tblStylePr w:type="band1Vert">
      <w:rPr>
        <w:sz w:val="22"/>
      </w:rPr>
      <w:tblPr/>
      <w:tcPr>
        <w:shd w:val="clear" w:color="FFFFFF" w:fill="D3E0EE" w:themeFill="accent1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67">
    <w:name w:val="List Table 4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68">
    <w:name w:val="List Table 4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69">
    <w:name w:val="List Table 4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7" w:themeFill="accent4" w:themeFillTint="40"/>
      </w:tc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70">
    <w:name w:val="List Table 4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1EAF0" w:themeFill="accent5" w:themeFillTint="40"/>
      </w:tc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71">
    <w:name w:val="List Table 4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CE4D1" w:themeFill="accent6" w:themeFillTint="40"/>
      </w:tcPr>
    </w:tblStylePr>
    <w:tblStylePr w:type="band1Vert">
      <w:rPr>
        <w:sz w:val="22"/>
      </w:rPr>
      <w:tblPr/>
      <w:tcPr>
        <w:shd w:val="clear" w:color="FFFFFF" w:fill="FCE4D1" w:themeFill="accent6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72">
    <w:name w:val="List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873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874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99694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99694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99694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99694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875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B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B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876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6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6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877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1CDDC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1CDDC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1CDDC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1CDDC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878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9BF90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9BF90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9BF90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9BF90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879">
    <w:name w:val="List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/>
        <w:sz w:val="22"/>
      </w:rPr>
      <w:tblPr/>
    </w:tblStylePr>
    <w:tblStylePr w:type="firstCol">
      <w:rPr>
        <w:b/>
        <w:color w:themeColor="text1"/>
      </w:rPr>
      <w:tblPr/>
    </w:tblStylePr>
    <w:tblStylePr w:type="firstRow">
      <w:rPr>
        <w:b/>
        <w:color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themeColor="text1"/>
      </w:rPr>
      <w:tblPr/>
    </w:tblStylePr>
    <w:tblStylePr w:type="lastRow">
      <w:rPr>
        <w:b/>
        <w:color w:themeColor="text1"/>
      </w:rPr>
      <w:tblPr/>
      <w:tcPr>
        <w:tcBorders>
          <w:top w:val="single" w:color="000000" w:themeColor="text1" w:sz="4" w:space="0"/>
        </w:tcBorders>
      </w:tcPr>
    </w:tblStylePr>
  </w:style>
  <w:style w:type="table" w:styleId="880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firstCol">
      <w:rPr>
        <w:b/>
        <w:color w:themeColor="accent1" w:themeShade="95"/>
      </w:rPr>
      <w:tblPr/>
    </w:tblStylePr>
    <w:tblStylePr w:type="firstRow">
      <w:rPr>
        <w:b/>
        <w:color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themeColor="accent1" w:themeShade="95"/>
      </w:rPr>
      <w:tblPr/>
    </w:tblStylePr>
    <w:tblStylePr w:type="lastRow">
      <w:rPr>
        <w:b/>
        <w:color w:themeColor="accent1" w:themeShade="95"/>
      </w:rPr>
      <w:tblPr/>
      <w:tcPr>
        <w:tcBorders>
          <w:top w:val="single" w:color="000000" w:themeColor="accent1" w:sz="4" w:space="0"/>
        </w:tcBorders>
      </w:tcPr>
    </w:tblStylePr>
  </w:style>
  <w:style w:type="table" w:styleId="881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</w:style>
  <w:style w:type="table" w:styleId="882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firstCol">
      <w:rPr>
        <w:b/>
        <w:color w:themeColor="accent3" w:themeTint="98" w:themeShade="95"/>
      </w:rPr>
      <w:tblPr/>
    </w:tblStylePr>
    <w:tblStylePr w:type="firstRow">
      <w:rPr>
        <w:b/>
        <w:color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themeColor="accent3" w:themeTint="98" w:themeShade="95"/>
      </w:rPr>
      <w:tblPr/>
    </w:tblStylePr>
    <w:tblStylePr w:type="lastRow">
      <w:rPr>
        <w:b/>
        <w:color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</w:style>
  <w:style w:type="table" w:styleId="883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</w:style>
  <w:style w:type="table" w:styleId="884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firstCol">
      <w:rPr>
        <w:b/>
        <w:color w:themeColor="accent5" w:themeTint="9a" w:themeShade="95"/>
      </w:rPr>
      <w:tblPr/>
    </w:tblStylePr>
    <w:tblStylePr w:type="firstRow">
      <w:rPr>
        <w:b/>
        <w:color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themeColor="accent5" w:themeTint="9a" w:themeShade="95"/>
      </w:rPr>
      <w:tblPr/>
    </w:tblStylePr>
    <w:tblStylePr w:type="lastRow">
      <w:rPr>
        <w:b/>
        <w:color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</w:style>
  <w:style w:type="table" w:styleId="885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firstCol">
      <w:rPr>
        <w:b/>
        <w:color w:themeColor="accent6" w:themeTint="98" w:themeShade="95"/>
      </w:rPr>
      <w:tblPr/>
    </w:tblStylePr>
    <w:tblStylePr w:type="firstRow">
      <w:rPr>
        <w:b/>
        <w:color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themeColor="accent6" w:themeTint="98" w:themeShade="95"/>
      </w:rPr>
      <w:tblPr/>
    </w:tblStylePr>
    <w:tblStylePr w:type="lastRow">
      <w:rPr>
        <w:b/>
        <w:color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</w:style>
  <w:style w:type="table" w:styleId="886">
    <w:name w:val="List Table 7 Colorful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text1" w:themeTint="80" w:themeShade="95"/>
        <w:sz w:val="22"/>
      </w:rPr>
      <w:tblPr/>
    </w:tblStylePr>
  </w:style>
  <w:style w:type="table" w:styleId="887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1" w:themeShade="95"/>
        <w:sz w:val="22"/>
      </w:rPr>
      <w:tblPr/>
    </w:tblStylePr>
  </w:style>
  <w:style w:type="table" w:styleId="888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889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3" w:themeTint="98" w:themeShade="95"/>
        <w:sz w:val="22"/>
      </w:rPr>
      <w:tblPr/>
    </w:tblStylePr>
  </w:style>
  <w:style w:type="table" w:styleId="890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891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5" w:themeTint="9a" w:themeShade="95"/>
        <w:sz w:val="22"/>
      </w:rPr>
      <w:tblPr/>
    </w:tblStylePr>
  </w:style>
  <w:style w:type="table" w:styleId="892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6" w:themeTint="98" w:themeShade="95"/>
        <w:sz w:val="22"/>
      </w:rPr>
      <w:tblPr/>
    </w:tblStylePr>
  </w:style>
  <w:style w:type="table" w:styleId="893">
    <w:name w:val="Lined - Accen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0"/>
      </w:tcPr>
    </w:tblStylePr>
    <w:tblStylePr w:type="band2Vert">
      <w:rPr>
        <w:sz w:val="22"/>
      </w:rPr>
      <w:tblPr/>
      <w:tcPr>
        <w:shd w:val="clear" w:color="FFFFFF" w:fill="F2F2F2" w:themeFill="text1" w:themeFillTint="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</w:style>
  <w:style w:type="table" w:styleId="894">
    <w:name w:val="Lined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firstCol">
      <w:rPr>
        <w:sz w:val="22"/>
      </w:rPr>
      <w:tblPr/>
      <w:tcPr>
        <w:shd w:val="clear" w:color="FFFFFF" w:fill="5D8DC2" w:themeFill="accent1" w:themeFillTint="ea"/>
      </w:tcPr>
    </w:tblStylePr>
    <w:tblStylePr w:type="firstRow">
      <w:rPr>
        <w:sz w:val="22"/>
      </w:rPr>
      <w:tblPr/>
      <w:tcPr>
        <w:shd w:val="clear" w:color="FFFFFF" w:fill="5D8DC2" w:themeFill="accent1" w:themeFillTint="ea"/>
      </w:tcPr>
    </w:tblStylePr>
    <w:tblStylePr w:type="lastCol">
      <w:rPr>
        <w:sz w:val="22"/>
      </w:rPr>
      <w:tblPr/>
      <w:tcPr>
        <w:shd w:val="clear" w:color="FFFFFF" w:fill="5D8DC2" w:themeFill="accent1" w:themeFillTint="ea"/>
      </w:tcPr>
    </w:tblStylePr>
    <w:tblStylePr w:type="lastRow">
      <w:rPr>
        <w:sz w:val="22"/>
      </w:rPr>
      <w:tblPr/>
      <w:tcPr>
        <w:shd w:val="clear" w:color="FFFFFF" w:fill="5D8DC2" w:themeFill="accent1" w:themeFillTint="ea"/>
      </w:tcPr>
    </w:tblStylePr>
  </w:style>
  <w:style w:type="table" w:styleId="895">
    <w:name w:val="Lined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DCDB" w:themeFill="accent2" w:themeFillTint="32"/>
      </w:tcPr>
    </w:tblStylePr>
    <w:tblStylePr w:type="band2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sz w:val="22"/>
      </w:rPr>
      <w:tblPr/>
      <w:tcPr>
        <w:shd w:val="clear" w:color="FFFFFF" w:fill="D99694" w:themeFill="accent2" w:themeFillTint="97"/>
      </w:tcPr>
    </w:tblStylePr>
    <w:tblStylePr w:type="firstRow">
      <w:rPr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sz w:val="22"/>
      </w:rPr>
      <w:tblPr/>
      <w:tcPr>
        <w:shd w:val="clear" w:color="FFFFFF" w:fill="D99694" w:themeFill="accent2" w:themeFillTint="97"/>
      </w:tcPr>
    </w:tblStylePr>
    <w:tblStylePr w:type="lastRow">
      <w:rPr>
        <w:sz w:val="22"/>
      </w:rPr>
      <w:tblPr/>
      <w:tcPr>
        <w:shd w:val="clear" w:color="FFFFFF" w:fill="D99694" w:themeFill="accent2" w:themeFillTint="97"/>
      </w:tcPr>
    </w:tblStylePr>
  </w:style>
  <w:style w:type="table" w:styleId="896">
    <w:name w:val="Lined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AF0DD" w:themeFill="accent3" w:themeFillTint="34"/>
      </w:tcPr>
    </w:tblStylePr>
    <w:tblStylePr w:type="band2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sz w:val="22"/>
      </w:rPr>
      <w:tblPr/>
      <w:tcPr>
        <w:shd w:val="clear" w:color="FFFFFF" w:fill="9BBA59" w:themeFill="accent3" w:themeFillTint="fe"/>
      </w:tcPr>
    </w:tblStylePr>
    <w:tblStylePr w:type="firstRow">
      <w:rPr>
        <w:sz w:val="22"/>
      </w:rPr>
      <w:tblPr/>
      <w:tcPr>
        <w:shd w:val="clear" w:color="FFFFFF" w:fill="9BBA59" w:themeFill="accent3" w:themeFillTint="fe"/>
      </w:tcPr>
    </w:tblStylePr>
    <w:tblStylePr w:type="lastCol">
      <w:rPr>
        <w:sz w:val="22"/>
      </w:rPr>
      <w:tblPr/>
      <w:tcPr>
        <w:shd w:val="clear" w:color="FFFFFF" w:fill="9BBA59" w:themeFill="accent3" w:themeFillTint="fe"/>
      </w:tcPr>
    </w:tblStylePr>
    <w:tblStylePr w:type="lastRow">
      <w:rPr>
        <w:sz w:val="22"/>
      </w:rPr>
      <w:tblPr/>
      <w:tcPr>
        <w:shd w:val="clear" w:color="FFFFFF" w:fill="9BBA59" w:themeFill="accent3" w:themeFillTint="fe"/>
      </w:tcPr>
    </w:tblStylePr>
  </w:style>
  <w:style w:type="table" w:styleId="897">
    <w:name w:val="Lined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</w:style>
  <w:style w:type="table" w:styleId="898">
    <w:name w:val="Lined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</w:style>
  <w:style w:type="table" w:styleId="899">
    <w:name w:val="Lined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</w:style>
  <w:style w:type="table" w:styleId="900">
    <w:name w:val="Bordered &amp; Lined - Accent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0"/>
      </w:tcPr>
    </w:tblStylePr>
    <w:tblStylePr w:type="band2Vert">
      <w:rPr>
        <w:sz w:val="22"/>
      </w:rPr>
      <w:tblPr/>
      <w:tcPr>
        <w:shd w:val="clear" w:color="FFFFFF" w:fill="F2F2F2" w:themeFill="text1" w:themeFillTint="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</w:style>
  <w:style w:type="table" w:styleId="901">
    <w:name w:val="Bordered &amp; Lined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firstCol">
      <w:rPr>
        <w:sz w:val="22"/>
      </w:rPr>
      <w:tblPr/>
      <w:tcPr>
        <w:shd w:val="clear" w:color="FFFFFF" w:fill="5D8DC2" w:themeFill="accent1" w:themeFillTint="ea"/>
      </w:tcPr>
    </w:tblStylePr>
    <w:tblStylePr w:type="firstRow">
      <w:rPr>
        <w:sz w:val="22"/>
      </w:rPr>
      <w:tblPr/>
      <w:tcPr>
        <w:shd w:val="clear" w:color="FFFFFF" w:fill="5D8DC2" w:themeFill="accent1" w:themeFillTint="ea"/>
      </w:tcPr>
    </w:tblStylePr>
    <w:tblStylePr w:type="lastCol">
      <w:rPr>
        <w:sz w:val="22"/>
      </w:rPr>
      <w:tblPr/>
      <w:tcPr>
        <w:shd w:val="clear" w:color="FFFFFF" w:fill="5D8DC2" w:themeFill="accent1" w:themeFillTint="ea"/>
      </w:tcPr>
    </w:tblStylePr>
    <w:tblStylePr w:type="lastRow">
      <w:rPr>
        <w:sz w:val="22"/>
      </w:rPr>
      <w:tblPr/>
      <w:tcPr>
        <w:shd w:val="clear" w:color="FFFFFF" w:fill="5D8DC2" w:themeFill="accent1" w:themeFillTint="ea"/>
      </w:tcPr>
    </w:tblStylePr>
  </w:style>
  <w:style w:type="table" w:styleId="902">
    <w:name w:val="Bordered &amp; Lined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DCDB" w:themeFill="accent2" w:themeFillTint="32"/>
      </w:tcPr>
    </w:tblStylePr>
    <w:tblStylePr w:type="band2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sz w:val="22"/>
      </w:rPr>
      <w:tblPr/>
      <w:tcPr>
        <w:shd w:val="clear" w:color="FFFFFF" w:fill="D99694" w:themeFill="accent2" w:themeFillTint="97"/>
      </w:tcPr>
    </w:tblStylePr>
    <w:tblStylePr w:type="firstRow">
      <w:rPr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sz w:val="22"/>
      </w:rPr>
      <w:tblPr/>
      <w:tcPr>
        <w:shd w:val="clear" w:color="FFFFFF" w:fill="D99694" w:themeFill="accent2" w:themeFillTint="97"/>
      </w:tcPr>
    </w:tblStylePr>
    <w:tblStylePr w:type="lastRow">
      <w:rPr>
        <w:sz w:val="22"/>
      </w:rPr>
      <w:tblPr/>
      <w:tcPr>
        <w:shd w:val="clear" w:color="FFFFFF" w:fill="D99694" w:themeFill="accent2" w:themeFillTint="97"/>
      </w:tcPr>
    </w:tblStylePr>
  </w:style>
  <w:style w:type="table" w:styleId="903">
    <w:name w:val="Bordered &amp; Lined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AF0DD" w:themeFill="accent3" w:themeFillTint="34"/>
      </w:tcPr>
    </w:tblStylePr>
    <w:tblStylePr w:type="band2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sz w:val="22"/>
      </w:rPr>
      <w:tblPr/>
      <w:tcPr>
        <w:shd w:val="clear" w:color="FFFFFF" w:fill="9BBA59" w:themeFill="accent3" w:themeFillTint="fe"/>
      </w:tcPr>
    </w:tblStylePr>
    <w:tblStylePr w:type="firstRow">
      <w:rPr>
        <w:sz w:val="22"/>
      </w:rPr>
      <w:tblPr/>
      <w:tcPr>
        <w:shd w:val="clear" w:color="FFFFFF" w:fill="9BBA59" w:themeFill="accent3" w:themeFillTint="fe"/>
      </w:tcPr>
    </w:tblStylePr>
    <w:tblStylePr w:type="lastCol">
      <w:rPr>
        <w:sz w:val="22"/>
      </w:rPr>
      <w:tblPr/>
      <w:tcPr>
        <w:shd w:val="clear" w:color="FFFFFF" w:fill="9BBA59" w:themeFill="accent3" w:themeFillTint="fe"/>
      </w:tcPr>
    </w:tblStylePr>
    <w:tblStylePr w:type="lastRow">
      <w:rPr>
        <w:sz w:val="22"/>
      </w:rPr>
      <w:tblPr/>
      <w:tcPr>
        <w:shd w:val="clear" w:color="FFFFFF" w:fill="9BBA59" w:themeFill="accent3" w:themeFillTint="fe"/>
      </w:tcPr>
    </w:tblStylePr>
  </w:style>
  <w:style w:type="table" w:styleId="904">
    <w:name w:val="Bordered &amp; Lined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</w:style>
  <w:style w:type="table" w:styleId="905">
    <w:name w:val="Bordered &amp; Lined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</w:style>
  <w:style w:type="table" w:styleId="906">
    <w:name w:val="Bordered &amp; Lined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</w:style>
  <w:style w:type="table" w:styleId="907">
    <w:name w:val="Bordered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text1" w:sz="12" w:space="0"/>
        </w:tcBorders>
      </w:tcPr>
    </w:tblStylePr>
  </w:style>
  <w:style w:type="table" w:styleId="908">
    <w:name w:val="Bordered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1" w:sz="12" w:space="0"/>
        </w:tcBorders>
      </w:tcPr>
    </w:tblStylePr>
  </w:style>
  <w:style w:type="table" w:styleId="909">
    <w:name w:val="Bordered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2" w:sz="12" w:space="0"/>
        </w:tcBorders>
      </w:tcPr>
    </w:tblStylePr>
  </w:style>
  <w:style w:type="table" w:styleId="910">
    <w:name w:val="Bordered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3" w:sz="12" w:space="0"/>
        </w:tcBorders>
      </w:tcPr>
    </w:tblStylePr>
  </w:style>
  <w:style w:type="table" w:styleId="911">
    <w:name w:val="Bordered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4" w:sz="12" w:space="0"/>
        </w:tcBorders>
      </w:tcPr>
    </w:tblStylePr>
  </w:style>
  <w:style w:type="table" w:styleId="912">
    <w:name w:val="Bordered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5" w:sz="12" w:space="0"/>
        </w:tcBorders>
      </w:tcPr>
    </w:tblStylePr>
  </w:style>
  <w:style w:type="table" w:styleId="913">
    <w:name w:val="Bordered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6" w:sz="12" w:space="0"/>
        </w:tcBorders>
      </w:tcPr>
    </w:tblStylePr>
  </w:style>
  <w:style w:type="table" w:default="1" w:styleId="914">
    <w:name w:val="Normal Table"/>
    <w:uiPriority w:val="99"/>
    <w:semiHidden/>
    <w:unhideWhenUsed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torgi.gov.ru/" TargetMode="External"/><Relationship Id="rId3" Type="http://schemas.openxmlformats.org/officeDocument/2006/relationships/hyperlink" Target="http://www.gorodperm.ru/" TargetMode="External"/><Relationship Id="rId4" Type="http://schemas.openxmlformats.org/officeDocument/2006/relationships/hyperlink" Target="http://utp.sberbank-ast.ru/" TargetMode="External"/><Relationship Id="rId5" Type="http://schemas.openxmlformats.org/officeDocument/2006/relationships/hyperlink" Target="http://utp.sberbank-ast.ru/" TargetMode="External"/><Relationship Id="rId6" Type="http://schemas.openxmlformats.org/officeDocument/2006/relationships/hyperlink" Target="https://utp.sberbank-ast.ru/Main/Notice/988/Reglament" TargetMode="External"/><Relationship Id="rId7" Type="http://schemas.openxmlformats.org/officeDocument/2006/relationships/hyperlink" Target="https://utp.sberbank-ast.ru/AP/Notice/1027/Instructions" TargetMode="External"/><Relationship Id="rId8" Type="http://schemas.openxmlformats.org/officeDocument/2006/relationships/hyperlink" Target="https://utp.sberbank-ast.ru/AP/Notice/652/Instructions" TargetMode="External"/><Relationship Id="rId9" Type="http://schemas.openxmlformats.org/officeDocument/2006/relationships/hyperlink" Target="http://www.gorodperm.ru/" TargetMode="External"/><Relationship Id="rId10" Type="http://schemas.openxmlformats.org/officeDocument/2006/relationships/hyperlink" Target="http://www.gorodperm.ru/" TargetMode="External"/><Relationship Id="rId11" Type="http://schemas.openxmlformats.org/officeDocument/2006/relationships/hyperlink" Target="https://login.consultant.ru/link/?req=doc&amp;demo=1&amp;base=STR&amp;n=30822&amp;date=23.01.2024" TargetMode="External"/><Relationship Id="rId12" Type="http://schemas.openxmlformats.org/officeDocument/2006/relationships/hyperlink" Target="http://www.gorodperm.ru/" TargetMode="External"/><Relationship Id="rId13" Type="http://schemas.openxmlformats.org/officeDocument/2006/relationships/hyperlink" Target="http://www.gorodperm.ru/" TargetMode="External"/><Relationship Id="rId14" Type="http://schemas.openxmlformats.org/officeDocument/2006/relationships/hyperlink" Target="https://" TargetMode="External"/><Relationship Id="rId15" Type="http://schemas.openxmlformats.org/officeDocument/2006/relationships/hyperlink" Target="mailto:perm-mail@ural.rt.ru" TargetMode="External"/><Relationship Id="rId16" Type="http://schemas.openxmlformats.org/officeDocument/2006/relationships/hyperlink" Target="http://www.gorodperm.ru/" TargetMode="External"/><Relationship Id="rId17" Type="http://schemas.openxmlformats.org/officeDocument/2006/relationships/hyperlink" Target="http://www.gorodperm.ru/" TargetMode="External"/><Relationship Id="rId18" Type="http://schemas.openxmlformats.org/officeDocument/2006/relationships/hyperlink" Target="https://" TargetMode="External"/><Relationship Id="rId19" Type="http://schemas.openxmlformats.org/officeDocument/2006/relationships/hyperlink" Target="mailto:perm-mail@ural.rt.ru" TargetMode="External"/><Relationship Id="rId20" Type="http://schemas.openxmlformats.org/officeDocument/2006/relationships/hyperlink" Target="http://utp.sberbank-ast.ru/AP/Notice/653/Requisites" TargetMode="External"/><Relationship Id="rId21" Type="http://schemas.openxmlformats.org/officeDocument/2006/relationships/header" Target="header1.xml"/><Relationship Id="rId22" Type="http://schemas.openxmlformats.org/officeDocument/2006/relationships/header" Target="header2.xml"/><Relationship Id="rId23" Type="http://schemas.openxmlformats.org/officeDocument/2006/relationships/numbering" Target="numbering.xml"/><Relationship Id="rId24" Type="http://schemas.openxmlformats.org/officeDocument/2006/relationships/fontTable" Target="fontTable.xml"/><Relationship Id="rId25" Type="http://schemas.openxmlformats.org/officeDocument/2006/relationships/settings" Target="settings.xml"/><Relationship Id="rId2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Application>LibreOffice/7.6.7.2$Linux_X86_64 LibreOffice_project/60$Build-2</Application>
  <AppVersion>15.0000</AppVersion>
  <Pages>50</Pages>
  <Words>15315</Words>
  <Characters>109569</Characters>
  <CharactersWithSpaces>126087</CharactersWithSpaces>
  <Paragraphs>736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2023-10-30T09:15:00Z</dcterms:created>
  <dc:creator>Tatyannikova</dc:creator>
  <dc:description/>
  <dc:language>ru-RU</dc:language>
  <cp:lastModifiedBy/>
  <dcterms:modified xsi:type="dcterms:W3CDTF">2026-08-14T14:17:36Z</dcterms:modified>
  <cp:revision>355</cp:revision>
  <dc:subject/>
  <dc:title>Департамент имущественных отношений администрации города Перми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