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lainText"/>
        <w:ind w:hanging="1134" w:left="1134" w:right="-261"/>
        <w:jc w:val="center"/>
        <w:rPr>
          <w:rFonts w:ascii="Times New Roman" w:hAnsi="Times New Roman" w:cs="Times New Roman"/>
          <w:b/>
          <w:sz w:val="24"/>
          <w:szCs w:val="24"/>
          <w:lang w:val="ru-RU"/>
        </w:rPr>
      </w:pPr>
      <w:r>
        <w:rPr>
          <w:rFonts w:cs="Times New Roman" w:ascii="Times New Roman" w:hAnsi="Times New Roman"/>
          <w:b/>
          <w:sz w:val="24"/>
          <w:szCs w:val="24"/>
          <w:lang w:val="ru-RU"/>
        </w:rPr>
      </w:r>
    </w:p>
    <w:p>
      <w:pPr>
        <w:pStyle w:val="PlainText"/>
        <w:ind w:hanging="1134" w:left="1134" w:right="-261"/>
        <w:jc w:val="center"/>
        <w:rPr>
          <w:rFonts w:ascii="Times New Roman" w:hAnsi="Times New Roman" w:cs="Times New Roman"/>
          <w:b/>
          <w:sz w:val="24"/>
          <w:szCs w:val="24"/>
        </w:rPr>
      </w:pPr>
      <w:r>
        <w:rPr>
          <w:rFonts w:cs="Times New Roman" w:ascii="Times New Roman" w:hAnsi="Times New Roman"/>
          <w:b/>
          <w:sz w:val="24"/>
          <w:szCs w:val="24"/>
        </w:rPr>
      </w:r>
    </w:p>
    <w:p>
      <w:pPr>
        <w:pStyle w:val="Normal"/>
        <w:numPr>
          <w:ilvl w:val="0"/>
          <w:numId w:val="0"/>
        </w:numPr>
        <w:tabs>
          <w:tab w:val="clear" w:pos="708"/>
          <w:tab w:val="left" w:pos="4732" w:leader="none"/>
          <w:tab w:val="left" w:pos="5812" w:leader="none"/>
        </w:tabs>
        <w:spacing w:lineRule="exact" w:line="240"/>
        <w:ind w:firstLine="5670" w:left="0"/>
        <w:jc w:val="both"/>
        <w:outlineLvl w:val="5"/>
        <w:rPr>
          <w:sz w:val="28"/>
          <w:szCs w:val="28"/>
        </w:rPr>
      </w:pPr>
      <w:r>
        <w:rPr>
          <w:bCs/>
          <w:sz w:val="28"/>
          <w:szCs w:val="28"/>
        </w:rPr>
        <w:t>Приложение 2</w:t>
      </w:r>
    </w:p>
    <w:p>
      <w:pPr>
        <w:pStyle w:val="Normal"/>
        <w:tabs>
          <w:tab w:val="clear" w:pos="708"/>
          <w:tab w:val="left" w:pos="4732" w:leader="none"/>
        </w:tabs>
        <w:spacing w:lineRule="exact" w:line="240"/>
        <w:ind w:firstLine="6" w:left="5664"/>
        <w:rPr>
          <w:sz w:val="28"/>
          <w:szCs w:val="28"/>
        </w:rPr>
      </w:pPr>
      <w:r>
        <w:rPr>
          <w:sz w:val="28"/>
          <w:szCs w:val="28"/>
        </w:rPr>
        <w:t>к приказу начальника департамента имущественных отношений</w:t>
      </w:r>
    </w:p>
    <w:p>
      <w:pPr>
        <w:pStyle w:val="Normal"/>
        <w:tabs>
          <w:tab w:val="clear" w:pos="708"/>
          <w:tab w:val="left" w:pos="4732" w:leader="none"/>
        </w:tabs>
        <w:spacing w:lineRule="exact" w:line="240"/>
        <w:ind w:firstLine="5670"/>
        <w:rPr>
          <w:sz w:val="28"/>
          <w:szCs w:val="28"/>
        </w:rPr>
      </w:pPr>
      <w:r>
        <w:rPr>
          <w:sz w:val="28"/>
          <w:szCs w:val="28"/>
        </w:rPr>
        <w:t>администрации города Перми</w:t>
      </w:r>
    </w:p>
    <w:p>
      <w:pPr>
        <w:pStyle w:val="Normal"/>
        <w:tabs>
          <w:tab w:val="clear" w:pos="708"/>
          <w:tab w:val="left" w:pos="4732" w:leader="none"/>
        </w:tabs>
        <w:spacing w:lineRule="exact" w:line="240"/>
        <w:ind w:firstLine="5670"/>
        <w:rPr>
          <w:sz w:val="28"/>
          <w:szCs w:val="28"/>
        </w:rPr>
      </w:pPr>
      <w:r>
        <w:rPr>
          <w:sz w:val="28"/>
          <w:szCs w:val="28"/>
        </w:rPr>
        <w:t xml:space="preserve">от </w:t>
      </w:r>
      <w:r>
        <w:rPr>
          <w:sz w:val="28"/>
          <w:szCs w:val="28"/>
        </w:rPr>
        <w:t>18.08.2026 № 059-19-01-11-132</w:t>
      </w:r>
    </w:p>
    <w:p>
      <w:pPr>
        <w:pStyle w:val="Normal"/>
        <w:tabs>
          <w:tab w:val="clear" w:pos="708"/>
          <w:tab w:val="left" w:pos="4732" w:leader="none"/>
        </w:tabs>
        <w:ind w:left="283"/>
        <w:jc w:val="center"/>
        <w:rPr>
          <w:b/>
          <w:sz w:val="28"/>
          <w:szCs w:val="28"/>
        </w:rPr>
      </w:pPr>
      <w:r>
        <w:rPr>
          <w:b/>
          <w:sz w:val="28"/>
          <w:szCs w:val="28"/>
        </w:rPr>
      </w:r>
    </w:p>
    <w:p>
      <w:pPr>
        <w:pStyle w:val="PlainText"/>
        <w:spacing w:lineRule="exact" w:line="240"/>
        <w:ind w:hanging="1134" w:left="1134"/>
        <w:jc w:val="center"/>
        <w:rPr>
          <w:rFonts w:ascii="Times New Roman" w:hAnsi="Times New Roman" w:cs="Times New Roman"/>
          <w:b/>
          <w:sz w:val="28"/>
          <w:szCs w:val="28"/>
          <w:lang w:val="ru-RU"/>
        </w:rPr>
      </w:pPr>
      <w:r>
        <w:rPr>
          <w:rFonts w:cs="Times New Roman" w:ascii="Times New Roman" w:hAnsi="Times New Roman"/>
          <w:b/>
          <w:sz w:val="28"/>
          <w:szCs w:val="28"/>
          <w:lang w:val="ru-RU"/>
        </w:rPr>
        <w:t xml:space="preserve">Извещение о проведении 10.09.2026 электронных аукционов по продаже </w:t>
      </w:r>
    </w:p>
    <w:p>
      <w:pPr>
        <w:pStyle w:val="PlainText"/>
        <w:spacing w:lineRule="exact" w:line="240"/>
        <w:ind w:hanging="1134" w:left="1134"/>
        <w:jc w:val="center"/>
        <w:rPr>
          <w:rFonts w:ascii="Times New Roman" w:hAnsi="Times New Roman" w:cs="Times New Roman"/>
          <w:b/>
          <w:sz w:val="28"/>
          <w:szCs w:val="28"/>
          <w:lang w:val="ru-RU"/>
        </w:rPr>
      </w:pPr>
      <w:r>
        <w:rPr>
          <w:rFonts w:cs="Times New Roman" w:ascii="Times New Roman" w:hAnsi="Times New Roman"/>
          <w:b/>
          <w:sz w:val="28"/>
          <w:szCs w:val="28"/>
          <w:lang w:val="ru-RU"/>
        </w:rPr>
        <w:t>земельных участков</w:t>
      </w:r>
    </w:p>
    <w:p>
      <w:pPr>
        <w:pStyle w:val="PlainText"/>
        <w:rPr>
          <w:rFonts w:ascii="Times New Roman" w:hAnsi="Times New Roman" w:cs="Times New Roman"/>
          <w:b/>
          <w:sz w:val="28"/>
          <w:szCs w:val="28"/>
          <w:lang w:val="ru-RU"/>
        </w:rPr>
      </w:pPr>
      <w:r>
        <w:rPr>
          <w:rFonts w:cs="Times New Roman" w:ascii="Times New Roman" w:hAnsi="Times New Roman"/>
          <w:b/>
          <w:sz w:val="28"/>
          <w:szCs w:val="28"/>
          <w:lang w:val="ru-RU"/>
        </w:rPr>
      </w:r>
    </w:p>
    <w:p>
      <w:pPr>
        <w:pStyle w:val="Normal"/>
        <w:widowControl w:val="false"/>
        <w:ind w:firstLine="567" w:left="-567"/>
        <w:jc w:val="both"/>
        <w:rPr>
          <w:b/>
          <w:bCs/>
        </w:rPr>
      </w:pPr>
      <w:r>
        <w:rPr>
          <w:shd w:fill="FFFFFF" w:val="clear"/>
        </w:rPr>
        <w:t xml:space="preserve">Электронные аукционы по продаже земельных участков (далее – аукцион) проводятся </w:t>
        <w:br/>
        <w:t xml:space="preserve">в соответствии со статьями 39.11, 39.12, 39.13, 39.18 Земельного кодекса Российской Федерации, Положением о департаменте имущественных отношений администрации города Перми, утвержденным решением Пермской городской Думы от 12 сентября 2006 г. № 210, постановлением администрации города Перми от 20 ноября 2008 г. № 1089 «О комиссии по проведению аукционов по продаже земельных участков, находящихся в муниципальной собственности города Перми, </w:t>
        <w:br/>
        <w:t xml:space="preserve">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w:t>
        <w:br/>
      </w:r>
      <w:r>
        <w:rPr>
          <w:rFonts w:eastAsia="Droid Sans Fallback" w:cs="Lohit Devanagari"/>
          <w:color w:val="000000"/>
          <w:sz w:val="24"/>
          <w:szCs w:val="24"/>
          <w:shd w:fill="FFFFFF" w:val="clear"/>
          <w:lang w:val="ru-RU" w:eastAsia="zh-CN" w:bidi="ar-SA"/>
        </w:rPr>
        <w:t xml:space="preserve">и участков, собственность на которые не разграничена» (далее – комиссия), регламентом работы электронной площадки АО «Сбербанк-АСТ», регламентом работы торговой секции </w:t>
        <w:br/>
        <w:t>АО «Сбербанк-АСТ».</w:t>
      </w:r>
    </w:p>
    <w:p>
      <w:pPr>
        <w:pStyle w:val="Normal"/>
        <w:numPr>
          <w:ilvl w:val="0"/>
          <w:numId w:val="0"/>
        </w:numPr>
        <w:tabs>
          <w:tab w:val="clear" w:pos="708"/>
          <w:tab w:val="left" w:pos="9355" w:leader="none"/>
        </w:tabs>
        <w:ind w:firstLine="567" w:left="-567"/>
        <w:jc w:val="both"/>
        <w:outlineLvl w:val="0"/>
        <w:rPr>
          <w:b/>
          <w:bCs/>
        </w:rPr>
      </w:pPr>
      <w:r>
        <w:rPr>
          <w:b/>
          <w:bCs/>
        </w:rPr>
        <w:t xml:space="preserve">Орган, принявший решение о проведении аукциона: </w:t>
      </w:r>
      <w:r>
        <w:rPr>
          <w:bCs/>
        </w:rPr>
        <w:t xml:space="preserve">департамент земельных отношений администрации города Перми, местонахождение: 614000, г. Пермь, ул. Сибирская,15, почтовый адрес: 614000, г. Пермь, ул. Сибирская,15, телефон 212-33-48 (аналитический отдел), адрес электронной почты: </w:t>
      </w:r>
      <w:r>
        <w:rPr>
          <w:rStyle w:val="Hyperlink"/>
          <w:bCs/>
          <w:sz w:val="24"/>
          <w:szCs w:val="24"/>
          <w:lang w:val="en-US"/>
        </w:rPr>
        <w:t>dzo@perm.permkrai.ru.</w:t>
      </w:r>
    </w:p>
    <w:p>
      <w:pPr>
        <w:pStyle w:val="Normal"/>
        <w:numPr>
          <w:ilvl w:val="0"/>
          <w:numId w:val="0"/>
        </w:numPr>
        <w:tabs>
          <w:tab w:val="clear" w:pos="708"/>
          <w:tab w:val="left" w:pos="9355" w:leader="none"/>
        </w:tabs>
        <w:ind w:firstLine="567" w:left="-567"/>
        <w:jc w:val="both"/>
        <w:outlineLvl w:val="0"/>
        <w:rPr>
          <w:b w:val="false"/>
          <w:bCs w:val="false"/>
          <w:sz w:val="24"/>
          <w:szCs w:val="24"/>
        </w:rPr>
      </w:pPr>
      <w:r>
        <w:rPr>
          <w:b/>
          <w:bCs/>
        </w:rPr>
        <w:t xml:space="preserve">Организатор аукциона </w:t>
      </w:r>
      <w:r>
        <w:rPr>
          <w:bCs/>
        </w:rPr>
        <w:t>(далее – Организатор аукциона)</w:t>
      </w:r>
      <w:r>
        <w:rPr>
          <w:b/>
          <w:bCs/>
        </w:rPr>
        <w:t xml:space="preserve">: </w:t>
      </w:r>
      <w:r>
        <w:rPr>
          <w:bCs/>
        </w:rPr>
        <w:t>департамент имущественных отношений администрации города Перми, местонахождение: 614000, г. Пермь, ул. Сибирская,14, почтовый адрес: 614000, г. Пермь, ул. Сибирская,14, телефон 212-77-24 (отдел по распоряжению муниципальным имуществом), адрес электронной почты:</w:t>
      </w:r>
      <w:r>
        <w:rPr>
          <w:b/>
          <w:bCs/>
        </w:rPr>
        <w:t xml:space="preserve"> </w:t>
      </w:r>
      <w:r>
        <w:rPr>
          <w:sz w:val="24"/>
          <w:szCs w:val="24"/>
          <w:lang w:val="en-US"/>
        </w:rPr>
        <w:t>dio</w:t>
      </w:r>
      <w:r>
        <w:rPr>
          <w:sz w:val="24"/>
          <w:szCs w:val="24"/>
        </w:rPr>
        <w:t>@</w:t>
      </w:r>
      <w:r>
        <w:rPr>
          <w:sz w:val="24"/>
          <w:szCs w:val="24"/>
          <w:lang w:val="en-US"/>
        </w:rPr>
        <w:t>perm</w:t>
      </w:r>
      <w:r>
        <w:rPr>
          <w:sz w:val="24"/>
          <w:szCs w:val="24"/>
        </w:rPr>
        <w:t>.</w:t>
      </w:r>
      <w:r>
        <w:rPr>
          <w:sz w:val="24"/>
          <w:szCs w:val="24"/>
          <w:lang w:val="en-US"/>
        </w:rPr>
        <w:t>permkrai</w:t>
      </w:r>
      <w:r>
        <w:rPr>
          <w:sz w:val="24"/>
          <w:szCs w:val="24"/>
        </w:rPr>
        <w:t>.</w:t>
      </w:r>
      <w:r>
        <w:rPr>
          <w:sz w:val="24"/>
          <w:szCs w:val="24"/>
          <w:lang w:val="en-US"/>
        </w:rPr>
        <w:t>ru</w:t>
      </w:r>
      <w:r>
        <w:rPr>
          <w:b w:val="false"/>
          <w:bCs w:val="false"/>
          <w:sz w:val="24"/>
          <w:szCs w:val="24"/>
        </w:rPr>
        <w:t>.</w:t>
      </w:r>
    </w:p>
    <w:p>
      <w:pPr>
        <w:pStyle w:val="Normal"/>
        <w:numPr>
          <w:ilvl w:val="0"/>
          <w:numId w:val="0"/>
        </w:numPr>
        <w:tabs>
          <w:tab w:val="clear" w:pos="708"/>
          <w:tab w:val="left" w:pos="9355" w:leader="none"/>
        </w:tabs>
        <w:ind w:firstLine="567" w:left="-567"/>
        <w:jc w:val="both"/>
        <w:outlineLvl w:val="0"/>
        <w:rPr>
          <w:sz w:val="24"/>
          <w:szCs w:val="24"/>
        </w:rPr>
      </w:pPr>
      <w:r>
        <w:rPr>
          <w:b/>
          <w:bCs/>
        </w:rPr>
        <w:t>Реквизиты приказа об организации проведения аукциона:</w:t>
      </w:r>
      <w:r>
        <w:rPr>
          <w:bCs/>
        </w:rPr>
        <w:t xml:space="preserve"> приказ начальника департамента имущественных отношений администрации города Перми от</w:t>
      </w:r>
      <w:r>
        <w:rPr>
          <w:bCs/>
          <w:sz w:val="16"/>
          <w:szCs w:val="24"/>
        </w:rPr>
        <w:t xml:space="preserve"> </w:t>
      </w:r>
      <w:r>
        <w:rPr>
          <w:bCs/>
          <w:sz w:val="24"/>
          <w:szCs w:val="28"/>
        </w:rPr>
        <w:t>18.08.2026 № 059-19-01-11-132.</w:t>
      </w:r>
    </w:p>
    <w:p>
      <w:pPr>
        <w:pStyle w:val="BodyTextIndent3"/>
        <w:numPr>
          <w:ilvl w:val="0"/>
          <w:numId w:val="0"/>
        </w:numPr>
        <w:spacing w:before="0" w:after="0"/>
        <w:ind w:firstLine="567" w:left="-567"/>
        <w:jc w:val="both"/>
        <w:outlineLvl w:val="0"/>
        <w:rPr>
          <w:rFonts w:eastAsia="Courier New"/>
          <w:b/>
          <w:color w:val="000000"/>
          <w:lang w:val="ru-RU" w:bidi="ru-RU"/>
        </w:rPr>
      </w:pPr>
      <w:r>
        <w:rPr>
          <w:sz w:val="24"/>
          <w:szCs w:val="24"/>
          <w:lang w:val="ru-RU"/>
        </w:rPr>
        <w:t xml:space="preserve">Извещение о проведение электронных аукционов размещается на официальном сайте Российской Федерации для размещения информации о проведении торгов </w:t>
      </w:r>
      <w:hyperlink r:id="rId2" w:tgtFrame="http://www.torgi.gov.ru/">
        <w:r>
          <w:rPr>
            <w:rStyle w:val="Hyperlink"/>
            <w:color w:val="000000"/>
            <w:sz w:val="24"/>
            <w:szCs w:val="24"/>
            <w:u w:val="none"/>
          </w:rPr>
          <w:t>www</w:t>
        </w:r>
        <w:r>
          <w:rPr>
            <w:rStyle w:val="Hyperlink"/>
            <w:color w:val="000000"/>
            <w:sz w:val="24"/>
            <w:szCs w:val="24"/>
            <w:u w:val="none"/>
            <w:lang w:val="ru-RU"/>
          </w:rPr>
          <w:t>.</w:t>
        </w:r>
        <w:r>
          <w:rPr>
            <w:rStyle w:val="Hyperlink"/>
            <w:color w:val="000000"/>
            <w:sz w:val="24"/>
            <w:szCs w:val="24"/>
            <w:u w:val="none"/>
          </w:rPr>
          <w:t>torgi</w:t>
        </w:r>
        <w:r>
          <w:rPr>
            <w:rStyle w:val="Hyperlink"/>
            <w:color w:val="000000"/>
            <w:sz w:val="24"/>
            <w:szCs w:val="24"/>
            <w:u w:val="none"/>
            <w:lang w:val="ru-RU"/>
          </w:rPr>
          <w:t>.</w:t>
        </w:r>
        <w:r>
          <w:rPr>
            <w:rStyle w:val="Hyperlink"/>
            <w:color w:val="000000"/>
            <w:sz w:val="24"/>
            <w:szCs w:val="24"/>
            <w:u w:val="none"/>
          </w:rPr>
          <w:t>gov</w:t>
        </w:r>
        <w:r>
          <w:rPr>
            <w:rStyle w:val="Hyperlink"/>
            <w:color w:val="000000"/>
            <w:sz w:val="24"/>
            <w:szCs w:val="24"/>
            <w:u w:val="none"/>
            <w:lang w:val="ru-RU"/>
          </w:rPr>
          <w:t>.</w:t>
        </w:r>
        <w:r>
          <w:rPr>
            <w:rStyle w:val="Hyperlink"/>
            <w:color w:val="000000"/>
            <w:sz w:val="24"/>
            <w:szCs w:val="24"/>
            <w:u w:val="none"/>
          </w:rPr>
          <w:t>ru</w:t>
        </w:r>
      </w:hyperlink>
      <w:r>
        <w:rPr>
          <w:color w:val="000000"/>
          <w:sz w:val="24"/>
          <w:szCs w:val="24"/>
          <w:u w:val="none"/>
        </w:rPr>
        <w:t xml:space="preserve"> (далее – ГИС Торги)</w:t>
      </w:r>
      <w:r>
        <w:rPr>
          <w:b/>
          <w:sz w:val="24"/>
          <w:szCs w:val="24"/>
          <w:lang w:val="ru-RU"/>
        </w:rPr>
        <w:t>,</w:t>
      </w:r>
      <w:r>
        <w:rPr>
          <w:b/>
          <w:lang w:val="ru-RU"/>
        </w:rPr>
        <w:t xml:space="preserve"> </w:t>
      </w:r>
      <w:r>
        <w:rPr>
          <w:sz w:val="24"/>
          <w:szCs w:val="24"/>
          <w:lang w:val="ru-RU"/>
        </w:rPr>
        <w:t xml:space="preserve">официальном сайте муниципального образования город Пермь в информационно-телекоммуникационной сети «Интернет» </w:t>
      </w:r>
      <w:hyperlink r:id="rId3" w:tgtFrame="http://www.gorodperm.ru/">
        <w:r>
          <w:rPr>
            <w:rStyle w:val="Hyperlink"/>
            <w:color w:val="000000"/>
            <w:sz w:val="24"/>
            <w:szCs w:val="24"/>
            <w:u w:val="none"/>
          </w:rPr>
          <w:t>www</w:t>
        </w:r>
        <w:r>
          <w:rPr>
            <w:rStyle w:val="Hyperlink"/>
            <w:color w:val="000000"/>
            <w:sz w:val="24"/>
            <w:szCs w:val="24"/>
            <w:u w:val="none"/>
            <w:lang w:val="ru-RU"/>
          </w:rPr>
          <w:t>.</w:t>
        </w:r>
        <w:r>
          <w:rPr>
            <w:rStyle w:val="Hyperlink"/>
            <w:color w:val="000000"/>
            <w:sz w:val="24"/>
            <w:szCs w:val="24"/>
            <w:u w:val="none"/>
          </w:rPr>
          <w:t>gorodperm</w:t>
        </w:r>
        <w:r>
          <w:rPr>
            <w:rStyle w:val="Hyperlink"/>
            <w:color w:val="000000"/>
            <w:sz w:val="24"/>
            <w:szCs w:val="24"/>
            <w:u w:val="none"/>
            <w:lang w:val="ru-RU"/>
          </w:rPr>
          <w:t>.</w:t>
        </w:r>
        <w:r>
          <w:rPr>
            <w:rStyle w:val="Hyperlink"/>
            <w:color w:val="000000"/>
            <w:sz w:val="24"/>
            <w:szCs w:val="24"/>
            <w:u w:val="none"/>
          </w:rPr>
          <w:t>ru</w:t>
        </w:r>
      </w:hyperlink>
      <w:r>
        <w:rPr>
          <w:sz w:val="24"/>
          <w:szCs w:val="24"/>
          <w:lang w:val="ru-RU"/>
        </w:rPr>
        <w:t xml:space="preserve"> и на электронной </w:t>
      </w:r>
      <w:r>
        <w:rPr>
          <w:bCs/>
          <w:sz w:val="24"/>
          <w:szCs w:val="24"/>
          <w:lang w:val="ru-RU" w:bidi="ru-RU"/>
        </w:rPr>
        <w:t xml:space="preserve">площадке </w:t>
      </w:r>
      <w:hyperlink r:id="rId4" w:tgtFrame="http://utp.sberbank-ast.ru/">
        <w:r>
          <w:rPr>
            <w:rStyle w:val="Hyperlink"/>
            <w:sz w:val="24"/>
            <w:szCs w:val="24"/>
          </w:rPr>
          <w:t>http</w:t>
        </w:r>
        <w:r>
          <w:rPr>
            <w:rStyle w:val="Hyperlink"/>
            <w:sz w:val="24"/>
            <w:szCs w:val="24"/>
            <w:lang w:val="ru-RU"/>
          </w:rPr>
          <w:t>://</w:t>
        </w:r>
        <w:r>
          <w:rPr>
            <w:rStyle w:val="Hyperlink"/>
            <w:sz w:val="24"/>
            <w:szCs w:val="24"/>
          </w:rPr>
          <w:t>utp</w:t>
        </w:r>
        <w:r>
          <w:rPr>
            <w:rStyle w:val="Hyperlink"/>
            <w:sz w:val="24"/>
            <w:szCs w:val="24"/>
            <w:lang w:val="ru-RU"/>
          </w:rPr>
          <w:t>.</w:t>
        </w:r>
        <w:r>
          <w:rPr>
            <w:rStyle w:val="Hyperlink"/>
            <w:sz w:val="24"/>
            <w:szCs w:val="24"/>
          </w:rPr>
          <w:t>sberbank</w:t>
        </w:r>
        <w:r>
          <w:rPr>
            <w:rStyle w:val="Hyperlink"/>
            <w:sz w:val="24"/>
            <w:szCs w:val="24"/>
            <w:lang w:val="ru-RU"/>
          </w:rPr>
          <w:t>-</w:t>
        </w:r>
        <w:r>
          <w:rPr>
            <w:rStyle w:val="Hyperlink"/>
            <w:sz w:val="24"/>
            <w:szCs w:val="24"/>
          </w:rPr>
          <w:t>ast</w:t>
        </w:r>
        <w:r>
          <w:rPr>
            <w:rStyle w:val="Hyperlink"/>
            <w:sz w:val="24"/>
            <w:szCs w:val="24"/>
            <w:lang w:val="ru-RU"/>
          </w:rPr>
          <w:t>.</w:t>
        </w:r>
        <w:r>
          <w:rPr>
            <w:rStyle w:val="Hyperlink"/>
            <w:sz w:val="24"/>
            <w:szCs w:val="24"/>
          </w:rPr>
          <w:t>ru</w:t>
        </w:r>
      </w:hyperlink>
      <w:r>
        <w:rPr>
          <w:bCs/>
          <w:sz w:val="24"/>
          <w:szCs w:val="24"/>
          <w:lang w:val="ru-RU" w:bidi="ru-RU"/>
        </w:rPr>
        <w:t>.</w:t>
      </w:r>
    </w:p>
    <w:p>
      <w:pPr>
        <w:pStyle w:val="Normal"/>
        <w:widowControl w:val="false"/>
        <w:ind w:firstLine="567" w:left="-567"/>
        <w:jc w:val="both"/>
        <w:rPr>
          <w:rFonts w:eastAsia="Courier New"/>
          <w:b/>
          <w:color w:val="000000"/>
          <w:lang w:eastAsia="en-US" w:bidi="ru-RU"/>
        </w:rPr>
      </w:pPr>
      <w:r>
        <w:rPr>
          <w:rFonts w:eastAsia="Courier New"/>
          <w:b/>
          <w:color w:val="000000"/>
          <w:lang w:bidi="ru-RU"/>
        </w:rPr>
        <w:t>Адрес электронной площадки в информационно-телекоммуникационной сети «Интернет», на которой будет проводиться аукцион</w:t>
      </w:r>
      <w:r>
        <w:rPr>
          <w:rFonts w:eastAsia="Courier New"/>
          <w:color w:val="000000"/>
          <w:lang w:bidi="ru-RU"/>
        </w:rPr>
        <w:t>:</w:t>
      </w:r>
      <w:r>
        <w:rPr>
          <w:rFonts w:eastAsia="Courier New" w:cs="Courier New" w:ascii="Courier New" w:hAnsi="Courier New"/>
          <w:color w:val="000000"/>
          <w:lang w:bidi="ru-RU"/>
        </w:rPr>
        <w:t xml:space="preserve"> </w:t>
      </w:r>
      <w:hyperlink r:id="rId5" w:tgtFrame="http://utp.sberbank-ast.ru/">
        <w:r>
          <w:rPr>
            <w:rStyle w:val="Hyperlink"/>
          </w:rPr>
          <w:t>http://utp.sberbank-ast.ru</w:t>
        </w:r>
      </w:hyperlink>
      <w:r>
        <w:rPr>
          <w:rFonts w:eastAsia="Courier New"/>
          <w:lang w:bidi="ru-RU"/>
        </w:rPr>
        <w:t xml:space="preserve"> </w:t>
        <w:br/>
      </w:r>
      <w:r>
        <w:rPr>
          <w:rFonts w:eastAsia="Courier New"/>
          <w:color w:val="000000"/>
          <w:lang w:bidi="ru-RU"/>
        </w:rPr>
        <w:t xml:space="preserve">(далее – электронная площадка), торговая секция «Приватизация, аренда и продажа прав» </w:t>
        <w:br/>
        <w:t xml:space="preserve">(далее – торговая секция). </w:t>
      </w:r>
    </w:p>
    <w:p>
      <w:pPr>
        <w:pStyle w:val="Normal"/>
        <w:widowControl w:val="false"/>
        <w:spacing w:before="0" w:after="0"/>
        <w:ind w:firstLine="567" w:left="-567"/>
        <w:contextualSpacing/>
        <w:jc w:val="both"/>
        <w:rPr>
          <w:rFonts w:eastAsia="Courier New"/>
          <w:color w:val="000000"/>
          <w:lang w:bidi="ru-RU"/>
        </w:rPr>
      </w:pPr>
      <w:r>
        <w:rPr>
          <w:rFonts w:eastAsia="Courier New"/>
          <w:b/>
          <w:color w:val="000000"/>
          <w:lang w:eastAsia="en-US" w:bidi="ru-RU"/>
        </w:rPr>
        <w:t>Владелец электронной площадки</w:t>
      </w:r>
      <w:r>
        <w:rPr>
          <w:rFonts w:eastAsia="Courier New"/>
          <w:color w:val="000000"/>
          <w:lang w:eastAsia="en-US" w:bidi="ru-RU"/>
        </w:rPr>
        <w:t>:</w:t>
      </w:r>
      <w:r>
        <w:rPr>
          <w:rFonts w:eastAsia="Calibri"/>
          <w:lang w:eastAsia="en-US"/>
        </w:rPr>
        <w:t xml:space="preserve"> АО «Сбербанк-АСТ» (далее – Оператор)</w:t>
      </w:r>
      <w:r>
        <w:rPr>
          <w:rFonts w:eastAsia="Courier New"/>
          <w:color w:val="000000"/>
          <w:lang w:eastAsia="en-US" w:bidi="ru-RU"/>
        </w:rPr>
        <w:t>.</w:t>
      </w:r>
    </w:p>
    <w:p>
      <w:pPr>
        <w:pStyle w:val="Normal"/>
        <w:widowControl w:val="false"/>
        <w:spacing w:before="0" w:after="0"/>
        <w:ind w:firstLine="567" w:left="-567"/>
        <w:contextualSpacing/>
        <w:jc w:val="both"/>
        <w:rPr>
          <w:bCs/>
          <w:lang w:bidi="ru-RU"/>
        </w:rPr>
      </w:pPr>
      <w:r>
        <w:rPr>
          <w:rFonts w:eastAsia="Courier New"/>
          <w:color w:val="000000"/>
          <w:lang w:bidi="ru-RU"/>
        </w:rPr>
        <w:t xml:space="preserve">Регламент работы электронной площадки размещён по </w:t>
      </w:r>
      <w:r>
        <w:rPr>
          <w:rFonts w:eastAsia="Courier New"/>
          <w:lang w:bidi="ru-RU"/>
        </w:rPr>
        <w:t xml:space="preserve">адресу: </w:t>
      </w:r>
      <w:hyperlink r:id="rId6" w:tgtFrame="https://utp.sberbank-ast.ru/Main/Notice/988/Reglament">
        <w:r>
          <w:rPr>
            <w:rStyle w:val="Hyperlink"/>
            <w:rFonts w:eastAsia="Courier New"/>
            <w:lang w:bidi="ru-RU"/>
          </w:rPr>
          <w:t>https://utp.sberbank-ast.ru/Main/Notice/988/Reglament</w:t>
        </w:r>
      </w:hyperlink>
      <w:r>
        <w:rPr>
          <w:rFonts w:eastAsia="Courier New"/>
          <w:lang w:bidi="ru-RU"/>
        </w:rPr>
        <w:t>.</w:t>
      </w:r>
    </w:p>
    <w:p>
      <w:pPr>
        <w:pStyle w:val="Normal"/>
        <w:widowControl w:val="false"/>
        <w:spacing w:before="0" w:after="0"/>
        <w:ind w:firstLine="567" w:left="-567"/>
        <w:contextualSpacing/>
        <w:jc w:val="both"/>
        <w:rPr>
          <w:rFonts w:eastAsia="Courier New"/>
          <w:lang w:bidi="ru-RU"/>
        </w:rPr>
      </w:pPr>
      <w:r>
        <w:rPr>
          <w:bCs/>
          <w:lang w:bidi="ru-RU"/>
        </w:rPr>
        <w:t xml:space="preserve">Регламент работы </w:t>
      </w:r>
      <w:r>
        <w:rPr>
          <w:rFonts w:eastAsia="Courier New"/>
          <w:lang w:bidi="ru-RU"/>
        </w:rPr>
        <w:t xml:space="preserve">торговой секции </w:t>
      </w:r>
      <w:r>
        <w:rPr>
          <w:bCs/>
          <w:lang w:eastAsia="en-US" w:bidi="ru-RU"/>
        </w:rPr>
        <w:t xml:space="preserve">размещен по адресу: </w:t>
      </w:r>
      <w:r>
        <w:rPr>
          <w:rFonts w:eastAsia="Calibri"/>
          <w:lang w:eastAsia="en-US"/>
        </w:rPr>
        <w:t xml:space="preserve"> </w:t>
      </w:r>
      <w:r>
        <w:rPr>
          <w:rFonts w:eastAsia="Calibri"/>
          <w:lang w:eastAsia="en-US"/>
        </w:rPr>
        <w:br w:type="textWrapping" w:clear="all"/>
      </w:r>
      <w:hyperlink r:id="rId7" w:tgtFrame="https://utp.sberbank-ast.ru/AP/Notice/1027/Instructions">
        <w:r>
          <w:rPr>
            <w:rStyle w:val="Hyperlink"/>
            <w:rFonts w:eastAsia="Calibri"/>
            <w:lang w:eastAsia="en-US"/>
          </w:rPr>
          <w:t>https://utp.sberbank-ast.ru/AP/Notice/1027/Instructions</w:t>
        </w:r>
      </w:hyperlink>
      <w:r>
        <w:rPr>
          <w:rFonts w:eastAsia="Calibri"/>
          <w:lang w:eastAsia="en-US"/>
        </w:rPr>
        <w:t>.</w:t>
      </w:r>
    </w:p>
    <w:p>
      <w:pPr>
        <w:pStyle w:val="Normal"/>
        <w:widowControl w:val="false"/>
        <w:spacing w:before="0" w:after="0"/>
        <w:ind w:firstLine="567" w:left="-567"/>
        <w:contextualSpacing/>
        <w:jc w:val="both"/>
        <w:rPr>
          <w:b/>
          <w:bCs/>
        </w:rPr>
      </w:pPr>
      <w:r>
        <w:rPr>
          <w:rFonts w:eastAsia="Courier New"/>
          <w:lang w:bidi="ru-RU"/>
        </w:rPr>
        <w:t xml:space="preserve">Инструкция по работе в торговой секции электронной площадки  </w:t>
      </w:r>
      <w:r>
        <w:rPr>
          <w:rFonts w:eastAsia="Courier New"/>
          <w:lang w:bidi="ru-RU"/>
        </w:rPr>
        <w:br w:type="textWrapping" w:clear="all"/>
      </w:r>
      <w:r>
        <w:rPr>
          <w:bCs/>
          <w:lang w:eastAsia="en-US" w:bidi="ru-RU"/>
        </w:rPr>
        <w:t>размещена по адресу:</w:t>
      </w:r>
      <w:r>
        <w:rPr>
          <w:rFonts w:eastAsia="Calibri" w:cs="Calibri" w:ascii="Calibri" w:hAnsi="Calibri"/>
          <w:sz w:val="22"/>
          <w:szCs w:val="22"/>
          <w:lang w:eastAsia="en-US"/>
        </w:rPr>
        <w:t xml:space="preserve"> </w:t>
      </w:r>
      <w:hyperlink r:id="rId8" w:tgtFrame="https://utp.sberbank-ast.ru/AP/Notice/652/Instructions">
        <w:r>
          <w:rPr>
            <w:rStyle w:val="Hyperlink"/>
            <w:bCs/>
            <w:lang w:eastAsia="en-US" w:bidi="ru-RU"/>
          </w:rPr>
          <w:t>https://utp.sberbank-ast.ru/AP/Notice/652/Instructions</w:t>
        </w:r>
      </w:hyperlink>
      <w:r>
        <w:rPr>
          <w:bCs/>
          <w:lang w:eastAsia="en-US" w:bidi="ru-RU"/>
        </w:rPr>
        <w:t>.</w:t>
      </w:r>
    </w:p>
    <w:p>
      <w:pPr>
        <w:pStyle w:val="Normal"/>
        <w:widowControl w:val="false"/>
        <w:ind w:firstLine="567" w:left="-567"/>
        <w:jc w:val="both"/>
        <w:rPr>
          <w:highlight w:val="none"/>
        </w:rPr>
      </w:pPr>
      <w:r>
        <w:rPr>
          <w:b/>
          <w:bCs/>
        </w:rPr>
        <w:t xml:space="preserve">Орган, уполномоченный на заключение договора купли-продажи земельного участка: </w:t>
      </w:r>
      <w:r>
        <w:rPr>
          <w:bCs/>
        </w:rPr>
        <w:t xml:space="preserve">департамент земельных отношений администрации города Перми, местонахождение: 614000, </w:t>
        <w:br/>
        <w:t>г. Пермь, ул. Сибирская,15, почтовый адрес: 614000, г. Пермь, ул. Сибирская,15, телефон 212-61-90 (отдел договоров), адрес электронной почты:</w:t>
      </w:r>
      <w:r>
        <w:rPr>
          <w:bCs/>
          <w:sz w:val="24"/>
          <w:szCs w:val="24"/>
        </w:rPr>
        <w:t xml:space="preserve"> </w:t>
      </w:r>
      <w:r>
        <w:rPr>
          <w:rStyle w:val="Hyperlink"/>
          <w:bCs/>
          <w:sz w:val="24"/>
          <w:szCs w:val="24"/>
          <w:lang w:val="en-US"/>
        </w:rPr>
        <w:t>dzo</w:t>
      </w:r>
      <w:r>
        <w:rPr>
          <w:rStyle w:val="Hyperlink"/>
          <w:bCs/>
          <w:sz w:val="24"/>
          <w:szCs w:val="24"/>
        </w:rPr>
        <w:t>@</w:t>
      </w:r>
      <w:r>
        <w:rPr>
          <w:rStyle w:val="Hyperlink"/>
          <w:bCs/>
          <w:sz w:val="24"/>
          <w:szCs w:val="24"/>
          <w:lang w:val="en-US"/>
        </w:rPr>
        <w:t>perm</w:t>
      </w:r>
      <w:r>
        <w:rPr>
          <w:rStyle w:val="Hyperlink"/>
          <w:bCs/>
          <w:sz w:val="24"/>
          <w:szCs w:val="24"/>
        </w:rPr>
        <w:t>.</w:t>
      </w:r>
      <w:r>
        <w:rPr>
          <w:rStyle w:val="Hyperlink"/>
          <w:bCs/>
          <w:sz w:val="24"/>
          <w:szCs w:val="24"/>
          <w:lang w:val="en-US"/>
        </w:rPr>
        <w:t>permkrai</w:t>
      </w:r>
      <w:r>
        <w:rPr>
          <w:rStyle w:val="Hyperlink"/>
          <w:bCs/>
          <w:sz w:val="24"/>
          <w:szCs w:val="24"/>
        </w:rPr>
        <w:t>.</w:t>
      </w:r>
      <w:r>
        <w:rPr>
          <w:rStyle w:val="Hyperlink"/>
          <w:bCs/>
          <w:sz w:val="24"/>
          <w:szCs w:val="24"/>
          <w:lang w:val="en-US"/>
        </w:rPr>
        <w:t>ru.</w:t>
      </w:r>
    </w:p>
    <w:p>
      <w:pPr>
        <w:pStyle w:val="Normal"/>
        <w:widowControl w:val="false"/>
        <w:ind w:firstLine="567" w:left="-567"/>
        <w:jc w:val="both"/>
        <w:rPr>
          <w:b/>
          <w:bCs/>
        </w:rPr>
      </w:pPr>
      <w:r>
        <w:rPr>
          <w:b/>
          <w:bCs/>
        </w:rPr>
      </w:r>
    </w:p>
    <w:p>
      <w:pPr>
        <w:pStyle w:val="PlainText"/>
        <w:spacing w:lineRule="exact" w:line="240"/>
        <w:ind w:hanging="1134" w:left="1134"/>
        <w:jc w:val="center"/>
        <w:rPr>
          <w:b/>
          <w:lang w:val="ru-RU"/>
        </w:rPr>
      </w:pPr>
      <w:r>
        <w:rPr>
          <w:rFonts w:cs="Times New Roman" w:ascii="Times New Roman" w:hAnsi="Times New Roman"/>
          <w:b/>
          <w:sz w:val="28"/>
          <w:szCs w:val="28"/>
          <w:lang w:val="ru-RU"/>
        </w:rPr>
        <w:t>Сведения о лотах (предметах аукциона)</w:t>
      </w:r>
    </w:p>
    <w:p>
      <w:pPr>
        <w:pStyle w:val="PlainText"/>
        <w:spacing w:lineRule="exact" w:line="240"/>
        <w:ind w:hanging="1134" w:left="1134"/>
        <w:jc w:val="center"/>
        <w:rPr>
          <w:b/>
          <w:lang w:val="ru-RU"/>
        </w:rPr>
      </w:pPr>
      <w:r>
        <w:rPr>
          <w:b/>
          <w:lang w:val="ru-RU"/>
        </w:rPr>
      </w:r>
    </w:p>
    <w:p>
      <w:pPr>
        <w:pStyle w:val="Normal"/>
        <w:tabs>
          <w:tab w:val="clear" w:pos="708"/>
          <w:tab w:val="left" w:pos="5103" w:leader="none"/>
        </w:tabs>
        <w:ind w:right="-263"/>
        <w:rPr>
          <w:sz w:val="20"/>
          <w:szCs w:val="20"/>
          <w:highlight w:val="none"/>
        </w:rPr>
      </w:pPr>
      <w:r>
        <w:rPr>
          <w:b/>
          <w:lang w:val="en-US"/>
        </w:rPr>
        <w:t>Лот № 1</w:t>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356"/>
        <w:gridCol w:w="3308"/>
        <w:gridCol w:w="6821"/>
      </w:tblGrid>
      <w:tr>
        <w:trPr>
          <w:trHeight w:val="877"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3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0"/>
              <w:jc w:val="left"/>
              <w:rPr>
                <w:sz w:val="24"/>
                <w:szCs w:val="24"/>
              </w:rPr>
            </w:pPr>
            <w:r>
              <w:rPr>
                <w:sz w:val="24"/>
                <w:szCs w:val="24"/>
              </w:rPr>
              <w:t>Наименование органа местного самоуправления, принявшего решение о проведении аукциона, реквизиты указанного решения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Администрация города Перми, распоряжение начальника </w:t>
              <w:br/>
              <w:t>департамента земельных отношений администрации города Перми</w:t>
            </w:r>
            <w:r>
              <w:rPr>
                <w:sz w:val="20"/>
                <w:szCs w:val="24"/>
              </w:rPr>
              <w:t xml:space="preserve"> </w:t>
            </w:r>
            <w:r>
              <w:rPr>
                <w:sz w:val="24"/>
                <w:szCs w:val="28"/>
                <w:highlight w:val="white"/>
              </w:rPr>
              <w:t>от 19 июня 2024 г. № 21-01-03-5744 «О проведении аукциона по продаже земельного участка                                               в Орджоникидзевском районе города Перми»</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Предмет аукциона по продаже земельного 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35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360" w:left="720" w:right="-263"/>
              <w:jc w:val="both"/>
              <w:rPr>
                <w:sz w:val="24"/>
                <w:szCs w:val="24"/>
              </w:rPr>
            </w:pPr>
            <w:r>
              <w:rPr>
                <w:sz w:val="24"/>
                <w:szCs w:val="24"/>
              </w:rPr>
              <w:t>местоположение</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улица 1-я Логовая, з/у 1д</w:t>
            </w:r>
          </w:p>
        </w:tc>
      </w:tr>
      <w:tr>
        <w:trPr>
          <w:trHeight w:val="148"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360" w:left="720" w:right="-263"/>
              <w:rPr>
                <w:sz w:val="24"/>
                <w:szCs w:val="24"/>
              </w:rPr>
            </w:pPr>
            <w:r>
              <w:rPr>
                <w:sz w:val="24"/>
                <w:szCs w:val="24"/>
              </w:rPr>
              <w:t>площадь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733 кв. м</w:t>
            </w:r>
          </w:p>
        </w:tc>
      </w:tr>
      <w:tr>
        <w:trPr>
          <w:trHeight w:val="155"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360" w:left="720" w:right="-263"/>
              <w:rPr>
                <w:sz w:val="24"/>
                <w:szCs w:val="24"/>
              </w:rPr>
            </w:pPr>
            <w:r>
              <w:rPr>
                <w:sz w:val="24"/>
                <w:szCs w:val="24"/>
              </w:rPr>
              <w:t>кадастровый номер</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t>59:01:3812839:178</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права на земельный участок</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вид разрешенного использования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для индивидуального жилищного строительства (2.1)</w:t>
            </w:r>
          </w:p>
        </w:tc>
      </w:tr>
      <w:tr>
        <w:trPr>
          <w:trHeight w:val="576"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 xml:space="preserve">принадлежность к определенной  </w:t>
              <w:br/>
              <w:t>категории земель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356" w:type="dxa"/>
            <w:vMerge w:val="continue"/>
            <w:tcBorders>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t>принадлежность к определенной территориальной зоне</w:t>
            </w:r>
          </w:p>
        </w:tc>
        <w:tc>
          <w:tcPr>
            <w:tcW w:w="6821" w:type="dxa"/>
            <w:tcBorders>
              <w:left w:val="single" w:sz="4" w:space="0" w:color="000000"/>
              <w:bottom w:val="single" w:sz="4" w:space="0" w:color="000000"/>
              <w:right w:val="single" w:sz="4" w:space="0" w:color="000000"/>
            </w:tcBorders>
          </w:tcPr>
          <w:p>
            <w:pPr>
              <w:pStyle w:val="Normal"/>
              <w:ind w:right="-263"/>
              <w:jc w:val="both"/>
              <w:rPr>
                <w:sz w:val="24"/>
                <w:szCs w:val="24"/>
              </w:rPr>
            </w:pPr>
            <w:r>
              <w:rPr>
                <w:sz w:val="24"/>
                <w:szCs w:val="24"/>
                <w:shd w:fill="auto" w:val="clear"/>
              </w:rPr>
              <w:t>Ж-4 «Зона индивиду</w:t>
            </w:r>
            <w:r>
              <w:rPr>
                <w:sz w:val="24"/>
                <w:szCs w:val="24"/>
              </w:rPr>
              <w:t>альной жилой застройки городского типа»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ограничение прав</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14:ligatures w14:val="none"/>
              </w:rPr>
            </w:pPr>
            <w:r>
              <w:rPr>
                <w:sz w:val="24"/>
                <w:szCs w:val="24"/>
              </w:rPr>
              <w:t>в выписке из Единого государственного реестра недвижимости об объекте недвижимости от 20.11.2025г. № КУВИ-001/2025-212122747 (далее - ЕГРН)</w:t>
            </w:r>
            <w:r>
              <w:rPr>
                <w:sz w:val="24"/>
                <w:szCs w:val="24"/>
                <w14:ligatures w14:val="none"/>
              </w:rPr>
              <w:t>;</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rPr>
            </w:pPr>
            <w:r>
              <w:rPr>
                <w:sz w:val="24"/>
                <w:szCs w:val="24"/>
              </w:rPr>
              <w:t>от 19.01.2024 № РФ-59-2-03-0-00-2024-0065-0 (далее – ГПЗУ). (приложение 2 к настоящему извещению).</w:t>
            </w:r>
          </w:p>
          <w:p>
            <w:pPr>
              <w:pStyle w:val="BodyText"/>
              <w:ind w:firstLine="362"/>
              <w:jc w:val="both"/>
              <w:rPr>
                <w:sz w:val="24"/>
                <w:szCs w:val="24"/>
              </w:rPr>
            </w:pPr>
            <w:r>
              <w:rPr>
                <w:sz w:val="24"/>
                <w:szCs w:val="24"/>
              </w:rPr>
            </w:r>
          </w:p>
          <w:p>
            <w:pPr>
              <w:pStyle w:val="Normal"/>
              <w:spacing w:lineRule="auto" w:line="240" w:before="0" w:after="0"/>
              <w:ind w:firstLine="425" w:left="0" w:right="0"/>
              <w:jc w:val="both"/>
              <w:rPr>
                <w:rFonts w:ascii="Times New Roman" w:hAnsi="Times New Roman"/>
                <w:b/>
                <w:sz w:val="24"/>
                <w:szCs w:val="24"/>
              </w:rPr>
            </w:pPr>
            <w:r>
              <w:rPr>
                <w:b w:val="false"/>
                <w:bCs w:val="false"/>
                <w:color w:val="000000"/>
                <w:sz w:val="24"/>
                <w:szCs w:val="24"/>
              </w:rPr>
              <w:t>В ходе визуального осмотра территории установлено, что доступ на земельный участок не ограничен, состояние рельефа земельного участка ровное, на территории размещены два деревянных строения. На земельном участке произрастают лиственные и хвойные деревья.</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Близлежащие пожарные гидранты расположены </w:t>
              <w:br/>
              <w:t>по адресам: Пермский край, г. Пермь, Орджоникидзевский район, ул. Александра Пархоменко, 21, 25, 31, ул. Чапаева, 6; пожарные водоемы расположены по адресу: Пермский край, г. Пермь, Орджоникидзевский район, ул. Новогодняя, 11, ул. 2-я Планерная, 19.</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администрации Орджоникидзевского района города Перми</w:t>
            </w:r>
            <w:r>
              <w:rPr>
                <w:sz w:val="24"/>
                <w:szCs w:val="24"/>
              </w:rPr>
              <w:t xml:space="preserve"> от 26.05.2026 № 059-37-01-32/3-2922, в акте обследования от 22.05.2026 № 50).</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В соответствии со сведениями из ЕГРН в границах Участка объекты капитального строительства отсутствуют.</w:t>
            </w:r>
          </w:p>
          <w:p>
            <w:pPr>
              <w:pStyle w:val="Normal"/>
              <w:spacing w:lineRule="auto" w:line="240" w:before="0" w:after="0"/>
              <w:ind w:firstLine="425" w:left="0" w:right="0"/>
              <w:jc w:val="both"/>
              <w:rPr>
                <w:rFonts w:ascii="Times New Roman" w:hAnsi="Times New Roman"/>
                <w:sz w:val="24"/>
                <w:szCs w:val="24"/>
              </w:rPr>
            </w:pPr>
            <w:r>
              <w:rPr>
                <w:sz w:val="24"/>
                <w:szCs w:val="24"/>
              </w:rPr>
              <w:t>По данным геодезической съемки в границах Участка объекты капитального строительства отсутствуют.</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 xml:space="preserve">Согласно сведениям, содержащимся в ГПЗУ, ЕГРН и справке по градостроительным условиям </w:t>
              <w:br/>
              <w:t>от 20.11.2025 № 655088, Участок полностью расположен в границах зоны с особыми условиями использования территории: Приаэродромная территория аэродрома аэропорта Большое Савино, реестровый номер границы 59:32-6.553.</w:t>
            </w:r>
          </w:p>
          <w:p>
            <w:pPr>
              <w:pStyle w:val="Normal"/>
              <w:spacing w:lineRule="auto" w:line="240" w:before="0" w:after="0"/>
              <w:ind w:firstLine="425" w:left="0" w:right="0"/>
              <w:jc w:val="both"/>
              <w:rPr>
                <w:rFonts w:ascii="Times New Roman" w:hAnsi="Times New Roman"/>
                <w:sz w:val="24"/>
                <w:szCs w:val="24"/>
              </w:rPr>
            </w:pPr>
            <w:r>
              <w:rPr>
                <w:color w:themeColor="text1" w:val="000000"/>
                <w:sz w:val="24"/>
                <w:szCs w:val="24"/>
              </w:rPr>
              <w:t>Проектирование и строительство вести в соответствии 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На Участке произрастает 4 дерева породы береза.</w:t>
            </w:r>
          </w:p>
          <w:p>
            <w:pPr>
              <w:pStyle w:val="Normal"/>
              <w:spacing w:lineRule="auto" w:line="240" w:before="0" w:after="0"/>
              <w:ind w:firstLine="425" w:left="0" w:right="0"/>
              <w:jc w:val="both"/>
              <w:rPr>
                <w:rFonts w:ascii="Times New Roman" w:hAnsi="Times New Roman"/>
                <w:sz w:val="24"/>
                <w:szCs w:val="24"/>
              </w:rPr>
            </w:pPr>
            <w:r>
              <w:rPr>
                <w:sz w:val="24"/>
                <w:szCs w:val="24"/>
              </w:rPr>
              <w:t>Средняя стоимость в ценах 2024 года одного дерева лиственной породы от 17 тыс. руб., а хвойной – от 20 тыс. руб.</w:t>
            </w:r>
          </w:p>
          <w:p>
            <w:pPr>
              <w:pStyle w:val="Normal"/>
              <w:spacing w:lineRule="auto" w:line="240" w:before="0" w:after="0"/>
              <w:ind w:firstLine="425" w:left="0" w:right="0"/>
              <w:jc w:val="both"/>
              <w:rPr>
                <w:rFonts w:ascii="Times New Roman" w:hAnsi="Times New Roman"/>
                <w:sz w:val="24"/>
                <w:szCs w:val="24"/>
              </w:rPr>
            </w:pPr>
            <w:r>
              <w:rPr>
                <w:spacing w:val="-6"/>
                <w:sz w:val="24"/>
                <w:szCs w:val="24"/>
              </w:rPr>
              <w:t>Победителю аукциона необходимо соблюдать условия строительства, указанные в письме.</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управления по экологии и природопользованию администрации города Перми</w:t>
            </w:r>
            <w:r>
              <w:rPr>
                <w:sz w:val="24"/>
                <w:szCs w:val="24"/>
              </w:rPr>
              <w:t xml:space="preserve"> от 17.01.2024 № 059-33-01-10/3-27).</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Сообщается о возможности присоединения Участка к автомобильной дороге по ул. 1-я Логовая. Данная дорога входит в Перечень дорог общего пользования местного значения, утвержденного постановлением администрации города Перми от 02.06.2009 № 298.</w:t>
            </w:r>
          </w:p>
          <w:p>
            <w:pPr>
              <w:pStyle w:val="Normal"/>
              <w:spacing w:lineRule="auto" w:line="240" w:before="0" w:after="0"/>
              <w:ind w:firstLine="425" w:left="0" w:right="0"/>
              <w:jc w:val="both"/>
              <w:rPr>
                <w:rFonts w:ascii="Times New Roman" w:hAnsi="Times New Roman"/>
                <w:sz w:val="24"/>
                <w:szCs w:val="24"/>
              </w:rPr>
            </w:pPr>
            <w:r>
              <w:rPr>
                <w:sz w:val="24"/>
                <w:szCs w:val="24"/>
              </w:rPr>
              <w:t>В соответствии с бюджетом города Перми на 2024 год и плановый период 2025-2026 годов мероприятий по строительству, реконструкции, капитальному ремонту улично-дорожной сети на данной территории не запланировано.</w:t>
            </w:r>
          </w:p>
          <w:p>
            <w:pPr>
              <w:pStyle w:val="Normal"/>
              <w:spacing w:lineRule="auto" w:line="240" w:beforeAutospacing="0" w:before="0" w:afterAutospacing="0" w:after="0"/>
              <w:ind w:firstLine="283" w:left="0" w:right="0"/>
              <w:jc w:val="both"/>
              <w:rPr>
                <w:highlight w:val="white"/>
              </w:rPr>
            </w:pPr>
            <w:r>
              <w:rPr>
                <w:rFonts w:eastAsia="Times New Roman" w:cs="Times New Roman"/>
                <w:color w:val="000000"/>
                <w:sz w:val="24"/>
                <w:highlight w:val="white"/>
              </w:rPr>
              <w:t>Для примыкания Участка к улично-дорожной сети города Перми н</w:t>
            </w:r>
            <w:r>
              <w:rPr>
                <w:rFonts w:eastAsia="Times New Roman" w:cs="Times New Roman"/>
                <w:color w:themeColor="text1" w:val="000000"/>
                <w:sz w:val="24"/>
                <w:highlight w:val="white"/>
              </w:rPr>
              <w:t>еобходимо выполнить условия, указанные в письме (прилагается).</w:t>
            </w:r>
          </w:p>
          <w:p>
            <w:pPr>
              <w:pStyle w:val="Normal"/>
              <w:spacing w:lineRule="auto" w:line="240" w:beforeAutospacing="0" w:before="0" w:afterAutospacing="0" w:after="0"/>
              <w:ind w:firstLine="283" w:left="0" w:right="0"/>
              <w:jc w:val="both"/>
              <w:rPr>
                <w:highlight w:val="white"/>
              </w:rPr>
            </w:pPr>
            <w:r>
              <w:rPr>
                <w:rFonts w:eastAsia="Times New Roman" w:cs="Times New Roman"/>
                <w:color w:val="000000"/>
                <w:sz w:val="24"/>
                <w:highlight w:val="white"/>
              </w:rPr>
              <w:t>Также направлена информация о соблюдении Правил благоустройства территории города Перми, утвержденных решением Пермской городской Думы от 15.12.2020 № 277 «Об утверждении правил благоустройства территории города Перми», при строительстве объектов недвижимости на земельных участках, предоставленных на торгах.</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bCs/>
                <w:sz w:val="24"/>
                <w:szCs w:val="24"/>
              </w:rPr>
              <w:t>д</w:t>
            </w:r>
            <w:r>
              <w:rPr>
                <w:b/>
                <w:sz w:val="24"/>
                <w:szCs w:val="24"/>
              </w:rPr>
              <w:t>епартамента дорог и благоустройства администрации города Перми</w:t>
            </w:r>
            <w:r>
              <w:rPr>
                <w:sz w:val="24"/>
                <w:szCs w:val="24"/>
              </w:rPr>
              <w:t xml:space="preserve">  от 16.01.2024 № 059-24-01-36/3-82).</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Строительство пожарного водоема на указанной территории не запланировано;</w:t>
            </w:r>
          </w:p>
          <w:p>
            <w:pPr>
              <w:pStyle w:val="Normal"/>
              <w:spacing w:lineRule="auto" w:line="240" w:before="0" w:after="0"/>
              <w:ind w:firstLine="425" w:left="0" w:right="0"/>
              <w:jc w:val="both"/>
              <w:rPr>
                <w:rFonts w:ascii="Times New Roman" w:hAnsi="Times New Roman"/>
                <w:sz w:val="24"/>
                <w:szCs w:val="24"/>
              </w:rPr>
            </w:pPr>
            <w:r>
              <w:rPr>
                <w:sz w:val="24"/>
                <w:szCs w:val="24"/>
              </w:rPr>
              <w:t>ближайшее подразделение пожарной охраны расположено по адресу: ул. Волховская, 37 (ПСЧ-7 10-ПСО);</w:t>
            </w:r>
          </w:p>
          <w:p>
            <w:pPr>
              <w:pStyle w:val="Normal"/>
              <w:spacing w:lineRule="auto" w:line="240" w:before="0" w:after="0"/>
              <w:ind w:firstLine="425" w:left="0" w:right="0"/>
              <w:jc w:val="both"/>
              <w:rPr>
                <w:rFonts w:ascii="Times New Roman" w:hAnsi="Times New Roman"/>
                <w:sz w:val="24"/>
                <w:szCs w:val="24"/>
              </w:rPr>
            </w:pPr>
            <w:r>
              <w:rPr>
                <w:spacing w:val="-6"/>
                <w:sz w:val="24"/>
                <w:szCs w:val="24"/>
              </w:rPr>
              <w:t xml:space="preserve">объект общественной безопасности, отнесенный </w:t>
              <w:br/>
              <w:t>к объектам полиции (участковые пункты полиции), отсутствуют. Ближайший участковый пункт расположен по адресу: город Пермь, переулок Талицкий, д. 8 (микрорайон Кислотные Дачи, Орджоникидзевский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425" w:left="0" w:right="0"/>
              <w:jc w:val="both"/>
              <w:rPr>
                <w:rFonts w:ascii="Times New Roman" w:hAnsi="Times New Roman"/>
                <w:sz w:val="24"/>
                <w:szCs w:val="24"/>
              </w:rPr>
            </w:pPr>
            <w:r>
              <w:rPr>
                <w:sz w:val="24"/>
                <w:szCs w:val="24"/>
              </w:rPr>
              <w:t>помещения для аварийно-спасательных формирований на указанной территории отсутствуют. В настоящее время потребность в обеспечении служебными помещениями для аварийно-спасательных формирований в указанном микрорайоне отсутствует;</w:t>
            </w:r>
          </w:p>
          <w:p>
            <w:pPr>
              <w:pStyle w:val="Normal"/>
              <w:spacing w:lineRule="auto" w:line="240" w:before="0" w:after="0"/>
              <w:ind w:firstLine="425" w:left="0" w:right="0"/>
              <w:jc w:val="both"/>
              <w:rPr>
                <w:rFonts w:ascii="Times New Roman" w:hAnsi="Times New Roman"/>
                <w:sz w:val="24"/>
                <w:szCs w:val="24"/>
              </w:rPr>
            </w:pPr>
            <w:r>
              <w:rPr>
                <w:sz w:val="24"/>
                <w:szCs w:val="24"/>
              </w:rPr>
              <w:t>на указанной территории имеется следующий источник противопожарного водоснабжения: (пожарный водоем), расположенный по улице Новогодняя, 11 – в радиусе 200 метров;</w:t>
            </w:r>
          </w:p>
          <w:p>
            <w:pPr>
              <w:pStyle w:val="Normal"/>
              <w:spacing w:lineRule="auto" w:line="240" w:before="0" w:after="0"/>
              <w:ind w:firstLine="425" w:left="0" w:right="0"/>
              <w:jc w:val="both"/>
              <w:rPr>
                <w:rFonts w:ascii="Times New Roman" w:hAnsi="Times New Roman"/>
                <w:sz w:val="24"/>
                <w:szCs w:val="24"/>
              </w:rPr>
            </w:pPr>
            <w:r>
              <w:rPr>
                <w:sz w:val="24"/>
                <w:szCs w:val="24"/>
              </w:rPr>
              <w:t>в соответствии с информацией, предоставленной Министерством территориальной безопасности Пермского края, Участок попадает в зону возможного химического заражения в особый период;</w:t>
            </w:r>
          </w:p>
          <w:p>
            <w:pPr>
              <w:pStyle w:val="Normal"/>
              <w:spacing w:lineRule="auto" w:line="240" w:before="0" w:after="0"/>
              <w:ind w:firstLine="425" w:left="0" w:right="0"/>
              <w:jc w:val="both"/>
              <w:rPr>
                <w:rFonts w:ascii="Times New Roman" w:hAnsi="Times New Roman"/>
                <w:sz w:val="24"/>
                <w:szCs w:val="24"/>
              </w:rPr>
            </w:pPr>
            <w:r>
              <w:rPr>
                <w:sz w:val="24"/>
                <w:szCs w:val="24"/>
              </w:rPr>
              <w:t>территория находится в зоне действия региональной автоматизированной системы централизованного оповещения населения города Перми, установленной по ул. 1-й Еловский переулок, д. 22 – 600 метров.</w:t>
            </w:r>
          </w:p>
          <w:p>
            <w:pPr>
              <w:pStyle w:val="Normal"/>
              <w:spacing w:lineRule="auto" w:line="240" w:before="0" w:after="0"/>
              <w:ind w:firstLine="425" w:left="0" w:right="0"/>
              <w:jc w:val="both"/>
              <w:rPr>
                <w:rFonts w:ascii="Times New Roman" w:hAnsi="Times New Roman"/>
                <w:sz w:val="24"/>
                <w:szCs w:val="24"/>
              </w:rPr>
            </w:pPr>
            <w:r>
              <w:rPr>
                <w:spacing w:val="-6"/>
              </w:rPr>
              <w:t xml:space="preserve">При размещении объектов на вышеуказанной территории необходимо соблюдать нормы и требования действующего законодательства: Федеральных законов от 21.12.1994 № 69-ФЗ «О пожарной безопасности» и от 22.07.2008 № 123-ФЗ «Технический регламент о требованиях пожарной безопасности», Региональных нормативов градостроительного проектирования «Расчетные показатели обеспеченности населения Пермского края объектами пожарной охраны», утвержденных приказом Министерства по управлению имуществом и градостроительной деятельности Пермского края от 25.02.2021 № 31-02-1-4-248, а также Свода правил 8.13130 «Системы противопожарной защиты. Источники наружного противопожарного водоснабжения. Требования пожарной безопасности», Свода правил 4.13130 «Системы противопожарной защиты. Ограничение распространения пожара </w:t>
              <w:br/>
              <w:t>на объектах защиты. Требования к объемно-планировочным и конструктивным решениям», утвержденных Приказом МЧС России от 24.04.2013 № 288 и иной документации, касающейся норм противопожарной безопасности.</w:t>
            </w:r>
          </w:p>
          <w:p>
            <w:pPr>
              <w:pStyle w:val="Normal"/>
              <w:spacing w:lineRule="auto" w:line="240" w:before="0" w:after="0"/>
              <w:ind w:firstLine="425" w:left="0" w:right="0"/>
              <w:jc w:val="both"/>
              <w:rPr>
                <w:rFonts w:ascii="Times New Roman" w:hAnsi="Times New Roman"/>
                <w:sz w:val="24"/>
                <w:szCs w:val="24"/>
              </w:rPr>
            </w:pPr>
            <w:r>
              <w:rPr>
                <w:color w:val="000000"/>
                <w:sz w:val="24"/>
                <w:szCs w:val="24"/>
              </w:rPr>
              <w:t xml:space="preserve">(Аналогичная информация отражена в письме </w:t>
            </w:r>
            <w:r>
              <w:rPr>
                <w:b/>
                <w:color w:val="000000"/>
                <w:sz w:val="24"/>
                <w:szCs w:val="24"/>
              </w:rPr>
              <w:t>департамента общественной безопасности администрации города Перми</w:t>
            </w:r>
            <w:r>
              <w:rPr>
                <w:color w:val="000000"/>
                <w:sz w:val="24"/>
                <w:szCs w:val="24"/>
              </w:rPr>
              <w:t xml:space="preserve"> от 22.12.2023 № 059-10-01-27/3-2090).</w:t>
            </w:r>
          </w:p>
        </w:tc>
      </w:tr>
      <w:tr>
        <w:trPr>
          <w:trHeight w:val="1087"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40" w:left="850" w:right="113"/>
              <w:jc w:val="left"/>
              <w:rPr>
                <w:sz w:val="24"/>
                <w:szCs w:val="24"/>
              </w:rPr>
            </w:pPr>
            <w:r>
              <w:rPr>
                <w:sz w:val="24"/>
                <w:szCs w:val="24"/>
              </w:rPr>
              <w:t xml:space="preserve">максимально и (или) минимально  допустимые параметры разрешенного строительства </w:t>
              <w:br/>
              <w:t>объекта капитального строительства</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BodyText"/>
              <w:ind w:firstLine="362"/>
              <w:jc w:val="both"/>
              <w:rPr>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lang w:val="en-US"/>
              </w:rPr>
              <w:t xml:space="preserve">Проектирование и строительство необходимо вести 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w:t>
              <w:br/>
              <w:t>от 20.10.2016 № 725/пр</w:t>
            </w:r>
            <w:r>
              <w:rPr>
                <w:sz w:val="24"/>
                <w:szCs w:val="24"/>
              </w:rPr>
              <w:t xml:space="preserve"> (ред. от 17.05.2023):</w:t>
            </w:r>
            <w:r>
              <w:rPr>
                <w:sz w:val="24"/>
                <w:szCs w:val="24"/>
                <w:lang w:val="en-US"/>
              </w:rPr>
              <w:t xml:space="preserve"> </w:t>
            </w:r>
            <w:r>
              <w:rPr>
                <w:sz w:val="24"/>
                <w:szCs w:val="24"/>
              </w:rPr>
              <w:t>д</w:t>
            </w:r>
            <w:r>
              <w:rPr>
                <w:sz w:val="24"/>
                <w:szCs w:val="24"/>
                <w:lang w:val="en-US"/>
              </w:rPr>
              <w:t>ом должен включать жилые комнаты – одну или несколько (общую комнату или гостиную, спальню),</w:t>
            </w:r>
            <w:r>
              <w:rPr>
                <w:sz w:val="24"/>
                <w:szCs w:val="24"/>
              </w:rPr>
              <w:t xml:space="preserve"> </w:t>
            </w:r>
            <w:r>
              <w:rPr>
                <w:sz w:val="24"/>
                <w:szCs w:val="24"/>
                <w:lang w:val="en-US"/>
              </w:rPr>
              <w:t>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r>
              <w:rPr>
                <w:sz w:val="24"/>
                <w:szCs w:val="24"/>
              </w:rPr>
              <w:t>, переднюю.</w:t>
            </w:r>
          </w:p>
          <w:p>
            <w:pPr>
              <w:pStyle w:val="Normal"/>
              <w:spacing w:lineRule="auto" w:line="240" w:before="0" w:after="0"/>
              <w:ind w:firstLine="425" w:left="0" w:right="0"/>
              <w:jc w:val="both"/>
              <w:rPr>
                <w:rFonts w:ascii="Times New Roman" w:hAnsi="Times New Roman"/>
                <w:sz w:val="24"/>
                <w:szCs w:val="24"/>
                <w:lang w:val="en-US"/>
              </w:rPr>
            </w:pPr>
            <w:r>
              <w:rPr>
                <w:sz w:val="24"/>
                <w:szCs w:val="24"/>
                <w:lang w:val="en-US"/>
              </w:rPr>
              <w:t>Согласно пункту 6.1 СП 55.13330.2016 площади помещений строящихся и реконструируемых жилых домов должны быть не менее: общей комнаты в однокомнатном доме - 14 м</w:t>
            </w:r>
            <w:r>
              <w:rPr>
                <w:sz w:val="24"/>
                <w:szCs w:val="24"/>
                <w:vertAlign w:val="superscript"/>
                <w:lang w:val="en-US"/>
              </w:rPr>
              <w:t>2</w:t>
            </w:r>
            <w:r>
              <w:rPr>
                <w:sz w:val="24"/>
                <w:szCs w:val="24"/>
                <w:lang w:val="en-US"/>
              </w:rPr>
              <w:t>, общей комнаты в доме с числом комнат две и более - 16 м</w:t>
            </w:r>
            <w:r>
              <w:rPr>
                <w:sz w:val="24"/>
                <w:szCs w:val="24"/>
                <w:vertAlign w:val="superscript"/>
                <w:lang w:val="en-US"/>
              </w:rPr>
              <w:t>2</w:t>
            </w:r>
            <w:r>
              <w:rPr>
                <w:sz w:val="24"/>
                <w:szCs w:val="24"/>
                <w:lang w:val="en-US"/>
              </w:rPr>
              <w:t>, спальни - 8 м</w:t>
            </w:r>
            <w:r>
              <w:rPr>
                <w:sz w:val="24"/>
                <w:szCs w:val="24"/>
                <w:vertAlign w:val="superscript"/>
                <w:lang w:val="en-US"/>
              </w:rPr>
              <w:t>2</w:t>
            </w:r>
            <w:r>
              <w:rPr>
                <w:sz w:val="24"/>
                <w:szCs w:val="24"/>
                <w:lang w:val="en-US"/>
              </w:rPr>
              <w:t xml:space="preserve"> (на двух человек - 10 м</w:t>
            </w:r>
            <w:r>
              <w:rPr>
                <w:sz w:val="24"/>
                <w:szCs w:val="24"/>
                <w:vertAlign w:val="superscript"/>
                <w:lang w:val="en-US"/>
              </w:rPr>
              <w:t>2</w:t>
            </w:r>
            <w:r>
              <w:rPr>
                <w:sz w:val="24"/>
                <w:szCs w:val="24"/>
                <w:lang w:val="en-US"/>
              </w:rPr>
              <w:t>); кухни - 8 м</w:t>
            </w:r>
            <w:r>
              <w:rPr>
                <w:sz w:val="24"/>
                <w:szCs w:val="24"/>
                <w:vertAlign w:val="superscript"/>
                <w:lang w:val="en-US"/>
              </w:rPr>
              <w:t>2</w:t>
            </w:r>
            <w:r>
              <w:rPr>
                <w:sz w:val="24"/>
                <w:szCs w:val="24"/>
                <w:lang w:val="en-US"/>
              </w:rPr>
              <w:t>; кухонной зоны в кухне-столовой - 6 м</w:t>
            </w:r>
            <w:r>
              <w:rPr>
                <w:sz w:val="24"/>
                <w:szCs w:val="24"/>
                <w:vertAlign w:val="superscript"/>
                <w:lang w:val="en-US"/>
              </w:rPr>
              <w:t>2</w:t>
            </w:r>
            <w:r>
              <w:rPr>
                <w:sz w:val="24"/>
                <w:szCs w:val="24"/>
                <w:lang w:val="en-US"/>
              </w:rPr>
              <w:t>.</w:t>
            </w:r>
            <w:r>
              <w:rPr>
                <w:sz w:val="24"/>
                <w:szCs w:val="24"/>
              </w:rPr>
              <w:t xml:space="preserve"> </w:t>
            </w:r>
            <w:r>
              <w:rPr>
                <w:sz w:val="24"/>
                <w:szCs w:val="24"/>
                <w:lang w:val="en-US"/>
              </w:rPr>
              <w:t>В домах с одной комнатой допускается проектировать кухни или кухни-ниши площадью не менее 5 м</w:t>
            </w:r>
            <w:r>
              <w:rPr>
                <w:sz w:val="24"/>
                <w:szCs w:val="24"/>
                <w:vertAlign w:val="superscript"/>
                <w:lang w:val="en-US"/>
              </w:rPr>
              <w:t>2</w:t>
            </w:r>
            <w:r>
              <w:rPr>
                <w:sz w:val="24"/>
                <w:szCs w:val="24"/>
                <w:lang w:val="en-US"/>
              </w:rPr>
              <w:t>.</w:t>
            </w:r>
            <w:r>
              <w:rPr>
                <w:sz w:val="24"/>
                <w:szCs w:val="24"/>
              </w:rPr>
              <w:t xml:space="preserve"> </w:t>
            </w:r>
            <w:r>
              <w:rPr>
                <w:sz w:val="24"/>
                <w:szCs w:val="24"/>
                <w:lang w:val="en-US"/>
              </w:rPr>
              <w:t>Площадь спальни и кухни в мансардном этаже (или этаже с наклонными ограждающими конструкциями) допускается не менее 7 м</w:t>
            </w:r>
            <w:r>
              <w:rPr>
                <w:sz w:val="24"/>
                <w:szCs w:val="24"/>
                <w:vertAlign w:val="superscript"/>
                <w:lang w:val="en-US"/>
              </w:rPr>
              <w:t>2</w:t>
            </w:r>
            <w:r>
              <w:rPr>
                <w:sz w:val="24"/>
                <w:szCs w:val="24"/>
                <w:lang w:val="en-US"/>
              </w:rPr>
              <w:t xml:space="preserve"> при условии, что общая жилая комната имеет площадь не менее 16 м</w:t>
            </w:r>
            <w:r>
              <w:rPr>
                <w:sz w:val="24"/>
                <w:szCs w:val="24"/>
                <w:vertAlign w:val="superscript"/>
                <w:lang w:val="en-US"/>
              </w:rPr>
              <w:t>2</w:t>
            </w:r>
            <w:r>
              <w:rPr>
                <w:sz w:val="24"/>
                <w:szCs w:val="24"/>
                <w:lang w:val="en-US"/>
              </w:rPr>
              <w:t>.</w:t>
            </w:r>
          </w:p>
          <w:p>
            <w:pPr>
              <w:pStyle w:val="Normal"/>
              <w:spacing w:lineRule="auto" w:line="240" w:before="0" w:after="0"/>
              <w:ind w:firstLine="425" w:left="0" w:right="0"/>
              <w:jc w:val="both"/>
              <w:rPr>
                <w:rFonts w:ascii="Times New Roman" w:hAnsi="Times New Roman"/>
                <w:spacing w:val="-6"/>
                <w:sz w:val="24"/>
                <w:szCs w:val="24"/>
              </w:rPr>
            </w:pPr>
            <w:r>
              <w:rPr>
                <w:sz w:val="24"/>
                <w:szCs w:val="24"/>
                <w:lang w:val="en-US"/>
              </w:rPr>
              <w:t xml:space="preserve">Согласно пункту 6.2 СП 55.13330.2016 высота </w:t>
              <w:br/>
              <w:t xml:space="preserve">(от пола до потолка) комнат и кухни (кухни-столовой) в климатических районах строительства IА, IБ, IГ, IД, определяемых по СП 131.13330, должна быть не менее </w:t>
            </w:r>
            <w:r>
              <w:rPr>
                <w:spacing w:val="-6"/>
                <w:sz w:val="24"/>
                <w:szCs w:val="24"/>
                <w:lang w:val="en-US"/>
              </w:rPr>
              <w:t>2,7 м, а в других климатических районах строительства -</w:t>
            </w:r>
            <w:r>
              <w:rPr>
                <w:sz w:val="24"/>
                <w:szCs w:val="24"/>
                <w:lang w:val="en-US"/>
              </w:rPr>
              <w:t xml:space="preserve"> </w:t>
            </w:r>
            <w:r>
              <w:rPr>
                <w:spacing w:val="-6"/>
                <w:sz w:val="24"/>
                <w:szCs w:val="24"/>
                <w:lang w:val="en-US"/>
              </w:rPr>
              <w:t>не менее 2,5 м. Высота внутридомовых коридоров, холлов, передних, антресолей должна составлять не менее 2,1 м,</w:t>
            </w:r>
            <w:r>
              <w:rPr>
                <w:spacing w:val="-6"/>
                <w:sz w:val="24"/>
                <w:szCs w:val="24"/>
              </w:rPr>
              <w:t xml:space="preserve"> </w:t>
            </w:r>
            <w:r>
              <w:rPr>
                <w:spacing w:val="-6"/>
                <w:sz w:val="24"/>
                <w:szCs w:val="24"/>
                <w:lang w:val="en-US"/>
              </w:rPr>
              <w:t>а высота пути эвакуации - не менее</w:t>
            </w:r>
            <w:r>
              <w:rPr>
                <w:spacing w:val="-6"/>
                <w:sz w:val="24"/>
                <w:szCs w:val="24"/>
              </w:rPr>
              <w:t xml:space="preserve"> </w:t>
            </w:r>
            <w:r>
              <w:rPr>
                <w:spacing w:val="-6"/>
                <w:sz w:val="24"/>
                <w:szCs w:val="24"/>
                <w:lang w:val="en-US"/>
              </w:rPr>
              <w:t>2,2 м.</w:t>
            </w:r>
          </w:p>
          <w:p>
            <w:pPr>
              <w:pStyle w:val="Normal"/>
              <w:spacing w:lineRule="auto" w:line="240" w:before="0" w:after="0"/>
              <w:ind w:firstLine="425" w:left="0" w:right="0"/>
              <w:jc w:val="both"/>
              <w:rPr>
                <w:rFonts w:ascii="Times New Roman" w:hAnsi="Times New Roman"/>
                <w:sz w:val="24"/>
                <w:szCs w:val="24"/>
              </w:rPr>
            </w:pPr>
            <w:r>
              <w:rPr>
                <w:sz w:val="24"/>
                <w:szCs w:val="24"/>
                <w:lang w:val="en-US"/>
              </w:rPr>
              <w:t xml:space="preserve">В жилых комнатах и кухнях, расположенных </w:t>
              <w:br/>
              <w:t>в этажах с наклонными ограждающими конструкциями или в мансардном этаже, допускается уменьшение высоты помещений (от поладо потолка), относительно нормируемой на площади, не превышающей 50%.</w:t>
            </w:r>
          </w:p>
          <w:p>
            <w:pPr>
              <w:pStyle w:val="Normal"/>
              <w:tabs>
                <w:tab w:val="clear" w:pos="708"/>
                <w:tab w:val="right" w:pos="6000" w:leader="none"/>
              </w:tabs>
              <w:spacing w:lineRule="auto" w:line="240" w:before="0" w:after="0"/>
              <w:ind w:firstLine="425" w:left="0" w:right="0"/>
              <w:jc w:val="both"/>
              <w:rPr>
                <w:rFonts w:ascii="Times New Roman" w:hAnsi="Times New Roman"/>
                <w:sz w:val="24"/>
              </w:rPr>
            </w:pPr>
            <w:r>
              <w:rPr>
                <w:sz w:val="24"/>
              </w:rPr>
              <w:t>Согласно информации, содержащейся  ГПЗУ, предельная высота зданий, строений не более 10,5 м (документация по планировке территории, утвержденная постановлением администрации города Перми от 23.12.2015 № 1102).</w:t>
            </w:r>
          </w:p>
          <w:p>
            <w:pPr>
              <w:pStyle w:val="Normal"/>
              <w:tabs>
                <w:tab w:val="clear" w:pos="708"/>
                <w:tab w:val="right" w:pos="6000" w:leader="none"/>
              </w:tabs>
              <w:spacing w:lineRule="auto" w:line="240" w:before="0" w:after="0"/>
              <w:ind w:firstLine="425" w:left="0" w:right="0"/>
              <w:jc w:val="both"/>
              <w:rPr>
                <w:rFonts w:ascii="Times New Roman" w:hAnsi="Times New Roman"/>
                <w:sz w:val="24"/>
              </w:rPr>
            </w:pPr>
            <w:r>
              <w:rPr>
                <w:sz w:val="24"/>
              </w:rPr>
              <w:t>Минимальный отступ от границ земельного участка до места допустимого размещения зданий, строений, сооружений (за исключением границ со стороны территории общего пользования, где отступ определяется с учетом красных линий и линий регулирования застройки, установленных проектом планировки территории, а также смежных земельных участков при блокированной жилой застройке) – 3 м.</w:t>
            </w:r>
          </w:p>
          <w:p>
            <w:pPr>
              <w:pStyle w:val="Normal"/>
              <w:tabs>
                <w:tab w:val="clear" w:pos="708"/>
                <w:tab w:val="right" w:pos="6000" w:leader="none"/>
              </w:tabs>
              <w:spacing w:lineRule="auto" w:line="240" w:before="0" w:after="0"/>
              <w:ind w:firstLine="425" w:left="0" w:right="0"/>
              <w:jc w:val="both"/>
              <w:rPr>
                <w:rFonts w:ascii="Times New Roman" w:hAnsi="Times New Roman"/>
                <w:sz w:val="24"/>
              </w:rPr>
            </w:pPr>
            <w:r>
              <w:rPr>
                <w:sz w:val="24"/>
              </w:rPr>
              <w:t xml:space="preserve">Максимальный выступ за красную линию нависающих частей здания наземных уровней, выступающих из плоскости наружной стены фасада здания на высоте не менее 4,5 м над территорией общего пользования, составляет не более 1,2 м </w:t>
              <w:br/>
              <w:t>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Normal"/>
              <w:spacing w:lineRule="auto" w:line="240" w:before="0" w:after="0"/>
              <w:ind w:firstLine="425" w:left="0" w:right="0"/>
              <w:jc w:val="both"/>
              <w:rPr>
                <w:rFonts w:ascii="Times New Roman" w:hAnsi="Times New Roman"/>
                <w:sz w:val="24"/>
              </w:rPr>
            </w:pPr>
            <w:r>
              <w:rPr>
                <w:sz w:val="24"/>
              </w:rPr>
              <w:t>Максимальный процент застройки в границах Участка – 30%.</w:t>
            </w:r>
          </w:p>
          <w:p>
            <w:pPr>
              <w:pStyle w:val="Normal"/>
              <w:spacing w:lineRule="auto" w:line="240" w:before="0" w:after="0"/>
              <w:ind w:firstLine="425" w:left="0" w:right="0"/>
              <w:jc w:val="both"/>
              <w:rPr>
                <w:rFonts w:ascii="Times New Roman" w:hAnsi="Times New Roman"/>
                <w:sz w:val="24"/>
              </w:rPr>
            </w:pPr>
            <w:r>
              <w:rPr>
                <w:color w:themeColor="text1" w:val="000000"/>
                <w:sz w:val="24"/>
                <w:szCs w:val="24"/>
                <w:lang w:val="en-US"/>
              </w:rPr>
              <w:t>С уведомлением о планируемом строительстве жилого дома рекомендуется обратиться в уполномоченный орган администрации города Перми.</w:t>
            </w:r>
          </w:p>
          <w:p>
            <w:pPr>
              <w:pStyle w:val="BodyText"/>
              <w:ind w:firstLine="362"/>
              <w:jc w:val="both"/>
              <w:rPr>
                <w:sz w:val="24"/>
                <w:szCs w:val="24"/>
              </w:rPr>
            </w:pPr>
            <w:r>
              <w:rPr>
                <w:sz w:val="24"/>
                <w:szCs w:val="24"/>
              </w:rPr>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529"/>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hyperlink r:id="rId9" w:tgtFrame="http://www.gorodperm.ru/">
              <w:r>
                <w:rPr>
                  <w:rStyle w:val="Hyperlink"/>
                  <w:sz w:val="24"/>
                  <w:szCs w:val="24"/>
                </w:rPr>
                <w:t>www.gorodperm.ru</w:t>
              </w:r>
            </w:hyperlink>
            <w:r>
              <w:rPr>
                <w:sz w:val="24"/>
                <w:szCs w:val="24"/>
              </w:rPr>
              <w:t>.</w:t>
            </w:r>
          </w:p>
          <w:p>
            <w:pPr>
              <w:pStyle w:val="Normal"/>
              <w:ind w:firstLine="312"/>
              <w:jc w:val="both"/>
              <w:rPr>
                <w:sz w:val="24"/>
                <w:szCs w:val="24"/>
              </w:rPr>
            </w:pPr>
            <w:r>
              <w:rPr>
                <w:sz w:val="24"/>
                <w:szCs w:val="24"/>
              </w:rPr>
            </w:r>
          </w:p>
          <w:p>
            <w:pPr>
              <w:pStyle w:val="Normal"/>
              <w:spacing w:lineRule="auto" w:line="240" w:before="0" w:after="0"/>
              <w:ind w:firstLine="425" w:left="0" w:right="0"/>
              <w:jc w:val="both"/>
              <w:rPr>
                <w:rFonts w:ascii="Times New Roman" w:hAnsi="Times New Roman"/>
                <w:sz w:val="24"/>
              </w:rPr>
            </w:pPr>
            <w:r>
              <w:rPr>
                <w:sz w:val="24"/>
              </w:rPr>
              <w:t>О наличии технической возможности технологического присоединения энергопринимающего устройства объекта с предполагаемым электоропотреблением 15 кВт сообщается следующее.</w:t>
            </w:r>
          </w:p>
          <w:p>
            <w:pPr>
              <w:pStyle w:val="Normal"/>
              <w:spacing w:lineRule="auto" w:line="240" w:before="0" w:after="0"/>
              <w:ind w:firstLine="425" w:left="0" w:right="0"/>
              <w:jc w:val="both"/>
              <w:rPr>
                <w:rFonts w:ascii="Times New Roman" w:hAnsi="Times New Roman"/>
                <w:sz w:val="24"/>
              </w:rPr>
            </w:pPr>
            <w:r>
              <w:rPr>
                <w:sz w:val="24"/>
              </w:rPr>
              <w:t>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 861, конкретные технические условия на энергосбережение объекта разрабатываются в составе договора о технологическом присоединении.</w:t>
            </w:r>
          </w:p>
          <w:p>
            <w:pPr>
              <w:pStyle w:val="Normal"/>
              <w:spacing w:lineRule="auto" w:line="240" w:before="0" w:after="0"/>
              <w:ind w:firstLine="425" w:left="0" w:right="0"/>
              <w:jc w:val="both"/>
              <w:rPr>
                <w:rFonts w:ascii="Times New Roman" w:hAnsi="Times New Roman"/>
                <w:sz w:val="24"/>
              </w:rPr>
            </w:pPr>
            <w:r>
              <w:rPr>
                <w:sz w:val="24"/>
              </w:rPr>
              <w:t xml:space="preserve">Плата за технологическое присоединение энергопринимающих устройств устанавливается исходя из стоимости мероприятий по технологическому присоединению, размер платы определяется по утвержденным тарифам согласно постановлению РСТ Пермского края от 23.11.2023 </w:t>
              <w:br/>
              <w:t>№ 121-тп (в последней редакции).</w:t>
            </w:r>
          </w:p>
          <w:p>
            <w:pPr>
              <w:pStyle w:val="Normal"/>
              <w:spacing w:lineRule="auto" w:line="240" w:before="0" w:after="0"/>
              <w:ind w:firstLine="425" w:left="0" w:right="0"/>
              <w:jc w:val="both"/>
              <w:rPr>
                <w:rFonts w:ascii="Times New Roman" w:hAnsi="Times New Roman"/>
                <w:sz w:val="24"/>
              </w:rPr>
            </w:pPr>
            <w:r>
              <w:rPr>
                <w:sz w:val="24"/>
              </w:rPr>
              <w:t>Электроснабжение объекта возможно будет осуществить при условии строительства питающей линии электропередачи 0,4 кВ на основании договора об осуществлении технологического присоединения объекта к электрическим сетям филиала «Пермэнерго».</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Подать заявку на технологическое присоединение возможно </w:t>
            </w:r>
            <w:r>
              <w:rPr>
                <w:color w:themeColor="text1" w:val="000000"/>
                <w:sz w:val="24"/>
                <w:szCs w:val="24"/>
              </w:rPr>
              <w:t xml:space="preserve">через единый федеральный портал электросетевых услуг группы компаний «Россети» на сайте: </w:t>
            </w:r>
            <w:hyperlink r:id="rId10">
              <w:r>
                <w:rPr>
                  <w:rStyle w:val="ListLabel46"/>
                  <w:color w:themeColor="text1" w:val="000000"/>
                  <w:sz w:val="24"/>
                  <w:szCs w:val="24"/>
                  <w:u w:val="single"/>
                  <w:lang w:val="en-US"/>
                </w:rPr>
                <w:t>https</w:t>
              </w:r>
              <w:r>
                <w:rPr>
                  <w:rStyle w:val="ListLabel46"/>
                  <w:color w:themeColor="text1" w:val="000000"/>
                  <w:sz w:val="24"/>
                  <w:szCs w:val="24"/>
                  <w:u w:val="single"/>
                </w:rPr>
                <w:t>://портал-тп.рф</w:t>
              </w:r>
            </w:hyperlink>
            <w:r>
              <w:rPr>
                <w:color w:themeColor="text1" w:val="000000"/>
                <w:sz w:val="24"/>
                <w:szCs w:val="24"/>
              </w:rPr>
              <w:t xml:space="preserve"> ил</w:t>
            </w:r>
            <w:r>
              <w:rPr>
                <w:sz w:val="24"/>
                <w:szCs w:val="24"/>
              </w:rPr>
              <w:t>и через Мобильное приложение ПАО «Россети».</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pacing w:val="-6"/>
                <w:sz w:val="24"/>
                <w:szCs w:val="24"/>
              </w:rPr>
              <w:t>Филиала ПАО «Россети Урал» -</w:t>
            </w:r>
            <w:r>
              <w:rPr>
                <w:b/>
                <w:sz w:val="24"/>
                <w:szCs w:val="24"/>
              </w:rPr>
              <w:t xml:space="preserve"> «Пермэнерго» </w:t>
            </w:r>
            <w:r>
              <w:rPr>
                <w:sz w:val="24"/>
                <w:szCs w:val="24"/>
              </w:rPr>
              <w:t>от 25.12.2023 № ПЭ/ПГЭС/22/639).</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Техническая возможность подключения объекта капитального строительства с предполагаемой максимальной нагрузкой (часовым расходом газа) 7м</w:t>
            </w:r>
            <w:r>
              <w:rPr>
                <w:sz w:val="24"/>
                <w:szCs w:val="24"/>
                <w:vertAlign w:val="superscript"/>
              </w:rPr>
              <w:t>3</w:t>
            </w:r>
            <w:r>
              <w:rPr>
                <w:sz w:val="24"/>
                <w:szCs w:val="24"/>
              </w:rPr>
              <w:t>/час к существующим сетям газораспределения имеется.</w:t>
            </w:r>
          </w:p>
          <w:p>
            <w:pPr>
              <w:pStyle w:val="Normal"/>
              <w:spacing w:lineRule="auto" w:line="240" w:before="0" w:after="0"/>
              <w:ind w:firstLine="425" w:left="0" w:right="0"/>
              <w:jc w:val="both"/>
              <w:rPr>
                <w:rFonts w:ascii="Times New Roman" w:hAnsi="Times New Roman"/>
                <w:sz w:val="24"/>
                <w:szCs w:val="24"/>
              </w:rPr>
            </w:pPr>
            <w:r>
              <w:rPr>
                <w:sz w:val="24"/>
                <w:szCs w:val="24"/>
              </w:rPr>
              <w:t>Постановлением Правительства Российской Федерации от 13.09.2021 № 1547 утверждены Правила подключения (технологического присоединения) газоиспользующего оборудования и объектов капитального строительства к сетям газораспределения (далее – Правила подключения).</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В соответствии с п. 7 Правил подключения </w:t>
              <w:br/>
              <w:t xml:space="preserve">для заключения договора о подключении (технологическом присоединении) необходимо направить запрос по типовой форме согласно приложению № 1 к Правилам подключения, </w:t>
              <w:br/>
              <w:t xml:space="preserve">с приложением необходимых документов и сведений, указанных в пунктах 11 и 16 Правил подключения на электронную почту post@pf.ugaz.ru, либо почтовым отправлением по адресу: г. Пермь, ул. Уральская, 104, через Единый центр предоставления услуг по адресу: </w:t>
              <w:br/>
              <w:t xml:space="preserve">г. Пермь, ул. Уральская, д. 104, Петропавловская, 43, через личный кабинет на сайте </w:t>
            </w:r>
            <w:r>
              <w:rPr>
                <w:sz w:val="24"/>
                <w:szCs w:val="24"/>
                <w:lang w:val="en-US"/>
              </w:rPr>
              <w:t>ugaz</w:t>
            </w:r>
            <w:r>
              <w:rPr>
                <w:sz w:val="24"/>
                <w:szCs w:val="24"/>
              </w:rPr>
              <w:t>.</w:t>
            </w:r>
            <w:r>
              <w:rPr>
                <w:sz w:val="24"/>
                <w:szCs w:val="24"/>
                <w:lang w:val="en-US"/>
              </w:rPr>
              <w:t>ru</w:t>
            </w:r>
            <w:r>
              <w:rPr>
                <w:sz w:val="24"/>
                <w:szCs w:val="24"/>
              </w:rPr>
              <w:t xml:space="preserve">, на портале единого оператора газификации: </w:t>
            </w:r>
            <w:hyperlink r:id="rId11">
              <w:r>
                <w:rPr>
                  <w:rStyle w:val="Hyperlink"/>
                  <w:sz w:val="24"/>
                  <w:szCs w:val="24"/>
                  <w:lang w:val="en-US"/>
                </w:rPr>
                <w:t>https</w:t>
              </w:r>
              <w:r>
                <w:rPr>
                  <w:rStyle w:val="Hyperlink"/>
                  <w:sz w:val="24"/>
                  <w:szCs w:val="24"/>
                </w:rPr>
                <w:t>://</w:t>
              </w:r>
              <w:r>
                <w:rPr>
                  <w:rStyle w:val="Hyperlink"/>
                  <w:sz w:val="24"/>
                  <w:szCs w:val="24"/>
                  <w:lang w:val="en-US"/>
                </w:rPr>
                <w:t>connectgas</w:t>
              </w:r>
              <w:r>
                <w:rPr>
                  <w:rStyle w:val="Hyperlink"/>
                  <w:sz w:val="24"/>
                  <w:szCs w:val="24"/>
                </w:rPr>
                <w:t>.</w:t>
              </w:r>
              <w:r>
                <w:rPr>
                  <w:rStyle w:val="Hyperlink"/>
                  <w:sz w:val="24"/>
                  <w:szCs w:val="24"/>
                  <w:lang w:val="en-US"/>
                </w:rPr>
                <w:t>ru</w:t>
              </w:r>
            </w:hyperlink>
            <w:r>
              <w:rPr>
                <w:sz w:val="24"/>
                <w:szCs w:val="24"/>
              </w:rPr>
              <w:t>.</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АО «Газпром газораспределение Пермь»</w:t>
            </w:r>
            <w:r>
              <w:rPr>
                <w:sz w:val="24"/>
                <w:szCs w:val="24"/>
              </w:rPr>
              <w:t xml:space="preserve"> от 29.12.2023 № ПФ-8779).</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 1,0 м</w:t>
            </w:r>
            <w:r>
              <w:rPr>
                <w:sz w:val="24"/>
                <w:szCs w:val="24"/>
                <w:vertAlign w:val="superscript"/>
              </w:rPr>
              <w:t>3</w:t>
            </w:r>
            <w:r>
              <w:rPr>
                <w:sz w:val="24"/>
                <w:szCs w:val="24"/>
              </w:rPr>
              <w:t>/сут. к централизованным системам водоснабжения и водоотведения сообщается следующее.</w:t>
            </w:r>
          </w:p>
          <w:p>
            <w:pPr>
              <w:pStyle w:val="Normal"/>
              <w:spacing w:lineRule="auto" w:line="240" w:before="0" w:after="0"/>
              <w:ind w:firstLine="425" w:left="0" w:right="0"/>
              <w:jc w:val="both"/>
              <w:rPr>
                <w:rFonts w:ascii="Times New Roman" w:hAnsi="Times New Roman"/>
                <w:sz w:val="24"/>
                <w:szCs w:val="24"/>
              </w:rPr>
            </w:pPr>
            <w:r>
              <w:rPr>
                <w:sz w:val="24"/>
                <w:szCs w:val="24"/>
              </w:rPr>
              <w:t xml:space="preserve">Снабжение водой возможно от существующего ввода водопровода Д-25 мм на жилой дом, при этом </w:t>
              <w:br/>
              <w:t xml:space="preserve">в месте расположения Участка отсутствуют централизованные сети канализации и может быть применен альтернативный способ канализования, без подключения к централизованной системе канализации города Перми (отвод стоков возможен </w:t>
              <w:br/>
              <w:t>на локальные очистные сооружения, либо в выгребную яму с последующим вывозом стоков спец. машинами), при этом состав стоков должен соответствовать всем нормативным требованиям Российской Федерации.</w:t>
            </w:r>
          </w:p>
          <w:p>
            <w:pPr>
              <w:pStyle w:val="Normal"/>
              <w:spacing w:lineRule="auto" w:line="240" w:before="0" w:after="0"/>
              <w:ind w:firstLine="425" w:left="0" w:right="0"/>
              <w:jc w:val="both"/>
              <w:rPr>
                <w:rFonts w:ascii="Times New Roman" w:hAnsi="Times New Roman"/>
                <w:sz w:val="24"/>
                <w:szCs w:val="24"/>
              </w:rPr>
            </w:pPr>
            <w:r>
              <w:rPr>
                <w:sz w:val="24"/>
                <w:szCs w:val="24"/>
              </w:rPr>
              <w:t>Размещение объекта необходимо предусматривать строго за пределами охранных зон сетей водопровода и канализации в соответствии норм СП, в том числе в соответствии с таблицей 12.5 СП 42.13330.2016 «Градостроительство, планировка и застройка городских и сельских поселений».</w:t>
            </w:r>
          </w:p>
          <w:p>
            <w:pPr>
              <w:pStyle w:val="Normal"/>
              <w:spacing w:lineRule="auto" w:line="240" w:before="0" w:after="0"/>
              <w:ind w:firstLine="425" w:left="0" w:right="0"/>
              <w:jc w:val="both"/>
              <w:rPr>
                <w:rFonts w:ascii="Times New Roman" w:hAnsi="Times New Roman"/>
                <w:sz w:val="24"/>
                <w:szCs w:val="24"/>
              </w:rPr>
            </w:pPr>
            <w:r>
              <w:rPr>
                <w:sz w:val="24"/>
                <w:szCs w:val="24"/>
              </w:rPr>
              <w:t>В связи с тем, что ООО «НОВОГОР-Прикамье» эксплуатирует только централизованные системы водоснабжения и водоотведения, по вопросу возможности обеспечения жилого дома холодным водоснабжением от скважины и отвод канализационных локально, предлагаем вам обратиться в организации, регулирующие недропользование.</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 xml:space="preserve">ООО «НОВОГОР-Прикамье» </w:t>
            </w:r>
            <w:r>
              <w:rPr>
                <w:sz w:val="24"/>
                <w:szCs w:val="24"/>
              </w:rPr>
              <w:t>от 10.01.2024  № 110-0083).</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Участок расположен вне зоны теплоснабжения ПАО «Т Плюс».</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Филиала «Пермский ПАО «Т Плюс»</w:t>
            </w:r>
            <w:r>
              <w:rPr>
                <w:sz w:val="24"/>
                <w:szCs w:val="24"/>
              </w:rPr>
              <w:t xml:space="preserve"> от 09.01.2024 № 51000-32-00009).</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szCs w:val="24"/>
              </w:rPr>
              <w:t>Техническая возможность подключения к сетям теплоснабжения отсутствует. Рекомендовано рассмотреть альтернативный источник теплоснабжения – газ.</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color w:val="000000"/>
                <w:sz w:val="24"/>
                <w:szCs w:val="24"/>
              </w:rPr>
              <w:t xml:space="preserve">департамента жилищно-коммунального хозяйства администрации города Перми </w:t>
            </w:r>
            <w:r>
              <w:rPr>
                <w:sz w:val="24"/>
                <w:szCs w:val="24"/>
              </w:rPr>
              <w:t xml:space="preserve"> от 26.01.2024 № 059-04-25/3-10-ри).</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sz w:val="24"/>
              </w:rPr>
              <w:t>В границах Участка сети</w:t>
            </w:r>
            <w:r>
              <w:rPr>
                <w:b/>
                <w:sz w:val="24"/>
              </w:rPr>
              <w:t xml:space="preserve"> ПАО «Ростелеком»</w:t>
            </w:r>
            <w:r>
              <w:rPr>
                <w:sz w:val="24"/>
              </w:rPr>
              <w:t xml:space="preserve"> отсутствуют.</w:t>
            </w:r>
          </w:p>
          <w:p>
            <w:pPr>
              <w:pStyle w:val="Normal"/>
              <w:spacing w:lineRule="auto" w:line="240" w:before="0" w:after="0"/>
              <w:ind w:firstLine="425" w:left="0" w:right="0"/>
              <w:jc w:val="both"/>
              <w:rPr>
                <w:rFonts w:ascii="Times New Roman" w:hAnsi="Times New Roman"/>
                <w:sz w:val="24"/>
                <w:szCs w:val="24"/>
              </w:rPr>
            </w:pPr>
            <w:r>
              <w:rPr>
                <w:sz w:val="24"/>
              </w:rPr>
              <w:t xml:space="preserve">Для подключения (технологического присоединения)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w:t>
              <w:br/>
              <w:t>о подключении в порядке, определенном действующим законодательством по адресу: г. Пермь, ул. Крупской, 2, тел.:(342) 235-57-34 или направить запрос на perm-mail@ural.rt.ru.</w:t>
            </w:r>
          </w:p>
          <w:p>
            <w:pPr>
              <w:pStyle w:val="Normal"/>
              <w:spacing w:lineRule="auto" w:line="240" w:before="0" w:after="0"/>
              <w:ind w:firstLine="425" w:left="0" w:right="0"/>
              <w:jc w:val="both"/>
              <w:rPr>
                <w:rFonts w:ascii="Times New Roman" w:hAnsi="Times New Roman"/>
                <w:sz w:val="24"/>
              </w:rPr>
            </w:pPr>
            <w:r>
              <w:rPr>
                <w:spacing w:val="-6"/>
                <w:sz w:val="24"/>
              </w:rPr>
              <w:t>Срок действия технических условий составляет 3 года со дня выдачи. В случае, если в течении 1 года со дня выдачи технических условий заявителем не будет подана заявка о подключении, срок действия технических условий прекращается («Правила подключения (технологического присоединения) объектов капитального строительства к сетям электросвязи», утвержденные постановлением Правительства Российской Федерации от 01.07.2022 № 1196).</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ПАО «Ростелеком»</w:t>
            </w:r>
            <w:r>
              <w:rPr>
                <w:sz w:val="24"/>
                <w:szCs w:val="24"/>
              </w:rPr>
              <w:t xml:space="preserve"> от 21.03.2024 № 01/05/38447/24).</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425" w:left="0" w:right="0"/>
              <w:jc w:val="both"/>
              <w:rPr>
                <w:rFonts w:ascii="Times New Roman" w:hAnsi="Times New Roman"/>
                <w:sz w:val="24"/>
                <w:szCs w:val="24"/>
              </w:rPr>
            </w:pPr>
            <w:r>
              <w:rPr>
                <w:b w:val="false"/>
                <w:bCs w:val="false"/>
                <w:color w:themeColor="text1" w:val="000000"/>
                <w:sz w:val="24"/>
                <w:szCs w:val="24"/>
              </w:rPr>
              <w:t>На территории, где расположен Участок, схемами водоснабжения и водоотведения города Перми, утвержденными постановлением администрации города Перми от 28.12.2018 № 1085, определена потребность в строительстве сетей водоснабжения и водоотведения в мкр. Чапаевский, реализация предусмотрена с 2024 года (мероприятия не обеспечены финансированием).</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bCs w:val="false"/>
                <w:color w:val="000000"/>
                <w:sz w:val="24"/>
                <w:szCs w:val="24"/>
              </w:rPr>
              <w:t xml:space="preserve">департамента жилищно-коммунального хозяйства администрации города Перми </w:t>
            </w:r>
            <w:r>
              <w:rPr>
                <w:b w:val="false"/>
                <w:bCs w:val="false"/>
                <w:color w:themeColor="text1" w:val="000000"/>
                <w:sz w:val="24"/>
                <w:szCs w:val="24"/>
              </w:rPr>
              <w:t>от 22.12.2023 № 059-04-17/3-1271-ри</w:t>
            </w:r>
            <w:r>
              <w:rPr>
                <w:sz w:val="24"/>
                <w:szCs w:val="24"/>
              </w:rPr>
              <w:t>).</w:t>
            </w:r>
          </w:p>
          <w:p>
            <w:pPr>
              <w:pStyle w:val="Normal"/>
              <w:spacing w:lineRule="auto" w:line="240" w:before="0" w:after="0"/>
              <w:ind w:firstLine="425" w:left="0" w:right="0"/>
              <w:jc w:val="both"/>
              <w:rPr>
                <w:rFonts w:ascii="Times New Roman" w:hAnsi="Times New Roman"/>
                <w:sz w:val="24"/>
                <w:szCs w:val="24"/>
              </w:rPr>
            </w:pPr>
            <w:r>
              <w:rPr>
                <w:sz w:val="24"/>
                <w:szCs w:val="24"/>
              </w:rPr>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57"/>
              <w:jc w:val="left"/>
              <w:rPr>
                <w:highlight w:val="none"/>
                <w:shd w:fill="auto" w:val="clear"/>
              </w:rPr>
            </w:pPr>
            <w:r>
              <w:rPr>
                <w:sz w:val="24"/>
                <w:szCs w:val="24"/>
                <w:shd w:fill="auto" w:val="clear"/>
              </w:rPr>
              <w:t>Начальная цена предмета аукциона</w:t>
            </w:r>
          </w:p>
          <w:p>
            <w:pPr>
              <w:pStyle w:val="Normal"/>
              <w:widowControl/>
              <w:spacing w:before="0" w:after="0"/>
              <w:ind w:hanging="0" w:left="113" w:right="57"/>
              <w:jc w:val="left"/>
              <w:rPr>
                <w:highlight w:val="none"/>
                <w:shd w:fill="auto" w:val="clear"/>
              </w:rPr>
            </w:pPr>
            <w:r>
              <w:rPr>
                <w:b/>
                <w:sz w:val="24"/>
                <w:szCs w:val="24"/>
                <w:shd w:fill="auto" w:val="clear"/>
              </w:rPr>
              <w:t>(рыночная стоимость земельного участка)</w:t>
            </w:r>
          </w:p>
          <w:p>
            <w:pPr>
              <w:pStyle w:val="Normal"/>
              <w:ind w:right="-263"/>
              <w:rPr>
                <w:b/>
                <w:bCs/>
                <w:sz w:val="24"/>
                <w:szCs w:val="24"/>
                <w:highlight w:val="none"/>
              </w:rPr>
            </w:pPr>
            <w:r>
              <w:rPr>
                <w:b/>
                <w:bCs/>
                <w:sz w:val="24"/>
                <w:szCs w:val="24"/>
              </w:rPr>
            </w:r>
          </w:p>
          <w:p>
            <w:pPr>
              <w:pStyle w:val="Normal"/>
              <w:ind w:hanging="0" w:left="0" w:right="0"/>
              <w:rPr>
                <w:rFonts w:ascii="Times New Roman" w:hAnsi="Times New Roman" w:eastAsia="Times New Roman" w:cs="Times New Roman"/>
                <w:b w:val="false"/>
                <w:bCs w:val="false"/>
                <w:color w:val="000000"/>
                <w:sz w:val="24"/>
                <w:szCs w:val="24"/>
                <w:highlight w:val="none"/>
              </w:rPr>
            </w:pPr>
            <w:r>
              <w:rPr>
                <w:rFonts w:eastAsia="Times New Roman" w:cs="Times New Roman"/>
                <w:b w:val="false"/>
                <w:bCs w:val="false"/>
                <w:color w:val="000000"/>
                <w:sz w:val="24"/>
              </w:rPr>
              <w:t>По условиям пункта 4.1 проекта договора купли-продажи земельного участка, приобретаемого на торгах в форме аукциона (Приложение 1 к настоящему извещению),</w:t>
            </w:r>
          </w:p>
          <w:p>
            <w:pPr>
              <w:pStyle w:val="Normal"/>
              <w:rPr>
                <w:highlight w:val="none"/>
                <w:shd w:fill="auto" w:val="clear"/>
              </w:rPr>
            </w:pPr>
            <w:r>
              <w:rPr>
                <w:sz w:val="24"/>
                <w:szCs w:val="24"/>
                <w:shd w:fill="auto" w:val="clear"/>
              </w:rPr>
              <w:t>победитель аукциона, иное лицо, с которым договор заключается в соответствии с п.13, п.14, п. 20 или п. 25</w:t>
            </w:r>
          </w:p>
          <w:p>
            <w:pPr>
              <w:pStyle w:val="Normal"/>
              <w:rPr>
                <w:highlight w:val="none"/>
                <w:shd w:fill="auto" w:val="clear"/>
              </w:rPr>
            </w:pPr>
            <w:r>
              <w:rPr>
                <w:sz w:val="24"/>
                <w:szCs w:val="24"/>
                <w:shd w:fill="auto" w:val="clear"/>
              </w:rPr>
              <w:t xml:space="preserve">ст. 39.12 Земельного Кодекса Российской Федерации (далее – ЗК РФ), обязан </w:t>
              <w:br/>
            </w:r>
            <w:r>
              <w:rPr>
                <w:b/>
                <w:sz w:val="24"/>
                <w:szCs w:val="24"/>
                <w:shd w:fill="auto" w:val="clear"/>
              </w:rPr>
              <w:t>в течение 15 дней</w:t>
            </w:r>
            <w:r>
              <w:rPr>
                <w:sz w:val="24"/>
                <w:szCs w:val="24"/>
                <w:shd w:fill="auto" w:val="clear"/>
              </w:rPr>
              <w:t xml:space="preserve"> со дня размещения протокола о результатах аукциона, а в случаях, определенных п.13, п.14, ст. 39.12 ЗК РФ, протокола рассмотрения заявок, </w:t>
            </w:r>
            <w:r>
              <w:rPr>
                <w:b/>
                <w:sz w:val="24"/>
                <w:szCs w:val="24"/>
                <w:shd w:fill="auto" w:val="clear"/>
              </w:rPr>
              <w:t xml:space="preserve">перечислить денежные средства </w:t>
            </w:r>
            <w:r>
              <w:rPr>
                <w:sz w:val="24"/>
                <w:szCs w:val="24"/>
                <w:shd w:fill="auto" w:val="clear"/>
              </w:rPr>
              <w:t>за земельный участок (за вычетом задатка, внесенного для участия в аукционе) на счет департамента земельных отношений администрации города Перми, 614000, ул. Сибирская,15, тел. 212-61-90 (отдел договоров), реквизиты которого указаны в проекте договора купли-продажи земельного участка (Приложение 1 к настоящему извещению)</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1 392 700  руб.</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«Шаг аукциона» (5% от начальной цены предмета аукциона)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69 635 руб.</w:t>
            </w:r>
          </w:p>
        </w:tc>
      </w:tr>
      <w:tr>
        <w:trPr>
          <w:trHeight w:val="41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Форма заявки на участие в аукционе</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w:t>
              <w:br/>
              <w:t xml:space="preserve">о государственной регистрации юридического лица </w:t>
              <w:br/>
              <w:t>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Normal"/>
              <w:jc w:val="both"/>
              <w:rPr>
                <w:b/>
                <w:sz w:val="24"/>
                <w:szCs w:val="24"/>
              </w:rPr>
            </w:pPr>
            <w:r>
              <w:rPr>
                <w:b/>
                <w:sz w:val="24"/>
                <w:szCs w:val="24"/>
              </w:rPr>
              <w:t>Решение о проведении аукциона принято в соответствии со статьей 39.18 Земельного кодекса Российской Федерации, участниками аукциона могут являться только граждане.</w:t>
            </w:r>
          </w:p>
        </w:tc>
      </w:tr>
      <w:tr>
        <w:trPr>
          <w:trHeight w:val="23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Размер задатка (50% от начальной цены предмета аукциона)</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696 350 руб.</w:t>
            </w:r>
          </w:p>
        </w:tc>
      </w:tr>
      <w:tr>
        <w:trPr>
          <w:trHeight w:val="236" w:hRule="atLeast"/>
        </w:trPr>
        <w:tc>
          <w:tcPr>
            <w:tcW w:w="356"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308" w:type="dxa"/>
            <w:tcBorders>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 xml:space="preserve">Дата </w:t>
            </w:r>
            <w:r>
              <w:rPr>
                <w:b w:val="false"/>
                <w:shd w:fill="auto" w:val="clear"/>
              </w:rPr>
              <w:t xml:space="preserve">размещения извещения в соответствии с пп. 1 п. 1 ст. 39.18 Земельного кодекса Российской Федерации на  </w:t>
            </w:r>
            <w:r>
              <w:rPr>
                <w:b w:val="false"/>
                <w:sz w:val="24"/>
                <w:szCs w:val="24"/>
                <w:shd w:fill="auto" w:val="clear"/>
                <w:lang w:val="en-US" w:eastAsia="en-US"/>
              </w:rPr>
              <w:t>сайтах www.torgi.gov.ru, www.gorodperm.ru</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left w:val="single" w:sz="4" w:space="0" w:color="000000"/>
              <w:bottom w:val="single" w:sz="4" w:space="0" w:color="000000"/>
              <w:right w:val="single" w:sz="4" w:space="0" w:color="000000"/>
            </w:tcBorders>
          </w:tcPr>
          <w:p>
            <w:pPr>
              <w:pStyle w:val="Normal"/>
              <w:jc w:val="both"/>
              <w:rPr>
                <w:sz w:val="24"/>
                <w:szCs w:val="24"/>
              </w:rPr>
            </w:pPr>
            <w:r>
              <w:rPr>
                <w:sz w:val="24"/>
                <w:szCs w:val="24"/>
              </w:rPr>
              <w:t>26.12.2023</w:t>
            </w:r>
          </w:p>
        </w:tc>
      </w:tr>
      <w:tr>
        <w:trPr>
          <w:trHeight w:val="1884"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Проект договора купли-продажи земельного 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eastAsia="en-US"/>
              </w:rPr>
              <w:t xml:space="preserve">Проект договора купли-продажи земельного участка, приобретаемого на торгах в форме аукциона,  является Приложением 1 к настоящему извещению и </w:t>
            </w:r>
            <w:r>
              <w:rPr>
                <w:sz w:val="24"/>
                <w:szCs w:val="24"/>
                <w:lang w:val="en-US" w:eastAsia="en-US"/>
              </w:rPr>
              <w:t>размещен на сайтах www.torgi.gov.ru, www.gorodperm.ru (раздел Деятельность/ Муниципальная собственность/ Торговая площадка Вид торгов Продажа и аренда земельных участков)</w:t>
            </w:r>
          </w:p>
        </w:tc>
      </w:tr>
      <w:tr>
        <w:trPr>
          <w:trHeight w:val="7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308"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Порядок осмотра земельного участка на местности</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Осмотр земельного участка производится заявителем самостоятельно в любое время с даты опубликования настоящего извещения.</w:t>
            </w:r>
          </w:p>
        </w:tc>
      </w:tr>
    </w:tbl>
    <w:p>
      <w:pPr>
        <w:pStyle w:val="Normal"/>
        <w:tabs>
          <w:tab w:val="clear" w:pos="708"/>
          <w:tab w:val="left" w:pos="5103" w:leader="none"/>
        </w:tabs>
        <w:ind w:right="-263"/>
        <w:rPr>
          <w:sz w:val="20"/>
          <w:szCs w:val="20"/>
          <w:highlight w:val="none"/>
        </w:rPr>
      </w:pPr>
      <w:r>
        <w:rPr>
          <w:sz w:val="20"/>
          <w:szCs w:val="20"/>
        </w:rPr>
      </w:r>
    </w:p>
    <w:p>
      <w:pPr>
        <w:pStyle w:val="Normal"/>
        <w:tabs>
          <w:tab w:val="clear" w:pos="708"/>
          <w:tab w:val="left" w:pos="5103" w:leader="none"/>
        </w:tabs>
        <w:ind w:right="-263"/>
        <w:rPr>
          <w:sz w:val="20"/>
          <w:szCs w:val="20"/>
          <w:highlight w:val="none"/>
        </w:rPr>
      </w:pPr>
      <w:r>
        <w:rPr>
          <w:b/>
          <w:lang w:val="en-US"/>
        </w:rPr>
        <w:t>Лот № 2</w:t>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356"/>
        <w:gridCol w:w="3308"/>
        <w:gridCol w:w="6821"/>
      </w:tblGrid>
      <w:tr>
        <w:trPr>
          <w:trHeight w:val="877"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3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0"/>
              <w:jc w:val="left"/>
              <w:rPr>
                <w:sz w:val="24"/>
                <w:szCs w:val="24"/>
              </w:rPr>
            </w:pPr>
            <w:r>
              <w:rPr>
                <w:sz w:val="24"/>
                <w:szCs w:val="24"/>
              </w:rPr>
              <w:t>Наименование органа местного самоуправления, принявшего решение о проведении аукциона, реквизиты указанного решения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Администрация города Перми, распоряжение начальника </w:t>
              <w:br/>
              <w:t xml:space="preserve">департамента земельных отношений администрации города Перми </w:t>
            </w:r>
            <w:r>
              <w:rPr>
                <w:sz w:val="24"/>
                <w:szCs w:val="28"/>
                <w:highlight w:val="white"/>
              </w:rPr>
              <w:t>от 10 февраля 2025 г. № 21-01-03-1169 «О проведении аукциона по продаже земельного участка                                             в Орджоникидзевском районе города Перми»</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Предмет аукциона по продаже земельного 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35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360" w:left="720" w:right="-263"/>
              <w:jc w:val="both"/>
              <w:rPr>
                <w:sz w:val="24"/>
                <w:szCs w:val="24"/>
              </w:rPr>
            </w:pPr>
            <w:r>
              <w:rPr>
                <w:sz w:val="24"/>
                <w:szCs w:val="24"/>
              </w:rPr>
              <w:t>местоположение</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улица 1-я Логовая, з/у 25в</w:t>
            </w:r>
          </w:p>
        </w:tc>
      </w:tr>
      <w:tr>
        <w:trPr>
          <w:trHeight w:val="148"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360" w:left="720" w:right="-263"/>
              <w:rPr>
                <w:sz w:val="24"/>
                <w:szCs w:val="24"/>
              </w:rPr>
            </w:pPr>
            <w:r>
              <w:rPr>
                <w:sz w:val="24"/>
                <w:szCs w:val="24"/>
              </w:rPr>
              <w:t>площадь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1952 кв. м</w:t>
            </w:r>
          </w:p>
        </w:tc>
      </w:tr>
      <w:tr>
        <w:trPr>
          <w:trHeight w:val="155"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360" w:left="720" w:right="-263"/>
              <w:rPr>
                <w:sz w:val="24"/>
                <w:szCs w:val="24"/>
              </w:rPr>
            </w:pPr>
            <w:r>
              <w:rPr>
                <w:sz w:val="24"/>
                <w:szCs w:val="24"/>
              </w:rPr>
              <w:t>кадастровый номер</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t>59:01:3810190:153</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права на земельный участок</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вид разрешенного использования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для индивидуального жилищного строительства (2.1)</w:t>
            </w:r>
          </w:p>
        </w:tc>
      </w:tr>
      <w:tr>
        <w:trPr>
          <w:trHeight w:val="576"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 xml:space="preserve">принадлежность к определенной  </w:t>
              <w:br/>
              <w:t>категории земель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356" w:type="dxa"/>
            <w:vMerge w:val="continue"/>
            <w:tcBorders>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t>принадлежность к определенной территориальной зоне</w:t>
            </w:r>
          </w:p>
        </w:tc>
        <w:tc>
          <w:tcPr>
            <w:tcW w:w="6821" w:type="dxa"/>
            <w:tcBorders>
              <w:left w:val="single" w:sz="4" w:space="0" w:color="000000"/>
              <w:bottom w:val="single" w:sz="4" w:space="0" w:color="000000"/>
              <w:right w:val="single" w:sz="4" w:space="0" w:color="000000"/>
            </w:tcBorders>
          </w:tcPr>
          <w:p>
            <w:pPr>
              <w:pStyle w:val="Normal"/>
              <w:ind w:right="-263"/>
              <w:jc w:val="both"/>
              <w:rPr>
                <w:sz w:val="24"/>
                <w:szCs w:val="24"/>
              </w:rPr>
            </w:pPr>
            <w:r>
              <w:rPr>
                <w:sz w:val="24"/>
                <w:szCs w:val="24"/>
                <w:shd w:fill="auto" w:val="clear"/>
              </w:rPr>
              <w:t>Ж-4 «Зона индивиду</w:t>
            </w:r>
            <w:r>
              <w:rPr>
                <w:sz w:val="24"/>
                <w:szCs w:val="24"/>
              </w:rPr>
              <w:t>альной жилой застройки городского типа»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60" w:left="720" w:right="113"/>
              <w:jc w:val="left"/>
              <w:rPr>
                <w:sz w:val="24"/>
                <w:szCs w:val="24"/>
              </w:rPr>
            </w:pPr>
            <w:r>
              <w:rPr>
                <w:sz w:val="24"/>
                <w:szCs w:val="24"/>
              </w:rPr>
              <w:t>ограничение прав</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14:ligatures w14:val="none"/>
              </w:rPr>
            </w:pPr>
            <w:r>
              <w:rPr>
                <w:sz w:val="24"/>
                <w:szCs w:val="24"/>
              </w:rPr>
              <w:t xml:space="preserve">в выписке из Единого государственного реестра недвижимости об объекте недвижимости от 21.11.2025г.                  № КУВИ-001/2025-212940940 </w:t>
            </w:r>
            <w:r>
              <w:rPr>
                <w:sz w:val="24"/>
                <w:szCs w:val="24"/>
                <w:shd w:fill="auto" w:val="clear"/>
                <w14:ligatures w14:val="none"/>
              </w:rPr>
              <w:t>(далее - ЕГРН);</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rPr>
            </w:pPr>
            <w:r>
              <w:rPr>
                <w:sz w:val="24"/>
                <w:szCs w:val="24"/>
              </w:rPr>
              <w:t>от 16.08.2023 № РФ-59-2-03-0-00-2023-1670-0 (далее – ГПЗУ) (приложение 4 к настоящему извещению).</w:t>
            </w:r>
          </w:p>
          <w:p>
            <w:pPr>
              <w:pStyle w:val="BodyText"/>
              <w:ind w:firstLine="362"/>
              <w:jc w:val="both"/>
              <w:rPr>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В ходе визуального осмотра территории установлено, что доступ на земельный участок ограничен, путем установки деревянного ограждения неустановленными лицами, состояние рельефа земельного участка - уклон, объекты капитального/некапитального строительства отсутствуют. Над земельным участком нависают электропровода линии электропередач. Деревянное ограждение в</w:t>
            </w:r>
            <w:r>
              <w:rPr>
                <w:rFonts w:eastAsia="Droid Sans Fallback" w:cs="Lohit Devanagari"/>
                <w:color w:val="auto"/>
                <w:kern w:val="0"/>
                <w:sz w:val="24"/>
                <w:szCs w:val="24"/>
                <w:lang w:val="ru-RU" w:eastAsia="zh-CN" w:bidi="ar-SA"/>
              </w:rPr>
              <w:t>несено в Единый реестр самовольно установленных и незаконно размещенных движимых объектов, выявленных на территории города Перми, № 5095,  в соответствии с решением Пермской городской Думы от 08.11.2005 № 192.</w:t>
            </w:r>
          </w:p>
          <w:p>
            <w:pPr>
              <w:pStyle w:val="Normal"/>
              <w:spacing w:lineRule="auto" w:line="240" w:before="0" w:after="0"/>
              <w:ind w:firstLine="317"/>
              <w:jc w:val="both"/>
              <w:rPr>
                <w:rFonts w:ascii="Times New Roman" w:hAnsi="Times New Roman"/>
                <w:sz w:val="24"/>
                <w:szCs w:val="24"/>
              </w:rPr>
            </w:pPr>
            <w:r>
              <w:rPr>
                <w:rFonts w:eastAsia="Droid Sans Fallback" w:cs="Lohit Devanagari"/>
                <w:color w:val="auto"/>
                <w:kern w:val="0"/>
                <w:sz w:val="24"/>
                <w:szCs w:val="24"/>
                <w:lang w:val="ru-RU" w:eastAsia="zh-CN" w:bidi="ar-SA"/>
              </w:rPr>
              <w:t>П</w:t>
            </w:r>
            <w:r>
              <w:rPr>
                <w:sz w:val="24"/>
                <w:szCs w:val="24"/>
              </w:rPr>
              <w:t>ожарные гидранты расположены по адресам: Пермский край, г. Пермь, Орджоникидзевский район, ул. Александра Пархоменко, 21, 25, 31, ул. Чапаева, 6; пожарные водоемы расположены по адресу: Пермский край, г. Пермь, Орджоникидзевский район, ул. Новогодняя, 11, ул. 2-я Планерная, 19.</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администрации Орджоникидзевском района города Перми</w:t>
            </w:r>
            <w:r>
              <w:rPr>
                <w:sz w:val="24"/>
                <w:szCs w:val="24"/>
              </w:rPr>
              <w:t xml:space="preserve"> от 26.05.2026  № 059-37-01-32/3-2922, в акте обследования от 22.05.2026 № 50).</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 xml:space="preserve">Согласно сведениям АИСОГД по диагонали всего Участка проходит охранная зона ВЛ 0,4 кВ от ОП4383, от ТП4384, от ТП4385, от ТП4386, КЛ 0,4 кВ от ТП4383, от ТП4385, от ТП4386 (электросетевой комплекс «Подстанция 110/6кВ «Северная» с линиями электропередачи, трансформаторными </w:t>
              <w:br/>
              <w:t>и распределительными пунктами).</w:t>
            </w:r>
          </w:p>
          <w:p>
            <w:pPr>
              <w:pStyle w:val="Normal"/>
              <w:spacing w:lineRule="auto" w:line="240" w:before="0" w:after="0"/>
              <w:ind w:firstLine="311"/>
              <w:jc w:val="both"/>
              <w:rPr>
                <w:rFonts w:ascii="Times New Roman" w:hAnsi="Times New Roman"/>
                <w:sz w:val="24"/>
                <w:szCs w:val="24"/>
              </w:rPr>
            </w:pPr>
            <w:r>
              <w:rPr>
                <w:sz w:val="24"/>
                <w:szCs w:val="24"/>
              </w:rPr>
              <w:t xml:space="preserve">Согласно сведениям, содержащимся в ЕГРН, </w:t>
              <w:br/>
              <w:t xml:space="preserve">в границах Участка расположен объект капитального строительства с кадастровым номером 59:01:0000000:77564 –электросетевой комплекс «Подстанция 110/6 кВ «Северная» с линиями электропередачи, трансформаторными подстанциями и распределительными пунктами», находящийся </w:t>
              <w:br/>
              <w:t>в собственности ОАО «МРСК Урала».</w:t>
            </w:r>
          </w:p>
          <w:p>
            <w:pPr>
              <w:pStyle w:val="Normal"/>
              <w:spacing w:lineRule="auto" w:line="240" w:before="0" w:after="0"/>
              <w:ind w:firstLine="311"/>
              <w:jc w:val="both"/>
              <w:rPr>
                <w:rFonts w:ascii="Times New Roman" w:hAnsi="Times New Roman"/>
                <w:sz w:val="24"/>
                <w:szCs w:val="24"/>
              </w:rPr>
            </w:pPr>
            <w:r>
              <w:rPr>
                <w:sz w:val="24"/>
                <w:szCs w:val="24"/>
              </w:rPr>
            </w:r>
          </w:p>
          <w:p>
            <w:pPr>
              <w:pStyle w:val="Normal"/>
              <w:spacing w:lineRule="auto" w:line="240" w:before="0" w:after="0"/>
              <w:ind w:firstLine="311"/>
              <w:jc w:val="both"/>
              <w:rPr>
                <w:rFonts w:ascii="Times New Roman" w:hAnsi="Times New Roman"/>
                <w:sz w:val="24"/>
                <w:szCs w:val="24"/>
              </w:rPr>
            </w:pPr>
            <w:r>
              <w:rPr>
                <w:sz w:val="24"/>
                <w:szCs w:val="24"/>
              </w:rPr>
              <w:t>По данным геодезической съемки в северо-западной и юго-восточной границах Участка частично располагается забор, с северо-западной и восточной части Участка установлены опоры линии электропередач.</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Согласно сведениям, содержащимся в ГПЗУ, ЕГРН и справке по градостроительным условиям от 21.11.2025 № 655281, Участок расположен в границах зон с особыми условиями использования территории:</w:t>
            </w:r>
          </w:p>
          <w:p>
            <w:pPr>
              <w:pStyle w:val="Normal"/>
              <w:spacing w:lineRule="auto" w:line="240" w:before="0" w:after="0"/>
              <w:ind w:firstLine="317"/>
              <w:jc w:val="both"/>
              <w:rPr>
                <w:rFonts w:ascii="Times New Roman" w:hAnsi="Times New Roman"/>
                <w:sz w:val="24"/>
                <w:szCs w:val="24"/>
              </w:rPr>
            </w:pPr>
            <w:r>
              <w:rPr>
                <w:sz w:val="24"/>
                <w:szCs w:val="24"/>
              </w:rPr>
              <w:t xml:space="preserve">частично в охранной зоне ВЛ 0,4 кВ от ТП4383, </w:t>
              <w:br/>
              <w:t xml:space="preserve">от ТП4384, от ТП4385, от ТП4386, КЛ 0,4 кВ </w:t>
              <w:br/>
              <w:t>от ТП4383, от ТП4385, от ТП4386 (электросетевой комплекс "Подстанция 110/6кВ "Северная" с линиями электропередачи, трансформаторными подстанциями и распределительными пунктами). Реестровый номер границы 59.01.2.179, площадь пересечения – 267 кв. м.</w:t>
            </w:r>
          </w:p>
          <w:p>
            <w:pPr>
              <w:pStyle w:val="Normal"/>
              <w:spacing w:lineRule="auto" w:line="240" w:before="0" w:after="0"/>
              <w:ind w:firstLine="317"/>
              <w:jc w:val="both"/>
              <w:rPr>
                <w:rFonts w:ascii="Times New Roman" w:hAnsi="Times New Roman"/>
                <w:sz w:val="24"/>
                <w:szCs w:val="24"/>
              </w:rPr>
            </w:pPr>
            <w:r>
              <w:rPr>
                <w:sz w:val="24"/>
                <w:szCs w:val="24"/>
              </w:rPr>
              <w:t>Проектирование и строительство вести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pPr>
              <w:pStyle w:val="Normal"/>
              <w:spacing w:lineRule="auto" w:line="240" w:before="0" w:after="0"/>
              <w:ind w:firstLine="317"/>
              <w:jc w:val="both"/>
              <w:rPr>
                <w:rFonts w:ascii="Times New Roman" w:hAnsi="Times New Roman"/>
                <w:sz w:val="24"/>
                <w:szCs w:val="24"/>
              </w:rPr>
            </w:pPr>
            <w:r>
              <w:rPr>
                <w:sz w:val="24"/>
                <w:szCs w:val="24"/>
              </w:rPr>
              <w:t>полностью в приаэродромной территории аэродрома аэропорта Большое Савино, реестровый номер границы 59:32-6.553.</w:t>
            </w:r>
          </w:p>
          <w:p>
            <w:pPr>
              <w:pStyle w:val="Normal"/>
              <w:spacing w:lineRule="auto" w:line="240" w:before="0" w:after="0"/>
              <w:ind w:firstLine="317"/>
              <w:jc w:val="both"/>
              <w:rPr>
                <w:rFonts w:ascii="Times New Roman" w:hAnsi="Times New Roman"/>
                <w:sz w:val="24"/>
                <w:szCs w:val="24"/>
              </w:rPr>
            </w:pPr>
            <w:r>
              <w:rPr>
                <w:color w:themeColor="text1" w:val="000000"/>
                <w:sz w:val="24"/>
                <w:szCs w:val="24"/>
              </w:rPr>
              <w:t>Проектирование и строительство вести в соответствии 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На Участке произрастает 30 дерево пород – калина 3 шт., липа 2 шт., черемуха 6 шт., береза 12 шт., тополь 6 шт., ель 1 шт.</w:t>
            </w:r>
          </w:p>
          <w:p>
            <w:pPr>
              <w:pStyle w:val="Normal"/>
              <w:spacing w:lineRule="auto" w:line="240" w:before="0" w:after="0"/>
              <w:ind w:firstLine="317"/>
              <w:jc w:val="both"/>
              <w:rPr>
                <w:rFonts w:ascii="Times New Roman" w:hAnsi="Times New Roman"/>
                <w:sz w:val="24"/>
                <w:szCs w:val="24"/>
              </w:rPr>
            </w:pPr>
            <w:r>
              <w:rPr>
                <w:sz w:val="24"/>
                <w:szCs w:val="24"/>
              </w:rPr>
              <w:t>Победителю аукциона необходимо соблюдать условия строительства, перечисленные в перечне мероприятий по охране окружающей среды от 08.08.2023 № 289.</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управления по экологии и природопользованию администрации города Перми</w:t>
            </w:r>
            <w:r>
              <w:rPr>
                <w:sz w:val="24"/>
                <w:szCs w:val="24"/>
              </w:rPr>
              <w:t xml:space="preserve"> от 09.08.2023 № 059-33-01-10/3-614).</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Схемами предусмотрено строительство сетей водоснабжения и водоотведения в мкр. Чапаевский, мероприятие финансированием не обеспечено.</w:t>
            </w:r>
          </w:p>
          <w:p>
            <w:pPr>
              <w:pStyle w:val="Normal"/>
              <w:spacing w:lineRule="auto" w:line="240" w:before="0" w:after="0"/>
              <w:ind w:firstLine="317"/>
              <w:jc w:val="both"/>
              <w:rPr>
                <w:rFonts w:ascii="Times New Roman" w:hAnsi="Times New Roman"/>
                <w:sz w:val="24"/>
                <w:szCs w:val="24"/>
              </w:rPr>
            </w:pPr>
            <w:r>
              <w:rPr>
                <w:sz w:val="24"/>
                <w:szCs w:val="24"/>
              </w:rPr>
              <w:t>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bCs/>
                <w:sz w:val="24"/>
                <w:szCs w:val="24"/>
              </w:rPr>
              <w:t>д</w:t>
            </w:r>
            <w:r>
              <w:rPr>
                <w:b/>
                <w:sz w:val="24"/>
                <w:szCs w:val="24"/>
              </w:rPr>
              <w:t>епартамента жилищно-коммунального хозяйства администрации города Перми</w:t>
            </w:r>
            <w:r>
              <w:rPr>
                <w:sz w:val="24"/>
                <w:szCs w:val="24"/>
              </w:rPr>
              <w:t xml:space="preserve"> от 28.01.2025 № 059-04-17/3-71-ри).</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Бюджетом города Перми на период 2025-2029 годы мероприятия по строительству, реконструкции, капитальному ремонту улично-дорожной сети на рассматриваемой территории не предусмотрены.</w:t>
            </w:r>
          </w:p>
          <w:p>
            <w:pPr>
              <w:pStyle w:val="Normal"/>
              <w:spacing w:lineRule="auto" w:line="240" w:before="0" w:after="0"/>
              <w:ind w:firstLine="317"/>
              <w:jc w:val="both"/>
              <w:rPr>
                <w:rFonts w:ascii="Times New Roman" w:hAnsi="Times New Roman"/>
                <w:sz w:val="24"/>
                <w:szCs w:val="24"/>
              </w:rPr>
            </w:pPr>
            <w:r>
              <w:rPr>
                <w:sz w:val="24"/>
                <w:szCs w:val="24"/>
              </w:rPr>
              <w:t>Для примыкания Участка к улично-дорожной сети города Перми необходимо выполнить условия, указанные в указанном письме (прилагается).</w:t>
            </w:r>
          </w:p>
          <w:p>
            <w:pPr>
              <w:pStyle w:val="Normal"/>
              <w:spacing w:lineRule="auto" w:line="240" w:before="0" w:after="0"/>
              <w:ind w:firstLine="317"/>
              <w:jc w:val="both"/>
              <w:rPr>
                <w:rFonts w:ascii="Times New Roman" w:hAnsi="Times New Roman"/>
                <w:sz w:val="24"/>
                <w:szCs w:val="24"/>
              </w:rPr>
            </w:pPr>
            <w:r>
              <w:rPr>
                <w:sz w:val="24"/>
                <w:szCs w:val="24"/>
              </w:rPr>
              <w:t xml:space="preserve">Также направляется информация о необходимости соблюдения Правил благоустройства территории города Перми, утвержденных решением Пермской городской Думы от 15.12.2020 № 277, при строительстве объектов недвижимости </w:t>
              <w:br/>
              <w:t>на земельных участках, предоставленных на торгах.</w:t>
            </w:r>
          </w:p>
          <w:p>
            <w:pPr>
              <w:pStyle w:val="Normal"/>
              <w:spacing w:lineRule="auto" w:line="240" w:before="0" w:after="0"/>
              <w:ind w:firstLine="317"/>
              <w:jc w:val="both"/>
              <w:rPr>
                <w:rFonts w:ascii="Times New Roman" w:hAnsi="Times New Roman"/>
                <w:sz w:val="24"/>
                <w:szCs w:val="24"/>
              </w:rPr>
            </w:pPr>
            <w:r>
              <w:rPr>
                <w:sz w:val="24"/>
                <w:szCs w:val="24"/>
              </w:rPr>
              <w:t xml:space="preserve">В соответствии с Федеральным законом от 08.11.2007 № 257, расходы на строительства, реконструкцию, капитальный ремонт, ремонт пересечений и примыканий, в том числе расходы на выполнение дополнительных работ связанных </w:t>
              <w:br/>
              <w:t xml:space="preserve">с обеспечением безопасности дорожного движения, водоотведения и исполнением других установленных техническими регламентами требований, несут лица, </w:t>
              <w:br/>
              <w:t>в интересах которых осуществляется строительство, реконструкция, капитальный ремонт, ремонт пересечений или примыканий.</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департамента дорог и благоустройства администрации города Перми</w:t>
            </w:r>
            <w:r>
              <w:rPr>
                <w:sz w:val="24"/>
                <w:szCs w:val="24"/>
              </w:rPr>
              <w:t xml:space="preserve">  от 29.01.2025 № 059-24-01-36/3-279).</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Ближайшее подразделение пожарной охраны расположено по адресу: г. Пермь, ул. Волховская, 37 (ПСЧ-57 10-ПСО);</w:t>
            </w:r>
          </w:p>
          <w:p>
            <w:pPr>
              <w:pStyle w:val="Normal"/>
              <w:spacing w:lineRule="auto" w:line="240" w:before="0" w:after="0"/>
              <w:ind w:firstLine="317"/>
              <w:jc w:val="both"/>
              <w:rPr>
                <w:rFonts w:ascii="Times New Roman" w:hAnsi="Times New Roman"/>
                <w:sz w:val="24"/>
                <w:szCs w:val="24"/>
              </w:rPr>
            </w:pPr>
            <w:r>
              <w:rPr>
                <w:sz w:val="24"/>
                <w:szCs w:val="24"/>
              </w:rPr>
              <w:t>объекты общественной безопасности, отнесенные к объектам полиции (участковые пункты полиции) в данном микрорайоне (Малые Реки) отсутствуют. Ближайший участковый пункт полиции расположен по адресу: г. Пермь, ул. Бенгальская, 6, (микрорайон Бумкомбинат, Орджоникидзевский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317"/>
              <w:jc w:val="both"/>
              <w:rPr>
                <w:rFonts w:ascii="Times New Roman" w:hAnsi="Times New Roman"/>
                <w:sz w:val="24"/>
                <w:szCs w:val="24"/>
              </w:rPr>
            </w:pPr>
            <w:r>
              <w:rPr>
                <w:sz w:val="24"/>
                <w:szCs w:val="24"/>
              </w:rPr>
              <w:t>Источники противопожарного водоснабжения на указанной территории отсутствуют.</w:t>
            </w:r>
          </w:p>
          <w:p>
            <w:pPr>
              <w:pStyle w:val="Normal"/>
              <w:spacing w:lineRule="auto" w:line="240" w:before="0" w:after="0"/>
              <w:ind w:firstLine="317"/>
              <w:jc w:val="both"/>
              <w:rPr>
                <w:rFonts w:ascii="Times New Roman" w:hAnsi="Times New Roman"/>
                <w:sz w:val="24"/>
                <w:szCs w:val="24"/>
              </w:rPr>
            </w:pPr>
            <w:r>
              <w:rPr>
                <w:sz w:val="24"/>
                <w:szCs w:val="24"/>
              </w:rPr>
              <w:t>По информации, предоставленной Министерством территориальной безопасности Пермского края (письмо от 07.10.2020 № 964с), рассматриваемая территория попадает в зону возможного химического заражения в особый период.</w:t>
            </w:r>
          </w:p>
          <w:p>
            <w:pPr>
              <w:pStyle w:val="Normal"/>
              <w:spacing w:lineRule="auto" w:line="240" w:before="0" w:after="0"/>
              <w:ind w:firstLine="317"/>
              <w:jc w:val="both"/>
              <w:rPr>
                <w:rFonts w:ascii="Times New Roman" w:hAnsi="Times New Roman"/>
                <w:sz w:val="24"/>
                <w:szCs w:val="24"/>
              </w:rPr>
            </w:pPr>
            <w:r>
              <w:rPr>
                <w:sz w:val="24"/>
                <w:szCs w:val="24"/>
              </w:rPr>
              <w:t>Указанная территория находится в зоне действия региональной автоматизированной системы централизованного оповещения населения города Перми, установленной по пер. Еловский 1-й, 25в - 600 метров.</w:t>
            </w:r>
          </w:p>
          <w:p>
            <w:pPr>
              <w:pStyle w:val="Normal"/>
              <w:spacing w:lineRule="auto" w:line="240" w:before="0" w:after="0"/>
              <w:ind w:firstLine="317"/>
              <w:jc w:val="both"/>
              <w:rPr>
                <w:rFonts w:ascii="Times New Roman" w:hAnsi="Times New Roman"/>
                <w:sz w:val="24"/>
                <w:szCs w:val="24"/>
              </w:rPr>
            </w:pPr>
            <w:r>
              <w:rPr>
                <w:color w:themeColor="text1" w:val="000000"/>
                <w:sz w:val="24"/>
                <w:szCs w:val="24"/>
              </w:rPr>
              <w:t>При размещении объектов на вышеуказанной территории необходимо соблюдать нормы и требования действующего законодательства: Федеральных законов от 21.12.1994 № 69-ФЗ «О пожарной безопасности» и от 22.07.2008 № 123-ФЗ «Технический регламент о требованиях пожарной безопасности».</w:t>
            </w:r>
          </w:p>
          <w:p>
            <w:pPr>
              <w:pStyle w:val="Normal"/>
              <w:spacing w:lineRule="auto" w:line="240" w:before="0" w:after="0"/>
              <w:ind w:firstLine="425" w:left="0" w:right="0"/>
              <w:jc w:val="both"/>
              <w:rPr>
                <w:rFonts w:ascii="Times New Roman" w:hAnsi="Times New Roman"/>
                <w:sz w:val="24"/>
                <w:szCs w:val="24"/>
              </w:rPr>
            </w:pPr>
            <w:r>
              <w:rPr>
                <w:color w:themeColor="text1" w:val="000000"/>
                <w:sz w:val="24"/>
                <w:szCs w:val="24"/>
              </w:rPr>
              <w:t xml:space="preserve">(Аналогичная информация отражена в письме </w:t>
            </w:r>
            <w:r>
              <w:rPr>
                <w:b/>
                <w:color w:themeColor="text1" w:val="000000"/>
                <w:sz w:val="24"/>
                <w:szCs w:val="24"/>
              </w:rPr>
              <w:t>департамента общественной безопасности администрации города Перми</w:t>
            </w:r>
            <w:r>
              <w:rPr>
                <w:color w:themeColor="text1" w:val="000000"/>
                <w:sz w:val="24"/>
                <w:szCs w:val="24"/>
              </w:rPr>
              <w:t xml:space="preserve"> от 24.01.2025 № 059-10-01-27/3-158).</w:t>
            </w:r>
          </w:p>
          <w:p>
            <w:pPr>
              <w:pStyle w:val="Normal"/>
              <w:ind w:firstLine="283" w:left="0" w:right="0"/>
              <w:jc w:val="both"/>
              <w:rPr>
                <w:color w:themeColor="text1" w:val="000000"/>
              </w:rPr>
            </w:pPr>
            <w:r>
              <w:rPr>
                <w:color w:themeColor="text1" w:val="000000"/>
              </w:rPr>
            </w:r>
          </w:p>
        </w:tc>
      </w:tr>
      <w:tr>
        <w:trPr>
          <w:trHeight w:val="1087"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spacing w:before="0" w:after="0"/>
              <w:ind w:hanging="340" w:left="850" w:right="113"/>
              <w:jc w:val="left"/>
              <w:rPr>
                <w:sz w:val="24"/>
                <w:szCs w:val="24"/>
              </w:rPr>
            </w:pPr>
            <w:r>
              <w:rPr>
                <w:sz w:val="24"/>
                <w:szCs w:val="24"/>
              </w:rPr>
              <w:t xml:space="preserve">максимально и (или) минимально  допустимые параметры разрешенного строительства </w:t>
              <w:br/>
              <w:t>объекта капитального строительства</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BodyText"/>
              <w:ind w:firstLine="362"/>
              <w:jc w:val="both"/>
              <w:rPr>
                <w:sz w:val="24"/>
                <w:szCs w:val="24"/>
              </w:rPr>
            </w:pPr>
            <w:r>
              <w:rPr>
                <w:sz w:val="24"/>
                <w:szCs w:val="24"/>
              </w:rPr>
            </w:r>
          </w:p>
          <w:p>
            <w:pPr>
              <w:pStyle w:val="Normal"/>
              <w:spacing w:lineRule="auto" w:line="240" w:before="0" w:after="0"/>
              <w:ind w:firstLine="311"/>
              <w:jc w:val="both"/>
              <w:rPr>
                <w:rFonts w:ascii="Times New Roman" w:hAnsi="Times New Roman"/>
                <w:sz w:val="24"/>
                <w:szCs w:val="24"/>
              </w:rPr>
            </w:pPr>
            <w:r>
              <w:rPr>
                <w:sz w:val="24"/>
                <w:szCs w:val="24"/>
                <w:lang w:val="en-US"/>
              </w:rPr>
              <w:t>Проектирование и строительство необходимо вести 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w:t>
            </w:r>
            <w:r>
              <w:rPr>
                <w:sz w:val="24"/>
                <w:szCs w:val="24"/>
              </w:rPr>
              <w:t xml:space="preserve"> (ред. от 17.05.2023):</w:t>
            </w:r>
            <w:r>
              <w:rPr>
                <w:sz w:val="24"/>
                <w:szCs w:val="24"/>
                <w:lang w:val="en-US"/>
              </w:rPr>
              <w:t xml:space="preserve"> </w:t>
            </w:r>
            <w:r>
              <w:rPr>
                <w:sz w:val="24"/>
                <w:szCs w:val="24"/>
              </w:rPr>
              <w:t>д</w:t>
            </w:r>
            <w:r>
              <w:rPr>
                <w:sz w:val="24"/>
                <w:szCs w:val="24"/>
                <w:lang w:val="en-US"/>
              </w:rPr>
              <w:t>ом должен включать жилые комнаты – одну или несколько (общую комнату или гостиную, спальню),</w:t>
            </w:r>
            <w:r>
              <w:rPr>
                <w:sz w:val="24"/>
                <w:szCs w:val="24"/>
              </w:rPr>
              <w:t xml:space="preserve"> </w:t>
            </w:r>
            <w:r>
              <w:rPr>
                <w:sz w:val="24"/>
                <w:szCs w:val="24"/>
                <w:lang w:val="en-US"/>
              </w:rPr>
              <w:t>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r>
              <w:rPr>
                <w:sz w:val="24"/>
                <w:szCs w:val="24"/>
              </w:rPr>
              <w:t>, переднюю.</w:t>
            </w:r>
          </w:p>
          <w:p>
            <w:pPr>
              <w:pStyle w:val="Normal"/>
              <w:spacing w:lineRule="auto" w:line="240" w:before="0" w:after="0"/>
              <w:ind w:firstLine="311"/>
              <w:jc w:val="both"/>
              <w:rPr>
                <w:rFonts w:ascii="Times New Roman" w:hAnsi="Times New Roman"/>
                <w:sz w:val="24"/>
                <w:szCs w:val="24"/>
                <w:lang w:val="en-US"/>
              </w:rPr>
            </w:pPr>
            <w:r>
              <w:rPr>
                <w:sz w:val="24"/>
                <w:szCs w:val="24"/>
                <w:lang w:val="en-US"/>
              </w:rPr>
              <w:t>Согласно пункту 6.1 СП 55.13330.2016 площади помещений строящихся и реконструируемых жилых домов должны быть не менее: общей комнаты в однокомнатном доме - 14 м</w:t>
            </w:r>
            <w:r>
              <w:rPr>
                <w:sz w:val="24"/>
                <w:szCs w:val="24"/>
                <w:vertAlign w:val="superscript"/>
                <w:lang w:val="en-US"/>
              </w:rPr>
              <w:t>2</w:t>
            </w:r>
            <w:r>
              <w:rPr>
                <w:sz w:val="24"/>
                <w:szCs w:val="24"/>
                <w:lang w:val="en-US"/>
              </w:rPr>
              <w:t>, общей комнаты в доме с числом комнат две и более - 16 м</w:t>
            </w:r>
            <w:r>
              <w:rPr>
                <w:sz w:val="24"/>
                <w:szCs w:val="24"/>
                <w:vertAlign w:val="superscript"/>
                <w:lang w:val="en-US"/>
              </w:rPr>
              <w:t>2</w:t>
            </w:r>
            <w:r>
              <w:rPr>
                <w:sz w:val="24"/>
                <w:szCs w:val="24"/>
                <w:lang w:val="en-US"/>
              </w:rPr>
              <w:t>, спальни - 8 м</w:t>
            </w:r>
            <w:r>
              <w:rPr>
                <w:sz w:val="24"/>
                <w:szCs w:val="24"/>
                <w:vertAlign w:val="superscript"/>
                <w:lang w:val="en-US"/>
              </w:rPr>
              <w:t>2</w:t>
            </w:r>
            <w:r>
              <w:rPr>
                <w:sz w:val="24"/>
                <w:szCs w:val="24"/>
                <w:lang w:val="en-US"/>
              </w:rPr>
              <w:t xml:space="preserve"> (на двух человек - 10 м</w:t>
            </w:r>
            <w:r>
              <w:rPr>
                <w:sz w:val="24"/>
                <w:szCs w:val="24"/>
                <w:vertAlign w:val="superscript"/>
                <w:lang w:val="en-US"/>
              </w:rPr>
              <w:t>2</w:t>
            </w:r>
            <w:r>
              <w:rPr>
                <w:sz w:val="24"/>
                <w:szCs w:val="24"/>
                <w:lang w:val="en-US"/>
              </w:rPr>
              <w:t>); кухни - 8 м</w:t>
            </w:r>
            <w:r>
              <w:rPr>
                <w:sz w:val="24"/>
                <w:szCs w:val="24"/>
                <w:vertAlign w:val="superscript"/>
                <w:lang w:val="en-US"/>
              </w:rPr>
              <w:t>2</w:t>
            </w:r>
            <w:r>
              <w:rPr>
                <w:sz w:val="24"/>
                <w:szCs w:val="24"/>
                <w:lang w:val="en-US"/>
              </w:rPr>
              <w:t>; кухонной зоны в кухне-столовой - 6 м</w:t>
            </w:r>
            <w:r>
              <w:rPr>
                <w:sz w:val="24"/>
                <w:szCs w:val="24"/>
                <w:vertAlign w:val="superscript"/>
                <w:lang w:val="en-US"/>
              </w:rPr>
              <w:t>2</w:t>
            </w:r>
            <w:r>
              <w:rPr>
                <w:sz w:val="24"/>
                <w:szCs w:val="24"/>
                <w:lang w:val="en-US"/>
              </w:rPr>
              <w:t>.</w:t>
            </w:r>
            <w:r>
              <w:rPr>
                <w:sz w:val="24"/>
                <w:szCs w:val="24"/>
              </w:rPr>
              <w:t xml:space="preserve"> </w:t>
            </w:r>
            <w:r>
              <w:rPr>
                <w:sz w:val="24"/>
                <w:szCs w:val="24"/>
                <w:lang w:val="en-US"/>
              </w:rPr>
              <w:t>В домах с одной комнатой допускается проектировать кухни или кухни-ниши площадью не менее 5 м</w:t>
            </w:r>
            <w:r>
              <w:rPr>
                <w:sz w:val="24"/>
                <w:szCs w:val="24"/>
                <w:vertAlign w:val="superscript"/>
                <w:lang w:val="en-US"/>
              </w:rPr>
              <w:t>2</w:t>
            </w:r>
            <w:r>
              <w:rPr>
                <w:sz w:val="24"/>
                <w:szCs w:val="24"/>
                <w:lang w:val="en-US"/>
              </w:rPr>
              <w:t>.</w:t>
            </w:r>
            <w:r>
              <w:rPr>
                <w:sz w:val="24"/>
                <w:szCs w:val="24"/>
              </w:rPr>
              <w:t xml:space="preserve"> </w:t>
            </w:r>
            <w:r>
              <w:rPr>
                <w:sz w:val="24"/>
                <w:szCs w:val="24"/>
                <w:lang w:val="en-US"/>
              </w:rPr>
              <w:t>Площадь спальни и кухни в мансардном этаже (или этаже с наклонными ограждающими конструкциями) допускается не менее 7 м</w:t>
            </w:r>
            <w:r>
              <w:rPr>
                <w:sz w:val="24"/>
                <w:szCs w:val="24"/>
                <w:vertAlign w:val="superscript"/>
                <w:lang w:val="en-US"/>
              </w:rPr>
              <w:t>2</w:t>
            </w:r>
            <w:r>
              <w:rPr>
                <w:sz w:val="24"/>
                <w:szCs w:val="24"/>
                <w:lang w:val="en-US"/>
              </w:rPr>
              <w:t xml:space="preserve"> при условии, что общая жилая комната имеет площадь не менее 16 м</w:t>
            </w:r>
            <w:r>
              <w:rPr>
                <w:sz w:val="24"/>
                <w:szCs w:val="24"/>
                <w:vertAlign w:val="superscript"/>
                <w:lang w:val="en-US"/>
              </w:rPr>
              <w:t>2</w:t>
            </w:r>
            <w:r>
              <w:rPr>
                <w:sz w:val="24"/>
                <w:szCs w:val="24"/>
                <w:lang w:val="en-US"/>
              </w:rPr>
              <w:t>.</w:t>
            </w:r>
          </w:p>
          <w:p>
            <w:pPr>
              <w:pStyle w:val="Normal"/>
              <w:spacing w:lineRule="auto" w:line="240" w:before="0" w:after="0"/>
              <w:ind w:firstLine="311"/>
              <w:jc w:val="both"/>
              <w:rPr>
                <w:rFonts w:ascii="Times New Roman" w:hAnsi="Times New Roman"/>
                <w:sz w:val="24"/>
                <w:szCs w:val="24"/>
                <w:lang w:val="en-US"/>
              </w:rPr>
            </w:pPr>
            <w:r>
              <w:rPr>
                <w:sz w:val="24"/>
                <w:szCs w:val="24"/>
                <w:lang w:val="en-US"/>
              </w:rPr>
              <w:t xml:space="preserve">Согласно пункту 6.2 СП 55.13330.2016 высота </w:t>
              <w:br/>
              <w:t>(от пола до потолка) комнат и кухни (кухни-столовой) в климатических районах строительства IА, IБ, IГ, IД, определяемых по СП 131.13330, должна быть не менее 2,7 м, а в других климатических районах строительства - не менее 2,5 м. Высота внутридомовых коридоров, холлов, передних, антресолей должна составлять не менее 2,1 м,</w:t>
            </w:r>
            <w:r>
              <w:rPr>
                <w:sz w:val="24"/>
                <w:szCs w:val="24"/>
              </w:rPr>
              <w:t xml:space="preserve"> </w:t>
            </w:r>
            <w:r>
              <w:rPr>
                <w:sz w:val="24"/>
                <w:szCs w:val="24"/>
                <w:lang w:val="en-US"/>
              </w:rPr>
              <w:t>а высота пути эвакуации - не менее</w:t>
            </w:r>
            <w:r>
              <w:rPr>
                <w:sz w:val="24"/>
                <w:szCs w:val="24"/>
              </w:rPr>
              <w:t xml:space="preserve"> </w:t>
            </w:r>
            <w:r>
              <w:rPr>
                <w:sz w:val="24"/>
                <w:szCs w:val="24"/>
                <w:lang w:val="en-US"/>
              </w:rPr>
              <w:t>2,2 м.</w:t>
            </w:r>
          </w:p>
          <w:p>
            <w:pPr>
              <w:pStyle w:val="Normal"/>
              <w:spacing w:lineRule="auto" w:line="240" w:before="0" w:after="0"/>
              <w:ind w:firstLine="311"/>
              <w:jc w:val="both"/>
              <w:rPr>
                <w:rFonts w:ascii="Times New Roman" w:hAnsi="Times New Roman"/>
                <w:sz w:val="24"/>
                <w:szCs w:val="24"/>
              </w:rPr>
            </w:pPr>
            <w:r>
              <w:rPr>
                <w:sz w:val="24"/>
                <w:szCs w:val="24"/>
                <w:lang w:val="en-US"/>
              </w:rPr>
              <w:t xml:space="preserve">В жилых комнатах и кухнях, расположенных </w:t>
              <w:br/>
              <w:t>в этажах с наклонными ограждающими конструкциями или в мансардном этаже, допускается уменьшение высоты помещений (от поладо потолка), относительно нормируемой на площади, не превышающей 50%.</w:t>
            </w:r>
          </w:p>
          <w:p>
            <w:pPr>
              <w:pStyle w:val="Normal"/>
              <w:tabs>
                <w:tab w:val="clear" w:pos="708"/>
                <w:tab w:val="right" w:pos="6000" w:leader="none"/>
              </w:tabs>
              <w:spacing w:lineRule="auto" w:line="240" w:before="0" w:after="0"/>
              <w:ind w:firstLine="317"/>
              <w:jc w:val="both"/>
              <w:rPr>
                <w:rFonts w:ascii="Times New Roman" w:hAnsi="Times New Roman"/>
                <w:sz w:val="24"/>
              </w:rPr>
            </w:pPr>
            <w:r>
              <w:rPr>
                <w:sz w:val="24"/>
              </w:rPr>
              <w:t>Согласно информации, содержащейся ГПЗУ, предельная высота зданий, строений  не более 10,5 м.</w:t>
            </w:r>
          </w:p>
          <w:p>
            <w:pPr>
              <w:pStyle w:val="Normal"/>
              <w:tabs>
                <w:tab w:val="clear" w:pos="708"/>
                <w:tab w:val="right" w:pos="6000" w:leader="none"/>
              </w:tabs>
              <w:spacing w:lineRule="auto" w:line="240" w:before="0" w:after="0"/>
              <w:ind w:firstLine="317"/>
              <w:jc w:val="both"/>
              <w:rPr>
                <w:rFonts w:ascii="Times New Roman" w:hAnsi="Times New Roman"/>
                <w:sz w:val="24"/>
              </w:rPr>
            </w:pPr>
            <w:r>
              <w:rPr>
                <w:sz w:val="24"/>
              </w:rPr>
              <w:t>Минимальный отступ от границ земельного участка до места допустимого размещения зданий, строений, сооружений (за исключением границ со стороны территории общего пользования, где отступ определяется с учетом красных линий и линий регулирования застройки, установленных проектом планировки территории, а также смежных земельных участков при блокированной жилой застройке) – 3 м.</w:t>
            </w:r>
          </w:p>
          <w:p>
            <w:pPr>
              <w:pStyle w:val="Normal"/>
              <w:tabs>
                <w:tab w:val="clear" w:pos="708"/>
                <w:tab w:val="right" w:pos="6000" w:leader="none"/>
              </w:tabs>
              <w:spacing w:lineRule="auto" w:line="240" w:before="0" w:after="0"/>
              <w:ind w:firstLine="317"/>
              <w:jc w:val="both"/>
              <w:rPr>
                <w:rFonts w:ascii="Times New Roman" w:hAnsi="Times New Roman"/>
                <w:sz w:val="24"/>
              </w:rPr>
            </w:pPr>
            <w:r>
              <w:rPr>
                <w:sz w:val="24"/>
              </w:rPr>
              <w:t xml:space="preserve">Максимальный выступ за красную линию нависающих частей здания наземных уровней, выступающих из плоскости наружной стены фасада здания на высоте не менее 4,5 м над территорией общего пользования, составляет не более 1,2 м </w:t>
              <w:br/>
              <w:t>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Normal"/>
              <w:spacing w:lineRule="auto" w:line="240" w:before="0" w:after="0"/>
              <w:ind w:firstLine="311"/>
              <w:jc w:val="both"/>
              <w:rPr>
                <w:rFonts w:ascii="Times New Roman" w:hAnsi="Times New Roman"/>
                <w:sz w:val="24"/>
              </w:rPr>
            </w:pPr>
            <w:r>
              <w:rPr>
                <w:sz w:val="24"/>
              </w:rPr>
              <w:t>Максимальный процент застройки в границах Участка – 30%.</w:t>
            </w:r>
          </w:p>
          <w:p>
            <w:pPr>
              <w:pStyle w:val="Normal"/>
              <w:spacing w:lineRule="auto" w:line="240" w:before="0" w:after="0"/>
              <w:ind w:firstLine="311"/>
              <w:jc w:val="both"/>
              <w:rPr>
                <w:rFonts w:ascii="Times New Roman" w:hAnsi="Times New Roman"/>
                <w:sz w:val="24"/>
              </w:rPr>
            </w:pPr>
            <w:r>
              <w:rPr>
                <w:color w:themeColor="text1" w:val="000000"/>
                <w:sz w:val="24"/>
                <w:szCs w:val="24"/>
                <w:lang w:val="en-US"/>
              </w:rPr>
              <w:t>С уведомлением о планируемом строительстве жилого дома рекомендуется обратиться в уполномоченный орган администрации города Перми.</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529"/>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hanging="0"/>
              <w:jc w:val="both"/>
              <w:rPr>
                <w:sz w:val="24"/>
                <w:szCs w:val="24"/>
                <w:highlight w:val="none"/>
              </w:rPr>
            </w:pPr>
            <w:r>
              <w:rPr>
                <w:sz w:val="24"/>
                <w:szCs w:val="24"/>
              </w:rPr>
            </w:r>
          </w:p>
          <w:p>
            <w:pPr>
              <w:pStyle w:val="Normal"/>
              <w:widowControl/>
              <w:bidi w:val="0"/>
              <w:spacing w:before="0" w:after="0"/>
              <w:ind w:firstLine="283" w:left="113" w:right="113"/>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hyperlink r:id="rId12" w:tgtFrame="http://www.gorodperm.ru/">
              <w:r>
                <w:rPr>
                  <w:rStyle w:val="Hyperlink"/>
                  <w:sz w:val="24"/>
                  <w:szCs w:val="24"/>
                </w:rPr>
                <w:t>www.gorodperm.ru</w:t>
              </w:r>
            </w:hyperlink>
            <w:r>
              <w:rPr>
                <w:sz w:val="24"/>
                <w:szCs w:val="24"/>
              </w:rPr>
              <w:t>.</w:t>
            </w:r>
          </w:p>
          <w:p>
            <w:pPr>
              <w:pStyle w:val="Normal"/>
              <w:ind w:firstLine="312"/>
              <w:jc w:val="both"/>
              <w:rPr>
                <w:sz w:val="24"/>
                <w:szCs w:val="24"/>
              </w:rPr>
            </w:pPr>
            <w:r>
              <w:rPr>
                <w:sz w:val="24"/>
                <w:szCs w:val="24"/>
              </w:rPr>
            </w:r>
          </w:p>
          <w:p>
            <w:pPr>
              <w:pStyle w:val="Normal"/>
              <w:spacing w:lineRule="auto" w:line="240" w:before="0" w:after="0"/>
              <w:ind w:firstLine="317"/>
              <w:jc w:val="both"/>
              <w:rPr>
                <w:rFonts w:ascii="Times New Roman" w:hAnsi="Times New Roman"/>
                <w:sz w:val="24"/>
              </w:rPr>
            </w:pPr>
            <w:r>
              <w:rPr>
                <w:sz w:val="24"/>
              </w:rPr>
              <w:t>О наличии технической возможности технологического присоединения энергопринимающего устройства объекта с предполагаемым электоропотреблением 15 кВт, сообщается следующее.</w:t>
            </w:r>
          </w:p>
          <w:p>
            <w:pPr>
              <w:pStyle w:val="Normal"/>
              <w:spacing w:lineRule="auto" w:line="240" w:before="0" w:after="0"/>
              <w:ind w:firstLine="317"/>
              <w:jc w:val="both"/>
              <w:rPr>
                <w:rFonts w:ascii="Times New Roman" w:hAnsi="Times New Roman"/>
                <w:sz w:val="24"/>
                <w:szCs w:val="20"/>
              </w:rPr>
            </w:pPr>
            <w:r>
              <w:rPr>
                <w:sz w:val="24"/>
                <w:szCs w:val="20"/>
              </w:rPr>
              <w:t xml:space="preserve">В соответствии с «Правилами технологического присоединения энергопринимающих устройств потребителей электрической энергии, объектов </w:t>
              <w:br/>
              <w:t>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(далее – Правила), конкретные технические условия на энергосбережение объекта разрабатываются в составе договора о технологическом присоединении.</w:t>
            </w:r>
          </w:p>
          <w:p>
            <w:pPr>
              <w:pStyle w:val="Normal"/>
              <w:spacing w:lineRule="auto" w:line="240" w:before="0" w:after="0"/>
              <w:ind w:firstLine="317"/>
              <w:jc w:val="both"/>
              <w:rPr>
                <w:rFonts w:ascii="Times New Roman" w:hAnsi="Times New Roman"/>
                <w:sz w:val="24"/>
                <w:szCs w:val="20"/>
              </w:rPr>
            </w:pPr>
            <w:r>
              <w:rPr>
                <w:sz w:val="24"/>
                <w:szCs w:val="20"/>
              </w:rPr>
              <w:t>Плата за технологическое присоединение энергопринимающих устройств устанавливается исходя из стоимости мероприятий по технологическому присоединению, размер платы определяется по утвержденным тарифам согласно постановлению Министерства тарифного регулирования и энергетики Пермского края от 23.11.2023 № 121-тп (в последней редакции).</w:t>
            </w:r>
          </w:p>
          <w:p>
            <w:pPr>
              <w:pStyle w:val="Normal"/>
              <w:spacing w:lineRule="auto" w:line="240" w:before="0" w:after="0"/>
              <w:ind w:firstLine="317"/>
              <w:jc w:val="both"/>
              <w:rPr>
                <w:rFonts w:ascii="Times New Roman" w:hAnsi="Times New Roman"/>
                <w:sz w:val="24"/>
                <w:szCs w:val="20"/>
              </w:rPr>
            </w:pPr>
            <w:r>
              <w:rPr>
                <w:sz w:val="24"/>
                <w:szCs w:val="20"/>
              </w:rPr>
              <w:t>Электроснабжение объекта возможно будет осуществить при условии строительства питающей линии электропередачи 0,4 кВ на основании договора об осуществлении технологического присоединения объекта к электрическим сетям филиала «Пермэнерго».</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 xml:space="preserve">Филиала ПАО «Россети Урал» - «Пермэнерго» </w:t>
            </w:r>
            <w:r>
              <w:rPr>
                <w:sz w:val="24"/>
                <w:szCs w:val="24"/>
              </w:rPr>
              <w:t>(ранее – ОАО «МРСК Урала – филиал Пермэнерго») от 05.02.2025 ПЭ/ПГЭС/01/22/1227).</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rPr>
            </w:pPr>
            <w:r>
              <w:rPr>
                <w:sz w:val="24"/>
              </w:rPr>
              <w:t>Техническая возможность подключения объекта капитального строительства с предполагаемой максимальной нагрузкой (часовым расходом газа) 8м</w:t>
            </w:r>
            <w:r>
              <w:rPr>
                <w:sz w:val="24"/>
                <w:vertAlign w:val="superscript"/>
              </w:rPr>
              <w:t>3</w:t>
            </w:r>
            <w:r>
              <w:rPr>
                <w:sz w:val="24"/>
              </w:rPr>
              <w:t>/час к существующим сетям газораспределения имеется.</w:t>
            </w:r>
          </w:p>
          <w:p>
            <w:pPr>
              <w:pStyle w:val="Normal"/>
              <w:spacing w:lineRule="auto" w:line="240" w:before="0" w:after="0"/>
              <w:ind w:firstLine="317"/>
              <w:jc w:val="both"/>
              <w:rPr>
                <w:rFonts w:ascii="Times New Roman" w:hAnsi="Times New Roman"/>
                <w:sz w:val="24"/>
              </w:rPr>
            </w:pPr>
            <w:r>
              <w:rPr>
                <w:sz w:val="24"/>
              </w:rPr>
              <w:t>Для определения местораспроложения газораспределительных сетей на Участке необходимо направить в адрес филиала в г. Пермь АО «Газпром газораспределение Пермь» инженерно-топографический план на бумажном носители, выполненный в масштабе 1:500, в координатах г. Перми, на котором отображены рельеф местности, объекты ситуации и границы Участка.</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АО «Газпром газораспределение Пермь»</w:t>
            </w:r>
            <w:r>
              <w:rPr>
                <w:sz w:val="24"/>
                <w:szCs w:val="24"/>
              </w:rPr>
              <w:t xml:space="preserve"> от 27.01.2025 № ПФ-441).</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 1,0 м3/сут. к централизованным системам водоснабжения и водоотведения сообщается следующее.</w:t>
            </w:r>
          </w:p>
          <w:p>
            <w:pPr>
              <w:pStyle w:val="Normal"/>
              <w:spacing w:lineRule="auto" w:line="240" w:before="0" w:after="0"/>
              <w:ind w:firstLine="317"/>
              <w:jc w:val="both"/>
              <w:rPr>
                <w:rFonts w:ascii="Times New Roman" w:hAnsi="Times New Roman"/>
                <w:color w:val="FF0000"/>
                <w:sz w:val="24"/>
              </w:rPr>
            </w:pPr>
            <w:r>
              <w:rPr>
                <w:sz w:val="24"/>
              </w:rPr>
              <w:t>Централизованные сети водопровода и канализации,  эксплуатируемые ООО «НОВОГОР-Прикамье» отсутствуют.</w:t>
            </w:r>
          </w:p>
          <w:p>
            <w:pPr>
              <w:pStyle w:val="Normal"/>
              <w:spacing w:lineRule="auto" w:line="240" w:before="0" w:after="0"/>
              <w:ind w:firstLine="317"/>
              <w:jc w:val="both"/>
              <w:rPr>
                <w:rFonts w:ascii="Times New Roman" w:hAnsi="Times New Roman"/>
                <w:sz w:val="24"/>
              </w:rPr>
            </w:pPr>
            <w:r>
              <w:rPr>
                <w:sz w:val="24"/>
              </w:rPr>
              <w:t>Альтернативным методом снабжения водой Участка может быть скважина, отвод канализационных стоков возможен на локальные очистные сооружения либо в выгребную яму с последующим вывозом стоков спец. машинами, при этом состав стоков должен соответствовать всем нормативным требованиям РФ.</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 xml:space="preserve">ООО «НОВОГОР-Прикамье» </w:t>
            </w:r>
            <w:r>
              <w:rPr>
                <w:sz w:val="24"/>
                <w:szCs w:val="24"/>
              </w:rPr>
              <w:t>от 27.01.2025 № 110-0896).</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Участок расположен вне зоны теплоснабжения ПАО «Т Плюс».</w:t>
            </w:r>
          </w:p>
          <w:p>
            <w:pPr>
              <w:pStyle w:val="Normal"/>
              <w:spacing w:lineRule="auto" w:line="240" w:before="0" w:after="0"/>
              <w:ind w:firstLine="317"/>
              <w:jc w:val="both"/>
              <w:rPr>
                <w:rFonts w:ascii="Times New Roman" w:hAnsi="Times New Roman"/>
                <w:sz w:val="24"/>
                <w:szCs w:val="24"/>
              </w:rPr>
            </w:pPr>
            <w:r>
              <w:rPr>
                <w:sz w:val="24"/>
                <w:szCs w:val="24"/>
              </w:rPr>
              <w:t>Для запроса информации о возможности подключения земельного участка рекомендуется обратиться к собственнику близлежащих тепловых сетей/источников теплоснабжения или рассмотреть возможность альтернативного источника теплоснабжения.</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Филиала «Пермский  ПАО «Т Плюс»</w:t>
            </w:r>
            <w:r>
              <w:rPr>
                <w:sz w:val="24"/>
                <w:szCs w:val="24"/>
              </w:rPr>
              <w:t xml:space="preserve"> от 04.02.2025 № 51000-32-00283).</w:t>
            </w:r>
          </w:p>
          <w:p>
            <w:pPr>
              <w:pStyle w:val="Normal"/>
              <w:spacing w:lineRule="auto" w:line="240" w:before="0" w:after="0"/>
              <w:ind w:firstLine="425" w:left="0" w:right="0"/>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 xml:space="preserve">Техническое присоединение планируемых к строительству объектов в границах </w:t>
            </w:r>
            <w:r>
              <w:rPr>
                <w:spacing w:val="-6"/>
                <w:sz w:val="24"/>
                <w:szCs w:val="24"/>
              </w:rPr>
              <w:t>Участка может быть произведено в точке подключения –</w:t>
            </w:r>
            <w:r>
              <w:rPr>
                <w:sz w:val="24"/>
                <w:szCs w:val="24"/>
              </w:rPr>
              <w:t xml:space="preserve"> узел ВОЛС (г. Пермь, ул. Генерала Доватора, д. 1), максимальную нагрузку в точке подключения (технологического присоединения) определить на стадии проектирования.</w:t>
            </w:r>
          </w:p>
          <w:p>
            <w:pPr>
              <w:pStyle w:val="Normal"/>
              <w:spacing w:lineRule="auto" w:line="240" w:before="0" w:after="0"/>
              <w:ind w:firstLine="317"/>
              <w:jc w:val="both"/>
              <w:rPr>
                <w:rFonts w:ascii="Times New Roman" w:hAnsi="Times New Roman"/>
                <w:sz w:val="24"/>
                <w:szCs w:val="24"/>
              </w:rPr>
            </w:pPr>
            <w:r>
              <w:rPr>
                <w:b w:val="false"/>
                <w:bCs w:val="false"/>
                <w:color w:themeColor="text1" w:val="000000"/>
                <w:sz w:val="24"/>
                <w:szCs w:val="24"/>
              </w:rPr>
              <w:t>Для подключения (технологического присоединения) вышеуказанных объектов к сетям электросвязи ПАО «Ростелеком»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 определенном действующим законодательством.</w:t>
            </w:r>
          </w:p>
          <w:p>
            <w:pPr>
              <w:pStyle w:val="Normal"/>
              <w:spacing w:lineRule="auto" w:line="240" w:before="0" w:after="0"/>
              <w:ind w:firstLine="425" w:left="0" w:right="0"/>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ПАО «Ростелеком»</w:t>
            </w:r>
            <w:r>
              <w:rPr>
                <w:sz w:val="24"/>
                <w:szCs w:val="24"/>
              </w:rPr>
              <w:t xml:space="preserve"> от 29.01.2025 № 01/05/13040/25).</w:t>
            </w:r>
          </w:p>
          <w:p>
            <w:pPr>
              <w:pStyle w:val="Normal"/>
              <w:spacing w:lineRule="auto" w:line="240" w:before="0" w:after="0"/>
              <w:ind w:firstLine="425" w:left="0" w:right="0"/>
              <w:jc w:val="both"/>
              <w:rPr>
                <w:rFonts w:ascii="Times New Roman" w:hAnsi="Times New Roman"/>
                <w:sz w:val="24"/>
                <w:szCs w:val="24"/>
              </w:rPr>
            </w:pPr>
            <w:r>
              <w:rPr>
                <w:sz w:val="24"/>
                <w:szCs w:val="24"/>
              </w:rPr>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57"/>
              <w:jc w:val="left"/>
              <w:rPr>
                <w:highlight w:val="none"/>
                <w:shd w:fill="auto" w:val="clear"/>
              </w:rPr>
            </w:pPr>
            <w:r>
              <w:rPr>
                <w:sz w:val="24"/>
                <w:szCs w:val="24"/>
                <w:shd w:fill="auto" w:val="clear"/>
              </w:rPr>
              <w:t>Начальная цена предмета аукциона</w:t>
            </w:r>
          </w:p>
          <w:p>
            <w:pPr>
              <w:pStyle w:val="Normal"/>
              <w:widowControl/>
              <w:spacing w:before="0" w:after="0"/>
              <w:ind w:hanging="0" w:left="113" w:right="57"/>
              <w:jc w:val="left"/>
              <w:rPr>
                <w:highlight w:val="none"/>
                <w:shd w:fill="auto" w:val="clear"/>
              </w:rPr>
            </w:pPr>
            <w:r>
              <w:rPr>
                <w:b/>
                <w:sz w:val="24"/>
                <w:szCs w:val="24"/>
                <w:shd w:fill="auto" w:val="clear"/>
              </w:rPr>
              <w:t>(рыночная стоимость земельного участка)</w:t>
            </w:r>
          </w:p>
          <w:p>
            <w:pPr>
              <w:pStyle w:val="Normal"/>
              <w:ind w:right="-263"/>
              <w:rPr>
                <w:b/>
                <w:bCs/>
                <w:sz w:val="24"/>
                <w:szCs w:val="24"/>
                <w:highlight w:val="none"/>
              </w:rPr>
            </w:pPr>
            <w:r>
              <w:rPr>
                <w:b/>
                <w:bCs/>
                <w:sz w:val="24"/>
                <w:szCs w:val="24"/>
              </w:rPr>
            </w:r>
          </w:p>
          <w:p>
            <w:pPr>
              <w:pStyle w:val="Normal"/>
              <w:ind w:hanging="0" w:left="0" w:right="0"/>
              <w:rPr>
                <w:rFonts w:ascii="Times New Roman" w:hAnsi="Times New Roman" w:eastAsia="Times New Roman" w:cs="Times New Roman"/>
                <w:b w:val="false"/>
                <w:bCs w:val="false"/>
                <w:color w:val="000000"/>
                <w:sz w:val="24"/>
                <w:szCs w:val="24"/>
                <w:highlight w:val="none"/>
              </w:rPr>
            </w:pPr>
            <w:r>
              <w:rPr>
                <w:rFonts w:eastAsia="Times New Roman" w:cs="Times New Roman"/>
                <w:b w:val="false"/>
                <w:bCs w:val="false"/>
                <w:color w:val="000000"/>
                <w:sz w:val="24"/>
              </w:rPr>
              <w:t>По условиям пункта 4.1 проекта договора купли-продажи земельного участка, приобретаемого на торгах в форме аукциона (Приложение 3 к настоящему извещению),</w:t>
            </w:r>
          </w:p>
          <w:p>
            <w:pPr>
              <w:pStyle w:val="Normal"/>
              <w:rPr>
                <w:highlight w:val="none"/>
                <w:shd w:fill="auto" w:val="clear"/>
              </w:rPr>
            </w:pPr>
            <w:r>
              <w:rPr>
                <w:sz w:val="24"/>
                <w:szCs w:val="24"/>
                <w:shd w:fill="auto" w:val="clear"/>
              </w:rPr>
              <w:t>победитель аукциона, иное лицо, с которым договор заключается в соответствии с п.13, п.14, п. 20 или п. 25</w:t>
            </w:r>
          </w:p>
          <w:p>
            <w:pPr>
              <w:pStyle w:val="Normal"/>
              <w:rPr>
                <w:highlight w:val="none"/>
                <w:shd w:fill="auto" w:val="clear"/>
              </w:rPr>
            </w:pPr>
            <w:r>
              <w:rPr>
                <w:sz w:val="24"/>
                <w:szCs w:val="24"/>
                <w:shd w:fill="auto" w:val="clear"/>
              </w:rPr>
              <w:t xml:space="preserve">ст. 39.12 Земельного Кодекса Российской Федерации (далее – ЗК РФ), обязан </w:t>
            </w:r>
            <w:r>
              <w:rPr>
                <w:b/>
                <w:sz w:val="24"/>
                <w:szCs w:val="24"/>
                <w:shd w:fill="auto" w:val="clear"/>
              </w:rPr>
              <w:t>в течение 15 дней</w:t>
            </w:r>
            <w:r>
              <w:rPr>
                <w:sz w:val="24"/>
                <w:szCs w:val="24"/>
                <w:shd w:fill="auto" w:val="clear"/>
              </w:rPr>
              <w:t xml:space="preserve"> со дня размещения  протокола о результатах аукциона, а в случаях, определенных п.13, п.14, ст. 39.12 ЗК РФ, протокола рассмотрения заявок, </w:t>
            </w:r>
            <w:r>
              <w:rPr>
                <w:b/>
                <w:sz w:val="24"/>
                <w:szCs w:val="24"/>
                <w:shd w:fill="auto" w:val="clear"/>
              </w:rPr>
              <w:t xml:space="preserve">перечислить денежные средства </w:t>
            </w:r>
            <w:r>
              <w:rPr>
                <w:sz w:val="24"/>
                <w:szCs w:val="24"/>
                <w:shd w:fill="auto" w:val="clear"/>
              </w:rPr>
              <w:t>за земельный участок (за вычетом задатка, внесенного для участия в аукционе) на счет департамента земельных отношений администрации города Перми, 614000, ул. Сибирская,15, тел. 212-61-90 (отдел договоров), реквизиты которого указаны в проекте договора купли-продажи земельного участка (Приложение 3 к настоящему извещению)</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3 008 000 руб.</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«Шаг аукциона» (5% от начальной цены предмета аукциона)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150 400 руб.</w:t>
            </w:r>
          </w:p>
        </w:tc>
      </w:tr>
      <w:tr>
        <w:trPr>
          <w:trHeight w:val="41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Форма заявки на участие в аукционе</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w:t>
              <w:br/>
              <w:t xml:space="preserve">о государственной регистрации юридического лица </w:t>
              <w:br/>
              <w:t>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Normal"/>
              <w:jc w:val="both"/>
              <w:rPr>
                <w:b/>
                <w:sz w:val="24"/>
                <w:szCs w:val="24"/>
              </w:rPr>
            </w:pPr>
            <w:r>
              <w:rPr>
                <w:b/>
                <w:sz w:val="24"/>
                <w:szCs w:val="24"/>
              </w:rPr>
              <w:t>Решение о проведении аукциона принято в соответствии со статьей 39.18 Земельного кодекса Российской Федерации, участниками аукциона могут являться только граждане.</w:t>
            </w:r>
          </w:p>
        </w:tc>
      </w:tr>
      <w:tr>
        <w:trPr>
          <w:trHeight w:val="23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Размер задатка (50% от начальной цены предмета аукциона)</w:t>
            </w:r>
          </w:p>
          <w:p>
            <w:pPr>
              <w:pStyle w:val="Normal"/>
              <w:widowControl/>
              <w:spacing w:before="0" w:after="0"/>
              <w:ind w:hanging="0" w:left="113" w:right="113"/>
              <w:jc w:val="left"/>
              <w:rPr>
                <w:sz w:val="24"/>
                <w:szCs w:val="24"/>
                <w:highlight w:val="none"/>
                <w:shd w:fill="auto" w:val="clear"/>
              </w:rPr>
            </w:pPr>
            <w:r>
              <w:rPr>
                <w:sz w:val="24"/>
                <w:szCs w:val="24"/>
                <w:shd w:fill="auto" w:val="clear"/>
              </w:rPr>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1 504 000 руб.</w:t>
            </w:r>
          </w:p>
        </w:tc>
      </w:tr>
      <w:tr>
        <w:trPr>
          <w:trHeight w:val="236" w:hRule="atLeast"/>
        </w:trPr>
        <w:tc>
          <w:tcPr>
            <w:tcW w:w="356"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308" w:type="dxa"/>
            <w:tcBorders>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 xml:space="preserve">Дата </w:t>
            </w:r>
            <w:r>
              <w:rPr>
                <w:b w:val="false"/>
                <w:shd w:fill="auto" w:val="clear"/>
              </w:rPr>
              <w:t xml:space="preserve">размещения извещения в соответствии с пп. 1 п. 1 ст. 39.18 Земельного кодекса Российской Федерации на  </w:t>
            </w:r>
            <w:r>
              <w:rPr>
                <w:b w:val="false"/>
                <w:sz w:val="24"/>
                <w:szCs w:val="24"/>
                <w:shd w:fill="auto" w:val="clear"/>
                <w:lang w:val="en-US" w:eastAsia="en-US"/>
              </w:rPr>
              <w:t>сайтах www.torgi.gov.ru, www.gorodperm.ru</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left w:val="single" w:sz="4" w:space="0" w:color="000000"/>
              <w:bottom w:val="single" w:sz="4" w:space="0" w:color="000000"/>
              <w:right w:val="single" w:sz="4" w:space="0" w:color="000000"/>
            </w:tcBorders>
          </w:tcPr>
          <w:p>
            <w:pPr>
              <w:pStyle w:val="Normal"/>
              <w:jc w:val="both"/>
              <w:rPr>
                <w:sz w:val="24"/>
                <w:szCs w:val="24"/>
              </w:rPr>
            </w:pPr>
            <w:r>
              <w:rPr>
                <w:sz w:val="24"/>
                <w:szCs w:val="24"/>
              </w:rPr>
              <w:t>25.03.2022</w:t>
            </w:r>
          </w:p>
        </w:tc>
      </w:tr>
      <w:tr>
        <w:trPr>
          <w:trHeight w:val="1884"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Проект договора купли-продажи земельного 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eastAsia="en-US"/>
              </w:rPr>
              <w:t xml:space="preserve">Проект договора купли-продажи земельного участка, приобретаемого на торгах в форме аукциона, является Приложением 3 к настоящему извещению и </w:t>
            </w:r>
            <w:r>
              <w:rPr>
                <w:sz w:val="24"/>
                <w:szCs w:val="24"/>
                <w:lang w:val="en-US" w:eastAsia="en-US"/>
              </w:rPr>
              <w:t>размещен на сайтах www.torgi.gov.ru, www.gorodperm.ru (раздел Деятельность/ Муниципальная собственность/ Торговая площадка Вид торгов Продажа и аренда земельных участков)</w:t>
            </w:r>
          </w:p>
        </w:tc>
      </w:tr>
      <w:tr>
        <w:trPr>
          <w:trHeight w:val="7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308"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Порядок осмотра земельного участка на местности</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Осмотр земельного участка производится заявителем самостоятельно в любое время с даты опубликования настоящего извещения.</w:t>
            </w:r>
          </w:p>
        </w:tc>
      </w:tr>
    </w:tbl>
    <w:p>
      <w:pPr>
        <w:pStyle w:val="Normal"/>
        <w:spacing w:lineRule="exact" w:line="240"/>
        <w:ind w:right="-263"/>
        <w:rPr>
          <w:b/>
        </w:rPr>
      </w:pPr>
      <w:r>
        <w:rPr>
          <w:b/>
        </w:rPr>
      </w:r>
    </w:p>
    <w:p>
      <w:pPr>
        <w:pStyle w:val="Normal"/>
        <w:tabs>
          <w:tab w:val="clear" w:pos="708"/>
          <w:tab w:val="left" w:pos="5103" w:leader="none"/>
        </w:tabs>
        <w:ind w:right="-263"/>
        <w:rPr>
          <w:b/>
          <w:bCs/>
          <w:highlight w:val="none"/>
          <w:lang w:val="en-US"/>
        </w:rPr>
      </w:pPr>
      <w:r>
        <w:rPr>
          <w:b/>
          <w:lang w:val="en-US"/>
        </w:rPr>
        <w:t>Лот № 3</w:t>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356"/>
        <w:gridCol w:w="3308"/>
        <w:gridCol w:w="6821"/>
      </w:tblGrid>
      <w:tr>
        <w:trPr>
          <w:trHeight w:val="877"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3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0"/>
              <w:jc w:val="left"/>
              <w:rPr>
                <w:sz w:val="24"/>
                <w:szCs w:val="24"/>
              </w:rPr>
            </w:pPr>
            <w:r>
              <w:rPr>
                <w:sz w:val="24"/>
                <w:szCs w:val="24"/>
              </w:rPr>
              <w:t>Наименование органа</w:t>
            </w:r>
          </w:p>
          <w:p>
            <w:pPr>
              <w:pStyle w:val="Normal"/>
              <w:spacing w:lineRule="auto" w:line="240" w:before="0" w:after="0"/>
              <w:ind w:right="0"/>
              <w:jc w:val="left"/>
              <w:rPr>
                <w:sz w:val="24"/>
                <w:szCs w:val="24"/>
              </w:rPr>
            </w:pPr>
            <w:r>
              <w:rPr>
                <w:sz w:val="24"/>
                <w:szCs w:val="24"/>
              </w:rPr>
              <w:t>местного самоуправления, принявшего решение о проведении аукциона, реквизиты указанного решения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Администрация города Перми, распоряжение начальника  департамента земельных отношений администрации города Перми </w:t>
            </w:r>
            <w:r>
              <w:rPr>
                <w:sz w:val="24"/>
                <w:szCs w:val="28"/>
                <w:highlight w:val="white"/>
              </w:rPr>
              <w:t>от 04 сентября 2025 г. № 21-01-03-7066                           «О проведении аукциона по продаже земельного участка в Кировском районе города Перми»</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Предмет аукциона по продаже земельного 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35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360" w:left="720" w:right="-263"/>
              <w:jc w:val="both"/>
              <w:rPr>
                <w:sz w:val="24"/>
                <w:szCs w:val="24"/>
              </w:rPr>
            </w:pPr>
            <w:r>
              <w:rPr>
                <w:sz w:val="24"/>
                <w:szCs w:val="24"/>
              </w:rPr>
              <w:t>местоположение</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улица Башкирская, з/у 50</w:t>
            </w:r>
          </w:p>
        </w:tc>
      </w:tr>
      <w:tr>
        <w:trPr>
          <w:trHeight w:val="148"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360" w:left="720" w:right="-263"/>
              <w:rPr>
                <w:sz w:val="24"/>
                <w:szCs w:val="24"/>
              </w:rPr>
            </w:pPr>
            <w:r>
              <w:rPr>
                <w:sz w:val="24"/>
                <w:szCs w:val="24"/>
              </w:rPr>
              <w:t>площадь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1185 кв. м</w:t>
            </w:r>
          </w:p>
        </w:tc>
      </w:tr>
      <w:tr>
        <w:trPr>
          <w:trHeight w:val="155"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360" w:left="720" w:right="-263"/>
              <w:rPr>
                <w:sz w:val="24"/>
                <w:szCs w:val="24"/>
              </w:rPr>
            </w:pPr>
            <w:r>
              <w:rPr>
                <w:sz w:val="24"/>
                <w:szCs w:val="24"/>
              </w:rPr>
              <w:t>кадастровый номер</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t>59:01:1810045:182</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права на земельный участок</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вид разрешенного использования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для индивидуального жилищного строительства (2.1)</w:t>
            </w:r>
          </w:p>
        </w:tc>
      </w:tr>
      <w:tr>
        <w:trPr>
          <w:trHeight w:val="576"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 xml:space="preserve">принадлежность к определенной  </w:t>
              <w:br/>
              <w:t>категории земель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pacing w:before="0" w:after="0"/>
              <w:ind w:hanging="360" w:left="720" w:right="113"/>
              <w:jc w:val="left"/>
              <w:rPr>
                <w:sz w:val="24"/>
                <w:szCs w:val="24"/>
              </w:rPr>
            </w:pPr>
            <w:r>
              <w:rPr>
                <w:sz w:val="24"/>
                <w:szCs w:val="24"/>
              </w:rPr>
              <w:t xml:space="preserve">принадлежность к определенной  </w:t>
              <w:br/>
              <w:t>территориальной зоне</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highlight w:val="none"/>
                <w:shd w:fill="auto" w:val="clear"/>
              </w:rPr>
            </w:pPr>
            <w:r>
              <w:rPr>
                <w:sz w:val="24"/>
                <w:szCs w:val="24"/>
                <w:shd w:fill="auto" w:val="clear"/>
              </w:rPr>
              <w:t>Ж-5 «Зона индивидуальной усадебной жилой застройки»</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ограничение прав</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14:ligatures w14:val="none"/>
              </w:rPr>
            </w:pPr>
            <w:r>
              <w:rPr>
                <w:sz w:val="24"/>
                <w:szCs w:val="24"/>
              </w:rPr>
              <w:t>в выписке из Единого государственного реестра недвижимости об объекте недвижимости от 25.03.2026г.             № КУВИ-001/2026-39880346 (далее - ЕГРН)</w:t>
            </w:r>
            <w:r>
              <w:rPr>
                <w:sz w:val="24"/>
                <w:szCs w:val="24"/>
                <w14:ligatures w14:val="none"/>
              </w:rPr>
              <w:t>;</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rPr>
            </w:pPr>
            <w:r>
              <w:rPr>
                <w:sz w:val="24"/>
                <w:szCs w:val="24"/>
                <w14:ligatures w14:val="none"/>
              </w:rPr>
              <w:t xml:space="preserve">от </w:t>
            </w:r>
            <w:r>
              <w:rPr>
                <w:color w:val="000000"/>
                <w:sz w:val="24"/>
                <w:szCs w:val="24"/>
              </w:rPr>
              <w:t>01.08.2025 № РФ-59-2-03-0-00-2025-1850-0</w:t>
            </w:r>
            <w:r>
              <w:rPr>
                <w:sz w:val="24"/>
                <w:szCs w:val="24"/>
                <w14:ligatures w14:val="none"/>
              </w:rPr>
              <w:t xml:space="preserve"> (далее – ГПЗУ)</w:t>
            </w:r>
            <w:r>
              <w:rPr>
                <w:sz w:val="24"/>
                <w:szCs w:val="24"/>
              </w:rPr>
              <w:t xml:space="preserve"> (</w:t>
            </w:r>
            <w:r>
              <w:rPr>
                <w:rFonts w:eastAsia="Times New Roman" w:cs="Times New Roman"/>
                <w:b w:val="false"/>
                <w:bCs w:val="false"/>
                <w:color w:val="000000"/>
                <w:sz w:val="24"/>
              </w:rPr>
              <w:t>Приложение 6 к настоящему извещению)</w:t>
            </w:r>
            <w:r>
              <w:rPr>
                <w:sz w:val="24"/>
                <w:szCs w:val="24"/>
              </w:rPr>
              <w:t>.</w:t>
            </w:r>
          </w:p>
          <w:p>
            <w:pPr>
              <w:pStyle w:val="BodyText"/>
              <w:ind w:firstLine="362"/>
              <w:jc w:val="both"/>
              <w:rPr>
                <w:sz w:val="24"/>
                <w:szCs w:val="24"/>
              </w:rPr>
            </w:pPr>
            <w:r>
              <w:rPr>
                <w:sz w:val="24"/>
                <w:szCs w:val="24"/>
              </w:rPr>
            </w:r>
          </w:p>
          <w:p>
            <w:pPr>
              <w:pStyle w:val="Normal"/>
              <w:spacing w:lineRule="auto" w:line="240" w:before="0" w:after="0"/>
              <w:ind w:firstLine="283" w:left="0" w:right="0"/>
              <w:jc w:val="both"/>
              <w:rPr>
                <w:color w:val="auto"/>
              </w:rPr>
            </w:pPr>
            <w:r>
              <w:rPr>
                <w:color w:val="auto"/>
                <w:sz w:val="24"/>
                <w:szCs w:val="24"/>
              </w:rPr>
              <w:t>На земельном участке капитальных/некапитальных объектов</w:t>
              <w:br/>
              <w:t>не выявлено. Земельный участок не огорожен.</w:t>
            </w:r>
          </w:p>
          <w:p>
            <w:pPr>
              <w:pStyle w:val="Normal"/>
              <w:spacing w:lineRule="auto" w:line="240" w:before="0" w:after="0"/>
              <w:ind w:firstLine="283" w:left="0" w:right="0"/>
              <w:jc w:val="both"/>
              <w:rPr>
                <w:color w:val="auto"/>
              </w:rPr>
            </w:pPr>
            <w:r>
              <w:rPr>
                <w:color w:val="auto"/>
                <w:sz w:val="24"/>
                <w:szCs w:val="24"/>
              </w:rPr>
              <w:t>Близлежащий источник противопожарного водоснабжения относительно земельного участка с КН 59:01:1810045:182, расположен по адресу: г. Пермь, ул. Ирбитская, 34 (пожарный водоем).</w:t>
            </w:r>
          </w:p>
          <w:p>
            <w:pPr>
              <w:pStyle w:val="Normal"/>
              <w:spacing w:lineRule="auto" w:line="240" w:before="0" w:after="0"/>
              <w:ind w:firstLine="283" w:left="0" w:right="0"/>
              <w:jc w:val="both"/>
              <w:rPr>
                <w:color w:val="auto"/>
              </w:rPr>
            </w:pPr>
            <w:r>
              <w:rPr>
                <w:color w:val="auto"/>
                <w:sz w:val="24"/>
                <w:szCs w:val="24"/>
              </w:rPr>
              <w:t xml:space="preserve">(Аналогичная информация отражена в письме </w:t>
            </w:r>
            <w:r>
              <w:rPr>
                <w:b/>
                <w:color w:val="auto"/>
                <w:sz w:val="24"/>
                <w:szCs w:val="24"/>
              </w:rPr>
              <w:t xml:space="preserve">администрации Кировского района </w:t>
            </w:r>
            <w:r>
              <w:rPr>
                <w:color w:val="auto"/>
                <w:sz w:val="24"/>
                <w:szCs w:val="24"/>
              </w:rPr>
              <w:t>от 24.07.2025 № 059-23-01-25/3-339, в акте обследования от 24.07.2025 № б/н).</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rFonts w:ascii="Times New Roman" w:hAnsi="Times New Roman"/>
                <w:color w:val="auto"/>
                <w:sz w:val="24"/>
                <w:szCs w:val="24"/>
                <w:highlight w:val="none"/>
              </w:rPr>
            </w:pPr>
            <w:r>
              <w:rPr>
                <w:color w:val="auto"/>
                <w:sz w:val="24"/>
                <w:szCs w:val="24"/>
                <w:highlight w:val="white"/>
              </w:rPr>
              <w:t>В соответствии со сведениями ЕГРН</w:t>
            </w:r>
            <w:r>
              <w:rPr>
                <w:color w:val="auto"/>
                <w:sz w:val="24"/>
                <w:szCs w:val="24"/>
              </w:rPr>
              <w:t xml:space="preserve"> </w:t>
            </w:r>
            <w:r>
              <w:rPr>
                <w:color w:val="auto"/>
                <w:sz w:val="24"/>
                <w:szCs w:val="24"/>
                <w:highlight w:val="white"/>
              </w:rPr>
              <w:t>объекты капитального/некапитального строительства в границах земельного участка отсутствуют.</w:t>
            </w:r>
          </w:p>
          <w:p>
            <w:pPr>
              <w:pStyle w:val="Normal"/>
              <w:spacing w:lineRule="auto" w:line="240" w:before="0" w:after="0"/>
              <w:ind w:firstLine="283" w:left="0" w:right="0"/>
              <w:jc w:val="both"/>
              <w:rPr>
                <w:rFonts w:ascii="Times New Roman" w:hAnsi="Times New Roman"/>
                <w:color w:val="auto"/>
                <w:sz w:val="24"/>
                <w:szCs w:val="24"/>
                <w:highlight w:val="white"/>
              </w:rPr>
            </w:pPr>
            <w:r>
              <w:rPr>
                <w:color w:val="auto"/>
                <w:sz w:val="24"/>
                <w:szCs w:val="24"/>
                <w:highlight w:val="white"/>
              </w:rPr>
              <w:t>В соответствии с геодезической съемкой, выполненной</w:t>
              <w:br/>
              <w:t>в 2022 году, в границах земельного участка расположены:                      с западной стороны ограждение смежного землепользователя</w:t>
              <w:br/>
              <w:t>из проволочной сетки, с восточной – деревянное ограждение и частично некапитальное строение смежного землепользователя, с северной – две металлические трубы. Участок зарос кустарником.</w:t>
            </w:r>
          </w:p>
          <w:p>
            <w:pPr>
              <w:pStyle w:val="Normal"/>
              <w:spacing w:lineRule="auto" w:line="240" w:before="0" w:after="0"/>
              <w:ind w:firstLine="283" w:left="0" w:right="0"/>
              <w:jc w:val="both"/>
              <w:rPr>
                <w:rFonts w:ascii="Times New Roman" w:hAnsi="Times New Roman"/>
                <w:b w:val="false"/>
                <w:bCs w:val="false"/>
                <w:color w:val="auto"/>
                <w:sz w:val="24"/>
                <w:szCs w:val="24"/>
              </w:rPr>
            </w:pPr>
            <w:r>
              <w:rPr>
                <w:b w:val="false"/>
                <w:bCs w:val="false"/>
                <w:color w:val="auto"/>
                <w:sz w:val="24"/>
                <w:szCs w:val="24"/>
              </w:rPr>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 xml:space="preserve">Согласно сведениям, содержащимся в ЕГРН, ГПЗУ </w:t>
              <w:br/>
              <w:t xml:space="preserve">и справке по градостроительным условиям участка </w:t>
              <w:br/>
              <w:t>от 25.03.2026  № 672287 Участок полностью расположен в границах зоны с особыми условиями использования территории:</w:t>
            </w:r>
          </w:p>
          <w:p>
            <w:pPr>
              <w:pStyle w:val="Normal"/>
              <w:spacing w:lineRule="auto" w:line="240" w:before="0" w:after="0"/>
              <w:ind w:firstLine="283" w:left="0" w:right="0"/>
              <w:jc w:val="both"/>
              <w:rPr>
                <w:rFonts w:ascii="Times New Roman" w:hAnsi="Times New Roman"/>
                <w:color w:val="auto"/>
                <w:sz w:val="24"/>
                <w:szCs w:val="24"/>
                <w:highlight w:val="none"/>
                <w14:ligatures w14:val="none"/>
              </w:rPr>
            </w:pPr>
            <w:r>
              <w:rPr>
                <w:color w:val="auto"/>
                <w:sz w:val="24"/>
                <w:szCs w:val="24"/>
              </w:rPr>
              <w:t>приаэродромная территория аэродрома аэропорта Большое Савино, реестровый номер 59:32-6.553.</w:t>
            </w:r>
          </w:p>
          <w:p>
            <w:pPr>
              <w:pStyle w:val="Normal"/>
              <w:spacing w:lineRule="auto" w:line="240" w:before="0" w:after="0"/>
              <w:ind w:firstLine="283" w:left="0" w:right="0"/>
              <w:jc w:val="both"/>
              <w:rPr>
                <w:rFonts w:ascii="Times New Roman" w:hAnsi="Times New Roman"/>
                <w:color w:val="auto"/>
                <w:sz w:val="24"/>
                <w:szCs w:val="24"/>
                <w:highlight w:val="none"/>
              </w:rPr>
            </w:pPr>
            <w:r>
              <w:rPr>
                <w:color w:val="auto"/>
                <w:highlight w:val="white"/>
              </w:rPr>
              <w:t xml:space="preserve">Проектирование и строительство вести в соответствии </w:t>
              <w:br/>
              <w:t xml:space="preserve">с постановлением Правительства Российской Федерации </w:t>
              <w:br/>
              <w:t>от 11.03.2010 № 138 «Об утверждении Федеральных правил использования воздушного пространства Российской Федерации»: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pPr>
              <w:pStyle w:val="Normal"/>
              <w:spacing w:lineRule="auto" w:line="240" w:before="0" w:after="0"/>
              <w:ind w:firstLine="283" w:left="0" w:right="0"/>
              <w:jc w:val="both"/>
              <w:rPr>
                <w:rFonts w:ascii="Times New Roman" w:hAnsi="Times New Roman"/>
                <w:color w:val="auto"/>
                <w:sz w:val="24"/>
                <w:szCs w:val="24"/>
                <w:highlight w:val="none"/>
              </w:rPr>
            </w:pPr>
            <w:r>
              <w:rPr>
                <w:color w:val="auto"/>
                <w:sz w:val="24"/>
                <w:szCs w:val="24"/>
              </w:rPr>
            </w:r>
          </w:p>
          <w:p>
            <w:pPr>
              <w:pStyle w:val="Normal"/>
              <w:spacing w:lineRule="auto" w:line="240" w:before="0" w:after="0"/>
              <w:ind w:firstLine="283" w:left="0" w:right="0"/>
              <w:jc w:val="both"/>
              <w:rPr>
                <w:color w:val="auto"/>
                <w:highlight w:val="white"/>
              </w:rPr>
            </w:pPr>
            <w:r>
              <w:rPr>
                <w:color w:val="auto"/>
                <w:sz w:val="24"/>
                <w:szCs w:val="24"/>
                <w:highlight w:val="white"/>
              </w:rPr>
              <w:t xml:space="preserve">На Участке произрастает 27 деревьев: ель 9 шт., береза 18 шт., поросль лиственная 25 </w:t>
            </w:r>
            <w:r>
              <w:rPr>
                <w:color w:val="auto"/>
                <w:sz w:val="24"/>
                <w:szCs w:val="24"/>
              </w:rPr>
              <w:t>кв.м.</w:t>
            </w:r>
          </w:p>
          <w:p>
            <w:pPr>
              <w:pStyle w:val="Normal"/>
              <w:spacing w:lineRule="auto" w:line="240" w:before="0" w:after="0"/>
              <w:ind w:firstLine="283" w:left="0" w:right="0"/>
              <w:jc w:val="both"/>
              <w:rPr>
                <w:rFonts w:ascii="Times New Roman" w:hAnsi="Times New Roman" w:eastAsia="Times New Roman" w:cs="Times New Roman"/>
                <w:color w:val="auto"/>
                <w:spacing w:val="0"/>
                <w:highlight w:val="white"/>
                <w14:ligatures w14:val="none"/>
              </w:rPr>
            </w:pPr>
            <w:r>
              <w:rPr>
                <w:rFonts w:eastAsia="Times New Roman" w:cs="Times New Roman"/>
                <w:color w:val="auto"/>
                <w:spacing w:val="0"/>
                <w:sz w:val="24"/>
                <w:highlight w:val="white"/>
              </w:rPr>
              <w:t xml:space="preserve">Победителю аукциона необходимо соблюдать условия строительства, перечисленные в </w:t>
            </w:r>
            <w:r>
              <w:rPr>
                <w:rFonts w:eastAsia="Times New Roman" w:cs="Times New Roman"/>
                <w:color w:val="auto"/>
                <w:spacing w:val="0"/>
                <w:sz w:val="24"/>
                <w:szCs w:val="24"/>
                <w:highlight w:val="white"/>
              </w:rPr>
              <w:t>перечне мероприятий по охране окружающей среды от 11.05.2023 № 216.</w:t>
            </w:r>
          </w:p>
          <w:p>
            <w:pPr>
              <w:pStyle w:val="Normal"/>
              <w:spacing w:lineRule="auto" w:line="240" w:before="0" w:after="0"/>
              <w:ind w:firstLine="283" w:left="0" w:right="0"/>
              <w:jc w:val="both"/>
              <w:rPr>
                <w:color w:val="auto"/>
              </w:rPr>
            </w:pPr>
            <w:r>
              <w:rPr>
                <w:color w:val="auto"/>
                <w:sz w:val="24"/>
                <w:szCs w:val="24"/>
              </w:rPr>
              <w:t xml:space="preserve">(Аналогичная информация отражена в письме </w:t>
            </w:r>
            <w:r>
              <w:rPr>
                <w:b/>
                <w:color w:val="auto"/>
                <w:sz w:val="24"/>
                <w:szCs w:val="24"/>
                <w:highlight w:val="white"/>
              </w:rPr>
              <w:t>Управления по экологии и природопользованию администрации города Перми</w:t>
            </w:r>
            <w:r>
              <w:rPr>
                <w:color w:val="auto"/>
                <w:sz w:val="24"/>
                <w:szCs w:val="24"/>
                <w:highlight w:val="white"/>
              </w:rPr>
              <w:t xml:space="preserve"> от 12.05.2023 № 059-33-01-10/3-372</w:t>
            </w:r>
            <w:r>
              <w:rPr>
                <w:color w:val="auto"/>
                <w:sz w:val="24"/>
                <w:szCs w:val="24"/>
              </w:rPr>
              <w:t>).</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rFonts w:ascii="Times New Roman" w:hAnsi="Times New Roman"/>
                <w:color w:val="auto"/>
                <w:sz w:val="24"/>
                <w:szCs w:val="24"/>
                <w:highlight w:val="white"/>
                <w14:ligatures w14:val="none"/>
              </w:rPr>
            </w:pPr>
            <w:r>
              <w:rPr>
                <w:color w:val="auto"/>
                <w:sz w:val="24"/>
                <w:szCs w:val="24"/>
              </w:rPr>
              <w:t>Считает возможным предоставление земельного участка при следующих условия</w:t>
            </w:r>
            <w:r>
              <w:rPr>
                <w:color w:val="auto"/>
                <w:sz w:val="24"/>
                <w:szCs w:val="24"/>
                <w:highlight w:val="white"/>
              </w:rPr>
              <w:t>х, указанных в настоящем письме.</w:t>
            </w:r>
          </w:p>
          <w:p>
            <w:pPr>
              <w:pStyle w:val="Normal"/>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Мероприятия по проектированию, строительству, реконструкции и капитальному ремонту улично-дорожной сети в границах указанного участка бюджетом города Перми на 2023 год не запланированы.</w:t>
            </w:r>
          </w:p>
          <w:p>
            <w:pPr>
              <w:pStyle w:val="Normal"/>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w:t>
              <w:br/>
              <w:t>с обеспечением безопасности дорожного движения, водоотведения и исполнением других установленных техническими регламентами требований, несут лица,</w:t>
              <w:br/>
              <w:t>в интересах которых осуществляются строительство, реконструкция, капитальный ремонт, ремонт пересечений или примыканий.</w:t>
            </w:r>
          </w:p>
          <w:p>
            <w:pPr>
              <w:pStyle w:val="Normal"/>
              <w:spacing w:lineRule="auto" w:line="240" w:before="0" w:after="0"/>
              <w:ind w:firstLine="283" w:left="0" w:right="0"/>
              <w:jc w:val="both"/>
              <w:rPr>
                <w:color w:val="auto"/>
              </w:rPr>
            </w:pPr>
            <w:r>
              <w:rPr>
                <w:color w:val="auto"/>
                <w:sz w:val="24"/>
                <w:szCs w:val="24"/>
              </w:rPr>
              <w:t xml:space="preserve">(Аналогичная информация отражена в письме </w:t>
            </w:r>
            <w:r>
              <w:rPr>
                <w:b/>
                <w:color w:val="auto"/>
                <w:sz w:val="24"/>
                <w:szCs w:val="24"/>
              </w:rPr>
              <w:t>Департамента дорог и благоустройства администрации города Перми</w:t>
            </w:r>
            <w:r>
              <w:rPr>
                <w:color w:val="auto"/>
                <w:sz w:val="24"/>
                <w:szCs w:val="24"/>
              </w:rPr>
              <w:t xml:space="preserve"> от 17.04.2023 № 059-24-01-36/3-1263).</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rFonts w:ascii="Times New Roman" w:hAnsi="Times New Roman" w:eastAsia="Times New Roman" w:cs="Times New Roman"/>
                <w:color w:val="auto"/>
                <w:sz w:val="24"/>
                <w:szCs w:val="24"/>
                <w14:ligatures w14:val="none"/>
              </w:rPr>
            </w:pPr>
            <w:r>
              <w:rPr>
                <w:rFonts w:eastAsia="Times New Roman" w:cs="Times New Roman"/>
                <w:color w:val="auto"/>
                <w:sz w:val="24"/>
                <w:szCs w:val="24"/>
              </w:rPr>
              <w:t>Ближайшее подразделение пожарной охраны расположено</w:t>
              <w:br/>
              <w:t>по адресу: ул. Сысольская, 16 (ПСЧ-6 10-ПСО).</w:t>
            </w:r>
          </w:p>
          <w:p>
            <w:pPr>
              <w:pStyle w:val="Normal"/>
              <w:spacing w:lineRule="auto" w:line="240" w:before="0" w:after="0"/>
              <w:ind w:firstLine="283" w:left="0" w:right="0"/>
              <w:jc w:val="both"/>
              <w:rPr>
                <w:rFonts w:ascii="Times New Roman" w:hAnsi="Times New Roman" w:eastAsia="Times New Roman" w:cs="Times New Roman"/>
                <w:color w:val="auto"/>
                <w:sz w:val="24"/>
                <w:szCs w:val="24"/>
                <w14:ligatures w14:val="none"/>
              </w:rPr>
            </w:pPr>
            <w:r>
              <w:rPr>
                <w:rFonts w:eastAsia="Times New Roman" w:cs="Times New Roman"/>
                <w:color w:val="auto"/>
                <w:sz w:val="24"/>
                <w:szCs w:val="24"/>
              </w:rPr>
              <w:t>Объекты общественной безопасности, отнесенные</w:t>
              <w:br/>
              <w:t>к объектам полиции (участковые пункты полиции),</w:t>
              <w:br/>
              <w:t xml:space="preserve">в данном микрорайоне (Налимиха) отсутствуют. Ближайший участковый пункт расположен по адресу: </w:t>
              <w:br/>
              <w:t>г. Пермь, ул. Судозаводская, д. 8 (микрорайон Водники, Кировского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283" w:left="0" w:right="0"/>
              <w:jc w:val="both"/>
              <w:rPr>
                <w:rFonts w:ascii="Times New Roman" w:hAnsi="Times New Roman" w:eastAsia="Times New Roman" w:cs="Times New Roman"/>
                <w:color w:val="auto"/>
                <w:sz w:val="24"/>
                <w:szCs w:val="24"/>
                <w14:ligatures w14:val="none"/>
              </w:rPr>
            </w:pPr>
            <w:r>
              <w:rPr>
                <w:rFonts w:eastAsia="Times New Roman" w:cs="Times New Roman"/>
                <w:color w:val="auto"/>
                <w:sz w:val="24"/>
                <w:szCs w:val="24"/>
              </w:rPr>
              <w:t>Помещения для аварийно-спасательных формирований на указанной территории отсутствуют. В настоящее время потребность в обеспечении служебными помещениями для аварийно-спасательных формирований в указанном районе отсутствует.</w:t>
            </w:r>
          </w:p>
          <w:p>
            <w:pPr>
              <w:pStyle w:val="Normal"/>
              <w:spacing w:lineRule="auto" w:line="240" w:before="0" w:after="0"/>
              <w:ind w:firstLine="283" w:left="0" w:right="0"/>
              <w:jc w:val="both"/>
              <w:rPr>
                <w:rFonts w:ascii="Times New Roman" w:hAnsi="Times New Roman" w:eastAsia="Times New Roman" w:cs="Times New Roman"/>
                <w:color w:val="auto"/>
                <w:sz w:val="24"/>
                <w:szCs w:val="24"/>
                <w14:ligatures w14:val="none"/>
              </w:rPr>
            </w:pPr>
            <w:r>
              <w:rPr>
                <w:rFonts w:eastAsia="Times New Roman" w:cs="Times New Roman"/>
                <w:color w:val="auto"/>
                <w:sz w:val="24"/>
                <w:szCs w:val="24"/>
              </w:rPr>
              <w:t>Источник противопожарного водоснабжения (пожарный водоём), расположен на пересечении улиц Копейская/Ирбитская в радиусе - 620 метров.</w:t>
            </w:r>
          </w:p>
          <w:p>
            <w:pPr>
              <w:pStyle w:val="BodyText"/>
              <w:spacing w:lineRule="auto" w:line="240"/>
              <w:ind w:firstLine="283" w:left="0" w:right="0"/>
              <w:jc w:val="both"/>
              <w:rPr>
                <w:rFonts w:ascii="Times New Roman" w:hAnsi="Times New Roman" w:cs="Times New Roman"/>
                <w:color w:themeColor="accent5" w:themeShade="bf" w:val="auto"/>
                <w:sz w:val="24"/>
                <w:szCs w:val="24"/>
              </w:rPr>
            </w:pPr>
            <w:r>
              <w:rPr>
                <w:color w:val="auto"/>
                <w:sz w:val="24"/>
                <w:szCs w:val="24"/>
              </w:rPr>
              <w:t>При планировке и размещении объектов</w:t>
              <w:br/>
              <w:t>на вышеуказанной территории необходимо соблюдать нормы и требования действующего законодательства: федеральных законов от 21 декабря 1994 г. № 69-ФЗ</w:t>
              <w:br/>
              <w:t>«О пожарной безопасности» и от 22 июля 2008 г. № 123-ФЗ «Технический регламент о</w:t>
            </w:r>
            <w:r>
              <w:rPr>
                <w:color w:val="auto"/>
                <w:spacing w:val="-3"/>
                <w:sz w:val="24"/>
                <w:szCs w:val="24"/>
              </w:rPr>
              <w:t xml:space="preserve"> </w:t>
            </w:r>
            <w:r>
              <w:rPr>
                <w:color w:val="auto"/>
                <w:sz w:val="24"/>
                <w:szCs w:val="24"/>
              </w:rPr>
              <w:t>требованиях пожарной безопасности», Свода правил 8.13130. «Системы противопожарной защиты. Источники</w:t>
            </w:r>
            <w:r>
              <w:rPr>
                <w:color w:val="auto"/>
                <w:spacing w:val="30"/>
                <w:sz w:val="24"/>
                <w:szCs w:val="24"/>
              </w:rPr>
              <w:t xml:space="preserve"> </w:t>
            </w:r>
            <w:r>
              <w:rPr>
                <w:color w:val="auto"/>
                <w:sz w:val="24"/>
                <w:szCs w:val="24"/>
              </w:rPr>
              <w:t>наружного противопожарного</w:t>
            </w:r>
            <w:r>
              <w:rPr>
                <w:color w:val="auto"/>
                <w:spacing w:val="30"/>
                <w:sz w:val="24"/>
                <w:szCs w:val="24"/>
              </w:rPr>
              <w:t xml:space="preserve"> </w:t>
            </w:r>
            <w:r>
              <w:rPr>
                <w:color w:val="auto"/>
                <w:sz w:val="24"/>
                <w:szCs w:val="24"/>
              </w:rPr>
              <w:t>водоснабжения. Требования</w:t>
            </w:r>
            <w:r>
              <w:rPr>
                <w:color w:val="auto"/>
                <w:spacing w:val="30"/>
                <w:sz w:val="24"/>
                <w:szCs w:val="24"/>
              </w:rPr>
              <w:t xml:space="preserve"> </w:t>
            </w:r>
            <w:r>
              <w:rPr>
                <w:color w:val="auto"/>
                <w:sz w:val="24"/>
                <w:szCs w:val="24"/>
              </w:rPr>
              <w:t>пожарной безопасности», утвержденных приказом МЧС России от 30.03.2020 № 225, Свода правил 4.13130 «Системы противопожарной защиты. Ограничение распространения пожара на объектах защиты. Требования к объемно- планировочным и конструктивным решениям», утвержденных Приказом МЧС России от 24.04.2013 № 288 и иной документации, касающейся норм противопожарной безопасности.</w:t>
            </w:r>
          </w:p>
          <w:p>
            <w:pPr>
              <w:pStyle w:val="Normal"/>
              <w:spacing w:lineRule="auto" w:line="240" w:before="0" w:after="0"/>
              <w:ind w:firstLine="283" w:left="0" w:right="0"/>
              <w:jc w:val="both"/>
              <w:rPr>
                <w:rFonts w:ascii="Times New Roman" w:hAnsi="Times New Roman" w:eastAsia="Times New Roman" w:cs="Times New Roman"/>
                <w:color w:val="auto"/>
                <w:sz w:val="24"/>
                <w:szCs w:val="24"/>
                <w14:ligatures w14:val="none"/>
              </w:rPr>
            </w:pPr>
            <w:r>
              <w:rPr>
                <w:rFonts w:eastAsia="Times New Roman" w:cs="Times New Roman"/>
                <w:color w:val="auto"/>
                <w:sz w:val="24"/>
                <w:szCs w:val="24"/>
              </w:rPr>
              <w:t>По информации, предоставленной Министерством территориальной безопасности Пермского края, рассматриваемая территория попадает в зону возможного химического заражения в особый период.</w:t>
            </w:r>
          </w:p>
          <w:p>
            <w:pPr>
              <w:pStyle w:val="Normal"/>
              <w:spacing w:lineRule="auto" w:line="240" w:before="0" w:after="0"/>
              <w:ind w:firstLine="283" w:left="0" w:right="0"/>
              <w:jc w:val="both"/>
              <w:rPr>
                <w:rFonts w:ascii="Times New Roman" w:hAnsi="Times New Roman" w:eastAsia="Times New Roman" w:cs="Times New Roman"/>
                <w:color w:val="auto"/>
                <w:sz w:val="24"/>
                <w:szCs w:val="24"/>
                <w14:ligatures w14:val="none"/>
              </w:rPr>
            </w:pPr>
            <w:r>
              <w:rPr>
                <w:rFonts w:eastAsia="Times New Roman" w:cs="Times New Roman"/>
                <w:color w:val="auto"/>
                <w:sz w:val="24"/>
                <w:szCs w:val="24"/>
              </w:rPr>
              <w:t>На указанной территории оконечные устройства системы оповещения населения города Перми отсутствуют. Для обеспечения покрытия запланированной территории системой оповещения населения необходимо предусматривать размещение сиренно-речевых узлов согласно пунктам 6.38, 6.39</w:t>
              <w:br/>
              <w:t>СП 165.1325800.2014 «Свод правил. Инженерно-технические мероприятия по гражданской обороне. Актуализированная редакция СНиП 2.01.51-90».</w:t>
            </w:r>
          </w:p>
          <w:p>
            <w:pPr>
              <w:pStyle w:val="Normal"/>
              <w:spacing w:lineRule="auto" w:line="240" w:before="0" w:after="0"/>
              <w:ind w:firstLine="283" w:left="0" w:right="0"/>
              <w:jc w:val="both"/>
              <w:rPr>
                <w:color w:val="auto"/>
              </w:rPr>
            </w:pPr>
            <w:r>
              <w:rPr>
                <w:color w:val="auto"/>
                <w:sz w:val="24"/>
                <w:szCs w:val="24"/>
              </w:rPr>
              <w:t xml:space="preserve">(Аналогичная информация отражена в письме </w:t>
            </w:r>
            <w:r>
              <w:rPr>
                <w:rFonts w:eastAsia="Times New Roman" w:cs="Times New Roman"/>
                <w:b/>
                <w:color w:val="auto"/>
                <w:sz w:val="24"/>
                <w:szCs w:val="24"/>
              </w:rPr>
              <w:t>департамента общественной безопасности администрации города Перми</w:t>
            </w:r>
            <w:r>
              <w:rPr>
                <w:rFonts w:eastAsia="Times New Roman" w:cs="Times New Roman"/>
                <w:color w:val="auto"/>
                <w:sz w:val="24"/>
                <w:szCs w:val="24"/>
              </w:rPr>
              <w:t xml:space="preserve"> от 18.04.2023 № 059-10-01-27/3-654</w:t>
            </w:r>
            <w:r>
              <w:rPr>
                <w:color w:val="auto"/>
                <w:sz w:val="24"/>
                <w:szCs w:val="24"/>
              </w:rPr>
              <w:t>).</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color w:val="auto"/>
              </w:rPr>
            </w:pPr>
            <w:r>
              <w:rPr>
                <w:color w:val="auto"/>
              </w:rPr>
              <w:t>На период до 2028 года на территории, где расположен Участок, схемами водоснабжения и водоотведения города Перми, утвержденными постановлением администрации города Перми от 28.12.2018 № 1085, не предусмотрено строительство сетей водоснабжения и водоотведения.</w:t>
            </w:r>
          </w:p>
          <w:p>
            <w:pPr>
              <w:pStyle w:val="Normal"/>
              <w:spacing w:lineRule="auto" w:line="240" w:before="0" w:after="0"/>
              <w:ind w:firstLine="283" w:left="0" w:right="0"/>
              <w:jc w:val="both"/>
              <w:rPr>
                <w:color w:val="auto"/>
              </w:rPr>
            </w:pPr>
            <w:r>
              <w:rPr>
                <w:color w:val="auto"/>
                <w:sz w:val="24"/>
                <w:szCs w:val="24"/>
                <w:highlight w:val="white"/>
              </w:rPr>
              <w:t xml:space="preserve">(Аналогичная информация отражена в письме </w:t>
            </w:r>
            <w:r>
              <w:rPr>
                <w:b/>
                <w:bCs/>
                <w:color w:val="auto"/>
                <w:sz w:val="24"/>
                <w:szCs w:val="24"/>
                <w:highlight w:val="white"/>
              </w:rPr>
              <w:t xml:space="preserve">Департамента жилищно-коммунального хозяйства администрации города Перми </w:t>
            </w:r>
            <w:r>
              <w:rPr>
                <w:color w:val="auto"/>
                <w:sz w:val="24"/>
                <w:szCs w:val="24"/>
                <w:highlight w:val="white"/>
              </w:rPr>
              <w:t xml:space="preserve"> от 17.04.2023 № 059-04-17/3-257-ри).</w:t>
            </w:r>
          </w:p>
          <w:p>
            <w:pPr>
              <w:pStyle w:val="Normal"/>
              <w:spacing w:lineRule="auto" w:line="240" w:before="0" w:after="0"/>
              <w:ind w:firstLine="311"/>
              <w:jc w:val="both"/>
              <w:rPr>
                <w:rFonts w:ascii="Times New Roman" w:hAnsi="Times New Roman"/>
                <w:color w:val="000000"/>
                <w:sz w:val="24"/>
                <w:szCs w:val="24"/>
                <w:highlight w:val="none"/>
              </w:rPr>
            </w:pPr>
            <w:r>
              <w:rPr>
                <w:color w:val="000000"/>
                <w:sz w:val="24"/>
                <w:szCs w:val="24"/>
              </w:rPr>
            </w:r>
          </w:p>
        </w:tc>
      </w:tr>
      <w:tr>
        <w:trPr>
          <w:trHeight w:val="1087"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firstLine="270" w:left="240" w:right="113"/>
              <w:jc w:val="left"/>
              <w:rPr>
                <w:sz w:val="24"/>
                <w:szCs w:val="24"/>
              </w:rPr>
            </w:pPr>
            <w:r>
              <w:rPr>
                <w:sz w:val="24"/>
                <w:szCs w:val="24"/>
              </w:rPr>
              <w:t xml:space="preserve">максимально и (или) минимально  допустимые параметры разрешенного строительства </w:t>
              <w:br/>
              <w:t>объекта капитального строительства</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BodyText"/>
              <w:ind w:firstLine="362"/>
              <w:jc w:val="both"/>
              <w:rPr>
                <w:sz w:val="24"/>
                <w:szCs w:val="24"/>
              </w:rPr>
            </w:pPr>
            <w:r>
              <w:rPr>
                <w:sz w:val="24"/>
                <w:szCs w:val="24"/>
              </w:rPr>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 xml:space="preserve">Проектирование и строительство необходимо вести </w:t>
              <w:br/>
              <w:t>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(ред. от 17.05.2023):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 переднюю.</w:t>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Согласно пункту 6.1 СП 55.13330.2016 площади помещений строящихся и реконструируемых жилых домов должны быть не менее: общей комнаты в однокомнатном доме - 14 м</w:t>
            </w:r>
            <w:r>
              <w:rPr>
                <w:color w:val="auto"/>
                <w:sz w:val="24"/>
                <w:szCs w:val="24"/>
                <w:vertAlign w:val="superscript"/>
              </w:rPr>
              <w:t>2</w:t>
            </w:r>
            <w:r>
              <w:rPr>
                <w:color w:val="auto"/>
                <w:sz w:val="24"/>
                <w:szCs w:val="24"/>
              </w:rPr>
              <w:t>, общей комнаты в доме с числом комнат две и более - 16 м</w:t>
            </w:r>
            <w:r>
              <w:rPr>
                <w:color w:val="auto"/>
                <w:sz w:val="24"/>
                <w:szCs w:val="24"/>
                <w:vertAlign w:val="superscript"/>
              </w:rPr>
              <w:t>2</w:t>
            </w:r>
            <w:r>
              <w:rPr>
                <w:color w:val="auto"/>
                <w:sz w:val="24"/>
                <w:szCs w:val="24"/>
              </w:rPr>
              <w:t>, спальни - 8 м</w:t>
            </w:r>
            <w:r>
              <w:rPr>
                <w:color w:val="auto"/>
                <w:sz w:val="24"/>
                <w:szCs w:val="24"/>
                <w:vertAlign w:val="superscript"/>
              </w:rPr>
              <w:t>2</w:t>
            </w:r>
            <w:r>
              <w:rPr>
                <w:color w:val="auto"/>
                <w:sz w:val="24"/>
                <w:szCs w:val="24"/>
              </w:rPr>
              <w:t xml:space="preserve"> (на двух человек - 10 м</w:t>
            </w:r>
            <w:r>
              <w:rPr>
                <w:color w:val="auto"/>
                <w:sz w:val="24"/>
                <w:szCs w:val="24"/>
                <w:vertAlign w:val="superscript"/>
              </w:rPr>
              <w:t>2</w:t>
            </w:r>
            <w:r>
              <w:rPr>
                <w:color w:val="auto"/>
                <w:sz w:val="24"/>
                <w:szCs w:val="24"/>
              </w:rPr>
              <w:t>); кухни - 8 м</w:t>
            </w:r>
            <w:r>
              <w:rPr>
                <w:color w:val="auto"/>
                <w:sz w:val="24"/>
                <w:szCs w:val="24"/>
                <w:vertAlign w:val="superscript"/>
              </w:rPr>
              <w:t>2</w:t>
            </w:r>
            <w:r>
              <w:rPr>
                <w:color w:val="auto"/>
                <w:sz w:val="24"/>
                <w:szCs w:val="24"/>
              </w:rPr>
              <w:t xml:space="preserve">; кухонной зоны </w:t>
              <w:br/>
              <w:t>в кухне-столовой - 6 м</w:t>
            </w:r>
            <w:r>
              <w:rPr>
                <w:color w:val="auto"/>
                <w:sz w:val="24"/>
                <w:szCs w:val="24"/>
                <w:vertAlign w:val="superscript"/>
              </w:rPr>
              <w:t>2</w:t>
            </w:r>
            <w:r>
              <w:rPr>
                <w:color w:val="auto"/>
                <w:sz w:val="24"/>
                <w:szCs w:val="24"/>
              </w:rPr>
              <w:t>. В домах с одной комнатой допускается проектировать кухни или кухни-ниши площадью не менее 5 м</w:t>
            </w:r>
            <w:r>
              <w:rPr>
                <w:color w:val="auto"/>
                <w:sz w:val="24"/>
                <w:szCs w:val="24"/>
                <w:vertAlign w:val="superscript"/>
              </w:rPr>
              <w:t>2</w:t>
            </w:r>
            <w:r>
              <w:rPr>
                <w:color w:val="auto"/>
                <w:sz w:val="24"/>
                <w:szCs w:val="24"/>
              </w:rPr>
              <w:t>. Площадь спальни и кухни в мансардном этаже (или этаже с наклонными ограждающими конструкциями) допускается не менее 7 м</w:t>
            </w:r>
            <w:r>
              <w:rPr>
                <w:color w:val="auto"/>
                <w:sz w:val="24"/>
                <w:szCs w:val="24"/>
                <w:vertAlign w:val="superscript"/>
              </w:rPr>
              <w:t>2</w:t>
            </w:r>
            <w:r>
              <w:rPr>
                <w:color w:val="auto"/>
                <w:sz w:val="24"/>
                <w:szCs w:val="24"/>
              </w:rPr>
              <w:t xml:space="preserve"> при условии, что общая жилая комната имеет площадь не менее 16 м</w:t>
            </w:r>
            <w:r>
              <w:rPr>
                <w:color w:val="auto"/>
                <w:sz w:val="24"/>
                <w:szCs w:val="24"/>
                <w:vertAlign w:val="superscript"/>
              </w:rPr>
              <w:t>2</w:t>
            </w:r>
            <w:r>
              <w:rPr>
                <w:color w:val="auto"/>
                <w:sz w:val="24"/>
                <w:szCs w:val="24"/>
              </w:rPr>
              <w:t>.</w:t>
            </w:r>
          </w:p>
          <w:p>
            <w:pPr>
              <w:pStyle w:val="Normal"/>
              <w:spacing w:lineRule="auto" w:line="240" w:before="0" w:after="0"/>
              <w:ind w:firstLine="283" w:left="0" w:right="0"/>
              <w:jc w:val="both"/>
              <w:rPr>
                <w:rFonts w:ascii="Times New Roman" w:hAnsi="Times New Roman"/>
                <w:color w:val="auto"/>
                <w:spacing w:val="-2"/>
                <w:sz w:val="24"/>
                <w:szCs w:val="24"/>
              </w:rPr>
            </w:pPr>
            <w:r>
              <w:rPr>
                <w:color w:val="auto"/>
                <w:spacing w:val="-2"/>
                <w:sz w:val="24"/>
                <w:szCs w:val="24"/>
              </w:rPr>
              <w:t xml:space="preserve">Согласно пункту 6.2 СП 55.13330.2016 высота (от пола </w:t>
              <w:br/>
              <w:t xml:space="preserve">до потолка) комнат и кухни (кухни-столовой) </w:t>
              <w:br/>
              <w:t>в климатических районах строительства IА, IБ, IГ, IД, определяемых по СП 131.13330, должна быть не менее 2,7 м, а в других климатических районах строительства - не менее 2,5 м. Высота внутридомовых коридоров, холлов, передних, антресолей должна составлять не менее 2,1 м, а высота пути эвакуации - не менее 2,2 м.</w:t>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 xml:space="preserve">В жилых комнатах и кухнях, расположенных в этажах </w:t>
              <w:br/>
              <w:t xml:space="preserve">с наклонными ограждающими конструкциями </w:t>
              <w:br/>
              <w:t>или в мансардном этаже, допускается уменьшение высоты помещений (от пола до потолка), относительно нормируемой на площади, не превышающей 50%.</w:t>
            </w:r>
          </w:p>
          <w:p>
            <w:pPr>
              <w:pStyle w:val="Normal"/>
              <w:spacing w:lineRule="auto" w:line="240" w:before="0" w:after="0"/>
              <w:ind w:firstLine="311"/>
              <w:jc w:val="both"/>
              <w:rPr>
                <w:rFonts w:ascii="Times New Roman" w:hAnsi="Times New Roman"/>
                <w:color w:themeColor="accent3" w:themeShade="bf" w:val="auto"/>
                <w:sz w:val="24"/>
                <w:szCs w:val="24"/>
              </w:rPr>
            </w:pPr>
            <w:r>
              <w:rPr>
                <w:color w:val="auto"/>
                <w:sz w:val="24"/>
                <w:szCs w:val="24"/>
              </w:rPr>
              <w:t>Согласно  ГПЗУ:</w:t>
            </w:r>
          </w:p>
          <w:p>
            <w:pPr>
              <w:pStyle w:val="Normal"/>
              <w:tabs>
                <w:tab w:val="clear" w:pos="708"/>
                <w:tab w:val="right" w:pos="6000" w:leader="none"/>
              </w:tabs>
              <w:spacing w:lineRule="auto" w:line="240" w:before="0" w:after="0"/>
              <w:ind w:firstLine="283" w:left="0" w:right="0"/>
              <w:jc w:val="both"/>
              <w:rPr>
                <w:rFonts w:ascii="Times New Roman" w:hAnsi="Times New Roman"/>
                <w:color w:val="auto"/>
                <w:sz w:val="24"/>
              </w:rPr>
            </w:pPr>
            <w:r>
              <w:rPr>
                <w:color w:val="auto"/>
                <w:sz w:val="24"/>
              </w:rPr>
              <w:t>м</w:t>
            </w:r>
            <w:r>
              <w:rPr>
                <w:color w:val="auto"/>
                <w:sz w:val="24"/>
                <w:highlight w:val="white"/>
              </w:rPr>
              <w:t>инимальный отступ от границ Уч</w:t>
            </w:r>
            <w:r>
              <w:rPr>
                <w:color w:val="auto"/>
                <w:sz w:val="24"/>
              </w:rPr>
              <w:t xml:space="preserve">астка до места допустимого размещения зданий, строений </w:t>
              <w:br/>
            </w:r>
            <w:r>
              <w:rPr>
                <w:color w:val="auto"/>
                <w:sz w:val="24"/>
                <w:szCs w:val="24"/>
              </w:rPr>
              <w:t>(за исключением границ со стороны территории общего пользования, где отступ определяется с учетом красных линий и линий регулирования застройки, установленных проектом планировки территории, а также смежных земельных участков при блокированной жилой застройке)</w:t>
            </w:r>
            <w:r>
              <w:rPr>
                <w:color w:val="auto"/>
                <w:sz w:val="24"/>
              </w:rPr>
              <w:t xml:space="preserve"> – 3 м.</w:t>
            </w:r>
          </w:p>
          <w:p>
            <w:pPr>
              <w:pStyle w:val="Normal"/>
              <w:tabs>
                <w:tab w:val="clear" w:pos="708"/>
                <w:tab w:val="right" w:pos="6000" w:leader="none"/>
              </w:tabs>
              <w:spacing w:lineRule="auto" w:line="240" w:before="0" w:after="0"/>
              <w:ind w:firstLine="283" w:left="0" w:right="0"/>
              <w:jc w:val="both"/>
              <w:rPr>
                <w:rFonts w:ascii="Times New Roman" w:hAnsi="Times New Roman"/>
                <w:color w:val="auto"/>
                <w:sz w:val="24"/>
              </w:rPr>
            </w:pPr>
            <w:r>
              <w:rPr>
                <w:color w:val="auto"/>
                <w:sz w:val="24"/>
              </w:rPr>
              <w:t xml:space="preserve">максимальный выступ за красную линию нависающих частей здания наземных уровней, выступающих </w:t>
              <w:br/>
              <w:t xml:space="preserve">из плоскости наружной стены фасада здания на высоте </w:t>
              <w:br/>
              <w:t>не менее 4,5 м над территорией общего пользования, составляет не более 1,2 м 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Normal"/>
              <w:spacing w:lineRule="auto" w:line="240" w:before="0" w:after="0"/>
              <w:ind w:firstLine="283" w:left="0" w:right="0"/>
              <w:jc w:val="both"/>
              <w:rPr>
                <w:rFonts w:ascii="Times New Roman" w:hAnsi="Times New Roman"/>
                <w:color w:val="auto"/>
                <w:sz w:val="24"/>
                <w:szCs w:val="24"/>
                <w:highlight w:val="none"/>
              </w:rPr>
            </w:pPr>
            <w:r>
              <w:rPr>
                <w:color w:val="auto"/>
                <w:sz w:val="24"/>
              </w:rPr>
              <w:t>максимальный процент застройки в границах Участка – 40%.</w:t>
            </w:r>
          </w:p>
          <w:p>
            <w:pPr>
              <w:pStyle w:val="Normal"/>
              <w:spacing w:lineRule="auto" w:line="240" w:before="0" w:after="0"/>
              <w:ind w:firstLine="311"/>
              <w:jc w:val="both"/>
              <w:rPr>
                <w:highlight w:val="white"/>
              </w:rPr>
            </w:pPr>
            <w:r>
              <w:rPr>
                <w:color w:val="auto"/>
                <w:sz w:val="24"/>
                <w:szCs w:val="24"/>
                <w:highlight w:val="white"/>
              </w:rPr>
              <w:t>Согласно документации по планировке территории, утверждённой постановлением администрации города Перми от 23.12.2016 № 1159, предельная высота жилой застройки – до 10,5 метров.</w:t>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lang w:val="en-US"/>
              </w:rPr>
              <w:t>С уведомлением о планируемом строительстве жилого дома рекомендуется обратиться в уполномоченный орган администрации города Перми.</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firstLine="5" w:left="240" w:right="0"/>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rPr>
            </w:pPr>
            <w:r>
              <w:rPr>
                <w:sz w:val="24"/>
                <w:szCs w:val="24"/>
              </w:rPr>
            </w:r>
          </w:p>
          <w:p>
            <w:pPr>
              <w:pStyle w:val="Normal"/>
              <w:ind w:firstLine="312"/>
              <w:jc w:val="both"/>
              <w:rPr>
                <w:sz w:val="24"/>
                <w:szCs w:val="24"/>
              </w:rPr>
            </w:pPr>
            <w:r>
              <w:rPr>
                <w:sz w:val="24"/>
                <w:szCs w:val="24"/>
              </w:rPr>
              <w:t xml:space="preserve">В </w:t>
            </w:r>
            <w:r>
              <w:rPr>
                <w:sz w:val="24"/>
                <w:szCs w:val="24"/>
                <w:shd w:fill="FFFFFF" w:val="clear"/>
              </w:rPr>
              <w:t xml:space="preserve">документации по земельному участку, размещенной                      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hyperlink r:id="rId13" w:tgtFrame="http://www.gorodperm.ru/">
              <w:r>
                <w:rPr>
                  <w:rStyle w:val="Hyperlink"/>
                  <w:color w:val="000000"/>
                  <w:sz w:val="24"/>
                  <w:szCs w:val="24"/>
                </w:rPr>
                <w:t>www.gorodperm.ru</w:t>
              </w:r>
            </w:hyperlink>
            <w:r>
              <w:rPr>
                <w:color w:val="000000"/>
                <w:sz w:val="24"/>
                <w:szCs w:val="24"/>
              </w:rPr>
              <w:t>.</w:t>
            </w:r>
          </w:p>
          <w:p>
            <w:pPr>
              <w:pStyle w:val="Normal"/>
              <w:ind w:firstLine="312"/>
              <w:jc w:val="both"/>
              <w:rPr>
                <w:sz w:val="24"/>
                <w:szCs w:val="24"/>
              </w:rPr>
            </w:pPr>
            <w:r>
              <w:rPr>
                <w:sz w:val="24"/>
                <w:szCs w:val="24"/>
              </w:rPr>
            </w:r>
          </w:p>
          <w:p>
            <w:pPr>
              <w:pStyle w:val="Normal"/>
              <w:spacing w:lineRule="auto" w:line="240" w:before="0" w:after="0"/>
              <w:ind w:firstLine="283" w:left="0" w:right="0"/>
              <w:jc w:val="both"/>
              <w:rPr>
                <w:rFonts w:ascii="Times New Roman" w:hAnsi="Times New Roman"/>
                <w:strike/>
                <w:color w:val="auto"/>
                <w:sz w:val="24"/>
                <w:szCs w:val="24"/>
                <w:highlight w:val="yellow"/>
              </w:rPr>
            </w:pPr>
            <w:r>
              <w:rPr>
                <w:color w:val="auto"/>
                <w:sz w:val="24"/>
                <w:szCs w:val="24"/>
                <w:highlight w:val="white"/>
              </w:rPr>
              <w:t xml:space="preserve">Сообщается </w:t>
            </w:r>
            <w:r>
              <w:rPr>
                <w:color w:val="auto"/>
                <w:sz w:val="24"/>
                <w:szCs w:val="24"/>
              </w:rPr>
              <w:t>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w:t>
            </w:r>
            <w:r>
              <w:rPr>
                <w:strike w:val="false"/>
                <w:dstrike w:val="false"/>
                <w:color w:val="auto"/>
                <w:sz w:val="24"/>
                <w:szCs w:val="24"/>
                <w:highlight w:val="white"/>
              </w:rPr>
              <w:t>.</w:t>
            </w:r>
          </w:p>
          <w:p>
            <w:pPr>
              <w:pStyle w:val="Normal"/>
              <w:spacing w:lineRule="auto" w:line="240" w:before="0" w:after="0"/>
              <w:ind w:firstLine="283" w:left="0" w:right="0"/>
              <w:jc w:val="both"/>
              <w:rPr>
                <w:rFonts w:ascii="Times New Roman" w:hAnsi="Times New Roman"/>
                <w:color w:val="auto"/>
                <w:sz w:val="24"/>
                <w:szCs w:val="24"/>
                <w:highlight w:val="none"/>
              </w:rPr>
            </w:pPr>
            <w:r>
              <w:rPr>
                <w:color w:val="auto"/>
                <w:sz w:val="24"/>
                <w:szCs w:val="24"/>
              </w:rPr>
              <w:t>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 к электрическим сетям, утвержденными постановлением Правительства РФ от 27.12.2004 № 861 (далее – Правила ТП).</w:t>
            </w:r>
          </w:p>
          <w:p>
            <w:pPr>
              <w:pStyle w:val="Normal"/>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 xml:space="preserve">Плата за технологическое присоединение энергопринимающих устройств устанавливается исходя из стоимости мероприятий по технологическому присоединению, размер платы определяется по утвержденным тарифам согласно постановлению PCT Пермского края от 29.11.2022 № 111-тп </w:t>
              <w:br/>
              <w:t>(в последней редакции).</w:t>
            </w:r>
          </w:p>
          <w:p>
            <w:pPr>
              <w:pStyle w:val="Normal"/>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Электроснабжение объектов, размещаемых</w:t>
              <w:br/>
              <w:t>на указанных площадках, возможно будет осуществить при условии строительства питающих линий электропередач 0,4 кВ на основании договора об осуществлении технологического присоединения объекта к электрическим сетям филиала «Пермэнерго» (при подготовке ГПЗУ необходимо предусмотреть трассы для строительства ЛЭП 0,4 кВ).</w:t>
            </w:r>
          </w:p>
          <w:p>
            <w:pPr>
              <w:pStyle w:val="Normal"/>
              <w:spacing w:lineRule="auto" w:line="240" w:before="0" w:after="0"/>
              <w:ind w:firstLine="283" w:left="0" w:right="0"/>
              <w:jc w:val="both"/>
              <w:rPr>
                <w:rFonts w:ascii="Times New Roman" w:hAnsi="Times New Roman"/>
                <w:strike w:val="false"/>
                <w:dstrike w:val="false"/>
                <w:color w:val="auto"/>
                <w:sz w:val="24"/>
                <w:szCs w:val="24"/>
                <w:highlight w:val="white"/>
              </w:rPr>
            </w:pPr>
            <w:r>
              <w:rPr>
                <w:color w:val="auto"/>
                <w:sz w:val="24"/>
                <w:szCs w:val="24"/>
              </w:rPr>
              <w:t>Для получения технических условий и заключения договора на технологическое присоединении необходимо направить</w:t>
              <w:br/>
              <w:t xml:space="preserve">в адрес филиала ПАО «Россети Урал» - «Пермэнерго»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«Россети» на сайте: </w:t>
            </w:r>
            <w:hyperlink r:id="rId14" w:tgtFrame="https://">
              <w:r>
                <w:rPr>
                  <w:rStyle w:val="Hyperlink"/>
                  <w:color w:val="auto"/>
                  <w:sz w:val="24"/>
                  <w:szCs w:val="24"/>
                </w:rPr>
                <w:t>https://</w:t>
              </w:r>
            </w:hyperlink>
            <w:r>
              <w:rPr>
                <w:color w:val="auto"/>
                <w:sz w:val="24"/>
                <w:szCs w:val="24"/>
              </w:rPr>
              <w:t xml:space="preserve"> портал-тп.рф, через Мобильное приложение ПАО «Россети»</w:t>
            </w:r>
            <w:r>
              <w:rPr>
                <w:strike w:val="false"/>
                <w:dstrike w:val="false"/>
                <w:color w:val="auto"/>
                <w:sz w:val="24"/>
                <w:szCs w:val="24"/>
                <w:highlight w:val="white"/>
              </w:rPr>
              <w:t>.</w:t>
            </w:r>
          </w:p>
          <w:p>
            <w:pPr>
              <w:pStyle w:val="Normal"/>
              <w:spacing w:lineRule="auto" w:line="240" w:before="0" w:after="0"/>
              <w:ind w:firstLine="283" w:left="0" w:right="0"/>
              <w:jc w:val="both"/>
              <w:rPr>
                <w:color w:val="auto"/>
              </w:rPr>
            </w:pPr>
            <w:r>
              <w:rPr>
                <w:color w:val="auto"/>
                <w:sz w:val="24"/>
                <w:szCs w:val="24"/>
              </w:rPr>
              <w:t>(Аналогичная информация отражена в письме</w:t>
              <w:br/>
            </w:r>
            <w:r>
              <w:rPr>
                <w:b/>
                <w:bCs/>
                <w:color w:val="auto"/>
                <w:sz w:val="24"/>
                <w:szCs w:val="24"/>
              </w:rPr>
              <w:t xml:space="preserve">ПАО «Россети Урал» - «Пермэнерго» Пермские </w:t>
            </w:r>
            <w:r>
              <w:rPr>
                <w:b/>
                <w:color w:val="auto"/>
                <w:sz w:val="24"/>
                <w:szCs w:val="24"/>
              </w:rPr>
              <w:t>городские электрические сети»</w:t>
            </w:r>
            <w:r>
              <w:rPr>
                <w:color w:val="auto"/>
                <w:sz w:val="24"/>
                <w:szCs w:val="24"/>
              </w:rPr>
              <w:t xml:space="preserve"> от 04.05.2023 № ПЭ/ПГЭС/22/306).</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Участок расположен вне зоны теплоснабжения</w:t>
              <w:br/>
              <w:t>ПАО «Т Плюс».</w:t>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Для запроса информации о возможности подключения земельного участка рекомендуется обратиться к собственникам близлежащих тепловых сетей/источников теплоснабжения или рассмотреть возможность альтернативного источника теплоснабжения.</w:t>
            </w:r>
          </w:p>
          <w:p>
            <w:pPr>
              <w:pStyle w:val="Normal"/>
              <w:spacing w:lineRule="auto" w:line="240" w:before="0" w:after="0"/>
              <w:ind w:firstLine="283" w:left="0" w:right="0"/>
              <w:jc w:val="both"/>
              <w:rPr>
                <w:color w:val="auto"/>
              </w:rPr>
            </w:pPr>
            <w:r>
              <w:rPr>
                <w:color w:val="auto"/>
                <w:sz w:val="24"/>
                <w:szCs w:val="24"/>
              </w:rPr>
              <w:t>(Аналогичная информация отражена в письме</w:t>
              <w:br/>
            </w:r>
            <w:r>
              <w:rPr>
                <w:b/>
                <w:color w:val="auto"/>
                <w:sz w:val="24"/>
                <w:szCs w:val="24"/>
              </w:rPr>
              <w:t>ПАО «Т Плюс»</w:t>
            </w:r>
            <w:r>
              <w:rPr>
                <w:color w:val="auto"/>
                <w:sz w:val="24"/>
                <w:szCs w:val="24"/>
              </w:rPr>
              <w:t xml:space="preserve"> от 13.04.2023 № 51000-32-01131).</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rFonts w:ascii="Times New Roman" w:hAnsi="Times New Roman"/>
                <w:color w:val="auto"/>
                <w:sz w:val="24"/>
                <w:szCs w:val="24"/>
              </w:rPr>
            </w:pPr>
            <w:r>
              <w:rPr>
                <w:color w:val="auto"/>
                <w:sz w:val="24"/>
                <w:szCs w:val="24"/>
              </w:rPr>
              <w:t>Техническая возможность подключения объекта к сетям теплоснабжения отсутствует.</w:t>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Рекомендовано рассмотреть альтернативный источник теплоснабжения – газ. электричество, дрова, пеллеты).</w:t>
            </w:r>
          </w:p>
          <w:p>
            <w:pPr>
              <w:pStyle w:val="Normal"/>
              <w:spacing w:lineRule="auto" w:line="240" w:before="0" w:after="0"/>
              <w:ind w:firstLine="283" w:left="0" w:right="0"/>
              <w:jc w:val="both"/>
              <w:rPr>
                <w:color w:val="auto"/>
              </w:rPr>
            </w:pPr>
            <w:r>
              <w:rPr>
                <w:color w:val="auto"/>
                <w:sz w:val="24"/>
                <w:szCs w:val="24"/>
              </w:rPr>
              <w:t xml:space="preserve">(Аналогичная информация отражена в письме </w:t>
            </w:r>
            <w:r>
              <w:rPr>
                <w:b/>
                <w:color w:val="auto"/>
                <w:sz w:val="24"/>
                <w:szCs w:val="24"/>
              </w:rPr>
              <w:t>Департамента жилищно-коммунального хозяйства администрации города Перми</w:t>
            </w:r>
            <w:r>
              <w:rPr>
                <w:color w:val="auto"/>
                <w:sz w:val="24"/>
                <w:szCs w:val="24"/>
              </w:rPr>
              <w:t xml:space="preserve"> от </w:t>
            </w:r>
            <w:r>
              <w:rPr>
                <w:strike w:val="false"/>
                <w:dstrike w:val="false"/>
                <w:color w:val="auto"/>
                <w:sz w:val="24"/>
                <w:szCs w:val="24"/>
                <w:highlight w:val="white"/>
              </w:rPr>
              <w:t>04.08.2025 № 059-04-25/3-137-ри</w:t>
            </w:r>
            <w:r>
              <w:rPr>
                <w:color w:val="auto"/>
                <w:sz w:val="24"/>
                <w:szCs w:val="24"/>
              </w:rPr>
              <w:t>).</w:t>
            </w:r>
          </w:p>
          <w:p>
            <w:pPr>
              <w:pStyle w:val="Normal"/>
              <w:spacing w:lineRule="auto" w:line="240" w:before="0" w:after="0"/>
              <w:ind w:firstLine="283" w:left="0" w:right="0"/>
              <w:jc w:val="both"/>
              <w:rPr>
                <w:color w:val="auto"/>
              </w:rPr>
            </w:pPr>
            <w:r>
              <w:rPr>
                <w:color w:val="auto"/>
              </w:rPr>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Техническая возможность подключения объекта капитального строительства с предполагаемой максимальной нагрузкой 8 куб.м/час к существующим сетям газораспределения имеется.</w:t>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Для рассмотрения вопроса о предоставлении технических условий на подключение (технологическое присоединение) необходимо направить запрос с приложением необходимых документов и сведений на электронную почту post@pf.ugaz.ru, либо почтовым отправлением по адресу: г. Пермь,                                   ул. Уральская, 104, через Единый центр предоставления услуг по адресу: г. Пермь, ул. Уральская, д. 104, каб. 101.</w:t>
            </w:r>
          </w:p>
          <w:p>
            <w:pPr>
              <w:pStyle w:val="Normal"/>
              <w:spacing w:lineRule="auto" w:line="240" w:before="0" w:after="0"/>
              <w:ind w:firstLine="283" w:left="0" w:right="0"/>
              <w:jc w:val="both"/>
              <w:rPr>
                <w:color w:val="auto"/>
              </w:rPr>
            </w:pPr>
            <w:r>
              <w:rPr>
                <w:color w:val="auto"/>
                <w:sz w:val="24"/>
                <w:szCs w:val="24"/>
              </w:rPr>
              <w:t xml:space="preserve">(Аналогичная информация отражена в письме </w:t>
            </w:r>
            <w:r>
              <w:rPr>
                <w:b/>
                <w:bCs/>
                <w:color w:val="auto"/>
                <w:sz w:val="24"/>
                <w:szCs w:val="24"/>
              </w:rPr>
              <w:t xml:space="preserve">АО «Газпром газораспределение Пермь» </w:t>
            </w:r>
            <w:r>
              <w:rPr>
                <w:color w:val="auto"/>
                <w:sz w:val="24"/>
                <w:szCs w:val="24"/>
              </w:rPr>
              <w:t>от 18.04.2023 № ПФ-2444).</w:t>
            </w:r>
          </w:p>
          <w:p>
            <w:pPr>
              <w:pStyle w:val="Normal"/>
              <w:spacing w:lineRule="auto" w:line="240" w:before="0" w:after="0"/>
              <w:ind w:firstLine="283" w:left="0" w:right="0"/>
              <w:jc w:val="both"/>
              <w:rPr>
                <w:color w:val="auto"/>
              </w:rPr>
            </w:pPr>
            <w:r>
              <w:rPr>
                <w:color w:val="auto"/>
              </w:rPr>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highlight w:val="none"/>
              </w:rPr>
            </w:pPr>
            <w:r>
              <w:rPr>
                <w:color w:val="auto"/>
                <w:sz w:val="24"/>
                <w:szCs w:val="24"/>
              </w:rPr>
              <w:t>О наличии технической возможности подключения сетей водоснабжения и водоотведения с предполагаемой величиной нагрузки 1,0 м3/сут. сообщается следующее.</w:t>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Ближайшей сетью водоснабжения, эксплуатируемой</w:t>
              <w:br/>
              <w:t>ООО «НОВОГОР-Прикамье», является водопровод Д-150 мм по ул. Солдатская, ориентировочной протяженностью - 1193 м. Ближайшей сетью водоотведения, эксплуатируемой</w:t>
              <w:br/>
              <w:t>ООО «НОВОГОР-Прикамье». является сеть канализации Д-600 мм по ул. Разъездная, ориентировочной протяженностью - 1746 м.</w:t>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При проектировании могут быть применены альтернативные способы водоснабжения и водоотведения, без подключения                      к централизованным системам водопровода и канализации                      г. Перми (снабжение водой от скважины, отвод стоков</w:t>
              <w:br/>
              <w:t>на локальные очистные сооружения, канализование объекта                    в выгребную яму с последующим вывозом стоков спец. машинами), которые должны соответствовать всем нормативным требованиям Российской Федерации.</w:t>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val="auto"/>
                <w:sz w:val="24"/>
                <w:szCs w:val="24"/>
                <w14:ligatures w14:val="none"/>
              </w:rPr>
            </w:pPr>
            <w:r>
              <w:rPr>
                <w:color w:val="auto"/>
                <w:sz w:val="24"/>
                <w:szCs w:val="24"/>
              </w:rPr>
              <w:t>В границах земельного участка отсутствуют централизованные сети водопровода и канализации, эксплуатируемые ООО «НОВОГОР-Прикамье».</w:t>
            </w:r>
          </w:p>
          <w:p>
            <w:pPr>
              <w:pStyle w:val="Normal"/>
              <w:spacing w:lineRule="auto" w:line="240" w:before="0" w:after="0"/>
              <w:ind w:firstLine="283" w:left="0" w:right="0"/>
              <w:jc w:val="both"/>
              <w:rPr>
                <w:color w:val="auto"/>
              </w:rPr>
            </w:pPr>
            <w:r>
              <w:rPr>
                <w:color w:val="auto"/>
                <w:sz w:val="24"/>
                <w:szCs w:val="24"/>
              </w:rPr>
              <w:t>(Аналогичная информация отражена в письме</w:t>
              <w:br/>
            </w:r>
            <w:r>
              <w:rPr>
                <w:b/>
                <w:color w:val="auto"/>
                <w:sz w:val="24"/>
                <w:szCs w:val="24"/>
              </w:rPr>
              <w:t xml:space="preserve">ООО «НОВОГОР-Прикамье» </w:t>
            </w:r>
            <w:r>
              <w:rPr>
                <w:color w:val="auto"/>
                <w:sz w:val="24"/>
                <w:szCs w:val="24"/>
              </w:rPr>
              <w:t>от 19.04.2023 № 110-6332).</w:t>
            </w:r>
          </w:p>
          <w:p>
            <w:pPr>
              <w:pStyle w:val="Normal"/>
              <w:spacing w:lineRule="auto" w:line="240" w:before="0" w:after="0"/>
              <w:ind w:firstLine="283" w:left="0" w:right="0"/>
              <w:jc w:val="both"/>
              <w:rPr>
                <w:color w:val="auto"/>
              </w:rPr>
            </w:pPr>
            <w:r>
              <w:rPr>
                <w:color w:val="auto"/>
              </w:rPr>
            </w:r>
          </w:p>
          <w:p>
            <w:pPr>
              <w:pStyle w:val="Normal"/>
              <w:spacing w:lineRule="auto" w:line="240" w:before="0" w:after="0"/>
              <w:ind w:firstLine="283" w:left="0" w:right="0"/>
              <w:jc w:val="both"/>
              <w:rPr>
                <w:color w:val="auto"/>
              </w:rPr>
            </w:pPr>
            <w:r>
              <w:rPr>
                <w:b w:val="false"/>
                <w:bCs w:val="false"/>
                <w:color w:val="auto"/>
                <w:sz w:val="24"/>
                <w:szCs w:val="24"/>
              </w:rPr>
              <w:t>Технологическое присоединение к сетям связи</w:t>
              <w:br/>
              <w:t>ПАО «Ростелеком» может быть произведено к узлу ВОЛС</w:t>
              <w:br/>
              <w:t>(г. Пермь, ул. Маршала Рыбалко, д. 84а), максимальную нагрузку в точке подключения (технологического присоединения) необходимо определить на стадии проектирования.</w:t>
            </w:r>
          </w:p>
          <w:p>
            <w:pPr>
              <w:pStyle w:val="Normal"/>
              <w:spacing w:lineRule="auto" w:line="240" w:before="0" w:after="0"/>
              <w:ind w:firstLine="283" w:left="0" w:right="0"/>
              <w:jc w:val="both"/>
              <w:rPr>
                <w:b w:val="false"/>
                <w:bCs w:val="false"/>
                <w:color w:val="auto"/>
              </w:rPr>
            </w:pPr>
            <w:r>
              <w:rPr>
                <w:b w:val="false"/>
                <w:bCs w:val="false"/>
                <w:color w:val="auto"/>
                <w:sz w:val="24"/>
                <w:szCs w:val="24"/>
              </w:rPr>
              <w:t>В границах Участка сети связи ПАО «Ростелеком»</w:t>
              <w:br/>
              <w:t>отсутствуют.</w:t>
            </w:r>
          </w:p>
          <w:p>
            <w:pPr>
              <w:pStyle w:val="Normal"/>
              <w:spacing w:lineRule="auto" w:line="240" w:before="0" w:after="0"/>
              <w:ind w:firstLine="283" w:left="0" w:right="0"/>
              <w:jc w:val="both"/>
              <w:rPr>
                <w:b w:val="false"/>
                <w:bCs w:val="false"/>
                <w:color w:val="auto"/>
                <w:sz w:val="24"/>
                <w:szCs w:val="24"/>
              </w:rPr>
            </w:pPr>
            <w:r>
              <w:rPr>
                <w:b w:val="false"/>
                <w:bCs w:val="false"/>
                <w:color w:val="auto"/>
                <w:sz w:val="24"/>
                <w:szCs w:val="24"/>
              </w:rPr>
              <w:t>Для получения технических условий на подключение</w:t>
              <w:br/>
              <w:t>к сетям связи ПАО «Ростелеком» необходимо обратиться</w:t>
              <w:br/>
              <w:t>в Отдел продаж и обслуживания по адресу: г. Пермь,</w:t>
              <w:br/>
              <w:t>ул. К</w:t>
            </w:r>
            <w:r>
              <w:rPr>
                <w:rFonts w:eastAsia="Droid Sans Fallback" w:cs="Lohit Devanagari"/>
                <w:b w:val="false"/>
                <w:bCs w:val="false"/>
                <w:color w:val="auto"/>
                <w:kern w:val="0"/>
                <w:sz w:val="24"/>
                <w:szCs w:val="24"/>
                <w:lang w:val="ru-RU" w:eastAsia="zh-CN" w:bidi="ar-SA"/>
              </w:rPr>
              <w:t>рупской, 2, тел.: (342) 235-57-34 или направить запрос</w:t>
              <w:br/>
              <w:t xml:space="preserve">на </w:t>
            </w:r>
            <w:hyperlink r:id="rId15" w:tgtFrame="mailto:perm-mail@ural.rt.ru">
              <w:r>
                <w:rPr>
                  <w:rStyle w:val="Hyperlink"/>
                  <w:rFonts w:eastAsia="Droid Sans Fallback" w:cs="Lohit Devanagari"/>
                  <w:b w:val="false"/>
                  <w:bCs w:val="false"/>
                  <w:color w:val="auto"/>
                  <w:kern w:val="0"/>
                  <w:sz w:val="24"/>
                  <w:szCs w:val="24"/>
                  <w:lang w:val="ru-RU" w:eastAsia="zh-CN" w:bidi="ar-SA"/>
                </w:rPr>
                <w:t>perm-mail@ural.rt.ru</w:t>
              </w:r>
            </w:hyperlink>
            <w:r>
              <w:rPr>
                <w:rFonts w:eastAsia="Droid Sans Fallback" w:cs="Lohit Devanagari"/>
                <w:b w:val="false"/>
                <w:bCs w:val="false"/>
                <w:color w:val="auto"/>
                <w:kern w:val="0"/>
                <w:sz w:val="24"/>
                <w:szCs w:val="24"/>
                <w:lang w:val="ru-RU" w:eastAsia="zh-CN" w:bidi="ar-SA"/>
              </w:rPr>
              <w:t>.</w:t>
            </w:r>
          </w:p>
          <w:p>
            <w:pPr>
              <w:pStyle w:val="Normal"/>
              <w:spacing w:lineRule="auto" w:line="240" w:before="0" w:after="0"/>
              <w:ind w:firstLine="283" w:left="0" w:right="0"/>
              <w:jc w:val="both"/>
              <w:rPr>
                <w:rFonts w:ascii="Times New Roman" w:hAnsi="Times New Roman" w:eastAsia="Droid Sans Fallback" w:cs="Lohit Devanagari"/>
                <w:b w:val="false"/>
                <w:bCs w:val="false"/>
                <w:color w:val="auto"/>
                <w:kern w:val="0"/>
                <w:sz w:val="24"/>
                <w:szCs w:val="24"/>
                <w:lang w:val="ru-RU" w:eastAsia="zh-CN" w:bidi="ar-SA"/>
              </w:rPr>
            </w:pPr>
            <w:r>
              <w:rPr>
                <w:rFonts w:eastAsia="Droid Sans Fallback" w:cs="Lohit Devanagari"/>
                <w:b w:val="false"/>
                <w:bCs w:val="false"/>
                <w:color w:val="auto"/>
                <w:kern w:val="0"/>
                <w:sz w:val="24"/>
                <w:szCs w:val="24"/>
                <w:lang w:val="ru-RU" w:eastAsia="zh-CN" w:bidi="ar-SA"/>
              </w:rPr>
              <w:t>(Аналогичная информация отражена в письме</w:t>
              <w:br/>
            </w:r>
            <w:r>
              <w:rPr>
                <w:rFonts w:eastAsia="Droid Sans Fallback" w:cs="Lohit Devanagari"/>
                <w:b/>
                <w:bCs/>
                <w:color w:val="auto"/>
                <w:kern w:val="0"/>
                <w:sz w:val="24"/>
                <w:szCs w:val="24"/>
                <w:lang w:val="ru-RU" w:eastAsia="zh-CN" w:bidi="ar-SA"/>
              </w:rPr>
              <w:t>ПАО «Ростелеком»</w:t>
            </w:r>
            <w:r>
              <w:rPr>
                <w:rFonts w:eastAsia="Droid Sans Fallback" w:cs="Lohit Devanagari"/>
                <w:b w:val="false"/>
                <w:bCs w:val="false"/>
                <w:color w:val="auto"/>
                <w:kern w:val="0"/>
                <w:sz w:val="24"/>
                <w:szCs w:val="24"/>
                <w:lang w:val="ru-RU" w:eastAsia="zh-CN" w:bidi="ar-SA"/>
              </w:rPr>
              <w:t xml:space="preserve"> от 24.07.2025 № 01/05/108801/25).</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57"/>
              <w:jc w:val="left"/>
              <w:rPr>
                <w:highlight w:val="none"/>
                <w:shd w:fill="auto" w:val="clear"/>
              </w:rPr>
            </w:pPr>
            <w:r>
              <w:rPr>
                <w:sz w:val="24"/>
                <w:szCs w:val="24"/>
                <w:shd w:fill="auto" w:val="clear"/>
              </w:rPr>
              <w:t>Начальная цена предмета аукциона</w:t>
            </w:r>
          </w:p>
          <w:p>
            <w:pPr>
              <w:pStyle w:val="Normal"/>
              <w:widowControl/>
              <w:spacing w:before="0" w:after="0"/>
              <w:ind w:hanging="0" w:left="113" w:right="57"/>
              <w:jc w:val="left"/>
              <w:rPr>
                <w:highlight w:val="none"/>
                <w:shd w:fill="auto" w:val="clear"/>
              </w:rPr>
            </w:pPr>
            <w:r>
              <w:rPr>
                <w:b/>
                <w:sz w:val="24"/>
                <w:szCs w:val="24"/>
                <w:shd w:fill="auto" w:val="clear"/>
              </w:rPr>
              <w:t>(рыночная стоимость земельного участка)</w:t>
            </w:r>
          </w:p>
          <w:p>
            <w:pPr>
              <w:pStyle w:val="Normal"/>
              <w:ind w:right="-263"/>
              <w:rPr>
                <w:b/>
                <w:bCs/>
                <w:sz w:val="24"/>
                <w:szCs w:val="24"/>
                <w:highlight w:val="none"/>
              </w:rPr>
            </w:pPr>
            <w:r>
              <w:rPr>
                <w:b/>
                <w:bCs/>
                <w:sz w:val="24"/>
                <w:szCs w:val="24"/>
              </w:rPr>
            </w:r>
          </w:p>
          <w:p>
            <w:pPr>
              <w:pStyle w:val="Normal"/>
              <w:ind w:hanging="0" w:left="120" w:right="0"/>
              <w:rPr>
                <w:rFonts w:ascii="Times New Roman" w:hAnsi="Times New Roman" w:eastAsia="Times New Roman" w:cs="Times New Roman"/>
                <w:b w:val="false"/>
                <w:bCs w:val="false"/>
                <w:color w:val="000000"/>
                <w:sz w:val="24"/>
                <w:szCs w:val="24"/>
                <w:highlight w:val="none"/>
              </w:rPr>
            </w:pPr>
            <w:r>
              <w:rPr>
                <w:rFonts w:eastAsia="Times New Roman" w:cs="Times New Roman"/>
                <w:b w:val="false"/>
                <w:bCs w:val="false"/>
                <w:color w:val="000000"/>
                <w:sz w:val="24"/>
              </w:rPr>
              <w:t>По условиям пункта 4.1 проекта договора купли-продажи земельного участка, приобретаемого на торгах в форме аукциона (Приложение 5 к настоящему извещению),</w:t>
            </w:r>
          </w:p>
          <w:p>
            <w:pPr>
              <w:pStyle w:val="Normal"/>
              <w:ind w:hanging="0" w:left="120" w:right="0"/>
              <w:rPr>
                <w:highlight w:val="none"/>
                <w:shd w:fill="auto" w:val="clear"/>
              </w:rPr>
            </w:pPr>
            <w:r>
              <w:rPr>
                <w:sz w:val="24"/>
                <w:szCs w:val="24"/>
                <w:shd w:fill="auto" w:val="clear"/>
              </w:rPr>
              <w:t>победитель аукциона, иное лицо, с которым договор заключается в соответствии с п.13, п.14, п. 20 или п. 25</w:t>
            </w:r>
          </w:p>
          <w:p>
            <w:pPr>
              <w:pStyle w:val="Normal"/>
              <w:ind w:hanging="0" w:left="120" w:right="0"/>
              <w:rPr>
                <w:highlight w:val="none"/>
                <w:shd w:fill="auto" w:val="clear"/>
              </w:rPr>
            </w:pPr>
            <w:r>
              <w:rPr>
                <w:sz w:val="24"/>
                <w:szCs w:val="24"/>
                <w:shd w:fill="auto" w:val="clear"/>
              </w:rPr>
              <w:t xml:space="preserve">ст. 39.12 Земельного Кодекса Российской Федерации (далее – ЗК РФ), обязан </w:t>
            </w:r>
            <w:r>
              <w:rPr>
                <w:b/>
                <w:sz w:val="24"/>
                <w:szCs w:val="24"/>
                <w:shd w:fill="auto" w:val="clear"/>
              </w:rPr>
              <w:t>в течение 15 дней</w:t>
            </w:r>
            <w:r>
              <w:rPr>
                <w:sz w:val="24"/>
                <w:szCs w:val="24"/>
                <w:shd w:fill="auto" w:val="clear"/>
              </w:rPr>
              <w:t xml:space="preserve"> со дня размещения  протокола о результатах аукциона, а в случаях, определенных п.13, п.14, ст. 39.12 ЗК РФ, протокола рассмотрения заявок, </w:t>
            </w:r>
            <w:r>
              <w:rPr>
                <w:b/>
                <w:sz w:val="24"/>
                <w:szCs w:val="24"/>
                <w:shd w:fill="auto" w:val="clear"/>
              </w:rPr>
              <w:t xml:space="preserve">перечислить денежные средства </w:t>
            </w:r>
            <w:r>
              <w:rPr>
                <w:sz w:val="24"/>
                <w:szCs w:val="24"/>
                <w:shd w:fill="auto" w:val="clear"/>
              </w:rPr>
              <w:t>за земельный участок (за вычетом задатка, внесенного для участия в аукционе) на счет департамента земельных отношений администрации города Перми, 614000, ул. Сибирская,15, тел. 212-61-90 (отдел договоров), реквизиты которого указаны в проекте договора купли-продажи земельного участка (Приложение 5 к настоящему извещению)</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3 555 000  руб.</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shd w:fill="auto" w:val="clear"/>
              </w:rPr>
            </w:pPr>
            <w:r>
              <w:rPr>
                <w:sz w:val="24"/>
                <w:szCs w:val="24"/>
                <w:shd w:fill="auto" w:val="clear"/>
              </w:rPr>
              <w:t>«Шаг аукциона» (5% от</w:t>
            </w:r>
          </w:p>
          <w:p>
            <w:pPr>
              <w:pStyle w:val="Normal"/>
              <w:widowControl/>
              <w:spacing w:before="0" w:after="0"/>
              <w:ind w:hanging="0" w:left="113" w:right="113"/>
              <w:jc w:val="left"/>
              <w:rPr>
                <w:highlight w:val="none"/>
              </w:rPr>
            </w:pPr>
            <w:r>
              <w:rPr>
                <w:sz w:val="24"/>
                <w:szCs w:val="24"/>
                <w:shd w:fill="auto" w:val="clear"/>
              </w:rPr>
              <w:t>начальной цены предмета аукциона)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177 750 руб.</w:t>
            </w:r>
          </w:p>
        </w:tc>
      </w:tr>
      <w:tr>
        <w:trPr>
          <w:trHeight w:val="41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Форма заявки на участие в аукционе</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Normal"/>
              <w:jc w:val="both"/>
              <w:rPr>
                <w:b/>
                <w:sz w:val="24"/>
                <w:szCs w:val="24"/>
              </w:rPr>
            </w:pPr>
            <w:r>
              <w:rPr>
                <w:b/>
                <w:sz w:val="24"/>
                <w:szCs w:val="24"/>
              </w:rPr>
              <w:t>Решение о проведении аукциона принято в соответствии со статьей 39.18 Земельного кодекса Российской Федерации, участниками аукциона могут являться только граждане.</w:t>
            </w:r>
          </w:p>
        </w:tc>
      </w:tr>
      <w:tr>
        <w:trPr>
          <w:trHeight w:val="23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shd w:fill="auto" w:val="clear"/>
              </w:rPr>
            </w:pPr>
            <w:r>
              <w:rPr>
                <w:sz w:val="24"/>
                <w:szCs w:val="24"/>
                <w:shd w:fill="auto" w:val="clear"/>
              </w:rPr>
              <w:t>Размер задатка (50% от</w:t>
            </w:r>
          </w:p>
          <w:p>
            <w:pPr>
              <w:pStyle w:val="Normal"/>
              <w:widowControl/>
              <w:spacing w:before="0" w:after="0"/>
              <w:ind w:hanging="0" w:left="113" w:right="113"/>
              <w:jc w:val="left"/>
              <w:rPr>
                <w:highlight w:val="none"/>
              </w:rPr>
            </w:pPr>
            <w:r>
              <w:rPr>
                <w:sz w:val="24"/>
                <w:szCs w:val="24"/>
                <w:shd w:fill="auto" w:val="clear"/>
              </w:rPr>
              <w:t>начальной цены предмета аукциона)</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1 777 500 руб.</w:t>
            </w:r>
          </w:p>
        </w:tc>
      </w:tr>
      <w:tr>
        <w:trPr>
          <w:trHeight w:val="236" w:hRule="atLeast"/>
        </w:trPr>
        <w:tc>
          <w:tcPr>
            <w:tcW w:w="356"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308" w:type="dxa"/>
            <w:tcBorders>
              <w:left w:val="single" w:sz="4" w:space="0" w:color="000000"/>
              <w:bottom w:val="single" w:sz="4" w:space="0" w:color="000000"/>
              <w:right w:val="single" w:sz="4" w:space="0" w:color="000000"/>
            </w:tcBorders>
          </w:tcPr>
          <w:p>
            <w:pPr>
              <w:pStyle w:val="Normal"/>
              <w:widowControl/>
              <w:spacing w:before="0" w:after="0"/>
              <w:ind w:hanging="0" w:left="113" w:right="113"/>
              <w:jc w:val="left"/>
              <w:rPr>
                <w:b w:val="false"/>
                <w:bCs w:val="false"/>
                <w:shd w:fill="auto" w:val="clear"/>
              </w:rPr>
            </w:pPr>
            <w:r>
              <w:rPr>
                <w:sz w:val="24"/>
                <w:szCs w:val="24"/>
                <w:shd w:fill="auto" w:val="clear"/>
              </w:rPr>
              <w:t xml:space="preserve">Дата </w:t>
            </w:r>
            <w:r>
              <w:rPr>
                <w:b w:val="false"/>
                <w:shd w:fill="auto" w:val="clear"/>
              </w:rPr>
              <w:t>размещения</w:t>
            </w:r>
          </w:p>
          <w:p>
            <w:pPr>
              <w:pStyle w:val="Normal"/>
              <w:widowControl/>
              <w:spacing w:before="0" w:after="0"/>
              <w:ind w:hanging="0" w:left="113" w:right="113"/>
              <w:jc w:val="left"/>
              <w:rPr>
                <w:highlight w:val="none"/>
              </w:rPr>
            </w:pPr>
            <w:r>
              <w:rPr>
                <w:b w:val="false"/>
                <w:shd w:fill="auto" w:val="clear"/>
              </w:rPr>
              <w:t xml:space="preserve">извещения в соответствии с пп. 1 п. 1 ст. 39.18 Земельного кодекса Российской Федерации на  </w:t>
            </w:r>
            <w:r>
              <w:rPr>
                <w:b w:val="false"/>
                <w:sz w:val="24"/>
                <w:szCs w:val="24"/>
                <w:shd w:fill="auto" w:val="clear"/>
                <w:lang w:val="en-US" w:eastAsia="en-US"/>
              </w:rPr>
              <w:t>сайтах www.torgi.gov.ru, www.gorodperm.ru</w:t>
            </w:r>
          </w:p>
        </w:tc>
        <w:tc>
          <w:tcPr>
            <w:tcW w:w="6821" w:type="dxa"/>
            <w:tcBorders>
              <w:left w:val="single" w:sz="4" w:space="0" w:color="000000"/>
              <w:bottom w:val="single" w:sz="4" w:space="0" w:color="000000"/>
              <w:right w:val="single" w:sz="4" w:space="0" w:color="000000"/>
            </w:tcBorders>
          </w:tcPr>
          <w:p>
            <w:pPr>
              <w:pStyle w:val="Normal"/>
              <w:jc w:val="both"/>
              <w:rPr>
                <w:sz w:val="24"/>
                <w:szCs w:val="24"/>
              </w:rPr>
            </w:pPr>
            <w:r>
              <w:rPr>
                <w:sz w:val="24"/>
                <w:szCs w:val="24"/>
              </w:rPr>
              <w:t>04.07.2025</w:t>
            </w:r>
          </w:p>
        </w:tc>
      </w:tr>
      <w:tr>
        <w:trPr>
          <w:trHeight w:val="1884"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Проект договора купли-продажи земельного</w:t>
            </w:r>
          </w:p>
          <w:p>
            <w:pPr>
              <w:pStyle w:val="Normal"/>
              <w:widowControl/>
              <w:spacing w:before="0" w:after="0"/>
              <w:ind w:hanging="0" w:left="113" w:right="113"/>
              <w:jc w:val="left"/>
              <w:rPr>
                <w:sz w:val="24"/>
                <w:szCs w:val="24"/>
              </w:rPr>
            </w:pPr>
            <w:r>
              <w:rPr>
                <w:sz w:val="24"/>
                <w:szCs w:val="24"/>
              </w:rPr>
              <w:t>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eastAsia="en-US"/>
              </w:rPr>
              <w:t xml:space="preserve">Проект договора купли-продажи земельного участка,                     приобретаемого на торгах в форме аукциона, является </w:t>
              <w:br/>
              <w:t xml:space="preserve">Приложением 5 к настоящему извещению и </w:t>
            </w:r>
            <w:r>
              <w:rPr>
                <w:sz w:val="24"/>
                <w:szCs w:val="24"/>
                <w:lang w:val="en-US" w:eastAsia="en-US"/>
              </w:rPr>
              <w:t>размещен на сайтах www.torgi.gov.ru, www.gorodperm.ru (раздел Деятельность/ Муниципальная собственность/ Торговая площадка Вид торгов Продажа и аренда земельных участков)</w:t>
            </w:r>
          </w:p>
        </w:tc>
      </w:tr>
      <w:tr>
        <w:trPr>
          <w:trHeight w:val="7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308" w:type="dxa"/>
            <w:tcBorders>
              <w:top w:val="single" w:sz="4" w:space="0" w:color="000000"/>
              <w:left w:val="single" w:sz="4" w:space="0" w:color="000000"/>
              <w:bottom w:val="single" w:sz="4" w:space="0" w:color="000000"/>
              <w:right w:val="single" w:sz="4" w:space="0" w:color="000000"/>
            </w:tcBorders>
          </w:tcPr>
          <w:p>
            <w:pPr>
              <w:pStyle w:val="Normal"/>
              <w:ind w:hanging="0" w:left="120" w:right="-263"/>
              <w:rPr>
                <w:sz w:val="24"/>
                <w:szCs w:val="24"/>
              </w:rPr>
            </w:pPr>
            <w:r>
              <w:rPr>
                <w:sz w:val="24"/>
                <w:szCs w:val="24"/>
              </w:rPr>
              <w:t>Порядок осмотра земельного участка на местности</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Осмотр земельного участка производится заявителем   самостоятельно в любое время с даты опубликования настоящего извещения.</w:t>
            </w:r>
          </w:p>
        </w:tc>
      </w:tr>
    </w:tbl>
    <w:p>
      <w:pPr>
        <w:pStyle w:val="PlainText"/>
        <w:spacing w:lineRule="exact" w:line="240"/>
        <w:ind w:hanging="1134" w:left="1134"/>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tabs>
          <w:tab w:val="clear" w:pos="708"/>
          <w:tab w:val="left" w:pos="5103" w:leader="none"/>
        </w:tabs>
        <w:ind w:right="-263"/>
        <w:rPr>
          <w:b/>
          <w:bCs/>
          <w:highlight w:val="none"/>
          <w:lang w:val="en-US"/>
        </w:rPr>
      </w:pPr>
      <w:r>
        <w:rPr>
          <w:b/>
          <w:lang w:val="en-US"/>
        </w:rPr>
        <w:t>Лот № 4</w:t>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356"/>
        <w:gridCol w:w="3308"/>
        <w:gridCol w:w="6821"/>
      </w:tblGrid>
      <w:tr>
        <w:trPr>
          <w:trHeight w:val="877"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3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0"/>
              <w:jc w:val="left"/>
              <w:rPr>
                <w:sz w:val="24"/>
                <w:szCs w:val="24"/>
              </w:rPr>
            </w:pPr>
            <w:r>
              <w:rPr>
                <w:sz w:val="24"/>
                <w:szCs w:val="24"/>
              </w:rPr>
              <w:t>Наименование органа</w:t>
            </w:r>
          </w:p>
          <w:p>
            <w:pPr>
              <w:pStyle w:val="Normal"/>
              <w:spacing w:lineRule="auto" w:line="240" w:before="0" w:after="0"/>
              <w:ind w:right="0"/>
              <w:jc w:val="left"/>
              <w:rPr>
                <w:sz w:val="24"/>
                <w:szCs w:val="24"/>
              </w:rPr>
            </w:pPr>
            <w:r>
              <w:rPr>
                <w:sz w:val="24"/>
                <w:szCs w:val="24"/>
              </w:rPr>
              <w:t>местного самоуправления, принявшего решение о проведении аукциона, реквизиты указанного решения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Администрация города Перми, распоряжение начальника   департамента земельных отношений администрации города Перми </w:t>
            </w:r>
            <w:r>
              <w:rPr>
                <w:sz w:val="24"/>
                <w:szCs w:val="28"/>
                <w:highlight w:val="white"/>
              </w:rPr>
              <w:t>от</w:t>
            </w:r>
            <w:r>
              <w:rPr>
                <w:sz w:val="28"/>
                <w:szCs w:val="28"/>
                <w:highlight w:val="white"/>
              </w:rPr>
              <w:t xml:space="preserve"> </w:t>
            </w:r>
            <w:r>
              <w:rPr>
                <w:sz w:val="24"/>
                <w:szCs w:val="28"/>
                <w:highlight w:val="white"/>
              </w:rPr>
              <w:t>15 августа 2025 г. № 21-01-03-6565 «О проведении аукциона по продаже земельного участка в Свердловском районе города Перми»</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Предмет аукциона по продаже земельного 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35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360" w:left="720" w:right="-263"/>
              <w:jc w:val="both"/>
              <w:rPr>
                <w:sz w:val="24"/>
                <w:szCs w:val="24"/>
              </w:rPr>
            </w:pPr>
            <w:r>
              <w:rPr>
                <w:sz w:val="24"/>
                <w:szCs w:val="24"/>
              </w:rPr>
              <w:t>местоположение</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жилой район Ново-Бродовский, улица Грибная, з/у 51</w:t>
            </w:r>
          </w:p>
        </w:tc>
      </w:tr>
      <w:tr>
        <w:trPr>
          <w:trHeight w:val="148"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360" w:left="720" w:right="-263"/>
              <w:rPr>
                <w:sz w:val="24"/>
                <w:szCs w:val="24"/>
              </w:rPr>
            </w:pPr>
            <w:r>
              <w:rPr>
                <w:sz w:val="24"/>
                <w:szCs w:val="24"/>
              </w:rPr>
              <w:t>площадь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1074 кв. м</w:t>
            </w:r>
          </w:p>
        </w:tc>
      </w:tr>
      <w:tr>
        <w:trPr>
          <w:trHeight w:val="155"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360" w:left="720" w:right="-263"/>
              <w:rPr>
                <w:sz w:val="24"/>
                <w:szCs w:val="24"/>
              </w:rPr>
            </w:pPr>
            <w:r>
              <w:rPr>
                <w:sz w:val="24"/>
                <w:szCs w:val="24"/>
              </w:rPr>
              <w:t>кадастровый номер</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t>59:01:5010017:166</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права на земельный участок</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вид разрешенного использования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для индивидуального жилищного строительства</w:t>
            </w:r>
          </w:p>
        </w:tc>
      </w:tr>
      <w:tr>
        <w:trPr>
          <w:trHeight w:val="576"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 xml:space="preserve">принадлежность к определенной  </w:t>
              <w:br/>
              <w:t>категории земель</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pacing w:before="0" w:after="0"/>
              <w:ind w:hanging="360" w:left="720" w:right="113"/>
              <w:jc w:val="left"/>
              <w:rPr>
                <w:sz w:val="24"/>
                <w:szCs w:val="24"/>
              </w:rPr>
            </w:pPr>
            <w:r>
              <w:rPr>
                <w:sz w:val="24"/>
                <w:szCs w:val="24"/>
              </w:rPr>
              <w:t xml:space="preserve">принадлежность к определенной  </w:t>
              <w:br/>
              <w:t>территориальной зоне</w:t>
            </w:r>
          </w:p>
        </w:tc>
        <w:tc>
          <w:tcPr>
            <w:tcW w:w="6821" w:type="dxa"/>
            <w:tcBorders>
              <w:top w:val="single" w:sz="4" w:space="0" w:color="000000"/>
              <w:left w:val="single" w:sz="4" w:space="0" w:color="000000"/>
              <w:bottom w:val="single" w:sz="4" w:space="0" w:color="000000"/>
              <w:right w:val="single" w:sz="4" w:space="0" w:color="000000"/>
            </w:tcBorders>
          </w:tcPr>
          <w:p>
            <w:pPr>
              <w:pStyle w:val="Normal"/>
              <w:ind w:right="-263"/>
              <w:jc w:val="both"/>
              <w:rPr/>
            </w:pPr>
            <w:r>
              <w:rPr>
                <w:sz w:val="24"/>
                <w:szCs w:val="24"/>
              </w:rPr>
              <w:t>Ж-4 «Зона индивидуальной жилой застройки городского типа»</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hanging="360" w:left="720" w:right="113"/>
              <w:jc w:val="left"/>
              <w:rPr>
                <w:sz w:val="24"/>
                <w:szCs w:val="24"/>
              </w:rPr>
            </w:pPr>
            <w:r>
              <w:rPr>
                <w:sz w:val="24"/>
                <w:szCs w:val="24"/>
              </w:rPr>
              <w:t>ограничение прав</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14:ligatures w14:val="none"/>
              </w:rPr>
            </w:pPr>
            <w:r>
              <w:rPr>
                <w:sz w:val="24"/>
                <w:szCs w:val="24"/>
              </w:rPr>
              <w:t>в выписке из Единого государственного реестра недвижимости об объекте недвижимости от 31.03.2026г.                  № КУВИ-001/2026-42760253 (далее - ЕГРН)</w:t>
            </w:r>
            <w:r>
              <w:rPr>
                <w:sz w:val="24"/>
                <w:szCs w:val="24"/>
                <w14:ligatures w14:val="none"/>
              </w:rPr>
              <w:t>;</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rPr>
            </w:pPr>
            <w:r>
              <w:rPr>
                <w:sz w:val="24"/>
                <w:szCs w:val="24"/>
              </w:rPr>
              <w:t>от 26</w:t>
            </w:r>
            <w:r>
              <w:rPr>
                <w:color w:val="000000"/>
                <w:sz w:val="24"/>
                <w:szCs w:val="24"/>
              </w:rPr>
              <w:t>.06.2025 № РФ-59-2-03-0-00-2025-1460-0</w:t>
            </w:r>
            <w:r>
              <w:rPr>
                <w:sz w:val="24"/>
                <w:szCs w:val="24"/>
              </w:rPr>
              <w:t xml:space="preserve"> (далее – ГПЗУ) (</w:t>
            </w:r>
            <w:r>
              <w:rPr>
                <w:rFonts w:eastAsia="Times New Roman" w:cs="Times New Roman"/>
                <w:b w:val="false"/>
                <w:bCs w:val="false"/>
                <w:color w:val="000000"/>
                <w:sz w:val="24"/>
              </w:rPr>
              <w:t>Приложение 8 к настоящему извещению)</w:t>
            </w:r>
            <w:r>
              <w:rPr>
                <w:sz w:val="24"/>
                <w:szCs w:val="24"/>
              </w:rPr>
              <w:t>.</w:t>
            </w:r>
          </w:p>
          <w:p>
            <w:pPr>
              <w:pStyle w:val="BodyText"/>
              <w:ind w:firstLine="362"/>
              <w:jc w:val="both"/>
              <w:rPr>
                <w:sz w:val="24"/>
                <w:szCs w:val="24"/>
              </w:rPr>
            </w:pPr>
            <w:r>
              <w:rPr>
                <w:sz w:val="24"/>
                <w:szCs w:val="24"/>
              </w:rPr>
            </w:r>
          </w:p>
          <w:p>
            <w:pPr>
              <w:pStyle w:val="Normal"/>
              <w:spacing w:lineRule="auto" w:line="240" w:before="0" w:after="0"/>
              <w:ind w:firstLine="283" w:left="0" w:right="0"/>
              <w:jc w:val="both"/>
              <w:rPr>
                <w:rFonts w:ascii="Times New Roman" w:hAnsi="Times New Roman"/>
                <w:color w:themeColor="text1" w:val="000000"/>
                <w:sz w:val="24"/>
                <w:szCs w:val="24"/>
                <w:highlight w:val="white"/>
              </w:rPr>
            </w:pPr>
            <w:r>
              <w:rPr>
                <w:color w:themeColor="text1" w:val="000000"/>
                <w:sz w:val="24"/>
                <w:szCs w:val="24"/>
              </w:rPr>
              <w:t xml:space="preserve">Объекты </w:t>
            </w:r>
            <w:r>
              <w:rPr>
                <w:color w:themeColor="text1" w:val="000000"/>
                <w:sz w:val="24"/>
                <w:szCs w:val="24"/>
                <w:highlight w:val="white"/>
              </w:rPr>
              <w:t>капитального строительства на земельном участке отсутствуют. Земельный участок не огорожен. Хозяйственная деятельность не ведется. Территория заросла древесной растительностью. Подъездные пути отсутствуют.</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b/>
                <w:color w:themeColor="text1" w:val="000000"/>
                <w:sz w:val="24"/>
                <w:szCs w:val="24"/>
                <w:highlight w:val="white"/>
              </w:rPr>
              <w:t xml:space="preserve">администрации Свердловского района </w:t>
            </w:r>
            <w:r>
              <w:rPr>
                <w:color w:themeColor="text1" w:val="000000"/>
                <w:sz w:val="24"/>
                <w:szCs w:val="24"/>
              </w:rPr>
              <w:t>от 02.07.2025</w:t>
              <w:br/>
              <w:t>№ 059-39-01-29/3-304, в акте обследования от 26.06.2025</w:t>
              <w:br/>
              <w:t>№ 1/1</w:t>
            </w:r>
            <w:r>
              <w:rPr>
                <w:color w:themeColor="text1" w:val="000000"/>
                <w:sz w:val="24"/>
                <w:szCs w:val="24"/>
                <w:highlight w:val="white"/>
              </w:rPr>
              <w:t>).</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highlight w:val="white"/>
              </w:rPr>
              <w:t>В соответствии со сведениями ЕГРН</w:t>
            </w:r>
            <w:r>
              <w:rPr>
                <w:color w:themeColor="text1" w:val="000000"/>
                <w:sz w:val="24"/>
                <w:szCs w:val="24"/>
              </w:rPr>
              <w:t xml:space="preserve">, </w:t>
            </w:r>
            <w:r>
              <w:rPr>
                <w:color w:themeColor="text1" w:val="000000"/>
                <w:sz w:val="24"/>
                <w:szCs w:val="24"/>
                <w:highlight w:val="white"/>
              </w:rPr>
              <w:t>копией планшета</w:t>
              <w:br/>
              <w:t>М 1:1000 (требуется корректура) объекты капитального/некапитального строительства в границах Участка отсутствуют.</w:t>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rPr>
            </w:r>
          </w:p>
          <w:p>
            <w:pPr>
              <w:pStyle w:val="Normal"/>
              <w:spacing w:lineRule="auto" w:line="240" w:before="0" w:after="0"/>
              <w:ind w:firstLine="283" w:left="0" w:right="0"/>
              <w:jc w:val="both"/>
              <w:rPr>
                <w:rFonts w:ascii="Times New Roman" w:hAnsi="Times New Roman"/>
                <w:color w:themeColor="text1" w:val="000000"/>
                <w:sz w:val="24"/>
                <w:szCs w:val="24"/>
                <w:highlight w:val="white"/>
              </w:rPr>
            </w:pPr>
            <w:r>
              <w:rPr>
                <w:b w:val="false"/>
                <w:bCs w:val="false"/>
                <w:color w:themeColor="text1" w:val="000000"/>
                <w:sz w:val="24"/>
                <w:szCs w:val="24"/>
                <w:highlight w:val="white"/>
              </w:rPr>
              <w:t>В соответствии с геодезической съемкой, выполненной</w:t>
              <w:br/>
              <w:t>в 2025 году с северо-восточной стороны по границе Участка расположен забор. С северо-западной стороны частично расположен забор.</w:t>
            </w:r>
          </w:p>
          <w:p>
            <w:pPr>
              <w:pStyle w:val="Normal"/>
              <w:spacing w:lineRule="auto" w:line="240" w:before="0" w:after="0"/>
              <w:ind w:firstLine="283" w:left="0" w:right="0"/>
              <w:jc w:val="both"/>
              <w:rPr>
                <w:rFonts w:ascii="Times New Roman" w:hAnsi="Times New Roman"/>
                <w:color w:themeColor="text1" w:val="000000"/>
                <w:sz w:val="24"/>
                <w:szCs w:val="24"/>
                <w:highlight w:val="white"/>
              </w:rPr>
            </w:pPr>
            <w:r>
              <w:rPr>
                <w:color w:themeColor="text1" w:val="000000"/>
                <w:sz w:val="24"/>
                <w:szCs w:val="24"/>
                <w:highlight w:val="white"/>
              </w:rPr>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Согласно сведениям, содержащимся в ЕГРН, ГПЗУ и справке по градостроительным условиям участка от 31.03.2026 № 673188 Участок полностью расположен в границах зоны с особыми условиями использования территории:</w:t>
            </w:r>
          </w:p>
          <w:p>
            <w:pPr>
              <w:pStyle w:val="Normal"/>
              <w:spacing w:lineRule="auto" w:line="240" w:before="0" w:after="0"/>
              <w:ind w:firstLine="283" w:left="0" w:right="0"/>
              <w:jc w:val="both"/>
              <w:rPr>
                <w:rFonts w:ascii="Times New Roman" w:hAnsi="Times New Roman"/>
                <w:b w:val="false"/>
                <w:bCs w:val="false"/>
                <w:color w:themeColor="text1" w:val="000000"/>
                <w:sz w:val="24"/>
                <w:szCs w:val="24"/>
                <w:highlight w:val="none"/>
              </w:rPr>
            </w:pPr>
            <w:r>
              <w:rPr>
                <w:b w:val="false"/>
                <w:bCs w:val="false"/>
                <w:color w:themeColor="text1" w:val="000000"/>
                <w:sz w:val="24"/>
                <w:szCs w:val="24"/>
              </w:rPr>
              <w:t>приаэродромная территория аэродрома аэропорта Большое Савино, реестровый номер 59:32-6.553;</w:t>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rFonts w:eastAsia="Droid Sans Fallback" w:cs="Lohit Devanagari"/>
                <w:color w:themeColor="text1" w:val="000000"/>
                <w:sz w:val="24"/>
                <w:szCs w:val="24"/>
                <w:highlight w:val="white"/>
                <w:lang w:val="ru-RU" w:eastAsia="zh-CN" w:bidi="ar-SA"/>
              </w:rPr>
              <w:t>Проектирование и строительство вести в соответствии 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rPr>
            </w:r>
          </w:p>
          <w:p>
            <w:pPr>
              <w:pStyle w:val="Normal"/>
              <w:spacing w:lineRule="auto" w:line="240" w:before="0" w:after="0"/>
              <w:ind w:firstLine="283" w:left="0" w:right="0"/>
              <w:jc w:val="both"/>
              <w:rPr>
                <w:color w:themeColor="text1" w:val="000000"/>
                <w:highlight w:val="white"/>
              </w:rPr>
            </w:pPr>
            <w:r>
              <w:rPr>
                <w:color w:themeColor="text1" w:val="000000"/>
                <w:sz w:val="24"/>
                <w:szCs w:val="24"/>
                <w:highlight w:val="white"/>
              </w:rPr>
              <w:t>На Участке произрастает 43 дерева: пихта 7 шт., береза 6 шт., осина 19 шт., ива 11 шт.</w:t>
            </w:r>
          </w:p>
          <w:p>
            <w:pPr>
              <w:pStyle w:val="Normal"/>
              <w:spacing w:lineRule="auto" w:line="240" w:before="0" w:after="0"/>
              <w:ind w:firstLine="283" w:left="0" w:right="0"/>
              <w:jc w:val="both"/>
              <w:rPr>
                <w:rFonts w:ascii="Times New Roman" w:hAnsi="Times New Roman"/>
                <w:color w:themeColor="text1" w:val="000000"/>
                <w:sz w:val="24"/>
                <w:szCs w:val="24"/>
                <w:highlight w:val="white"/>
              </w:rPr>
            </w:pPr>
            <w:r>
              <w:rPr>
                <w:color w:themeColor="text1" w:val="000000"/>
                <w:sz w:val="24"/>
                <w:szCs w:val="24"/>
                <w:highlight w:val="white"/>
              </w:rPr>
              <w:t>Средняя стоимость в ценах 2025 года одного дерева лиственной породы от 25 тыс. руб., а хвойной – от 30 тыс. руб.</w:t>
            </w:r>
          </w:p>
          <w:p>
            <w:pPr>
              <w:pStyle w:val="Normal"/>
              <w:spacing w:lineRule="auto" w:line="240" w:before="0" w:after="0"/>
              <w:ind w:firstLine="283" w:left="0" w:right="0"/>
              <w:jc w:val="both"/>
              <w:rPr>
                <w:rFonts w:ascii="Times New Roman" w:hAnsi="Times New Roman" w:eastAsia="Times New Roman" w:cs="Times New Roman"/>
                <w:color w:themeColor="text1" w:val="000000"/>
                <w:spacing w:val="0"/>
                <w:highlight w:val="white"/>
                <w14:ligatures w14:val="none"/>
              </w:rPr>
            </w:pPr>
            <w:r>
              <w:rPr>
                <w:rFonts w:eastAsia="Times New Roman" w:cs="Times New Roman"/>
                <w:color w:themeColor="text1" w:val="000000"/>
                <w:spacing w:val="0"/>
                <w:sz w:val="24"/>
                <w:highlight w:val="white"/>
              </w:rPr>
              <w:t xml:space="preserve">Победителю аукциона необходимо соблюдать условия строительства, перечисленные в </w:t>
            </w:r>
            <w:r>
              <w:rPr>
                <w:rFonts w:eastAsia="Times New Roman" w:cs="Times New Roman"/>
                <w:color w:themeColor="text1" w:val="000000"/>
                <w:spacing w:val="0"/>
                <w:sz w:val="24"/>
                <w:szCs w:val="24"/>
                <w:highlight w:val="white"/>
              </w:rPr>
              <w:t>перечне мероприятий</w:t>
              <w:br/>
              <w:t>по охране окружающей среды от 18.06.2025 № 153.</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b/>
                <w:color w:themeColor="text1" w:val="000000"/>
                <w:sz w:val="24"/>
                <w:szCs w:val="24"/>
                <w:highlight w:val="white"/>
              </w:rPr>
              <w:t>Управления по экологии и природопользованию администрации города Перми</w:t>
            </w:r>
            <w:r>
              <w:rPr>
                <w:color w:themeColor="text1" w:val="000000"/>
                <w:sz w:val="24"/>
                <w:szCs w:val="24"/>
                <w:highlight w:val="white"/>
              </w:rPr>
              <w:t xml:space="preserve"> от 18.06.2025 № 059-33-01-10/3-356).</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rPr>
              <w:t>Муниципальной программой «Дорожная деятельность                           и благоустройство города Перми», утвержденной постановлением администрации города Перми от 18.10.2024                  № 966 «Об утверждении муниципальной программы «Дорожная деятельность и благоустройство города Перми»,</w:t>
            </w:r>
            <w:r>
              <w:rPr>
                <w:color w:themeColor="text1" w:val="000000"/>
                <w:sz w:val="24"/>
                <w:szCs w:val="24"/>
                <w:highlight w:val="white"/>
              </w:rPr>
              <w:t xml:space="preserve"> бюджетом города Перми на период 2025-2029 годы мероприятия по строительству, реконструкции, капитальному ремонту улично-дорожной сети на рассматриваемой территории не предусмотрены.</w:t>
            </w:r>
          </w:p>
          <w:p>
            <w:pPr>
              <w:pStyle w:val="Normal"/>
              <w:spacing w:lineRule="auto" w:line="240" w:beforeAutospacing="0" w:before="0" w:afterAutospacing="0" w:after="0"/>
              <w:ind w:firstLine="283" w:left="0" w:right="0"/>
              <w:jc w:val="both"/>
              <w:rPr>
                <w:color w:themeColor="text1" w:val="000000"/>
              </w:rPr>
            </w:pPr>
            <w:r>
              <w:rPr>
                <w:rFonts w:eastAsia="Times New Roman" w:cs="Times New Roman"/>
                <w:color w:themeColor="text1" w:val="000000"/>
                <w:sz w:val="24"/>
              </w:rPr>
              <w:t>В настоящее время условия примыкания участка</w:t>
              <w:br/>
              <w:t xml:space="preserve">к улично-дорожной сети города Перми </w:t>
            </w:r>
            <w:r>
              <w:rPr>
                <w:rFonts w:eastAsia="Times New Roman" w:cs="Times New Roman"/>
                <w:b/>
                <w:bCs/>
                <w:color w:themeColor="text1" w:val="000000"/>
                <w:sz w:val="24"/>
              </w:rPr>
              <w:t>отсутствуют.</w:t>
            </w:r>
          </w:p>
          <w:p>
            <w:pPr>
              <w:pStyle w:val="Normal"/>
              <w:spacing w:lineRule="auto" w:line="240" w:before="0" w:after="0"/>
              <w:ind w:firstLine="283" w:left="0" w:right="0"/>
              <w:jc w:val="both"/>
              <w:rPr>
                <w:color w:themeColor="text1" w:val="000000"/>
              </w:rPr>
            </w:pPr>
            <w:r>
              <w:rPr>
                <w:color w:themeColor="text1" w:val="000000"/>
                <w:sz w:val="24"/>
                <w:szCs w:val="24"/>
              </w:rPr>
              <w:t>В соответствии с Федеральным Законом от 08.11.2007</w:t>
              <w:b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расходы на строительство, реконструкцию, капитальный ремонт, ремонт пересечений и примыканий,</w:t>
              <w:br/>
              <w:t>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b/>
                <w:color w:themeColor="text1" w:val="000000"/>
                <w:sz w:val="24"/>
                <w:szCs w:val="24"/>
                <w:highlight w:val="white"/>
              </w:rPr>
              <w:t>Департамента дорог и благоустройства администрации города Перми</w:t>
            </w:r>
            <w:r>
              <w:rPr>
                <w:color w:themeColor="text1" w:val="000000"/>
                <w:sz w:val="24"/>
                <w:szCs w:val="24"/>
                <w:highlight w:val="white"/>
              </w:rPr>
              <w:t xml:space="preserve"> от 19.06.2025 № 059-24-01-36/3-2103).</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pacing w:lineRule="auto" w:line="240" w:before="0" w:after="0"/>
              <w:ind w:firstLine="283" w:left="0" w:right="0"/>
              <w:jc w:val="both"/>
              <w:rPr>
                <w:rFonts w:ascii="Times New Roman" w:hAnsi="Times New Roman" w:cs="Times New Roman"/>
                <w:color w:themeColor="text1" w:val="000000"/>
                <w:sz w:val="24"/>
                <w:szCs w:val="24"/>
              </w:rPr>
            </w:pPr>
            <w:r>
              <w:rPr>
                <w:rFonts w:eastAsia="Times New Roman" w:cs="Times New Roman"/>
                <w:color w:themeColor="text1" w:val="000000"/>
                <w:sz w:val="24"/>
                <w:szCs w:val="24"/>
              </w:rPr>
              <w:t>Источник противопожарного водоснабжения (пожарный водоем) расположен по ул. Виноградная, 24, 26.</w:t>
            </w:r>
          </w:p>
          <w:p>
            <w:pPr>
              <w:pStyle w:val="Normal"/>
              <w:spacing w:lineRule="auto" w:line="240" w:before="0" w:after="0"/>
              <w:ind w:firstLine="283" w:left="0" w:right="0"/>
              <w:jc w:val="both"/>
              <w:rPr>
                <w:rFonts w:ascii="Times New Roman" w:hAnsi="Times New Roman"/>
                <w:color w:themeColor="text1" w:val="000000"/>
                <w14:ligatures w14:val="none"/>
              </w:rPr>
            </w:pPr>
            <w:r>
              <w:rPr>
                <w:color w:themeColor="text1" w:val="000000"/>
                <w:sz w:val="24"/>
                <w:szCs w:val="24"/>
              </w:rPr>
              <w:t>Помещения для аварийно-спасательных служб и (или) аварийно-спасательных формирований на указанной территории отсутствуют.</w:t>
            </w:r>
          </w:p>
          <w:p>
            <w:pPr>
              <w:pStyle w:val="Normal"/>
              <w:spacing w:lineRule="auto" w:line="240" w:before="0" w:after="0"/>
              <w:ind w:firstLine="283" w:left="0" w:right="0"/>
              <w:jc w:val="both"/>
              <w:rPr>
                <w:rFonts w:ascii="Times New Roman" w:hAnsi="Times New Roman"/>
                <w:color w:themeColor="text1" w:val="000000"/>
                <w14:ligatures w14:val="none"/>
              </w:rPr>
            </w:pPr>
            <w:r>
              <w:rPr>
                <w:color w:themeColor="text1" w:val="000000"/>
                <w:sz w:val="24"/>
                <w:szCs w:val="24"/>
              </w:rPr>
              <w:t>Информация о подразделениях пожарной охраны</w:t>
              <w:br/>
              <w:t>и времени их прибытия содержится в «Расписании выезда подразделений Пермского местного пожарно-спасательного гарнизона для тушения пожаров и проведения аварийно-спасательных работ на территории Пермского городского округа, Пермского муниципального района», утвержденном Главой города Перми 26.04.2024. Ближайшее подразделение пожарной охраны расположено по адресу: город Пермь,                          ул. Балхашская, 135 (СПСЧ-8 10-ПСО).</w:t>
            </w:r>
          </w:p>
          <w:p>
            <w:pPr>
              <w:pStyle w:val="Normal"/>
              <w:spacing w:lineRule="auto" w:line="240" w:before="0" w:after="0"/>
              <w:ind w:firstLine="283" w:left="0" w:right="0"/>
              <w:jc w:val="both"/>
              <w:rPr>
                <w:rFonts w:ascii="Times New Roman" w:hAnsi="Times New Roman"/>
                <w:color w:themeColor="text1" w:val="000000"/>
                <w14:ligatures w14:val="none"/>
              </w:rPr>
            </w:pPr>
            <w:r>
              <w:rPr>
                <w:color w:themeColor="text1" w:val="000000"/>
                <w:sz w:val="24"/>
                <w:szCs w:val="24"/>
              </w:rPr>
              <w:t>При планировке и размещении объектов на вышеуказанной территории необходимо соблюдать нормы и требования действующего законодательства: федеральных законов от 21 декабря 1994 г. № 69-ФЗ «О пожарной безопасности» и от 22 июля 2008 г. № 123-ФЗ «Технический регламент о требованиях пожарной безопасности», Свода правил 8.13130. «Системы противопожарной защиты.</w:t>
            </w:r>
          </w:p>
          <w:p>
            <w:pPr>
              <w:pStyle w:val="Normal"/>
              <w:spacing w:lineRule="auto" w:line="240" w:before="0" w:after="0"/>
              <w:ind w:firstLine="283" w:left="0" w:right="0"/>
              <w:jc w:val="both"/>
              <w:rPr>
                <w:rFonts w:ascii="Times New Roman" w:hAnsi="Times New Roman"/>
                <w:color w:themeColor="text1" w:val="000000"/>
                <w:spacing w:val="-6"/>
                <w14:ligatures w14:val="none"/>
              </w:rPr>
            </w:pPr>
            <w:r>
              <w:rPr>
                <w:color w:themeColor="text1" w:val="000000"/>
                <w:spacing w:val="-6"/>
                <w:sz w:val="24"/>
                <w:szCs w:val="24"/>
              </w:rPr>
              <w:t>Источники наружного противопожарного водоснабжения. Требования пожарной безопасности», утвержденных приказом МЧС России от 30.03.2020 № 225, Свода правил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утвержденных Приказом МЧС России от 24.04.2013 № 288 и иной документации, касающейся норм противопожарной безопасности.</w:t>
            </w:r>
          </w:p>
          <w:p>
            <w:pPr>
              <w:pStyle w:val="Normal"/>
              <w:spacing w:lineRule="auto" w:line="240" w:before="0" w:after="0"/>
              <w:ind w:firstLine="283" w:left="0" w:right="0"/>
              <w:jc w:val="both"/>
              <w:rPr>
                <w:rFonts w:ascii="Times New Roman" w:hAnsi="Times New Roman"/>
                <w:color w:themeColor="text1" w:val="000000"/>
                <w14:ligatures w14:val="none"/>
              </w:rPr>
            </w:pPr>
            <w:r>
              <w:rPr>
                <w:color w:themeColor="text1" w:val="000000"/>
                <w:sz w:val="24"/>
                <w:szCs w:val="24"/>
              </w:rPr>
              <w:t>Объект общественной безопасности, отнесенный</w:t>
              <w:br/>
              <w:t>к объектам полиции (участковые пункты полиции),</w:t>
              <w:br/>
              <w:t>в данном микрорайоне (Новобродовский) отсутствует. Ближайший участковый пункт расположен по адресу: город Пермь, ул. Казахская, 104, (микрорайон Южный, Свердловский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283" w:left="0" w:right="0"/>
              <w:jc w:val="both"/>
              <w:rPr>
                <w:rFonts w:ascii="Times New Roman" w:hAnsi="Times New Roman"/>
                <w:color w:themeColor="text1" w:val="000000"/>
                <w14:ligatures w14:val="none"/>
              </w:rPr>
            </w:pPr>
            <w:r>
              <w:rPr>
                <w:color w:themeColor="text1" w:val="000000"/>
                <w:sz w:val="24"/>
                <w:szCs w:val="24"/>
              </w:rPr>
              <w:t>В соответствии с информацией, предоставленной Министерством территориальной безопасности Пермского края (письмо от 07.10.2020 № 964-с), данная территория попадает                       в зону возможного химического заражения в особый период.</w:t>
            </w:r>
          </w:p>
          <w:p>
            <w:pPr>
              <w:pStyle w:val="Normal"/>
              <w:spacing w:lineRule="auto" w:line="240" w:before="0" w:after="0"/>
              <w:ind w:firstLine="283" w:left="0" w:right="0"/>
              <w:jc w:val="both"/>
              <w:rPr>
                <w:rFonts w:ascii="Times New Roman" w:hAnsi="Times New Roman"/>
                <w:color w:themeColor="text1" w:val="000000"/>
                <w14:ligatures w14:val="none"/>
              </w:rPr>
            </w:pPr>
            <w:r>
              <w:rPr>
                <w:color w:themeColor="text1" w:val="000000"/>
                <w:sz w:val="24"/>
                <w:szCs w:val="24"/>
              </w:rPr>
              <w:t>В связи с тем, что территория не попадает в зону действия региональной автоматизированной системы централизованного оповещения населения города Перми, необходимо предусмотреть размещение дополнительных сиренно-речевых узлов системы оповещения, согласно пунктам 6.38, 6.39 СП 165.1325800.2014 «Свод правил. Инженерно-технические мероприятия по гражданской обороне. Актуализированная редакция СНиП 2.01.51-90».</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rFonts w:eastAsia="Times New Roman" w:cs="Times New Roman"/>
                <w:b/>
                <w:color w:themeColor="text1" w:val="000000"/>
                <w:sz w:val="24"/>
                <w:szCs w:val="24"/>
                <w:highlight w:val="white"/>
              </w:rPr>
              <w:t>департамента общественной безопасности администрации города Перми</w:t>
            </w:r>
            <w:r>
              <w:rPr>
                <w:rFonts w:eastAsia="Times New Roman" w:cs="Times New Roman"/>
                <w:color w:themeColor="text1" w:val="000000"/>
                <w:sz w:val="24"/>
                <w:szCs w:val="24"/>
                <w:highlight w:val="white"/>
              </w:rPr>
              <w:t xml:space="preserve"> от 17.06.2025 № 059-10-01-27/3-1289</w:t>
            </w:r>
            <w:r>
              <w:rPr>
                <w:color w:themeColor="text1" w:val="000000"/>
                <w:sz w:val="24"/>
                <w:szCs w:val="24"/>
                <w:highlight w:val="white"/>
              </w:rPr>
              <w:t>).</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pacing w:lineRule="auto" w:line="240" w:before="0" w:after="0"/>
              <w:ind w:firstLine="283" w:left="0" w:right="0"/>
              <w:jc w:val="both"/>
              <w:rPr>
                <w:color w:themeColor="text1" w:val="000000"/>
              </w:rPr>
            </w:pPr>
            <w:r>
              <w:rPr>
                <w:color w:themeColor="text1" w:val="000000"/>
                <w:sz w:val="24"/>
                <w:szCs w:val="24"/>
                <w:highlight w:val="white"/>
              </w:rPr>
              <w:t>На период до 2028 года на территории, где расположен Участок, схемами водоснабжения и водоотведения города Перми, утвержденными постановлением администрации города Перми от 28.12.2018 № 1085, строительство сетей водоснабжения и водоотведения в мкр. Новобродовский</w:t>
              <w:br/>
              <w:t>не предусмотрено.</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b/>
                <w:bCs/>
                <w:color w:themeColor="text1" w:val="000000"/>
                <w:sz w:val="24"/>
                <w:szCs w:val="24"/>
                <w:highlight w:val="white"/>
              </w:rPr>
              <w:t>департамента жилищно-коммунального хозяйства</w:t>
            </w:r>
            <w:r>
              <w:rPr>
                <w:color w:themeColor="text1" w:val="000000"/>
                <w:sz w:val="24"/>
                <w:szCs w:val="24"/>
                <w:highlight w:val="white"/>
              </w:rPr>
              <w:t xml:space="preserve"> </w:t>
            </w:r>
            <w:r>
              <w:rPr>
                <w:rFonts w:eastAsia="Times New Roman" w:cs="Times New Roman"/>
                <w:b/>
                <w:color w:themeColor="text1" w:val="000000"/>
                <w:sz w:val="24"/>
                <w:szCs w:val="24"/>
                <w:highlight w:val="white"/>
              </w:rPr>
              <w:t>администрации города Перми</w:t>
            </w:r>
            <w:r>
              <w:rPr>
                <w:rFonts w:eastAsia="Times New Roman" w:cs="Times New Roman"/>
                <w:color w:themeColor="text1" w:val="000000"/>
                <w:sz w:val="24"/>
                <w:szCs w:val="24"/>
                <w:highlight w:val="white"/>
              </w:rPr>
              <w:t xml:space="preserve"> от 20.06.2025 № 059-04-17/3-535-ри</w:t>
            </w:r>
            <w:r>
              <w:rPr>
                <w:color w:themeColor="text1" w:val="000000"/>
                <w:sz w:val="24"/>
                <w:szCs w:val="24"/>
                <w:highlight w:val="white"/>
              </w:rPr>
              <w:t>).</w:t>
            </w:r>
          </w:p>
        </w:tc>
      </w:tr>
      <w:tr>
        <w:trPr>
          <w:trHeight w:val="1087"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3"/>
              </w:numPr>
              <w:spacing w:before="0" w:after="0"/>
              <w:ind w:firstLine="270" w:left="240" w:right="113"/>
              <w:jc w:val="left"/>
              <w:rPr>
                <w:sz w:val="24"/>
                <w:szCs w:val="24"/>
              </w:rPr>
            </w:pPr>
            <w:r>
              <w:rPr>
                <w:sz w:val="24"/>
                <w:szCs w:val="24"/>
              </w:rPr>
              <w:t xml:space="preserve">максимально и (или) минимально  допустимые параметры разрешенного строительства </w:t>
              <w:br/>
              <w:t>объекта капитального строительства</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BodyText"/>
              <w:ind w:firstLine="362"/>
              <w:jc w:val="both"/>
              <w:rPr>
                <w:sz w:val="24"/>
                <w:szCs w:val="24"/>
              </w:rPr>
            </w:pPr>
            <w:r>
              <w:rPr>
                <w:sz w:val="24"/>
                <w:szCs w:val="24"/>
              </w:rPr>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 xml:space="preserve">Проектирование и строительство необходимо вести </w:t>
              <w:br/>
              <w:t xml:space="preserve">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(ред. от 17.05.2023): дом должен включать жилые комнаты – одну или несколько (общую комнату или гостиную, спальню), а также вспомогательные помещения: переднюю, кухню </w:t>
              <w:br/>
              <w:t xml:space="preserve">(в том числе кухню-столовую и (или) кухню-нишу), ванные комнаты и (или) душевые, туалет (уборную) </w:t>
              <w:br/>
              <w:t>или совмещенный санузел, переднюю.</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Согласно пункту 6.1 СП 55.13330.2016 площади помещений строящихся и реконструируемых жилых домов должны быть не менее: общей комнаты в однокомнатном доме - 14 м</w:t>
            </w:r>
            <w:r>
              <w:rPr>
                <w:color w:themeColor="text1" w:val="000000"/>
                <w:sz w:val="24"/>
                <w:szCs w:val="24"/>
                <w:vertAlign w:val="superscript"/>
              </w:rPr>
              <w:t>2</w:t>
            </w:r>
            <w:r>
              <w:rPr>
                <w:color w:themeColor="text1" w:val="000000"/>
                <w:sz w:val="24"/>
                <w:szCs w:val="24"/>
              </w:rPr>
              <w:t>, общей комнаты в доме с числом комнат две и более - 16 м</w:t>
            </w:r>
            <w:r>
              <w:rPr>
                <w:color w:themeColor="text1" w:val="000000"/>
                <w:sz w:val="24"/>
                <w:szCs w:val="24"/>
                <w:vertAlign w:val="superscript"/>
              </w:rPr>
              <w:t>2</w:t>
            </w:r>
            <w:r>
              <w:rPr>
                <w:color w:themeColor="text1" w:val="000000"/>
                <w:sz w:val="24"/>
                <w:szCs w:val="24"/>
              </w:rPr>
              <w:t>, спальни - 8 м</w:t>
            </w:r>
            <w:r>
              <w:rPr>
                <w:color w:themeColor="text1" w:val="000000"/>
                <w:sz w:val="24"/>
                <w:szCs w:val="24"/>
                <w:vertAlign w:val="superscript"/>
              </w:rPr>
              <w:t>2</w:t>
            </w:r>
            <w:r>
              <w:rPr>
                <w:color w:themeColor="text1" w:val="000000"/>
                <w:sz w:val="24"/>
                <w:szCs w:val="24"/>
              </w:rPr>
              <w:t xml:space="preserve"> (на двух человек - 10 м</w:t>
            </w:r>
            <w:r>
              <w:rPr>
                <w:color w:themeColor="text1" w:val="000000"/>
                <w:sz w:val="24"/>
                <w:szCs w:val="24"/>
                <w:vertAlign w:val="superscript"/>
              </w:rPr>
              <w:t>2</w:t>
            </w:r>
            <w:r>
              <w:rPr>
                <w:color w:themeColor="text1" w:val="000000"/>
                <w:sz w:val="24"/>
                <w:szCs w:val="24"/>
              </w:rPr>
              <w:t>); кухни - 8 м</w:t>
            </w:r>
            <w:r>
              <w:rPr>
                <w:color w:themeColor="text1" w:val="000000"/>
                <w:sz w:val="24"/>
                <w:szCs w:val="24"/>
                <w:vertAlign w:val="superscript"/>
              </w:rPr>
              <w:t>2</w:t>
            </w:r>
            <w:r>
              <w:rPr>
                <w:color w:themeColor="text1" w:val="000000"/>
                <w:sz w:val="24"/>
                <w:szCs w:val="24"/>
              </w:rPr>
              <w:t>; кухонной зоны в кухне-столовой - 6 м</w:t>
            </w:r>
            <w:r>
              <w:rPr>
                <w:color w:themeColor="text1" w:val="000000"/>
                <w:sz w:val="24"/>
                <w:szCs w:val="24"/>
                <w:vertAlign w:val="superscript"/>
              </w:rPr>
              <w:t>2</w:t>
            </w:r>
            <w:r>
              <w:rPr>
                <w:color w:themeColor="text1" w:val="000000"/>
                <w:sz w:val="24"/>
                <w:szCs w:val="24"/>
              </w:rPr>
              <w:t>. В домах с одной комнатой допускается проектировать кухни или кухни-ниши площадью не менее 5 м</w:t>
            </w:r>
            <w:r>
              <w:rPr>
                <w:color w:themeColor="text1" w:val="000000"/>
                <w:sz w:val="24"/>
                <w:szCs w:val="24"/>
                <w:vertAlign w:val="superscript"/>
              </w:rPr>
              <w:t>2</w:t>
            </w:r>
            <w:r>
              <w:rPr>
                <w:color w:themeColor="text1" w:val="000000"/>
                <w:sz w:val="24"/>
                <w:szCs w:val="24"/>
              </w:rPr>
              <w:t>. Площадь спальни и кухни в мансардном этаже (или этаже с наклонными ограждающими конструкциями) допускается не менее 7 м</w:t>
            </w:r>
            <w:r>
              <w:rPr>
                <w:color w:themeColor="text1" w:val="000000"/>
                <w:sz w:val="24"/>
                <w:szCs w:val="24"/>
                <w:vertAlign w:val="superscript"/>
              </w:rPr>
              <w:t>2</w:t>
            </w:r>
            <w:r>
              <w:rPr>
                <w:color w:themeColor="text1" w:val="000000"/>
                <w:sz w:val="24"/>
                <w:szCs w:val="24"/>
              </w:rPr>
              <w:t xml:space="preserve"> при условии, что общая жилая комната имеет площадь не менее 16 м</w:t>
            </w:r>
            <w:r>
              <w:rPr>
                <w:color w:themeColor="text1" w:val="000000"/>
                <w:sz w:val="24"/>
                <w:szCs w:val="24"/>
                <w:vertAlign w:val="superscript"/>
              </w:rPr>
              <w:t>2</w:t>
            </w:r>
            <w:r>
              <w:rPr>
                <w:color w:themeColor="text1" w:val="000000"/>
                <w:sz w:val="24"/>
                <w:szCs w:val="24"/>
              </w:rPr>
              <w:t>.</w:t>
            </w:r>
          </w:p>
          <w:p>
            <w:pPr>
              <w:pStyle w:val="Normal"/>
              <w:spacing w:lineRule="auto" w:line="240" w:before="0" w:after="0"/>
              <w:ind w:firstLine="283" w:left="0" w:right="0"/>
              <w:jc w:val="both"/>
              <w:rPr>
                <w:rFonts w:ascii="Times New Roman" w:hAnsi="Times New Roman"/>
                <w:color w:themeColor="text1" w:val="000000"/>
                <w:spacing w:val="-2"/>
                <w:sz w:val="24"/>
                <w:szCs w:val="24"/>
              </w:rPr>
            </w:pPr>
            <w:r>
              <w:rPr>
                <w:color w:themeColor="text1" w:val="000000"/>
                <w:spacing w:val="-2"/>
                <w:sz w:val="24"/>
                <w:szCs w:val="24"/>
              </w:rPr>
              <w:t xml:space="preserve">Согласно пункту 6.2 СП 55.13330.2016 высота </w:t>
              <w:br/>
              <w:t xml:space="preserve">(от пола до потолка) комнат и кухни (кухни-столовой) </w:t>
              <w:br/>
              <w:t>в климатических районах строительства IА, IБ, IГ, IД, определяемых по СП 131.13330, должна быть не менее 2,7 м, а в других климатических районах строительства - не менее 2,5 м. Высота внутридомовых коридоров, холлов, передних, антресолей должна составлять не менее 2,1 м, а высота пути эвакуации - не менее 2,2 м.</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 xml:space="preserve">В жилых комнатах и кухнях, расположенных </w:t>
              <w:br/>
              <w:t>в этажах с наклонными ограждающими конструкциями или в мансардном этаже, допускается уменьшение высоты помещений (от пола до потолка), относительно нормируемой на площади, не превышающей 50%.</w:t>
            </w:r>
          </w:p>
          <w:p>
            <w:pPr>
              <w:pStyle w:val="Normal"/>
              <w:tabs>
                <w:tab w:val="clear" w:pos="708"/>
                <w:tab w:val="right" w:pos="6000" w:leader="none"/>
              </w:tabs>
              <w:spacing w:lineRule="auto" w:line="240" w:before="0" w:after="0"/>
              <w:ind w:firstLine="283" w:left="0" w:right="0"/>
              <w:jc w:val="both"/>
              <w:rPr>
                <w:rFonts w:ascii="Times New Roman" w:hAnsi="Times New Roman"/>
                <w:color w:themeColor="text1" w:val="000000"/>
                <w:sz w:val="24"/>
                <w:highlight w:val="white"/>
              </w:rPr>
            </w:pPr>
            <w:r>
              <w:rPr>
                <w:color w:themeColor="text1" w:val="000000"/>
                <w:sz w:val="24"/>
              </w:rPr>
              <w:t>Согласно информации, содержащейся в ГПЗУ,</w:t>
            </w:r>
            <w:r>
              <w:rPr>
                <w:color w:themeColor="text1" w:val="000000"/>
                <w:sz w:val="24"/>
                <w:highlight w:val="white"/>
              </w:rPr>
              <w:t xml:space="preserve"> документации по планировке территории,</w:t>
            </w:r>
            <w:r>
              <w:rPr>
                <w:color w:themeColor="text1" w:val="000000"/>
                <w:sz w:val="24"/>
              </w:rPr>
              <w:t xml:space="preserve"> </w:t>
            </w:r>
            <w:r>
              <w:rPr>
                <w:color w:themeColor="text1" w:val="000000"/>
                <w:sz w:val="24"/>
                <w:highlight w:val="white"/>
              </w:rPr>
              <w:t>утвержденной постановлением администрации города Перми от 22.12.2017 № 1178, предельная высота жилой застройки не более 10,5 метров.</w:t>
            </w:r>
          </w:p>
          <w:p>
            <w:pPr>
              <w:pStyle w:val="Normal"/>
              <w:tabs>
                <w:tab w:val="clear" w:pos="708"/>
                <w:tab w:val="right" w:pos="6000" w:leader="none"/>
              </w:tabs>
              <w:spacing w:lineRule="auto" w:line="240" w:before="0" w:after="0"/>
              <w:ind w:firstLine="283" w:left="0" w:right="0"/>
              <w:jc w:val="both"/>
              <w:rPr>
                <w:rFonts w:ascii="Times New Roman" w:hAnsi="Times New Roman"/>
                <w:color w:themeColor="text1" w:val="000000"/>
                <w:sz w:val="24"/>
              </w:rPr>
            </w:pPr>
            <w:r>
              <w:rPr>
                <w:color w:themeColor="text1" w:val="000000"/>
                <w:sz w:val="24"/>
                <w:highlight w:val="white"/>
              </w:rPr>
              <w:t>Согласно ГПЗУ минимальный отступ от границ Уч</w:t>
            </w:r>
            <w:r>
              <w:rPr>
                <w:color w:themeColor="text1" w:val="000000"/>
                <w:sz w:val="24"/>
              </w:rPr>
              <w:t xml:space="preserve">астка до места допустимого размещения зданий, строений </w:t>
            </w:r>
            <w:r>
              <w:rPr>
                <w:color w:themeColor="text1" w:val="000000"/>
                <w:sz w:val="24"/>
                <w:szCs w:val="24"/>
              </w:rPr>
              <w:t>(за исключением границ со стороны территории общего пользования, где отступ определяется с учетом красных линий и линий регулирования застройки, установленных проектом планировки территории, а также смежных земельных участков при блокированной жилой застройке)</w:t>
            </w:r>
            <w:r>
              <w:rPr>
                <w:color w:themeColor="text1" w:val="000000"/>
                <w:sz w:val="24"/>
              </w:rPr>
              <w:t xml:space="preserve"> – 3 м.</w:t>
            </w:r>
          </w:p>
          <w:p>
            <w:pPr>
              <w:pStyle w:val="Normal"/>
              <w:tabs>
                <w:tab w:val="clear" w:pos="708"/>
                <w:tab w:val="right" w:pos="6000" w:leader="none"/>
              </w:tabs>
              <w:spacing w:lineRule="auto" w:line="240" w:before="0" w:after="0"/>
              <w:ind w:firstLine="283" w:left="0" w:right="0"/>
              <w:jc w:val="both"/>
              <w:rPr>
                <w:rFonts w:ascii="Times New Roman" w:hAnsi="Times New Roman"/>
                <w:color w:themeColor="text1" w:val="000000"/>
                <w:sz w:val="24"/>
              </w:rPr>
            </w:pPr>
            <w:r>
              <w:rPr>
                <w:color w:themeColor="text1" w:val="000000"/>
                <w:sz w:val="24"/>
              </w:rPr>
              <w:t xml:space="preserve">Максимальный выступ за красную линию нависающих частей здания наземных уровней, выступающих из плоскости наружной стены фасада здания на высоте не менее 4,5 м над территорией общего пользования, составляет не более 1,2 м </w:t>
              <w:br/>
              <w:t>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Normal"/>
              <w:spacing w:lineRule="auto" w:line="240" w:before="0" w:after="0"/>
              <w:ind w:firstLine="283" w:left="0" w:right="0"/>
              <w:jc w:val="both"/>
              <w:rPr>
                <w:rFonts w:ascii="Times New Roman" w:hAnsi="Times New Roman"/>
                <w:color w:themeColor="text1" w:val="000000"/>
                <w:sz w:val="24"/>
              </w:rPr>
            </w:pPr>
            <w:r>
              <w:rPr>
                <w:color w:themeColor="text1" w:val="000000"/>
                <w:sz w:val="24"/>
              </w:rPr>
              <w:t>Максимальный процент застройки в границах Участка – 30%.</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rPr>
              <w:t>С уведомлением о планируемом строительстве жилого дома рекомендуется обратиться в уполномоченный орган администрации города Перми.</w:t>
            </w:r>
          </w:p>
        </w:tc>
      </w:tr>
      <w:tr>
        <w:trPr>
          <w:trHeight w:val="144" w:hRule="atLeast"/>
        </w:trPr>
        <w:tc>
          <w:tcPr>
            <w:tcW w:w="35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308"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firstLine="5" w:left="240" w:right="0"/>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21"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rPr>
            </w:pPr>
            <w:r>
              <w:rPr>
                <w:sz w:val="24"/>
                <w:szCs w:val="24"/>
              </w:rPr>
            </w:r>
          </w:p>
          <w:p>
            <w:pPr>
              <w:pStyle w:val="Normal"/>
              <w:ind w:firstLine="312"/>
              <w:jc w:val="both"/>
              <w:rPr>
                <w:sz w:val="24"/>
                <w:szCs w:val="24"/>
              </w:rPr>
            </w:pPr>
            <w:r>
              <w:rPr>
                <w:sz w:val="24"/>
                <w:szCs w:val="24"/>
              </w:rPr>
              <w:t xml:space="preserve">В </w:t>
            </w:r>
            <w:r>
              <w:rPr>
                <w:sz w:val="24"/>
                <w:szCs w:val="24"/>
                <w:shd w:fill="FFFFFF" w:val="clear"/>
              </w:rPr>
              <w:t xml:space="preserve">документации по земельному участку, размещенной                      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hyperlink r:id="rId16" w:tgtFrame="http://www.gorodperm.ru/">
              <w:r>
                <w:rPr>
                  <w:rStyle w:val="Hyperlink"/>
                  <w:color w:val="000000"/>
                  <w:sz w:val="24"/>
                  <w:szCs w:val="24"/>
                </w:rPr>
                <w:t>www.gorodperm.ru</w:t>
              </w:r>
            </w:hyperlink>
            <w:r>
              <w:rPr>
                <w:color w:val="000000"/>
                <w:sz w:val="24"/>
                <w:szCs w:val="24"/>
              </w:rPr>
              <w:t>.</w:t>
            </w:r>
          </w:p>
          <w:p>
            <w:pPr>
              <w:pStyle w:val="Normal"/>
              <w:ind w:firstLine="312"/>
              <w:jc w:val="both"/>
              <w:rPr>
                <w:sz w:val="24"/>
                <w:szCs w:val="24"/>
              </w:rPr>
            </w:pPr>
            <w:r>
              <w:rPr>
                <w:sz w:val="24"/>
                <w:szCs w:val="24"/>
              </w:rPr>
            </w:r>
          </w:p>
          <w:p>
            <w:pPr>
              <w:pStyle w:val="Normal"/>
              <w:spacing w:lineRule="auto" w:line="240" w:before="0" w:after="0"/>
              <w:ind w:firstLine="283" w:left="0" w:right="0"/>
              <w:jc w:val="both"/>
              <w:rPr>
                <w:rFonts w:ascii="Times New Roman" w:hAnsi="Times New Roman"/>
                <w:color w:themeColor="text1" w:val="000000"/>
                <w:spacing w:val="-6"/>
                <w:sz w:val="24"/>
                <w:szCs w:val="24"/>
              </w:rPr>
            </w:pPr>
            <w:r>
              <w:rPr>
                <w:color w:themeColor="text1" w:val="000000"/>
                <w:spacing w:val="-6"/>
                <w:sz w:val="24"/>
                <w:szCs w:val="24"/>
              </w:rPr>
              <w:t>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 к электрическим сетям, утвержденными постановлением Правительства РФ от 27.12.2004 № 861 (далее – Правила ТП).</w:t>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rPr>
              <w:t>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 Перечень мероприятий по технологическому присоединению определяется в технических условиях.</w:t>
            </w:r>
          </w:p>
          <w:p>
            <w:pPr>
              <w:pStyle w:val="Normal"/>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rPr>
              <w:t>Согласно пунктам 15, 25, 25.1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 которое предусматривают точки присоединения, требования к усилению существующей сети, иные технические требования. Следовательно,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При подготовке ГПЗУ необходимо предусмотреть коридоры для строительства кабельных линий и место</w:t>
              <w:br/>
              <w:t>для размещения трансформаторных подстанций.</w:t>
            </w:r>
          </w:p>
          <w:p>
            <w:pPr>
              <w:pStyle w:val="Normal"/>
              <w:spacing w:lineRule="auto" w:line="240" w:before="0" w:after="0"/>
              <w:ind w:firstLine="283" w:left="0" w:right="0"/>
              <w:jc w:val="both"/>
              <w:rPr>
                <w:rFonts w:ascii="Times New Roman" w:hAnsi="Times New Roman"/>
                <w:color w:themeColor="text1" w:val="000000"/>
                <w:spacing w:val="-6"/>
                <w:sz w:val="24"/>
                <w:szCs w:val="24"/>
                <w:highlight w:val="none"/>
              </w:rPr>
            </w:pPr>
            <w:r>
              <w:rPr>
                <w:color w:themeColor="text1" w:val="000000"/>
                <w:spacing w:val="-6"/>
                <w:sz w:val="24"/>
                <w:szCs w:val="24"/>
              </w:rPr>
              <w:t xml:space="preserve">Для получения технических условий и заключения договора на технологическое присоединении необходимо направить в адрес филиала ПАО «Россети Урал» - «Пермэнерго»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«Россети» на сайте: </w:t>
            </w:r>
            <w:hyperlink r:id="rId17" w:tgtFrame="https://">
              <w:r>
                <w:rPr>
                  <w:rStyle w:val="Hyperlink"/>
                  <w:color w:themeColor="text1" w:val="000000"/>
                  <w:spacing w:val="-6"/>
                  <w:sz w:val="24"/>
                  <w:szCs w:val="24"/>
                </w:rPr>
                <w:t>https://</w:t>
              </w:r>
            </w:hyperlink>
            <w:r>
              <w:rPr>
                <w:color w:themeColor="text1" w:val="000000"/>
                <w:spacing w:val="-6"/>
                <w:sz w:val="24"/>
                <w:szCs w:val="24"/>
              </w:rPr>
              <w:t xml:space="preserve"> портал-тп.рф, через Мобильное приложение ПАО «Россети» или при очном приеме в Центре обслуживания клиентов филиала филиала «Россети Урал» - «Пермэнерго» по адресу: г. Пермь, ул. Камчатовская, д. 26, а также почтовым отправлением по адресу: 614016, г. Пермь,                                     ул. Камчатовская, 26. По дополнительным вопросам телефон контакт-центра: 8-800-220-0-220 (круглосуточно и бесплатно).</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b/>
                <w:bCs/>
                <w:color w:themeColor="text1" w:val="000000"/>
                <w:spacing w:val="-6"/>
                <w:sz w:val="24"/>
                <w:szCs w:val="24"/>
                <w:highlight w:val="white"/>
              </w:rPr>
              <w:t xml:space="preserve">ПАО «Россети Урал» - «Пермэнерго» Пермские </w:t>
            </w:r>
            <w:r>
              <w:rPr>
                <w:b/>
                <w:color w:themeColor="text1" w:val="000000"/>
                <w:spacing w:val="-6"/>
                <w:sz w:val="24"/>
                <w:szCs w:val="24"/>
                <w:highlight w:val="white"/>
              </w:rPr>
              <w:t>городские электрические сети»</w:t>
            </w:r>
            <w:r>
              <w:rPr>
                <w:color w:themeColor="text1" w:val="000000"/>
                <w:spacing w:val="-6"/>
                <w:sz w:val="24"/>
                <w:szCs w:val="24"/>
                <w:highlight w:val="white"/>
              </w:rPr>
              <w:t xml:space="preserve"> от 17.06.2025 № ПЭ/ПГЭС/01/22/7155</w:t>
            </w:r>
            <w:r>
              <w:rPr>
                <w:color w:themeColor="text1" w:val="000000"/>
                <w:sz w:val="24"/>
                <w:szCs w:val="24"/>
                <w:highlight w:val="white"/>
              </w:rPr>
              <w:t>).</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Участок расположен вне зоны теплоснабжения</w:t>
              <w:br/>
              <w:t>ПАО «Т Плюс».</w:t>
            </w:r>
          </w:p>
          <w:p>
            <w:pPr>
              <w:pStyle w:val="Normal"/>
              <w:spacing w:lineRule="auto" w:line="240" w:before="0" w:after="0"/>
              <w:ind w:firstLine="283" w:left="0" w:right="0"/>
              <w:jc w:val="both"/>
              <w:rPr>
                <w:rFonts w:ascii="Times New Roman" w:hAnsi="Times New Roman"/>
                <w:color w:themeColor="text1" w:val="000000"/>
                <w:sz w:val="24"/>
                <w:szCs w:val="24"/>
              </w:rPr>
            </w:pPr>
            <w:r>
              <w:rPr>
                <w:color w:themeColor="text1" w:val="000000"/>
                <w:sz w:val="24"/>
                <w:szCs w:val="24"/>
              </w:rPr>
              <w:t>Для запроса информации о возможности подключения земельного участка рекомендуется обратиться к собственникам близлежащих тепловых сетей/источников теплоснабжения или рассмотреть возможность альтернативного источника теплоснабжения.</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(Аналогичная информация отражена в письме</w:t>
            </w:r>
            <w:r>
              <w:rPr>
                <w:b/>
                <w:color w:themeColor="text1" w:val="000000"/>
                <w:sz w:val="24"/>
                <w:szCs w:val="24"/>
                <w:highlight w:val="white"/>
              </w:rPr>
              <w:br/>
              <w:t>ПАО «Т Плюс»</w:t>
            </w:r>
            <w:r>
              <w:rPr>
                <w:color w:themeColor="text1" w:val="000000"/>
                <w:sz w:val="24"/>
                <w:szCs w:val="24"/>
                <w:highlight w:val="white"/>
              </w:rPr>
              <w:t xml:space="preserve"> от 23.06.2025 № 51000-32-02192).</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pacing w:lineRule="auto" w:line="240" w:before="0" w:after="0"/>
              <w:ind w:firstLine="360" w:left="0" w:right="0"/>
              <w:jc w:val="both"/>
              <w:rPr>
                <w:rFonts w:ascii="Times New Roman" w:hAnsi="Times New Roman"/>
                <w:color w:themeColor="text1" w:val="000000"/>
                <w:sz w:val="24"/>
                <w:szCs w:val="24"/>
              </w:rPr>
            </w:pPr>
            <w:r>
              <w:rPr>
                <w:color w:themeColor="text1" w:val="000000"/>
                <w:sz w:val="24"/>
                <w:szCs w:val="24"/>
              </w:rPr>
              <w:t>Техническая возможность подключения объекта к сетям теплоснабжения отсутствует.</w:t>
            </w:r>
          </w:p>
          <w:p>
            <w:pPr>
              <w:pStyle w:val="Normal"/>
              <w:spacing w:lineRule="auto" w:line="240" w:before="0" w:after="0"/>
              <w:ind w:firstLine="360" w:left="0" w:right="0"/>
              <w:jc w:val="both"/>
              <w:rPr>
                <w:rFonts w:ascii="Times New Roman" w:hAnsi="Times New Roman"/>
                <w:color w:themeColor="text1" w:val="000000"/>
                <w:sz w:val="24"/>
                <w:szCs w:val="24"/>
                <w:highlight w:val="none"/>
              </w:rPr>
            </w:pPr>
            <w:r>
              <w:rPr>
                <w:color w:themeColor="text1" w:val="000000"/>
                <w:sz w:val="24"/>
                <w:szCs w:val="24"/>
              </w:rPr>
              <w:t>Рекомендовано рассмотреть альтернативный источник теплоснабжения – газ, электричество, дрова, пеллеты.</w:t>
            </w:r>
          </w:p>
          <w:p>
            <w:pPr>
              <w:pStyle w:val="Normal"/>
              <w:spacing w:lineRule="auto" w:line="240" w:before="0" w:after="0"/>
              <w:ind w:firstLine="340"/>
              <w:jc w:val="both"/>
              <w:rPr>
                <w:color w:themeColor="text1" w:val="000000"/>
                <w:sz w:val="24"/>
                <w:szCs w:val="24"/>
                <w:highlight w:val="none"/>
              </w:rPr>
            </w:pPr>
            <w:r>
              <w:rPr>
                <w:color w:themeColor="text1" w:val="000000"/>
                <w:sz w:val="24"/>
                <w:szCs w:val="24"/>
                <w:highlight w:val="white"/>
              </w:rPr>
              <w:t xml:space="preserve">(Аналогичная информация отражена в письме </w:t>
            </w:r>
            <w:r>
              <w:rPr>
                <w:b/>
                <w:color w:themeColor="text1" w:val="000000"/>
                <w:sz w:val="24"/>
                <w:szCs w:val="24"/>
                <w:highlight w:val="white"/>
              </w:rPr>
              <w:t xml:space="preserve">Департамента жилищно-коммунального хозяйства администрации города Перми </w:t>
            </w:r>
            <w:r>
              <w:rPr>
                <w:color w:themeColor="text1" w:val="000000"/>
                <w:sz w:val="24"/>
                <w:szCs w:val="24"/>
                <w:highlight w:val="white"/>
              </w:rPr>
              <w:t xml:space="preserve">от 25.06.2025 </w:t>
              <w:br/>
              <w:t>№ 059-04-17/3-556-ри).</w:t>
            </w:r>
          </w:p>
          <w:p>
            <w:pPr>
              <w:pStyle w:val="Normal"/>
              <w:spacing w:lineRule="auto" w:line="240" w:before="0" w:after="0"/>
              <w:ind w:firstLine="360" w:left="0" w:right="0"/>
              <w:jc w:val="both"/>
              <w:rPr>
                <w:rFonts w:ascii="Times New Roman" w:hAnsi="Times New Roman"/>
                <w:color w:themeColor="text1" w:val="000000"/>
                <w:sz w:val="24"/>
                <w:szCs w:val="24"/>
              </w:rPr>
            </w:pPr>
            <w:r>
              <w:rPr>
                <w:color w:themeColor="text1" w:val="000000"/>
                <w:sz w:val="24"/>
                <w:szCs w:val="24"/>
              </w:rPr>
              <w:t>Техническая возможность подключения объекта капитального строительства с предполагаемой максимальной нагрузкой 8 куб.м/час к существующим сетям газораспределения имеется.</w:t>
            </w:r>
          </w:p>
          <w:p>
            <w:pPr>
              <w:pStyle w:val="Normal"/>
              <w:spacing w:lineRule="auto" w:line="240" w:before="0" w:after="0"/>
              <w:ind w:firstLine="360" w:left="0" w:right="0"/>
              <w:jc w:val="both"/>
              <w:rPr>
                <w:rFonts w:ascii="Times New Roman" w:hAnsi="Times New Roman"/>
                <w:color w:themeColor="text1" w:val="000000"/>
                <w:sz w:val="24"/>
                <w:szCs w:val="24"/>
                <w:highlight w:val="none"/>
                <w14:ligatures w14:val="none"/>
              </w:rPr>
            </w:pPr>
            <w:r>
              <w:rPr>
                <w:color w:themeColor="text1" w:val="000000"/>
                <w:sz w:val="24"/>
                <w:szCs w:val="24"/>
              </w:rPr>
              <w:t>Для рассмотрения вопроса о предоставлении технических условий на подключение (технологическое присоединение) необходимо направить запрос с приложением необходимых документов и сведений на электронную почту post@pf.ugaz.ru, либо почтовым отправлением по адресу: г. Пермь,</w:t>
              <w:br/>
              <w:t>ул. Уральская, 104, через Единый центр предоставления услуг по адресу: г. Пермь, ул. Уральская, д. 104, каб. 101.</w:t>
            </w:r>
          </w:p>
          <w:p>
            <w:pPr>
              <w:pStyle w:val="Normal"/>
              <w:spacing w:lineRule="auto" w:line="240" w:before="0" w:after="0"/>
              <w:ind w:firstLine="360" w:left="0" w:right="0"/>
              <w:jc w:val="both"/>
              <w:rPr>
                <w:rFonts w:ascii="Times New Roman" w:hAnsi="Times New Roman"/>
                <w:sz w:val="24"/>
                <w:szCs w:val="24"/>
              </w:rPr>
            </w:pPr>
            <w:r>
              <w:rPr>
                <w:color w:themeColor="text1" w:val="000000"/>
                <w:sz w:val="24"/>
                <w:szCs w:val="24"/>
                <w:highlight w:val="white"/>
              </w:rPr>
              <w:t xml:space="preserve">(Аналогичная информация отражена в письме </w:t>
            </w:r>
            <w:r>
              <w:rPr>
                <w:b/>
                <w:bCs/>
                <w:color w:themeColor="text1" w:val="000000"/>
                <w:sz w:val="24"/>
                <w:szCs w:val="24"/>
              </w:rPr>
              <w:t>АО «Газпром газораспределение Пермь»</w:t>
            </w:r>
            <w:r>
              <w:rPr>
                <w:color w:themeColor="text1" w:val="000000"/>
                <w:sz w:val="24"/>
                <w:szCs w:val="24"/>
              </w:rPr>
              <w:t xml:space="preserve"> от 12.08.2025 № ПФ-5710</w:t>
            </w:r>
            <w:r>
              <w:rPr>
                <w:color w:themeColor="text1" w:val="000000"/>
                <w:sz w:val="24"/>
                <w:szCs w:val="24"/>
                <w:highlight w:val="white"/>
              </w:rPr>
              <w:t>).</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themeColor="text1" w:val="000000"/>
                <w:sz w:val="24"/>
                <w:szCs w:val="24"/>
                <w:highlight w:val="none"/>
              </w:rPr>
            </w:pPr>
            <w:r>
              <w:rPr>
                <w:color w:themeColor="text1" w:val="000000"/>
                <w:sz w:val="24"/>
                <w:szCs w:val="24"/>
              </w:rPr>
              <w:t>О наличии технической возможности для подключения сетей водоснабжения и водоотведения с предполагаемой величиной нагрузки 1,0 м3/сут. сообщается следующее.</w:t>
            </w:r>
          </w:p>
          <w:p>
            <w:pPr>
              <w:pStyle w:val="Normal"/>
              <w:shd w:val="clear" w:color="FFFFFF" w:themeColor="background1" w:fill="FFFFFF" w:themeFill="background1"/>
              <w:spacing w:lineRule="auto" w:line="240" w:before="0" w:after="0"/>
              <w:ind w:firstLine="283" w:left="0" w:right="0"/>
              <w:jc w:val="both"/>
              <w:rPr>
                <w:rFonts w:ascii="Times New Roman" w:hAnsi="Times New Roman"/>
                <w:color w:themeColor="text1" w:val="000000"/>
                <w:sz w:val="24"/>
                <w:szCs w:val="24"/>
                <w:highlight w:val="none"/>
              </w:rPr>
            </w:pPr>
            <w:r>
              <w:rPr>
                <w:rFonts w:eastAsia="Times New Roman" w:cs="Times New Roman"/>
                <w:color w:themeColor="text1" w:val="000000"/>
                <w:sz w:val="24"/>
                <w:szCs w:val="24"/>
              </w:rPr>
              <w:t>В районе указанного земельного участка с кадастровым номером в жилом районе Ново-Бродовский отсутствуют</w:t>
            </w:r>
            <w:r>
              <w:rPr>
                <w:rFonts w:eastAsia="Times New Roman" w:cs="Times New Roman"/>
                <w:color w:themeColor="text1" w:val="000000"/>
                <w:spacing w:val="80"/>
                <w:sz w:val="24"/>
                <w:szCs w:val="24"/>
              </w:rPr>
              <w:t xml:space="preserve"> </w:t>
            </w:r>
            <w:r>
              <w:rPr>
                <w:rFonts w:eastAsia="Times New Roman" w:cs="Times New Roman"/>
                <w:color w:themeColor="text1" w:val="000000"/>
                <w:sz w:val="24"/>
                <w:szCs w:val="24"/>
              </w:rPr>
              <w:t>централизованные</w:t>
            </w:r>
            <w:r>
              <w:rPr>
                <w:rFonts w:eastAsia="Times New Roman" w:cs="Times New Roman"/>
                <w:color w:themeColor="text1" w:val="000000"/>
                <w:spacing w:val="79"/>
                <w:sz w:val="24"/>
                <w:szCs w:val="24"/>
              </w:rPr>
              <w:t xml:space="preserve"> </w:t>
            </w:r>
            <w:r>
              <w:rPr>
                <w:rFonts w:eastAsia="Times New Roman" w:cs="Times New Roman"/>
                <w:color w:themeColor="text1" w:val="000000"/>
                <w:sz w:val="24"/>
                <w:szCs w:val="24"/>
              </w:rPr>
              <w:t>сети</w:t>
            </w:r>
            <w:r>
              <w:rPr>
                <w:rFonts w:eastAsia="Times New Roman" w:cs="Times New Roman"/>
                <w:color w:themeColor="text1" w:val="000000"/>
                <w:spacing w:val="80"/>
                <w:sz w:val="24"/>
                <w:szCs w:val="24"/>
              </w:rPr>
              <w:t xml:space="preserve"> </w:t>
            </w:r>
            <w:r>
              <w:rPr>
                <w:rFonts w:eastAsia="Times New Roman" w:cs="Times New Roman"/>
                <w:color w:themeColor="text1" w:val="000000"/>
                <w:sz w:val="24"/>
                <w:szCs w:val="24"/>
              </w:rPr>
              <w:t>водоснабжения и водоотведения, эксплуатируемые</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ООО</w:t>
            </w:r>
            <w:r>
              <w:rPr>
                <w:color w:themeColor="text1" w:val="000000"/>
                <w:sz w:val="24"/>
                <w:szCs w:val="24"/>
              </w:rPr>
              <w:t xml:space="preserve"> «НОВОГОР-Прикамье».</w:t>
            </w:r>
          </w:p>
          <w:p>
            <w:pPr>
              <w:pStyle w:val="Normal"/>
              <w:spacing w:lineRule="auto" w:line="240" w:before="0" w:after="0"/>
              <w:ind w:firstLine="283" w:left="0" w:right="0"/>
              <w:jc w:val="both"/>
              <w:rPr>
                <w:rFonts w:ascii="Times New Roman" w:hAnsi="Times New Roman" w:eastAsia="Times New Roman" w:cs="Times New Roman"/>
                <w:color w:themeColor="text1" w:val="000000"/>
                <w:sz w:val="24"/>
                <w:szCs w:val="24"/>
                <w14:ligatures w14:val="none"/>
              </w:rPr>
            </w:pPr>
            <w:r>
              <w:rPr>
                <w:rFonts w:eastAsia="Times New Roman" w:cs="Times New Roman"/>
                <w:color w:themeColor="text1" w:val="000000"/>
                <w:sz w:val="24"/>
                <w:szCs w:val="24"/>
              </w:rPr>
              <w:t>Ближайшие сети водоснабжения, эксплуатируемые</w:t>
              <w:br/>
              <w:t>ООО «НОВОГОР-Прикамье», располагаются в районе здания по Бродовскому тракту, 15 ориентировочно на расстоянии - 10,0 км от вышеуказанного земельного участка.</w:t>
              <w:br/>
              <w:t>Ближайшие сети водоотведения, эксплуатируемые</w:t>
              <w:br/>
              <w:t>ООО «НОВОГОР- Прикамье», располагаются в районе зданий по ул. Героев Хасана, 109/2 ориентировочно на расстоянии - 11,0 км от вышеуказанного земельного участка.</w:t>
            </w:r>
          </w:p>
          <w:p>
            <w:pPr>
              <w:pStyle w:val="Normal"/>
              <w:spacing w:lineRule="auto" w:line="240" w:before="0" w:after="0"/>
              <w:ind w:firstLine="283" w:left="0" w:right="0"/>
              <w:jc w:val="both"/>
              <w:rPr>
                <w:rFonts w:ascii="Times New Roman" w:hAnsi="Times New Roman"/>
                <w:color w:themeColor="text1" w:val="000000"/>
                <w:sz w:val="24"/>
                <w:szCs w:val="24"/>
                <w:highlight w:val="white"/>
                <w14:ligatures w14:val="none"/>
              </w:rPr>
            </w:pPr>
            <w:r>
              <w:rPr>
                <w:rFonts w:eastAsia="Times New Roman" w:cs="Times New Roman"/>
                <w:color w:themeColor="text1" w:val="000000"/>
                <w:sz w:val="24"/>
                <w:szCs w:val="24"/>
              </w:rPr>
              <w:t>При проектировании может быть применен альтернативный способ водоснабжения</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без</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подключения</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к</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централизованной</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системе</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водоснабжения (от</w:t>
            </w:r>
            <w:r>
              <w:rPr>
                <w:rFonts w:eastAsia="Times New Roman" w:cs="Times New Roman"/>
                <w:color w:themeColor="text1" w:val="000000"/>
                <w:spacing w:val="54"/>
                <w:sz w:val="24"/>
                <w:szCs w:val="24"/>
              </w:rPr>
              <w:t xml:space="preserve"> </w:t>
            </w:r>
            <w:r>
              <w:rPr>
                <w:rFonts w:eastAsia="Times New Roman" w:cs="Times New Roman"/>
                <w:color w:themeColor="text1" w:val="000000"/>
                <w:sz w:val="24"/>
                <w:szCs w:val="24"/>
              </w:rPr>
              <w:t>скважины)</w:t>
            </w:r>
            <w:r>
              <w:rPr>
                <w:rFonts w:eastAsia="Times New Roman" w:cs="Times New Roman"/>
                <w:color w:themeColor="text1" w:val="000000"/>
                <w:spacing w:val="65"/>
                <w:sz w:val="24"/>
                <w:szCs w:val="24"/>
              </w:rPr>
              <w:t xml:space="preserve"> </w:t>
            </w:r>
            <w:r>
              <w:rPr>
                <w:rFonts w:eastAsia="Times New Roman" w:cs="Times New Roman"/>
                <w:color w:themeColor="text1" w:val="000000"/>
                <w:sz w:val="24"/>
                <w:szCs w:val="24"/>
              </w:rPr>
              <w:t>и</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альтернативный</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способ</w:t>
            </w:r>
            <w:r>
              <w:rPr>
                <w:rFonts w:eastAsia="Times New Roman" w:cs="Times New Roman"/>
                <w:color w:themeColor="text1" w:val="000000"/>
                <w:spacing w:val="60"/>
                <w:sz w:val="24"/>
                <w:szCs w:val="24"/>
              </w:rPr>
              <w:t xml:space="preserve"> </w:t>
            </w:r>
            <w:r>
              <w:rPr>
                <w:rFonts w:eastAsia="Times New Roman" w:cs="Times New Roman"/>
                <w:color w:themeColor="text1" w:val="000000"/>
                <w:sz w:val="24"/>
                <w:szCs w:val="24"/>
              </w:rPr>
              <w:t>канализования,</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без</w:t>
            </w:r>
            <w:r>
              <w:rPr>
                <w:rFonts w:eastAsia="Times New Roman" w:cs="Times New Roman"/>
                <w:color w:themeColor="text1" w:val="000000"/>
                <w:spacing w:val="55"/>
                <w:sz w:val="24"/>
                <w:szCs w:val="24"/>
              </w:rPr>
              <w:t xml:space="preserve"> </w:t>
            </w:r>
            <w:r>
              <w:rPr>
                <w:rFonts w:eastAsia="Times New Roman" w:cs="Times New Roman"/>
                <w:color w:themeColor="text1" w:val="000000"/>
                <w:sz w:val="24"/>
                <w:szCs w:val="24"/>
              </w:rPr>
              <w:t>подключения к централизованной системе канализации г. Перми (отвод стоков на локальные очистные сооружения, канализование объекта</w:t>
              <w:br/>
              <w:t>в выгребную яму с последующим вывозом стоков спец. машинами), который должен соответствовать всем</w:t>
            </w:r>
            <w:r>
              <w:rPr>
                <w:rFonts w:eastAsia="Times New Roman" w:cs="Times New Roman"/>
                <w:color w:themeColor="text1" w:val="000000"/>
                <w:spacing w:val="80"/>
                <w:sz w:val="24"/>
                <w:szCs w:val="24"/>
              </w:rPr>
              <w:t xml:space="preserve"> </w:t>
            </w:r>
            <w:r>
              <w:rPr>
                <w:rFonts w:eastAsia="Times New Roman" w:cs="Times New Roman"/>
                <w:color w:themeColor="text1" w:val="000000"/>
                <w:sz w:val="24"/>
                <w:szCs w:val="24"/>
              </w:rPr>
              <w:t>нормативным</w:t>
            </w:r>
            <w:r>
              <w:rPr>
                <w:rFonts w:eastAsia="Times New Roman" w:cs="Times New Roman"/>
                <w:color w:themeColor="text1" w:val="000000"/>
                <w:spacing w:val="28"/>
                <w:sz w:val="24"/>
                <w:szCs w:val="24"/>
              </w:rPr>
              <w:t xml:space="preserve"> </w:t>
            </w:r>
            <w:r>
              <w:rPr>
                <w:rFonts w:eastAsia="Times New Roman" w:cs="Times New Roman"/>
                <w:color w:themeColor="text1" w:val="000000"/>
                <w:sz w:val="24"/>
                <w:szCs w:val="24"/>
              </w:rPr>
              <w:t>требованиям</w:t>
            </w:r>
            <w:r>
              <w:rPr>
                <w:rFonts w:eastAsia="Times New Roman" w:cs="Times New Roman"/>
                <w:color w:themeColor="text1" w:val="000000"/>
                <w:spacing w:val="40"/>
                <w:sz w:val="24"/>
                <w:szCs w:val="24"/>
              </w:rPr>
              <w:t xml:space="preserve"> </w:t>
            </w:r>
            <w:r>
              <w:rPr>
                <w:rFonts w:eastAsia="Times New Roman" w:cs="Times New Roman"/>
                <w:color w:themeColor="text1" w:val="000000"/>
                <w:sz w:val="24"/>
                <w:szCs w:val="24"/>
              </w:rPr>
              <w:t>Российской</w:t>
            </w:r>
            <w:r>
              <w:rPr>
                <w:rFonts w:eastAsia="Times New Roman" w:cs="Times New Roman"/>
                <w:color w:themeColor="text1" w:val="000000"/>
                <w:spacing w:val="25"/>
                <w:sz w:val="24"/>
                <w:szCs w:val="24"/>
              </w:rPr>
              <w:t xml:space="preserve"> </w:t>
            </w:r>
            <w:r>
              <w:rPr>
                <w:rFonts w:eastAsia="Times New Roman" w:cs="Times New Roman"/>
                <w:color w:themeColor="text1" w:val="000000"/>
                <w:sz w:val="24"/>
                <w:szCs w:val="24"/>
              </w:rPr>
              <w:t>Федерации. Кроме того, ООО «НОВОГОР-Прикамье» не располагает сведениями          о наличии сетей 3-х лиц в границах вышеуказанно</w:t>
            </w:r>
            <w:r>
              <w:rPr>
                <w:color w:themeColor="text1" w:val="000000"/>
                <w:sz w:val="24"/>
                <w:szCs w:val="24"/>
                <w:highlight w:val="white"/>
              </w:rPr>
              <w:t>го земельного участка.</w:t>
            </w:r>
          </w:p>
          <w:p>
            <w:pPr>
              <w:pStyle w:val="Normal"/>
              <w:spacing w:lineRule="auto" w:line="240" w:before="0" w:after="0"/>
              <w:ind w:firstLine="340"/>
              <w:jc w:val="both"/>
              <w:rPr>
                <w:rFonts w:ascii="Times New Roman" w:hAnsi="Times New Roman"/>
                <w:sz w:val="24"/>
                <w:szCs w:val="24"/>
              </w:rPr>
            </w:pPr>
            <w:r>
              <w:rPr>
                <w:color w:themeColor="text1" w:val="000000"/>
                <w:sz w:val="24"/>
                <w:szCs w:val="24"/>
                <w:highlight w:val="white"/>
              </w:rPr>
              <w:t>(Аналогичная информация отражена в письме</w:t>
              <w:br/>
            </w:r>
            <w:r>
              <w:rPr>
                <w:b/>
                <w:color w:themeColor="text1" w:val="000000"/>
                <w:sz w:val="24"/>
                <w:szCs w:val="24"/>
                <w:highlight w:val="white"/>
              </w:rPr>
              <w:t xml:space="preserve">ООО «НОВОГОР-Прикамье» </w:t>
            </w:r>
            <w:r>
              <w:rPr>
                <w:color w:themeColor="text1" w:val="000000"/>
                <w:sz w:val="24"/>
                <w:szCs w:val="24"/>
                <w:highlight w:val="white"/>
              </w:rPr>
              <w:t>от 18.06.2025 № 110-8730).</w:t>
            </w:r>
          </w:p>
          <w:p>
            <w:pPr>
              <w:pStyle w:val="Normal"/>
              <w:spacing w:lineRule="auto" w:line="240" w:before="0" w:after="0"/>
              <w:ind w:firstLine="340"/>
              <w:jc w:val="both"/>
              <w:rPr>
                <w:rFonts w:ascii="Times New Roman" w:hAnsi="Times New Roman"/>
                <w:sz w:val="24"/>
                <w:szCs w:val="24"/>
              </w:rPr>
            </w:pPr>
            <w:r>
              <w:rPr>
                <w:sz w:val="24"/>
                <w:szCs w:val="24"/>
              </w:rPr>
            </w:r>
          </w:p>
          <w:p>
            <w:pPr>
              <w:pStyle w:val="Normal"/>
              <w:spacing w:lineRule="auto" w:line="240" w:before="0" w:after="0"/>
              <w:ind w:firstLine="283" w:left="0" w:right="0"/>
              <w:jc w:val="both"/>
              <w:rPr>
                <w:rFonts w:ascii="Times New Roman" w:hAnsi="Times New Roman"/>
                <w:b w:val="false"/>
                <w:bCs w:val="false"/>
                <w:color w:themeColor="text1" w:val="000000"/>
                <w:highlight w:val="none"/>
                <w14:ligatures w14:val="none"/>
              </w:rPr>
            </w:pPr>
            <w:r>
              <w:rPr>
                <w:b w:val="false"/>
                <w:bCs w:val="false"/>
                <w:color w:themeColor="text1" w:val="000000"/>
                <w:sz w:val="24"/>
                <w:szCs w:val="24"/>
              </w:rPr>
              <w:t>Технологическое присоединение к сетям связи</w:t>
              <w:br/>
              <w:t>ПАО «Ростелеком» может быть произведено к узлу ВОЛС</w:t>
              <w:br/>
              <w:t>(г. Пермь, ул. Братская, д. 173), максимальную нагрузку в точке подключения (технологического присоединения) необходимо определить на стадии проектирования.</w:t>
            </w:r>
          </w:p>
          <w:p>
            <w:pPr>
              <w:pStyle w:val="Normal"/>
              <w:spacing w:lineRule="auto" w:line="240" w:before="0" w:after="0"/>
              <w:ind w:firstLine="283" w:left="0" w:right="0"/>
              <w:jc w:val="both"/>
              <w:rPr>
                <w:b w:val="false"/>
                <w:bCs w:val="false"/>
                <w:color w:themeColor="text1" w:val="000000"/>
              </w:rPr>
            </w:pPr>
            <w:r>
              <w:rPr>
                <w:b w:val="false"/>
                <w:bCs w:val="false"/>
                <w:color w:themeColor="text1" w:val="000000"/>
                <w:sz w:val="24"/>
                <w:szCs w:val="24"/>
              </w:rPr>
              <w:t>В границах Участка сети связи ПАО «Ростелеком»</w:t>
              <w:br/>
              <w:t>отсутствуют.</w:t>
            </w:r>
          </w:p>
          <w:p>
            <w:pPr>
              <w:pStyle w:val="Normal"/>
              <w:spacing w:lineRule="auto" w:line="240" w:before="0" w:after="0"/>
              <w:ind w:firstLine="283" w:left="0" w:right="0"/>
              <w:jc w:val="both"/>
              <w:rPr>
                <w:b w:val="false"/>
                <w:bCs w:val="false"/>
                <w:color w:themeColor="text1" w:val="000000"/>
              </w:rPr>
            </w:pPr>
            <w:r>
              <w:rPr>
                <w:b w:val="false"/>
                <w:bCs w:val="false"/>
                <w:color w:themeColor="text1" w:val="000000"/>
                <w:sz w:val="24"/>
                <w:szCs w:val="24"/>
              </w:rPr>
              <w:t>Для получения технических условий на подключение</w:t>
              <w:br/>
              <w:t>к сетям связи необходимо направить запрос</w:t>
              <w:br/>
              <w:t xml:space="preserve">на электронный адрес: </w:t>
            </w:r>
            <w:hyperlink r:id="rId18" w:tgtFrame="mailto:perm-mail@ural.rt.ru">
              <w:r>
                <w:rPr>
                  <w:rStyle w:val="Hyperlink"/>
                  <w:b w:val="false"/>
                  <w:bCs w:val="false"/>
                  <w:color w:themeColor="text1" w:val="000000"/>
                  <w:sz w:val="24"/>
                  <w:szCs w:val="24"/>
                </w:rPr>
                <w:t>perm-mail@ural.rt.ru</w:t>
              </w:r>
            </w:hyperlink>
            <w:r>
              <w:rPr>
                <w:b w:val="false"/>
                <w:bCs w:val="false"/>
                <w:color w:themeColor="text1" w:val="000000"/>
                <w:sz w:val="24"/>
                <w:szCs w:val="24"/>
              </w:rPr>
              <w:t>.</w:t>
            </w:r>
          </w:p>
          <w:p>
            <w:pPr>
              <w:pStyle w:val="Normal"/>
              <w:spacing w:lineRule="auto" w:line="240" w:before="0" w:after="0"/>
              <w:ind w:firstLine="340"/>
              <w:jc w:val="both"/>
              <w:rPr>
                <w:rFonts w:ascii="Times New Roman" w:hAnsi="Times New Roman"/>
                <w:sz w:val="24"/>
                <w:szCs w:val="24"/>
              </w:rPr>
            </w:pPr>
            <w:r>
              <w:rPr>
                <w:b w:val="false"/>
                <w:bCs w:val="false"/>
                <w:color w:themeColor="text1" w:val="000000"/>
                <w:sz w:val="24"/>
                <w:szCs w:val="24"/>
                <w:highlight w:val="white"/>
              </w:rPr>
              <w:t>(Аналогичная информация отражена в письме</w:t>
            </w:r>
            <w:r>
              <w:rPr>
                <w:b w:val="false"/>
                <w:bCs w:val="false"/>
                <w:color w:themeColor="text1" w:val="000000"/>
                <w:sz w:val="24"/>
                <w:szCs w:val="24"/>
              </w:rPr>
              <w:br/>
            </w:r>
            <w:r>
              <w:rPr>
                <w:b/>
                <w:bCs/>
                <w:color w:themeColor="text1" w:val="000000"/>
                <w:sz w:val="24"/>
                <w:szCs w:val="24"/>
              </w:rPr>
              <w:t xml:space="preserve">ПАО «Ростелеком» </w:t>
            </w:r>
            <w:r>
              <w:rPr>
                <w:b w:val="false"/>
                <w:bCs w:val="false"/>
                <w:color w:themeColor="text1" w:val="000000"/>
                <w:sz w:val="24"/>
                <w:szCs w:val="24"/>
              </w:rPr>
              <w:t>от 19.06.2025 № 01/05/90985/25</w:t>
            </w:r>
            <w:r>
              <w:rPr>
                <w:b w:val="false"/>
                <w:bCs w:val="false"/>
                <w:color w:themeColor="text1" w:val="000000"/>
                <w:sz w:val="24"/>
                <w:szCs w:val="24"/>
                <w:highlight w:val="white"/>
              </w:rPr>
              <w:t>).</w:t>
            </w:r>
          </w:p>
          <w:p>
            <w:pPr>
              <w:pStyle w:val="Normal"/>
              <w:spacing w:lineRule="auto" w:line="240" w:before="0" w:after="0"/>
              <w:ind w:firstLine="311"/>
              <w:jc w:val="both"/>
              <w:rPr>
                <w:rFonts w:ascii="Times New Roman" w:hAnsi="Times New Roman"/>
                <w:b w:val="false"/>
                <w:bCs w:val="false"/>
                <w:color w:themeColor="text1" w:val="000000"/>
                <w:sz w:val="24"/>
                <w:szCs w:val="24"/>
                <w:highlight w:val="none"/>
              </w:rPr>
            </w:pPr>
            <w:r>
              <w:rPr>
                <w:b w:val="false"/>
                <w:bCs w:val="false"/>
                <w:color w:themeColor="text1" w:val="000000"/>
                <w:sz w:val="24"/>
                <w:szCs w:val="24"/>
              </w:rPr>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57"/>
              <w:jc w:val="left"/>
              <w:rPr>
                <w:highlight w:val="none"/>
                <w:shd w:fill="auto" w:val="clear"/>
              </w:rPr>
            </w:pPr>
            <w:r>
              <w:rPr>
                <w:sz w:val="24"/>
                <w:szCs w:val="24"/>
                <w:shd w:fill="auto" w:val="clear"/>
              </w:rPr>
              <w:t>Начальная цена предмета аукциона</w:t>
            </w:r>
          </w:p>
          <w:p>
            <w:pPr>
              <w:pStyle w:val="Normal"/>
              <w:widowControl/>
              <w:spacing w:before="0" w:after="0"/>
              <w:ind w:hanging="0" w:left="113" w:right="57"/>
              <w:jc w:val="left"/>
              <w:rPr>
                <w:highlight w:val="none"/>
                <w:shd w:fill="auto" w:val="clear"/>
              </w:rPr>
            </w:pPr>
            <w:r>
              <w:rPr>
                <w:b/>
                <w:sz w:val="24"/>
                <w:szCs w:val="24"/>
                <w:shd w:fill="auto" w:val="clear"/>
              </w:rPr>
              <w:t>(рыночная стоимость земельного участка)</w:t>
            </w:r>
          </w:p>
          <w:p>
            <w:pPr>
              <w:pStyle w:val="Normal"/>
              <w:ind w:right="-263"/>
              <w:rPr>
                <w:b/>
                <w:bCs/>
                <w:sz w:val="24"/>
                <w:szCs w:val="24"/>
                <w:highlight w:val="none"/>
              </w:rPr>
            </w:pPr>
            <w:r>
              <w:rPr>
                <w:b/>
                <w:bCs/>
                <w:sz w:val="24"/>
                <w:szCs w:val="24"/>
              </w:rPr>
            </w:r>
          </w:p>
          <w:p>
            <w:pPr>
              <w:pStyle w:val="Normal"/>
              <w:ind w:hanging="0" w:left="120" w:right="0"/>
              <w:rPr>
                <w:rFonts w:ascii="Times New Roman" w:hAnsi="Times New Roman" w:eastAsia="Times New Roman" w:cs="Times New Roman"/>
                <w:b w:val="false"/>
                <w:bCs w:val="false"/>
                <w:color w:val="000000"/>
                <w:sz w:val="24"/>
                <w:szCs w:val="24"/>
                <w:highlight w:val="none"/>
              </w:rPr>
            </w:pPr>
            <w:r>
              <w:rPr>
                <w:rFonts w:eastAsia="Times New Roman" w:cs="Times New Roman"/>
                <w:b w:val="false"/>
                <w:bCs w:val="false"/>
                <w:color w:val="000000"/>
                <w:sz w:val="24"/>
              </w:rPr>
              <w:t>По условиям пункта 4.1 проекта договора купли-продажи земельного участка, приобретаемого на торгах в форме аукциона (Приложение 7 к настоящему извещению),</w:t>
            </w:r>
          </w:p>
          <w:p>
            <w:pPr>
              <w:pStyle w:val="Normal"/>
              <w:ind w:hanging="0" w:left="120" w:right="0"/>
              <w:rPr>
                <w:highlight w:val="none"/>
                <w:shd w:fill="auto" w:val="clear"/>
              </w:rPr>
            </w:pPr>
            <w:r>
              <w:rPr>
                <w:sz w:val="24"/>
                <w:szCs w:val="24"/>
                <w:shd w:fill="auto" w:val="clear"/>
              </w:rPr>
              <w:t>победитель аукциона, иное лицо, с которым договор заключается в соответствии с п.13, п.14, п. 20 или п. 25</w:t>
            </w:r>
          </w:p>
          <w:p>
            <w:pPr>
              <w:pStyle w:val="Normal"/>
              <w:ind w:hanging="0" w:left="120" w:right="0"/>
              <w:rPr>
                <w:highlight w:val="none"/>
                <w:shd w:fill="auto" w:val="clear"/>
              </w:rPr>
            </w:pPr>
            <w:r>
              <w:rPr>
                <w:sz w:val="24"/>
                <w:szCs w:val="24"/>
                <w:shd w:fill="auto" w:val="clear"/>
              </w:rPr>
              <w:t xml:space="preserve">ст. 39.12 Земельного Кодекса Российской Федерации (далее – ЗК РФ), обязан </w:t>
            </w:r>
            <w:r>
              <w:rPr>
                <w:b/>
                <w:sz w:val="24"/>
                <w:szCs w:val="24"/>
                <w:shd w:fill="auto" w:val="clear"/>
              </w:rPr>
              <w:t>в течение 15 дней</w:t>
            </w:r>
            <w:r>
              <w:rPr>
                <w:sz w:val="24"/>
                <w:szCs w:val="24"/>
                <w:shd w:fill="auto" w:val="clear"/>
              </w:rPr>
              <w:t xml:space="preserve"> со дня размещения  протокола о результатах аукциона, а в случаях, определенных п.13, п.14, ст. 39.12 ЗК РФ, протокола рассмотрения заявок, </w:t>
            </w:r>
            <w:r>
              <w:rPr>
                <w:b/>
                <w:sz w:val="24"/>
                <w:szCs w:val="24"/>
                <w:shd w:fill="auto" w:val="clear"/>
              </w:rPr>
              <w:t xml:space="preserve">перечислить денежные средства </w:t>
            </w:r>
            <w:r>
              <w:rPr>
                <w:sz w:val="24"/>
                <w:szCs w:val="24"/>
                <w:shd w:fill="auto" w:val="clear"/>
              </w:rPr>
              <w:t>за земельный участок (за вычетом задатка, внесенного для участия в аукционе) на счет департамента земельных отношений администрации города Перми, 614000, ул. Сибирская,15, тел. 212-61-90 (отдел договоров), реквизиты которого указаны в проекте договора купли-продажи земельного участка (Приложение 7 к настоящему извещению)</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2 421 800 руб.</w:t>
            </w:r>
          </w:p>
        </w:tc>
      </w:tr>
      <w:tr>
        <w:trPr>
          <w:trHeight w:val="225"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shd w:fill="auto" w:val="clear"/>
              </w:rPr>
            </w:pPr>
            <w:r>
              <w:rPr>
                <w:sz w:val="24"/>
                <w:szCs w:val="24"/>
                <w:shd w:fill="auto" w:val="clear"/>
              </w:rPr>
              <w:t>«Шаг аукциона» (5% от</w:t>
            </w:r>
          </w:p>
          <w:p>
            <w:pPr>
              <w:pStyle w:val="Normal"/>
              <w:widowControl/>
              <w:spacing w:before="0" w:after="0"/>
              <w:ind w:hanging="0" w:left="113" w:right="113"/>
              <w:jc w:val="left"/>
              <w:rPr>
                <w:highlight w:val="none"/>
              </w:rPr>
            </w:pPr>
            <w:r>
              <w:rPr>
                <w:sz w:val="24"/>
                <w:szCs w:val="24"/>
                <w:shd w:fill="auto" w:val="clear"/>
              </w:rPr>
              <w:t>начальной цены предмета аукциона)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121 090 руб.</w:t>
            </w:r>
          </w:p>
        </w:tc>
      </w:tr>
      <w:tr>
        <w:trPr>
          <w:trHeight w:val="41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highlight w:val="none"/>
                <w:shd w:fill="auto" w:val="clear"/>
              </w:rPr>
            </w:pPr>
            <w:r>
              <w:rPr>
                <w:sz w:val="24"/>
                <w:szCs w:val="24"/>
                <w:shd w:fill="auto" w:val="clear"/>
              </w:rPr>
              <w:t>Форма заявки на участие в аукционе</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w:t>
              <w:br/>
              <w:t xml:space="preserve">о государственной регистрации юридического лица </w:t>
              <w:br/>
              <w:t>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Normal"/>
              <w:jc w:val="both"/>
              <w:rPr>
                <w:b/>
                <w:sz w:val="24"/>
                <w:szCs w:val="24"/>
              </w:rPr>
            </w:pPr>
            <w:r>
              <w:rPr>
                <w:b/>
                <w:sz w:val="24"/>
                <w:szCs w:val="24"/>
              </w:rPr>
              <w:t>Решение о проведении аукциона принято в соответствии со статьей 39.18 Земельного кодекса Российской Федерации, участниками аукциона могут являться только граждане.</w:t>
            </w:r>
          </w:p>
        </w:tc>
      </w:tr>
      <w:tr>
        <w:trPr>
          <w:trHeight w:val="23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shd w:fill="auto" w:val="clear"/>
              </w:rPr>
            </w:pPr>
            <w:r>
              <w:rPr>
                <w:sz w:val="24"/>
                <w:szCs w:val="24"/>
                <w:shd w:fill="auto" w:val="clear"/>
              </w:rPr>
              <w:t>Размер задатка (50% от</w:t>
            </w:r>
          </w:p>
          <w:p>
            <w:pPr>
              <w:pStyle w:val="Normal"/>
              <w:widowControl/>
              <w:spacing w:before="0" w:after="0"/>
              <w:ind w:hanging="0" w:left="113" w:right="113"/>
              <w:jc w:val="left"/>
              <w:rPr>
                <w:highlight w:val="none"/>
              </w:rPr>
            </w:pPr>
            <w:r>
              <w:rPr>
                <w:sz w:val="24"/>
                <w:szCs w:val="24"/>
                <w:shd w:fill="auto" w:val="clear"/>
              </w:rPr>
              <w:t>начальной цены предмета аукциона)</w:t>
            </w:r>
          </w:p>
          <w:p>
            <w:pPr>
              <w:pStyle w:val="Normal"/>
              <w:widowControl/>
              <w:spacing w:before="0" w:after="0"/>
              <w:ind w:hanging="0" w:left="113" w:right="113"/>
              <w:jc w:val="left"/>
              <w:rPr>
                <w:sz w:val="24"/>
                <w:szCs w:val="24"/>
                <w:highlight w:val="none"/>
                <w:shd w:fill="auto" w:val="clear"/>
              </w:rPr>
            </w:pPr>
            <w:r>
              <w:rPr>
                <w:sz w:val="24"/>
                <w:szCs w:val="24"/>
                <w:shd w:fill="auto" w:val="clear"/>
              </w:rPr>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1 210 900 руб.</w:t>
            </w:r>
          </w:p>
        </w:tc>
      </w:tr>
      <w:tr>
        <w:trPr>
          <w:trHeight w:val="236" w:hRule="atLeast"/>
        </w:trPr>
        <w:tc>
          <w:tcPr>
            <w:tcW w:w="356"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308" w:type="dxa"/>
            <w:tcBorders>
              <w:left w:val="single" w:sz="4" w:space="0" w:color="000000"/>
              <w:bottom w:val="single" w:sz="4" w:space="0" w:color="000000"/>
              <w:right w:val="single" w:sz="4" w:space="0" w:color="000000"/>
            </w:tcBorders>
          </w:tcPr>
          <w:p>
            <w:pPr>
              <w:pStyle w:val="Normal"/>
              <w:widowControl/>
              <w:spacing w:before="0" w:after="0"/>
              <w:ind w:hanging="0" w:left="113" w:right="113"/>
              <w:jc w:val="left"/>
              <w:rPr>
                <w:b w:val="false"/>
                <w:bCs w:val="false"/>
                <w:shd w:fill="auto" w:val="clear"/>
              </w:rPr>
            </w:pPr>
            <w:r>
              <w:rPr>
                <w:sz w:val="24"/>
                <w:szCs w:val="24"/>
                <w:shd w:fill="auto" w:val="clear"/>
              </w:rPr>
              <w:t xml:space="preserve">Дата </w:t>
            </w:r>
            <w:r>
              <w:rPr>
                <w:b w:val="false"/>
                <w:shd w:fill="auto" w:val="clear"/>
              </w:rPr>
              <w:t>размещения</w:t>
            </w:r>
          </w:p>
          <w:p>
            <w:pPr>
              <w:pStyle w:val="Normal"/>
              <w:widowControl/>
              <w:spacing w:before="0" w:after="0"/>
              <w:ind w:hanging="0" w:left="113" w:right="113"/>
              <w:jc w:val="left"/>
              <w:rPr>
                <w:highlight w:val="none"/>
              </w:rPr>
            </w:pPr>
            <w:r>
              <w:rPr>
                <w:b w:val="false"/>
                <w:shd w:fill="auto" w:val="clear"/>
              </w:rPr>
              <w:t xml:space="preserve">извещения в соответствии с пп. 1 п. 1 ст. 39.18 Земельного кодекса Российской Федерации на  </w:t>
            </w:r>
            <w:r>
              <w:rPr>
                <w:b w:val="false"/>
                <w:sz w:val="24"/>
                <w:szCs w:val="24"/>
                <w:shd w:fill="auto" w:val="clear"/>
                <w:lang w:val="en-US" w:eastAsia="en-US"/>
              </w:rPr>
              <w:t>сайтах www.torgi.gov.ru, www.gorodperm.ru</w:t>
            </w:r>
          </w:p>
        </w:tc>
        <w:tc>
          <w:tcPr>
            <w:tcW w:w="6821" w:type="dxa"/>
            <w:tcBorders>
              <w:left w:val="single" w:sz="4" w:space="0" w:color="000000"/>
              <w:bottom w:val="single" w:sz="4" w:space="0" w:color="000000"/>
              <w:right w:val="single" w:sz="4" w:space="0" w:color="000000"/>
            </w:tcBorders>
          </w:tcPr>
          <w:p>
            <w:pPr>
              <w:pStyle w:val="Normal"/>
              <w:jc w:val="both"/>
              <w:rPr>
                <w:sz w:val="24"/>
                <w:szCs w:val="24"/>
              </w:rPr>
            </w:pPr>
            <w:r>
              <w:rPr/>
              <w:t>18.02.2025</w:t>
            </w:r>
          </w:p>
        </w:tc>
      </w:tr>
      <w:tr>
        <w:trPr>
          <w:trHeight w:val="1884"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Проект договора купли-продажи земельного</w:t>
            </w:r>
          </w:p>
          <w:p>
            <w:pPr>
              <w:pStyle w:val="Normal"/>
              <w:widowControl/>
              <w:spacing w:before="0" w:after="0"/>
              <w:ind w:hanging="0" w:left="113" w:right="113"/>
              <w:jc w:val="left"/>
              <w:rPr>
                <w:sz w:val="24"/>
                <w:szCs w:val="24"/>
              </w:rPr>
            </w:pPr>
            <w:r>
              <w:rPr>
                <w:sz w:val="24"/>
                <w:szCs w:val="24"/>
              </w:rPr>
              <w:t>участка</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eastAsia="en-US"/>
              </w:rPr>
              <w:t xml:space="preserve">Проект договора купли-продажи земельного участка, </w:t>
              <w:br/>
              <w:t xml:space="preserve">приобретаемого на торгах в форме аукциона, является  </w:t>
              <w:br/>
              <w:t xml:space="preserve">Приложением 7 к настоящему извещению и </w:t>
            </w:r>
            <w:r>
              <w:rPr>
                <w:sz w:val="24"/>
                <w:szCs w:val="24"/>
                <w:lang w:val="en-US" w:eastAsia="en-US"/>
              </w:rPr>
              <w:t>размещен на сайтах www.torgi.gov.ru, www.gorodperm.ru (раздел Деятельность/ Муниципальная собственность/ Торговая площадка Вид торгов Продажа и аренда земельных участков)</w:t>
            </w:r>
          </w:p>
        </w:tc>
      </w:tr>
      <w:tr>
        <w:trPr>
          <w:trHeight w:val="76" w:hRule="atLeast"/>
        </w:trPr>
        <w:tc>
          <w:tcPr>
            <w:tcW w:w="356"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308" w:type="dxa"/>
            <w:tcBorders>
              <w:top w:val="single" w:sz="4" w:space="0" w:color="000000"/>
              <w:left w:val="single" w:sz="4" w:space="0" w:color="000000"/>
              <w:bottom w:val="single" w:sz="4" w:space="0" w:color="000000"/>
              <w:right w:val="single" w:sz="4" w:space="0" w:color="000000"/>
            </w:tcBorders>
          </w:tcPr>
          <w:p>
            <w:pPr>
              <w:pStyle w:val="Normal"/>
              <w:ind w:hanging="0" w:left="120" w:right="-263"/>
              <w:rPr>
                <w:sz w:val="24"/>
                <w:szCs w:val="24"/>
              </w:rPr>
            </w:pPr>
            <w:r>
              <w:rPr>
                <w:sz w:val="24"/>
                <w:szCs w:val="24"/>
              </w:rPr>
              <w:t>Порядок осмотра земельного участка на местности</w:t>
            </w:r>
          </w:p>
        </w:tc>
        <w:tc>
          <w:tcPr>
            <w:tcW w:w="682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Осмотр земельного участка производится заявителем </w:t>
              <w:br/>
              <w:t xml:space="preserve">самостоятельно в любое время с даты опубликования  </w:t>
              <w:br/>
              <w:t>настоящего извещения.</w:t>
            </w:r>
          </w:p>
        </w:tc>
      </w:tr>
    </w:tbl>
    <w:p>
      <w:pPr>
        <w:pStyle w:val="PlainText"/>
        <w:spacing w:lineRule="exact" w:line="240"/>
        <w:ind w:hanging="1134" w:left="1134"/>
        <w:jc w:val="center"/>
        <w:rPr>
          <w:rFonts w:ascii="Times New Roman" w:hAnsi="Times New Roman" w:cs="Times New Roman"/>
          <w:b/>
          <w:bCs/>
          <w:sz w:val="24"/>
          <w:szCs w:val="24"/>
        </w:rPr>
      </w:pPr>
      <w:r>
        <w:rPr>
          <w:rFonts w:cs="Times New Roman" w:ascii="Times New Roman" w:hAnsi="Times New Roman"/>
          <w:b/>
          <w:bCs/>
          <w:sz w:val="24"/>
          <w:szCs w:val="24"/>
        </w:rPr>
      </w:r>
      <w:bookmarkStart w:id="0" w:name="_GoBack_Копия_1_Копия_1"/>
      <w:bookmarkStart w:id="1" w:name="_GoBack_Копия_1_Копия_1_Копия_1_Копия_1"/>
      <w:bookmarkStart w:id="2" w:name="_GoBack_Копия_1"/>
      <w:bookmarkStart w:id="3" w:name="_GoBack_Копия_1_Копия_1_Копия_1"/>
      <w:bookmarkStart w:id="4" w:name="_GoBack_Копия_1_Копия_1"/>
      <w:bookmarkStart w:id="5" w:name="_GoBack_Копия_1_Копия_1_Копия_1_Копия_1"/>
      <w:bookmarkStart w:id="6" w:name="_GoBack_Копия_1"/>
      <w:bookmarkStart w:id="7" w:name="_GoBack_Копия_1_Копия_1_Копия_1"/>
      <w:bookmarkEnd w:id="4"/>
      <w:bookmarkEnd w:id="5"/>
      <w:bookmarkEnd w:id="6"/>
      <w:bookmarkEnd w:id="7"/>
    </w:p>
    <w:p>
      <w:pPr>
        <w:pStyle w:val="Normal"/>
        <w:widowControl w:val="false"/>
        <w:spacing w:before="0" w:after="0"/>
        <w:ind w:left="567"/>
        <w:contextualSpacing/>
        <w:jc w:val="center"/>
        <w:rPr>
          <w:rFonts w:eastAsia="Courier New"/>
          <w:b/>
          <w:lang w:bidi="ru-RU"/>
        </w:rPr>
      </w:pPr>
      <w:r>
        <w:rPr>
          <w:rFonts w:eastAsia="Courier New"/>
          <w:b/>
          <w:lang w:bidi="ru-RU"/>
        </w:rPr>
        <w:t>Сроки, время подачи заявок, рассмотрения заявок, проведения аукциона</w:t>
      </w:r>
    </w:p>
    <w:p>
      <w:pPr>
        <w:pStyle w:val="Normal"/>
        <w:widowControl w:val="false"/>
        <w:spacing w:before="0" w:after="0"/>
        <w:ind w:left="567"/>
        <w:contextualSpacing/>
        <w:jc w:val="center"/>
        <w:rPr>
          <w:rFonts w:eastAsia="Courier New"/>
          <w:b/>
          <w:lang w:bidi="ru-RU"/>
        </w:rPr>
      </w:pPr>
      <w:r>
        <w:rPr>
          <w:rFonts w:eastAsia="Courier New"/>
          <w:b/>
          <w:lang w:bidi="ru-RU"/>
        </w:rPr>
      </w:r>
    </w:p>
    <w:p>
      <w:pPr>
        <w:pStyle w:val="Normal"/>
        <w:widowControl w:val="false"/>
        <w:ind w:firstLine="709" w:left="-567"/>
        <w:jc w:val="both"/>
        <w:rPr>
          <w:rFonts w:eastAsia="Courier New"/>
          <w:lang w:bidi="ru-RU"/>
        </w:rPr>
      </w:pPr>
      <w:r>
        <w:rPr>
          <w:rFonts w:eastAsia="Courier New"/>
          <w:b/>
          <w:lang w:bidi="ru-RU"/>
        </w:rPr>
        <w:t>Дата и время начала срока подачи заявок на участие в аукционе – 19.08.2026</w:t>
      </w:r>
      <w:r>
        <w:rPr>
          <w:rFonts w:eastAsia="Courier New"/>
          <w:lang w:bidi="ru-RU"/>
        </w:rPr>
        <w:t xml:space="preserve"> в 9:00 </w:t>
      </w:r>
      <w:r>
        <w:rPr>
          <w:rFonts w:eastAsia="Courier New"/>
          <w:lang w:bidi="ru-RU"/>
        </w:rPr>
        <w:br w:type="textWrapping" w:clear="all"/>
      </w:r>
      <w:r>
        <w:rPr>
          <w:rFonts w:eastAsia="Courier New"/>
          <w:lang w:bidi="ru-RU"/>
        </w:rPr>
        <w:t>по местному времени (7:00 МСК).</w:t>
      </w:r>
    </w:p>
    <w:p>
      <w:pPr>
        <w:pStyle w:val="Normal"/>
        <w:widowControl w:val="false"/>
        <w:ind w:firstLine="709" w:left="-567"/>
        <w:jc w:val="both"/>
        <w:rPr>
          <w:rFonts w:eastAsia="Courier New"/>
          <w:lang w:bidi="ru-RU"/>
        </w:rPr>
      </w:pPr>
      <w:r>
        <w:rPr>
          <w:rFonts w:eastAsia="Courier New"/>
          <w:lang w:bidi="ru-RU"/>
        </w:rPr>
      </w:r>
    </w:p>
    <w:p>
      <w:pPr>
        <w:pStyle w:val="Normal"/>
        <w:widowControl w:val="false"/>
        <w:ind w:firstLine="709" w:left="-567"/>
        <w:jc w:val="both"/>
        <w:rPr>
          <w:rFonts w:eastAsia="Courier New"/>
          <w:b/>
          <w:lang w:bidi="ru-RU"/>
        </w:rPr>
      </w:pPr>
      <w:r>
        <w:rPr>
          <w:rFonts w:eastAsia="Courier New"/>
          <w:b/>
          <w:lang w:bidi="ru-RU"/>
        </w:rPr>
        <w:t>Дата и время окончания срока подачи заявок на участие в аукционе – 08.09.2026</w:t>
      </w:r>
      <w:r>
        <w:rPr>
          <w:rFonts w:eastAsia="Courier New"/>
          <w:lang w:bidi="ru-RU"/>
        </w:rPr>
        <w:t xml:space="preserve"> </w:t>
      </w:r>
      <w:r>
        <w:rPr>
          <w:rFonts w:eastAsia="Courier New"/>
          <w:lang w:bidi="ru-RU"/>
        </w:rPr>
        <w:br w:type="textWrapping" w:clear="all"/>
      </w:r>
      <w:r>
        <w:rPr>
          <w:rFonts w:eastAsia="Courier New"/>
          <w:lang w:bidi="ru-RU"/>
        </w:rPr>
        <w:t xml:space="preserve">в 18:00 по местному времени (16:00 МСК). </w:t>
      </w:r>
    </w:p>
    <w:p>
      <w:pPr>
        <w:pStyle w:val="Normal"/>
        <w:widowControl w:val="false"/>
        <w:ind w:firstLine="709" w:left="-567"/>
        <w:jc w:val="both"/>
        <w:rPr>
          <w:rFonts w:eastAsia="Courier New"/>
          <w:b/>
          <w:lang w:bidi="ru-RU"/>
        </w:rPr>
      </w:pPr>
      <w:r>
        <w:rPr>
          <w:rFonts w:eastAsia="Courier New"/>
          <w:b/>
          <w:lang w:bidi="ru-RU"/>
        </w:rPr>
      </w:r>
    </w:p>
    <w:p>
      <w:pPr>
        <w:pStyle w:val="Normal"/>
        <w:widowControl w:val="false"/>
        <w:ind w:firstLine="709" w:left="-567"/>
        <w:jc w:val="both"/>
        <w:rPr>
          <w:rFonts w:eastAsia="Courier New"/>
          <w:lang w:bidi="ru-RU"/>
        </w:rPr>
      </w:pPr>
      <w:r>
        <w:rPr>
          <w:rFonts w:eastAsia="Courier New"/>
          <w:b/>
          <w:lang w:bidi="ru-RU"/>
        </w:rPr>
        <w:t>Дата окончания срока рассмотрения заявок на участие в аукционе (определение участников аукциона)</w:t>
      </w:r>
      <w:r>
        <w:rPr>
          <w:rFonts w:eastAsia="Courier New"/>
          <w:lang w:bidi="ru-RU"/>
        </w:rPr>
        <w:t xml:space="preserve"> –</w:t>
      </w:r>
      <w:r>
        <w:rPr>
          <w:rFonts w:eastAsia="Courier New"/>
          <w:b/>
          <w:bCs/>
          <w:lang w:bidi="ru-RU"/>
        </w:rPr>
        <w:t xml:space="preserve"> 09.09.2026. </w:t>
      </w:r>
    </w:p>
    <w:p>
      <w:pPr>
        <w:pStyle w:val="Normal"/>
        <w:widowControl w:val="false"/>
        <w:ind w:firstLine="709" w:left="-567"/>
        <w:jc w:val="both"/>
        <w:rPr>
          <w:rFonts w:eastAsia="Courier New"/>
          <w:b/>
          <w:bCs/>
          <w:lang w:bidi="ru-RU"/>
        </w:rPr>
      </w:pPr>
      <w:r>
        <w:rPr>
          <w:rFonts w:eastAsia="Courier New"/>
          <w:b/>
          <w:bCs/>
          <w:lang w:bidi="ru-RU"/>
        </w:rPr>
      </w:r>
    </w:p>
    <w:p>
      <w:pPr>
        <w:pStyle w:val="Normal"/>
        <w:widowControl w:val="false"/>
        <w:ind w:firstLine="709" w:left="-567"/>
        <w:jc w:val="both"/>
        <w:rPr>
          <w:rFonts w:eastAsia="Courier New"/>
          <w:b/>
          <w:lang w:bidi="ru-RU"/>
        </w:rPr>
      </w:pPr>
      <w:r>
        <w:rPr>
          <w:rFonts w:eastAsia="Courier New"/>
          <w:b/>
          <w:bCs/>
          <w:lang w:bidi="ru-RU"/>
        </w:rPr>
        <w:t xml:space="preserve">Дата проведения аукциона (дата и время начала приема предложений </w:t>
      </w:r>
      <w:r>
        <w:rPr>
          <w:rFonts w:eastAsia="Courier New"/>
          <w:b/>
          <w:bCs/>
          <w:lang w:bidi="ru-RU"/>
        </w:rPr>
        <w:br w:type="textWrapping" w:clear="all"/>
      </w:r>
      <w:r>
        <w:rPr>
          <w:rFonts w:eastAsia="Courier New"/>
          <w:b/>
          <w:bCs/>
          <w:lang w:bidi="ru-RU"/>
        </w:rPr>
        <w:t>от участников аукциона) – 10.09</w:t>
      </w:r>
      <w:r>
        <w:rPr>
          <w:rFonts w:eastAsia="Courier New"/>
          <w:b/>
          <w:lang w:bidi="ru-RU"/>
        </w:rPr>
        <w:t>.2026</w:t>
      </w:r>
      <w:r>
        <w:rPr>
          <w:rFonts w:eastAsia="Courier New"/>
          <w:lang w:bidi="ru-RU"/>
        </w:rPr>
        <w:t xml:space="preserve"> в 09:00 по местному времени (07:00 МСК). </w:t>
      </w:r>
    </w:p>
    <w:p>
      <w:pPr>
        <w:pStyle w:val="Normal"/>
        <w:widowControl w:val="false"/>
        <w:ind w:firstLine="709" w:left="-567"/>
        <w:jc w:val="both"/>
        <w:rPr>
          <w:rFonts w:eastAsia="Courier New"/>
          <w:b/>
          <w:lang w:bidi="ru-RU"/>
        </w:rPr>
      </w:pPr>
      <w:r>
        <w:rPr>
          <w:rFonts w:eastAsia="Courier New"/>
          <w:b/>
          <w:lang w:bidi="ru-RU"/>
        </w:rPr>
      </w:r>
    </w:p>
    <w:p>
      <w:pPr>
        <w:pStyle w:val="Normal"/>
        <w:widowControl w:val="false"/>
        <w:ind w:firstLine="709" w:left="-567"/>
        <w:jc w:val="both"/>
        <w:rPr/>
      </w:pPr>
      <w:r>
        <w:rPr>
          <w:b/>
        </w:rPr>
        <w:t>Место подачи (приема) заявок и место проведения аукциона:</w:t>
      </w:r>
      <w:r>
        <w:rPr/>
        <w:t xml:space="preserve">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pPr>
        <w:pStyle w:val="Normal"/>
        <w:widowControl w:val="false"/>
        <w:jc w:val="both"/>
        <w:rPr/>
      </w:pPr>
      <w:r>
        <w:rPr/>
      </w:r>
    </w:p>
    <w:p>
      <w:pPr>
        <w:pStyle w:val="Normal"/>
        <w:widowControl w:val="false"/>
        <w:ind w:firstLine="709" w:left="-567"/>
        <w:jc w:val="center"/>
        <w:rPr>
          <w:b/>
        </w:rPr>
      </w:pPr>
      <w:r>
        <w:rPr>
          <w:b/>
        </w:rPr>
        <w:t>Плата оператору электронной площадки за участие в электронном аукционе</w:t>
      </w:r>
    </w:p>
    <w:p>
      <w:pPr>
        <w:pStyle w:val="Normal"/>
        <w:widowControl w:val="false"/>
        <w:ind w:firstLine="709" w:left="-567"/>
        <w:jc w:val="center"/>
        <w:rPr>
          <w:b/>
        </w:rPr>
      </w:pPr>
      <w:r>
        <w:rPr>
          <w:b/>
        </w:rPr>
      </w:r>
    </w:p>
    <w:p>
      <w:pPr>
        <w:pStyle w:val="Normal"/>
        <w:widowControl w:val="false"/>
        <w:ind w:firstLine="709" w:left="-567"/>
        <w:jc w:val="both"/>
        <w:rPr/>
      </w:pPr>
      <w:r>
        <w:rPr/>
        <w:t xml:space="preserve">В соответствии с постановлением Правительства Российской Федерации от 10 мая 2018 г. </w:t>
      </w:r>
      <w:r>
        <w:rPr/>
        <w:br w:type="textWrapping" w:clear="all"/>
      </w:r>
      <w:r>
        <w:rPr/>
        <w:t>№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установления ее предельных размеров» оператор электронной площадки вправе взимать плату с победителя аукциона или иного лица, с которыми в соответствии с пунктами 13, 14, 20 и 25 статьи 39.12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в размере 1% начальной цены предмета аукциона, но не более 5 тыс. рублей без учета налога на добавленную стоимость.</w:t>
      </w:r>
    </w:p>
    <w:p>
      <w:pPr>
        <w:pStyle w:val="Normal"/>
        <w:widowControl w:val="false"/>
        <w:ind w:firstLine="709" w:left="-567"/>
        <w:jc w:val="both"/>
        <w:rPr/>
      </w:pPr>
      <w:r>
        <w:rPr/>
        <w:t>По информации оператора электронной площадки АО «Сбербанк-АСТ» в настоящее время взимание платы не установлено.</w:t>
      </w:r>
    </w:p>
    <w:p>
      <w:pPr>
        <w:pStyle w:val="Normal"/>
        <w:widowControl w:val="false"/>
        <w:ind w:firstLine="709" w:left="-567"/>
        <w:jc w:val="both"/>
        <w:rPr/>
      </w:pPr>
      <w:r>
        <w:rPr/>
      </w:r>
    </w:p>
    <w:p>
      <w:pPr>
        <w:pStyle w:val="Normal"/>
        <w:widowControl w:val="false"/>
        <w:spacing w:before="0" w:after="0"/>
        <w:ind w:left="502"/>
        <w:contextualSpacing/>
        <w:jc w:val="center"/>
        <w:rPr>
          <w:b/>
          <w:bCs/>
          <w:lang w:bidi="ru-RU"/>
        </w:rPr>
      </w:pPr>
      <w:r>
        <w:rPr>
          <w:b/>
          <w:bCs/>
          <w:lang w:bidi="ru-RU"/>
        </w:rPr>
        <w:t>Размер задатка для участия в аукционе, порядок его внесения и возврата, реквизиты счета для перечисления задатка</w:t>
      </w:r>
    </w:p>
    <w:p>
      <w:pPr>
        <w:pStyle w:val="Normal"/>
        <w:widowControl w:val="false"/>
        <w:spacing w:before="0" w:after="0"/>
        <w:ind w:left="502"/>
        <w:contextualSpacing/>
        <w:jc w:val="center"/>
        <w:rPr>
          <w:b/>
          <w:bCs/>
          <w:lang w:bidi="ru-RU"/>
        </w:rPr>
      </w:pPr>
      <w:r>
        <w:rPr>
          <w:b/>
          <w:bCs/>
          <w:lang w:bidi="ru-RU"/>
        </w:rPr>
      </w:r>
    </w:p>
    <w:p>
      <w:pPr>
        <w:pStyle w:val="Normal"/>
        <w:widowControl w:val="false"/>
        <w:spacing w:before="0" w:after="0"/>
        <w:ind w:firstLine="567" w:left="-567"/>
        <w:contextualSpacing/>
        <w:jc w:val="both"/>
        <w:rPr>
          <w:bCs/>
          <w:lang w:bidi="ru-RU"/>
        </w:rPr>
      </w:pPr>
      <w:r>
        <w:rPr>
          <w:bCs/>
          <w:lang w:bidi="ru-RU"/>
        </w:rPr>
        <w:t xml:space="preserve">Заявители, зарегистрированные на электронной площадке в установленном порядке, </w:t>
        <w:br/>
        <w:t xml:space="preserve">до подачи заявки на участие в аукционе (далее – заявка), осуществляют перечисление суммы задатка на участие в аукционе на банковские реквизиты Оператора, размещенные в открытой части торговой секции. </w:t>
      </w:r>
    </w:p>
    <w:p>
      <w:pPr>
        <w:pStyle w:val="Normal"/>
        <w:widowControl w:val="false"/>
        <w:spacing w:before="0" w:after="0"/>
        <w:ind w:firstLine="567" w:left="-567"/>
        <w:contextualSpacing/>
        <w:jc w:val="both"/>
        <w:rPr>
          <w:bCs/>
          <w:lang w:bidi="ru-RU"/>
        </w:rPr>
      </w:pPr>
      <w:r>
        <w:rPr>
          <w:bCs/>
          <w:lang w:bidi="ru-RU"/>
        </w:rPr>
        <w:t xml:space="preserve">В момент подачи заявки Оператор проверяет наличие денежной суммы в размере задатка </w:t>
      </w:r>
      <w:r>
        <w:rPr>
          <w:bCs/>
          <w:lang w:bidi="ru-RU"/>
        </w:rPr>
        <w:br w:type="textWrapping" w:clear="all"/>
      </w:r>
      <w:r>
        <w:rPr>
          <w:bCs/>
          <w:lang w:bidi="ru-RU"/>
        </w:rPr>
        <w:t>на лицевом счете заявителя и осуществляет блокирование необходимой денежной суммы.</w:t>
      </w:r>
    </w:p>
    <w:p>
      <w:pPr>
        <w:pStyle w:val="Normal"/>
        <w:widowControl w:val="false"/>
        <w:spacing w:before="0" w:after="0"/>
        <w:ind w:firstLine="567" w:left="-567"/>
        <w:contextualSpacing/>
        <w:jc w:val="both"/>
        <w:rPr>
          <w:bCs/>
          <w:lang w:bidi="ru-RU"/>
        </w:rPr>
      </w:pPr>
      <w:r>
        <w:rPr>
          <w:bCs/>
          <w:lang w:bidi="ru-RU"/>
        </w:rPr>
        <w:t>Представление документов, подтверждающих внесение задатка, признается заключением соглашения о задатке (п.2 ст. 39.12 Земельного кодекса Российской Федерации).</w:t>
      </w:r>
    </w:p>
    <w:p>
      <w:pPr>
        <w:pStyle w:val="Normal"/>
        <w:widowControl w:val="false"/>
        <w:spacing w:before="0" w:after="0"/>
        <w:ind w:firstLine="567" w:left="-567"/>
        <w:contextualSpacing/>
        <w:jc w:val="both"/>
        <w:rPr>
          <w:bCs/>
          <w:lang w:bidi="ru-RU"/>
        </w:rPr>
      </w:pPr>
      <w:r>
        <w:rPr>
          <w:bCs/>
          <w:lang w:bidi="ru-RU"/>
        </w:rPr>
        <w:t>Сумма задатка для участия в аукционе определяется в размере 50 процентов начальной цены предмета аукциона. Размер задатка в извещении о проведении аукциона указан по каждому лоту.</w:t>
      </w:r>
    </w:p>
    <w:p>
      <w:pPr>
        <w:pStyle w:val="Normal"/>
        <w:widowControl w:val="false"/>
        <w:spacing w:before="0" w:after="0"/>
        <w:ind w:firstLine="567" w:left="-567"/>
        <w:contextualSpacing/>
        <w:jc w:val="both"/>
        <w:rPr>
          <w:b/>
          <w:bCs/>
          <w:lang w:bidi="ru-RU"/>
        </w:rPr>
      </w:pPr>
      <w:r>
        <w:rPr>
          <w:bCs/>
          <w:lang w:bidi="ru-RU"/>
        </w:rPr>
        <w:t xml:space="preserve">Перечисление задатка для участия в аукционе и возврат задатка осуществляются с учетом особенностей, установленных регламентом электронной площадки. </w:t>
      </w:r>
    </w:p>
    <w:p>
      <w:pPr>
        <w:pStyle w:val="Normal"/>
        <w:widowControl w:val="false"/>
        <w:ind w:firstLine="567" w:left="-567"/>
        <w:jc w:val="both"/>
        <w:rPr>
          <w:rFonts w:eastAsia="Calibri"/>
          <w:bCs/>
          <w:lang w:eastAsia="en-US"/>
        </w:rPr>
      </w:pPr>
      <w:r>
        <w:rPr>
          <w:b/>
          <w:bCs/>
          <w:lang w:bidi="ru-RU"/>
        </w:rPr>
        <w:t>Задаток перечисляется на реквизиты Оператора электронной площадки (</w:t>
      </w:r>
      <w:hyperlink r:id="rId19" w:tgtFrame="http://utp.sberbank-ast.ru/AP/Notice/653/Requisites">
        <w:r>
          <w:rPr>
            <w:rStyle w:val="Hyperlink"/>
            <w:b/>
            <w:bCs/>
            <w:lang w:bidi="ru-RU"/>
          </w:rPr>
          <w:t>http://utp.sberbank-ast.ru/AP/Notice/653/Requisites</w:t>
        </w:r>
      </w:hyperlink>
      <w:r>
        <w:rPr>
          <w:b/>
          <w:bCs/>
          <w:lang w:bidi="ru-RU"/>
        </w:rPr>
        <w:t>).</w:t>
      </w:r>
    </w:p>
    <w:p>
      <w:pPr>
        <w:pStyle w:val="Normal"/>
        <w:spacing w:lineRule="exact" w:line="240"/>
        <w:rPr>
          <w:rFonts w:eastAsia="Calibri"/>
          <w:bCs/>
          <w:lang w:eastAsia="en-US"/>
        </w:rPr>
      </w:pPr>
      <w:r>
        <w:rPr>
          <w:rFonts w:eastAsia="Calibri"/>
          <w:bCs/>
          <w:lang w:eastAsia="en-US"/>
        </w:rPr>
        <w:t>Получатель: АО «Сбербанк-АСТ»</w:t>
      </w:r>
    </w:p>
    <w:p>
      <w:pPr>
        <w:pStyle w:val="Normal"/>
        <w:spacing w:lineRule="exact" w:line="240"/>
        <w:rPr>
          <w:rFonts w:eastAsia="Calibri"/>
          <w:bCs/>
          <w:lang w:eastAsia="en-US"/>
        </w:rPr>
      </w:pPr>
      <w:r>
        <w:rPr>
          <w:rFonts w:eastAsia="Calibri"/>
          <w:bCs/>
          <w:lang w:eastAsia="en-US"/>
        </w:rPr>
        <w:t xml:space="preserve">ИНН: 7707308480, КПП: 770401001, </w:t>
      </w:r>
    </w:p>
    <w:p>
      <w:pPr>
        <w:pStyle w:val="Normal"/>
        <w:spacing w:lineRule="exact" w:line="240"/>
        <w:rPr/>
      </w:pPr>
      <w:r>
        <w:rPr>
          <w:rFonts w:eastAsia="Calibri"/>
          <w:bCs/>
          <w:lang w:eastAsia="en-US"/>
        </w:rPr>
        <w:t>Банк получателя: ПАО «СБЕРБАНК РОССИИ» Г. МОСКВА</w:t>
      </w:r>
    </w:p>
    <w:p>
      <w:pPr>
        <w:pStyle w:val="Normal"/>
        <w:spacing w:lineRule="exact" w:line="240"/>
        <w:rPr>
          <w:rFonts w:eastAsia="Calibri"/>
          <w:bCs/>
          <w:lang w:eastAsia="en-US"/>
        </w:rPr>
      </w:pPr>
      <w:r>
        <w:rPr/>
        <w:t xml:space="preserve">Расчетный счет: </w:t>
      </w:r>
      <w:r>
        <w:rPr>
          <w:rFonts w:eastAsia="Calibri"/>
          <w:bCs/>
          <w:lang w:eastAsia="en-US"/>
        </w:rPr>
        <w:t>40702810300020038047</w:t>
      </w:r>
    </w:p>
    <w:p>
      <w:pPr>
        <w:pStyle w:val="Normal"/>
        <w:spacing w:lineRule="exact" w:line="240"/>
        <w:rPr>
          <w:rFonts w:eastAsia="Calibri"/>
          <w:bCs/>
          <w:lang w:eastAsia="en-US"/>
        </w:rPr>
      </w:pPr>
      <w:r>
        <w:rPr>
          <w:rFonts w:eastAsia="Calibri"/>
          <w:bCs/>
          <w:lang w:eastAsia="en-US"/>
        </w:rPr>
        <w:t>БИК: 044525225</w:t>
      </w:r>
    </w:p>
    <w:p>
      <w:pPr>
        <w:pStyle w:val="Normal"/>
        <w:spacing w:lineRule="exact" w:line="240"/>
        <w:rPr>
          <w:bCs/>
          <w:lang w:bidi="ru-RU"/>
        </w:rPr>
      </w:pPr>
      <w:r>
        <w:rPr>
          <w:rFonts w:eastAsia="Calibri"/>
          <w:bCs/>
          <w:lang w:eastAsia="en-US"/>
        </w:rPr>
        <w:t>Корреспондентский счет: 30101810400000000225</w:t>
      </w:r>
    </w:p>
    <w:p>
      <w:pPr>
        <w:pStyle w:val="Normal"/>
        <w:widowControl w:val="false"/>
        <w:ind w:firstLine="567" w:left="-567"/>
        <w:jc w:val="both"/>
        <w:rPr>
          <w:b/>
        </w:rPr>
      </w:pPr>
      <w:r>
        <w:rPr>
          <w:bCs/>
          <w:lang w:bidi="ru-RU"/>
        </w:rPr>
        <w:t>В платёжном поручении в части «Назначение платежа» необходимо указать: Задаток по лоту  № ___, ИНН плательщика. НДС не облагается.</w:t>
      </w:r>
    </w:p>
    <w:p>
      <w:pPr>
        <w:pStyle w:val="Normal"/>
        <w:widowControl w:val="false"/>
        <w:ind w:firstLine="567" w:left="-567"/>
        <w:jc w:val="both"/>
        <w:rPr>
          <w:bCs/>
          <w:lang w:bidi="ru-RU"/>
        </w:rPr>
      </w:pPr>
      <w:r>
        <w:rPr>
          <w:b/>
        </w:rPr>
        <w:t xml:space="preserve">Срок внесения задатка, т.е. поступления суммы задатка на счет </w:t>
      </w:r>
      <w:r>
        <w:rPr>
          <w:rFonts w:eastAsia="Calibri"/>
          <w:b/>
        </w:rPr>
        <w:t>Оператора</w:t>
      </w:r>
      <w:r>
        <w:rPr>
          <w:b/>
        </w:rPr>
        <w:t xml:space="preserve">: </w:t>
      </w:r>
      <w:r>
        <w:rPr>
          <w:b/>
        </w:rPr>
        <w:br w:type="textWrapping" w:clear="all"/>
      </w:r>
      <w:r>
        <w:rPr>
          <w:bCs/>
          <w:lang w:bidi="ru-RU"/>
        </w:rPr>
        <w:t>c 19.08.2026 по 08.09.2026.</w:t>
      </w:r>
    </w:p>
    <w:p>
      <w:pPr>
        <w:pStyle w:val="Normal"/>
        <w:widowControl w:val="false"/>
        <w:ind w:firstLine="709" w:left="-567"/>
        <w:jc w:val="both"/>
        <w:rPr>
          <w:bCs/>
          <w:lang w:bidi="ru-RU"/>
        </w:rPr>
      </w:pPr>
      <w:r>
        <w:rPr>
          <w:bCs/>
          <w:lang w:bidi="ru-RU"/>
        </w:rPr>
      </w:r>
    </w:p>
    <w:p>
      <w:pPr>
        <w:pStyle w:val="Normal"/>
        <w:widowControl w:val="false"/>
        <w:ind w:firstLine="709" w:left="-567"/>
        <w:jc w:val="center"/>
        <w:rPr>
          <w:b/>
          <w:lang w:bidi="ru-RU"/>
        </w:rPr>
      </w:pPr>
      <w:r>
        <w:rPr>
          <w:b/>
          <w:lang w:bidi="ru-RU"/>
        </w:rPr>
        <w:t>Порядок возврата задатка:</w:t>
      </w:r>
    </w:p>
    <w:p>
      <w:pPr>
        <w:pStyle w:val="Normal"/>
        <w:widowControl w:val="false"/>
        <w:ind w:firstLine="709" w:left="-567"/>
        <w:jc w:val="both"/>
        <w:rPr>
          <w:b/>
          <w:lang w:bidi="ru-RU"/>
        </w:rPr>
      </w:pPr>
      <w:r>
        <w:rPr>
          <w:b/>
          <w:lang w:bidi="ru-RU"/>
        </w:rPr>
      </w:r>
    </w:p>
    <w:p>
      <w:pPr>
        <w:pStyle w:val="Normal"/>
        <w:widowControl w:val="false"/>
        <w:spacing w:before="0" w:after="0"/>
        <w:ind w:firstLine="567" w:left="-567"/>
        <w:contextualSpacing/>
        <w:jc w:val="both"/>
        <w:rPr>
          <w:lang w:bidi="ru-RU"/>
        </w:rPr>
      </w:pPr>
      <w:r>
        <w:rPr>
          <w:bCs/>
          <w:lang w:bidi="ru-RU"/>
        </w:rPr>
        <w:t>Задаток возвращается лицам, участвовавшим в аукционе, но не победившим в нем, в течение трех ра</w:t>
      </w:r>
      <w:r>
        <w:rPr>
          <w:bCs/>
          <w:shd w:fill="auto" w:val="clear"/>
          <w:lang w:bidi="ru-RU"/>
        </w:rPr>
        <w:t xml:space="preserve">бочих дней со дня подписания протокола о результатах аукциона, </w:t>
      </w:r>
      <w:r>
        <w:rPr>
          <w:b w:val="false"/>
          <w:bCs/>
          <w:shd w:fill="auto" w:val="clear"/>
          <w:lang w:bidi="ru-RU"/>
        </w:rPr>
        <w:t>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земельного участка.</w:t>
      </w:r>
    </w:p>
    <w:p>
      <w:pPr>
        <w:pStyle w:val="Normal"/>
        <w:widowControl w:val="false"/>
        <w:spacing w:before="0" w:after="0"/>
        <w:ind w:firstLine="567" w:left="-567"/>
        <w:contextualSpacing/>
        <w:jc w:val="both"/>
        <w:rPr>
          <w:highlight w:val="none"/>
          <w:shd w:fill="auto" w:val="clear"/>
        </w:rPr>
      </w:pPr>
      <w:r>
        <w:rPr>
          <w:shd w:fill="auto" w:val="clear"/>
          <w:lang w:bidi="ru-RU"/>
        </w:rPr>
        <w:t xml:space="preserve">Заявителю, не допущенному к участию в аукционе, внесенный им задаток возвращается </w:t>
      </w:r>
      <w:r>
        <w:rPr>
          <w:shd w:fill="auto" w:val="clear"/>
          <w:lang w:bidi="ru-RU"/>
        </w:rPr>
        <w:br w:type="textWrapping" w:clear="all"/>
      </w:r>
      <w:r>
        <w:rPr>
          <w:shd w:fill="auto" w:val="clear"/>
          <w:lang w:bidi="ru-RU"/>
        </w:rPr>
        <w:t xml:space="preserve">в течение трех рабочих дней со дня оформления протокола рассмотрения заявок на участие                                в аукционе. </w:t>
      </w:r>
    </w:p>
    <w:p>
      <w:pPr>
        <w:pStyle w:val="Normal"/>
        <w:widowControl w:val="false"/>
        <w:ind w:firstLine="567" w:left="-567"/>
        <w:jc w:val="both"/>
        <w:rPr>
          <w:highlight w:val="none"/>
          <w:shd w:fill="auto" w:val="clear"/>
        </w:rPr>
      </w:pPr>
      <w:r>
        <w:rPr>
          <w:shd w:fill="auto" w:val="clear"/>
          <w:lang w:bidi="ru-RU"/>
        </w:rPr>
        <w:t xml:space="preserve">Оператор прекращает блокирование в отношении денежных средств участников аукциона, заблокированных в размере задатков на их лицевых счетах на электронной площадке после публикации протокола о результатах аукциона, за исключением единственного заявителя, признанного участником аукциона, победителя аукциона, единственного принявшего участие </w:t>
        <w:br/>
        <w:t xml:space="preserve">в аукционе участника, а также </w:t>
      </w:r>
      <w:r>
        <w:rPr>
          <w:b w:val="false"/>
          <w:shd w:fill="auto" w:val="clear"/>
          <w:lang w:bidi="ru-RU"/>
        </w:rPr>
        <w:t>участника аукциона, который сделал предпоследнее предложение                       о цене предмета аукциона.</w:t>
      </w:r>
    </w:p>
    <w:p>
      <w:pPr>
        <w:pStyle w:val="Normal"/>
        <w:widowControl w:val="false"/>
        <w:ind w:firstLine="567" w:left="-567"/>
        <w:jc w:val="both"/>
        <w:rPr>
          <w:highlight w:val="none"/>
          <w:shd w:fill="auto" w:val="clear"/>
        </w:rPr>
      </w:pPr>
      <w:r>
        <w:rPr>
          <w:shd w:fill="auto" w:val="clear"/>
          <w:lang w:bidi="ru-RU"/>
        </w:rPr>
        <w:t xml:space="preserve">Организатор аукциона посредством штатного интерфейса торговой секции </w:t>
      </w:r>
      <w:r>
        <w:rPr>
          <w:shd w:fill="auto" w:val="clear"/>
          <w:lang w:bidi="ru-RU"/>
        </w:rPr>
        <w:br w:type="textWrapping" w:clear="all"/>
      </w:r>
      <w:r>
        <w:rPr>
          <w:shd w:fill="auto" w:val="clear"/>
          <w:lang w:bidi="ru-RU"/>
        </w:rPr>
        <w:t>в установленные сроки формирует поручение Оператору:</w:t>
      </w:r>
    </w:p>
    <w:p>
      <w:pPr>
        <w:pStyle w:val="Normal"/>
        <w:widowControl w:val="false"/>
        <w:ind w:firstLine="567" w:left="-567"/>
        <w:jc w:val="both"/>
        <w:rPr>
          <w:highlight w:val="none"/>
          <w:shd w:fill="auto" w:val="clear"/>
        </w:rPr>
      </w:pPr>
      <w:r>
        <w:rPr>
          <w:shd w:fill="auto" w:val="clear"/>
          <w:lang w:bidi="ru-RU"/>
        </w:rPr>
        <w:t>- о перечислении задатка единственного заявителя, признанного участником аукциона,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w:t>
      </w:r>
    </w:p>
    <w:p>
      <w:pPr>
        <w:pStyle w:val="Normal"/>
        <w:widowControl w:val="false"/>
        <w:ind w:firstLine="567" w:left="-567"/>
        <w:jc w:val="both"/>
        <w:rPr>
          <w:highlight w:val="none"/>
          <w:shd w:fill="auto" w:val="clear"/>
        </w:rPr>
      </w:pPr>
      <w:r>
        <w:rPr>
          <w:bCs/>
          <w:shd w:fill="auto" w:val="clear"/>
          <w:lang w:bidi="ru-RU"/>
        </w:rPr>
        <w:t xml:space="preserve">Задаток, внесенный лицом, признанным победителем аукциона, задаток, внесенный иным лицом, с которым договор купли-продажи земельного участка заключается в соответствии                                  с пунктами 13, 14, 20 или 25 ст. 39.12 Земельного кодекса Российской Федерации, засчитываются                                   в оплату приобретаемого земельного участка. Задатки, внесенные этими лицами, не заключившими         в установленном настоящей статьей порядке договор купли-продажи земельного участка вследствие уклонения от заключения указанного договора, не возвращаются. </w:t>
      </w:r>
    </w:p>
    <w:p>
      <w:pPr>
        <w:pStyle w:val="Normal"/>
        <w:widowControl w:val="false"/>
        <w:spacing w:lineRule="auto" w:line="276"/>
        <w:jc w:val="both"/>
        <w:rPr>
          <w:bCs/>
          <w:highlight w:val="none"/>
          <w:shd w:fill="auto" w:val="clear"/>
          <w:lang w:bidi="ru-RU"/>
        </w:rPr>
      </w:pPr>
      <w:r>
        <w:rPr>
          <w:bCs/>
          <w:shd w:fill="auto" w:val="clear"/>
          <w:lang w:bidi="ru-RU"/>
        </w:rPr>
      </w:r>
    </w:p>
    <w:p>
      <w:pPr>
        <w:pStyle w:val="Normal"/>
        <w:widowControl w:val="false"/>
        <w:jc w:val="center"/>
        <w:rPr>
          <w:highlight w:val="none"/>
          <w:shd w:fill="auto" w:val="clear"/>
        </w:rPr>
      </w:pPr>
      <w:r>
        <w:rPr>
          <w:b/>
          <w:shd w:fill="auto" w:val="clear"/>
        </w:rPr>
        <w:t>Организатор аукциона вправе:</w:t>
      </w:r>
    </w:p>
    <w:p>
      <w:pPr>
        <w:pStyle w:val="Normal"/>
        <w:widowControl w:val="false"/>
        <w:jc w:val="center"/>
        <w:rPr>
          <w:rFonts w:eastAsia="Courier New"/>
          <w:highlight w:val="none"/>
          <w:shd w:fill="auto" w:val="clear"/>
          <w:lang w:bidi="ru-RU"/>
        </w:rPr>
      </w:pPr>
      <w:r>
        <w:rPr>
          <w:rFonts w:eastAsia="Courier New"/>
          <w:shd w:fill="auto" w:val="clear"/>
          <w:lang w:bidi="ru-RU"/>
        </w:rPr>
      </w:r>
    </w:p>
    <w:p>
      <w:pPr>
        <w:pStyle w:val="BodyText"/>
        <w:widowControl w:val="false"/>
        <w:ind w:firstLine="709" w:left="-567"/>
        <w:jc w:val="both"/>
        <w:rPr>
          <w:highlight w:val="none"/>
          <w:shd w:fill="auto" w:val="clear"/>
        </w:rPr>
      </w:pPr>
      <w:r>
        <w:rPr>
          <w:rFonts w:eastAsia="Droid Sans Fallback" w:cs="Lohit Devanagari"/>
          <w:color w:val="000000"/>
          <w:sz w:val="24"/>
          <w:szCs w:val="24"/>
          <w:shd w:fill="auto" w:val="clear"/>
          <w:lang w:val="ru-RU" w:eastAsia="zh-CN" w:bidi="ar-SA"/>
        </w:rPr>
        <w:t xml:space="preserve">Не позднее чем за один рабочий день до даты окончания приема заявок на участие в аукционе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 19 ст. 39.11 Земельного кодекса Российской Федерации, изменений в извещение о проведении аукциона до дня проведения аукциона такой срок составлял не менее десяти рабочих дней. </w:t>
      </w:r>
      <w:r>
        <w:rPr>
          <w:rFonts w:eastAsia="Droid Sans Fallback" w:cs="Lohit Devanagari"/>
          <w:b w:val="false"/>
          <w:color w:val="000000"/>
          <w:sz w:val="24"/>
          <w:szCs w:val="24"/>
          <w:shd w:fill="auto" w:val="clear"/>
          <w:lang w:val="ru-RU" w:eastAsia="zh-CN" w:bidi="ar-SA"/>
        </w:rPr>
        <w:t xml:space="preserve">Информация о внесении изменений в извещение                                    о проведении аукциона размещается на официальных сайтах </w:t>
      </w:r>
      <w:r>
        <w:rPr>
          <w:rFonts w:eastAsia="Droid Sans Fallback" w:cs="Lohit Devanagari"/>
          <w:b w:val="false"/>
          <w:bCs/>
          <w:color w:val="000000"/>
          <w:sz w:val="24"/>
          <w:szCs w:val="24"/>
          <w:shd w:fill="auto" w:val="clear"/>
          <w:lang w:val="ru-RU" w:eastAsia="zh-CN" w:bidi="ar-SA"/>
        </w:rPr>
        <w:t>www.torgi.gov.ru,  www.gorodperm.ru.</w:t>
      </w:r>
    </w:p>
    <w:p>
      <w:pPr>
        <w:pStyle w:val="BodyText"/>
        <w:widowControl w:val="false"/>
        <w:ind w:firstLine="709" w:left="-567"/>
        <w:jc w:val="both"/>
        <w:rPr>
          <w:highlight w:val="none"/>
          <w:shd w:fill="auto" w:val="clear"/>
        </w:rPr>
      </w:pPr>
      <w:r>
        <w:rPr>
          <w:rFonts w:eastAsia="Droid Sans Fallback" w:cs="Lohit Devanagari"/>
          <w:b w:val="false"/>
          <w:color w:val="000000"/>
          <w:sz w:val="24"/>
          <w:szCs w:val="24"/>
          <w:shd w:fill="auto" w:val="clear"/>
          <w:lang w:val="ru-RU" w:eastAsia="zh-CN" w:bidi="ar-SA"/>
        </w:rPr>
        <w:t xml:space="preserve">В случае, если за один рабочий день до даты окончания приема заявок на участие в аукционе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соответствии </w:t>
        <w:br/>
        <w:t>с правилами, предусмотренными п. 22.1  ст. 39.11 Земельного кодекса Российской Федерации.</w:t>
      </w:r>
    </w:p>
    <w:p>
      <w:pPr>
        <w:pStyle w:val="Normal"/>
        <w:widowControl w:val="false"/>
        <w:ind w:firstLine="567" w:left="-567"/>
        <w:jc w:val="both"/>
        <w:rPr/>
      </w:pPr>
      <w:r>
        <w:rPr>
          <w:shd w:fill="auto" w:val="clear"/>
        </w:rPr>
        <w:t xml:space="preserve">В соответствии с п. 4 ст. 448 Гражданского кодекса Российской Федерации отказаться </w:t>
      </w:r>
      <w:r>
        <w:rPr/>
        <w:br w:type="textWrapping" w:clear="all"/>
      </w:r>
      <w:r>
        <w:rPr/>
        <w:t xml:space="preserve">от проведения аукциона в любое время, но не позднее чем за три дня до наступления даты </w:t>
      </w:r>
      <w:r>
        <w:rPr/>
        <w:br w:type="textWrapping" w:clear="all"/>
      </w:r>
      <w:r>
        <w:rPr/>
        <w:t xml:space="preserve">его проведения, указанной в извещении </w:t>
      </w:r>
      <w:r>
        <w:rPr>
          <w:shd w:fill="auto" w:val="clear"/>
        </w:rPr>
        <w:t xml:space="preserve">о проведении аукциона. </w:t>
      </w:r>
    </w:p>
    <w:p>
      <w:pPr>
        <w:pStyle w:val="Normal"/>
        <w:widowControl w:val="false"/>
        <w:jc w:val="center"/>
        <w:rPr>
          <w:highlight w:val="none"/>
          <w:shd w:fill="auto" w:val="clear"/>
        </w:rPr>
      </w:pPr>
      <w:r>
        <w:rPr>
          <w:shd w:fill="auto" w:val="clear"/>
        </w:rPr>
      </w:r>
    </w:p>
    <w:p>
      <w:pPr>
        <w:pStyle w:val="Normal"/>
        <w:widowControl w:val="false"/>
        <w:jc w:val="center"/>
        <w:rPr>
          <w:highlight w:val="none"/>
          <w:shd w:fill="auto" w:val="clear"/>
        </w:rPr>
      </w:pPr>
      <w:r>
        <w:rPr>
          <w:b/>
          <w:shd w:fill="auto" w:val="clear"/>
        </w:rPr>
        <w:t xml:space="preserve">Организатор аукциона обязан:  </w:t>
      </w:r>
    </w:p>
    <w:p>
      <w:pPr>
        <w:pStyle w:val="Normal"/>
        <w:widowControl w:val="false"/>
        <w:ind w:firstLine="567" w:left="-567"/>
        <w:jc w:val="both"/>
        <w:rPr>
          <w:shd w:fill="auto" w:val="clear"/>
        </w:rPr>
      </w:pPr>
      <w:r>
        <w:rPr>
          <w:shd w:fill="auto" w:val="clear"/>
        </w:rPr>
      </w:r>
    </w:p>
    <w:p>
      <w:pPr>
        <w:pStyle w:val="Normal"/>
        <w:widowControl w:val="false"/>
        <w:ind w:firstLine="567" w:left="-567"/>
        <w:jc w:val="both"/>
        <w:rPr>
          <w:highlight w:val="none"/>
          <w:shd w:fill="auto" w:val="clear"/>
        </w:rPr>
      </w:pPr>
      <w:r>
        <w:rPr>
          <w:shd w:fill="auto" w:val="clear"/>
        </w:rPr>
        <w:t xml:space="preserve">Принять решение об отказе в проведении аукциона в случае выявления обстоятельств,предусмотренных п. 8 ст. 39.11 Земельного кодекса Российской Федерации. </w:t>
      </w:r>
    </w:p>
    <w:p>
      <w:pPr>
        <w:pStyle w:val="Normal"/>
        <w:widowControl w:val="false"/>
        <w:ind w:firstLine="567" w:left="-567"/>
        <w:jc w:val="both"/>
        <w:rPr>
          <w:highlight w:val="none"/>
          <w:shd w:fill="auto" w:val="clear"/>
        </w:rPr>
      </w:pPr>
      <w:r>
        <w:rPr>
          <w:shd w:fill="auto" w:val="clear"/>
        </w:rPr>
        <w:t xml:space="preserve">Извещение об отказе в проведении аукциона размещается организатором аукциона </w:t>
        <w:br/>
        <w:t xml:space="preserve">на официальных сайтах  </w:t>
      </w:r>
      <w:r>
        <w:rPr>
          <w:rFonts w:eastAsia="Droid Sans Fallback" w:cs="Lohit Devanagari"/>
          <w:b w:val="false"/>
          <w:bCs/>
          <w:color w:val="000000"/>
          <w:sz w:val="24"/>
          <w:szCs w:val="24"/>
          <w:shd w:fill="auto" w:val="clear"/>
          <w:lang w:val="ru-RU" w:eastAsia="zh-CN" w:bidi="ar-SA"/>
        </w:rPr>
        <w:t xml:space="preserve">www.torgi.gov.ru,  www.gorodperm.ru </w:t>
      </w:r>
      <w:r>
        <w:rPr>
          <w:shd w:fill="auto" w:val="clear"/>
        </w:rPr>
        <w:t xml:space="preserve"> и на электронной площадке в течение трех дней со дня принятия данного решения.</w:t>
      </w:r>
    </w:p>
    <w:p>
      <w:pPr>
        <w:pStyle w:val="Normal"/>
        <w:widowControl w:val="false"/>
        <w:ind w:firstLine="567" w:left="-567"/>
        <w:jc w:val="both"/>
        <w:rPr>
          <w:highlight w:val="none"/>
          <w:shd w:fill="auto" w:val="clear"/>
        </w:rPr>
      </w:pPr>
      <w:r>
        <w:rPr>
          <w:shd w:fill="auto" w:val="clear"/>
        </w:rPr>
        <w:t>В течение трех дней со дня принятия решения об отказе в проведении аукциона участники аукциона извещаются об отказе в проведении аукциона, внесенные задатки возвращаются его участникам.</w:t>
      </w:r>
    </w:p>
    <w:p>
      <w:pPr>
        <w:pStyle w:val="Normal"/>
        <w:widowControl w:val="false"/>
        <w:ind w:firstLine="567" w:left="-567"/>
        <w:jc w:val="both"/>
        <w:rPr>
          <w:highlight w:val="none"/>
          <w:shd w:fill="auto" w:val="clear"/>
        </w:rPr>
      </w:pPr>
      <w:r>
        <w:rPr>
          <w:shd w:fill="auto" w:val="clear"/>
        </w:rPr>
        <w:t xml:space="preserve">В случае отказа от проведения аукциона организатором (в т. ч. одного или нескольких лотов), Оператор в течение одного часа прекращает блокирование денежных средств участников аукциона </w:t>
        <w:br/>
        <w:t>в размере задатка на их лицевых счетах на электронной площадке.</w:t>
      </w:r>
    </w:p>
    <w:p>
      <w:pPr>
        <w:pStyle w:val="Normal"/>
        <w:widowControl w:val="false"/>
        <w:jc w:val="both"/>
        <w:rPr>
          <w:highlight w:val="none"/>
          <w:shd w:fill="auto" w:val="clear"/>
        </w:rPr>
      </w:pPr>
      <w:r>
        <w:rPr>
          <w:shd w:fill="auto" w:val="clear"/>
        </w:rPr>
      </w:r>
    </w:p>
    <w:p>
      <w:pPr>
        <w:pStyle w:val="Normal"/>
        <w:widowControl w:val="false"/>
        <w:ind w:left="502"/>
        <w:jc w:val="center"/>
        <w:rPr>
          <w:highlight w:val="none"/>
          <w:shd w:fill="auto" w:val="clear"/>
        </w:rPr>
      </w:pPr>
      <w:r>
        <w:rPr>
          <w:rFonts w:eastAsia="Courier New"/>
          <w:b/>
          <w:shd w:fill="auto" w:val="clear"/>
          <w:lang w:bidi="ru-RU"/>
        </w:rPr>
        <w:t>Порядок регистрации на электронной площадке</w:t>
      </w:r>
    </w:p>
    <w:p>
      <w:pPr>
        <w:pStyle w:val="Normal"/>
        <w:widowControl w:val="false"/>
        <w:ind w:firstLine="709" w:left="-567"/>
        <w:jc w:val="both"/>
        <w:rPr>
          <w:rFonts w:eastAsia="Courier New"/>
          <w:b/>
          <w:bCs/>
          <w:highlight w:val="none"/>
          <w:shd w:fill="auto" w:val="clear"/>
          <w:lang w:bidi="ru-RU"/>
        </w:rPr>
      </w:pPr>
      <w:r>
        <w:rPr>
          <w:rFonts w:eastAsia="Courier New"/>
          <w:b/>
          <w:bCs/>
          <w:shd w:fill="auto" w:val="clear"/>
          <w:lang w:bidi="ru-RU"/>
        </w:rPr>
      </w:r>
    </w:p>
    <w:p>
      <w:pPr>
        <w:pStyle w:val="Normal"/>
        <w:widowControl w:val="false"/>
        <w:ind w:firstLine="567" w:left="-567"/>
        <w:jc w:val="both"/>
        <w:rPr>
          <w:highlight w:val="none"/>
          <w:shd w:fill="auto" w:val="clear"/>
        </w:rPr>
      </w:pPr>
      <w:r>
        <w:rPr>
          <w:bCs/>
          <w:shd w:fill="auto" w:val="clear"/>
          <w:lang w:bidi="ru-RU"/>
        </w:rPr>
        <w:t>Для обеспечения доступа к участию в аукционе заявителю необходимо пройти процедуру регистрации на электронной площадке. Регистрации на электронной площадке подлежат лица, ранее не зарегистрированные на электронной площадке.</w:t>
      </w:r>
    </w:p>
    <w:p>
      <w:pPr>
        <w:pStyle w:val="Normal"/>
        <w:widowControl w:val="false"/>
        <w:ind w:firstLine="567" w:left="-567"/>
        <w:jc w:val="both"/>
        <w:rPr>
          <w:highlight w:val="none"/>
          <w:shd w:fill="auto" w:val="clear"/>
        </w:rPr>
      </w:pPr>
      <w:r>
        <w:rPr>
          <w:bCs/>
          <w:shd w:fill="auto" w:val="clear"/>
          <w:lang w:bidi="ru-RU"/>
        </w:rPr>
        <w:t>Регистрация на электронной площадке проводится в соответствии с регламентом электронной площадки.</w:t>
      </w:r>
    </w:p>
    <w:p>
      <w:pPr>
        <w:pStyle w:val="Normal"/>
        <w:widowControl w:val="false"/>
        <w:ind w:firstLine="567" w:left="-567"/>
        <w:jc w:val="both"/>
        <w:rPr>
          <w:highlight w:val="none"/>
          <w:shd w:fill="auto" w:val="clear"/>
        </w:rPr>
      </w:pPr>
      <w:r>
        <w:rPr>
          <w:bCs/>
          <w:shd w:fill="auto" w:val="clear"/>
          <w:lang w:bidi="ru-RU"/>
        </w:rPr>
        <w:t xml:space="preserve">Дата и время регистрации участников аукциона на участие в аукционе на электронной площадке на сайте в сети Интернет: c 19.08.2026 по 08.09.2026 с 9.00 до 18.00 по местному времени (7:00 – 16:00 МСК). </w:t>
      </w:r>
    </w:p>
    <w:p>
      <w:pPr>
        <w:pStyle w:val="NormalWeb"/>
        <w:jc w:val="center"/>
        <w:rPr>
          <w:highlight w:val="none"/>
          <w:shd w:fill="auto" w:val="clear"/>
        </w:rPr>
      </w:pPr>
      <w:r>
        <w:rPr>
          <w:b/>
          <w:color w:val="000000"/>
          <w:shd w:fill="auto" w:val="clear"/>
        </w:rPr>
        <w:t>Разъяснение положений извещения о проведении аукциона</w:t>
      </w:r>
    </w:p>
    <w:p>
      <w:pPr>
        <w:pStyle w:val="ListParagraph"/>
        <w:widowControl w:val="false"/>
        <w:ind w:firstLine="567" w:left="-567"/>
        <w:jc w:val="both"/>
        <w:rPr>
          <w:highlight w:val="none"/>
          <w:shd w:fill="auto" w:val="clear"/>
        </w:rPr>
      </w:pPr>
      <w:r>
        <w:rPr>
          <w:bCs/>
          <w:shd w:fill="auto" w:val="clear"/>
          <w:lang w:bidi="ru-RU"/>
        </w:rPr>
        <w:t xml:space="preserve">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 Запросы о разъяснении положений извещения, полученные после вышеуказанного срока, </w:t>
        <w:br/>
        <w:t>не рассматриваются.</w:t>
      </w:r>
    </w:p>
    <w:p>
      <w:pPr>
        <w:pStyle w:val="ListParagraph"/>
        <w:widowControl w:val="false"/>
        <w:ind w:firstLine="567" w:left="-567"/>
        <w:jc w:val="both"/>
        <w:rPr>
          <w:highlight w:val="none"/>
          <w:shd w:fill="auto" w:val="clear"/>
        </w:rPr>
      </w:pPr>
      <w:r>
        <w:rPr>
          <w:bCs/>
          <w:shd w:fill="auto" w:val="clear"/>
          <w:lang w:bidi="ru-RU"/>
        </w:rPr>
        <w:t xml:space="preserve">Ответ на запрос о разъяснении положений извещения должен быть подготовлен в течение трех рабочих дней со дня поступления указанного запроса.  </w:t>
      </w:r>
    </w:p>
    <w:p>
      <w:pPr>
        <w:pStyle w:val="Normal"/>
        <w:widowControl w:val="false"/>
        <w:spacing w:lineRule="auto" w:line="276"/>
        <w:ind w:firstLine="709" w:left="-567"/>
        <w:jc w:val="both"/>
        <w:rPr>
          <w:bCs/>
          <w:highlight w:val="none"/>
          <w:shd w:fill="auto" w:val="clear"/>
          <w:lang w:bidi="ru-RU"/>
        </w:rPr>
      </w:pPr>
      <w:r>
        <w:rPr>
          <w:bCs/>
          <w:shd w:fill="auto" w:val="clear"/>
          <w:lang w:bidi="ru-RU"/>
        </w:rPr>
      </w:r>
    </w:p>
    <w:p>
      <w:pPr>
        <w:pStyle w:val="Normal"/>
        <w:numPr>
          <w:ilvl w:val="0"/>
          <w:numId w:val="0"/>
        </w:numPr>
        <w:tabs>
          <w:tab w:val="clear" w:pos="708"/>
          <w:tab w:val="center" w:pos="5076" w:leader="none"/>
        </w:tabs>
        <w:ind w:hanging="0" w:left="0"/>
        <w:jc w:val="center"/>
        <w:outlineLvl w:val="0"/>
        <w:rPr>
          <w:highlight w:val="none"/>
          <w:shd w:fill="auto" w:val="clear"/>
        </w:rPr>
      </w:pPr>
      <w:r>
        <w:rPr>
          <w:b/>
          <w:bCs/>
          <w:shd w:fill="auto" w:val="clear"/>
        </w:rPr>
        <w:t>Требования к содержанию и составу заявки на участие в аукционе</w:t>
      </w:r>
    </w:p>
    <w:p>
      <w:pPr>
        <w:pStyle w:val="Normal"/>
        <w:numPr>
          <w:ilvl w:val="0"/>
          <w:numId w:val="0"/>
        </w:numPr>
        <w:tabs>
          <w:tab w:val="clear" w:pos="708"/>
          <w:tab w:val="center" w:pos="5076" w:leader="none"/>
        </w:tabs>
        <w:ind w:hanging="0" w:left="0"/>
        <w:jc w:val="center"/>
        <w:outlineLvl w:val="0"/>
        <w:rPr>
          <w:highlight w:val="none"/>
          <w:shd w:fill="auto" w:val="clear"/>
        </w:rPr>
      </w:pPr>
      <w:r>
        <w:rPr>
          <w:shd w:fill="auto" w:val="clear"/>
        </w:rPr>
      </w:r>
    </w:p>
    <w:p>
      <w:pPr>
        <w:pStyle w:val="Normal"/>
        <w:widowControl w:val="false"/>
        <w:ind w:firstLine="567" w:left="-567"/>
        <w:jc w:val="both"/>
        <w:rPr>
          <w:highlight w:val="none"/>
          <w:shd w:fill="auto" w:val="clear"/>
        </w:rPr>
      </w:pPr>
      <w:r>
        <w:rPr>
          <w:rFonts w:eastAsia="Courier New"/>
          <w:shd w:fill="auto" w:val="clear"/>
          <w:lang w:bidi="ru-RU"/>
        </w:rPr>
        <w:t xml:space="preserve">Для участия в аукционе заявители представляют в установленный в извещении </w:t>
      </w:r>
      <w:r>
        <w:rPr>
          <w:rFonts w:eastAsia="Courier New"/>
          <w:shd w:fill="auto" w:val="clear"/>
          <w:lang w:bidi="ru-RU"/>
        </w:rPr>
        <w:br w:type="textWrapping" w:clear="all"/>
      </w:r>
      <w:r>
        <w:rPr>
          <w:rFonts w:eastAsia="Courier New"/>
          <w:shd w:fill="auto" w:val="clear"/>
          <w:lang w:bidi="ru-RU"/>
        </w:rPr>
        <w:t>о проведении аукциона срок следующие документы:</w:t>
      </w:r>
    </w:p>
    <w:p>
      <w:pPr>
        <w:pStyle w:val="Normal"/>
        <w:jc w:val="both"/>
        <w:rPr>
          <w:highlight w:val="none"/>
          <w:shd w:fill="auto" w:val="clear"/>
        </w:rPr>
      </w:pPr>
      <w:r>
        <w:rPr>
          <w:rFonts w:eastAsia="Calibri"/>
          <w:shd w:fill="auto" w:val="clear"/>
        </w:rPr>
        <w:t>1) копии документов, удостоверяющих личность заявителя (для граждан), всех страниц;</w:t>
      </w:r>
    </w:p>
    <w:p>
      <w:pPr>
        <w:pStyle w:val="Normal"/>
        <w:ind w:firstLine="567" w:left="-567"/>
        <w:jc w:val="both"/>
        <w:rPr>
          <w:highlight w:val="none"/>
          <w:shd w:fill="auto" w:val="clear"/>
        </w:rPr>
      </w:pPr>
      <w:r>
        <w:rPr>
          <w:rFonts w:eastAsia="Calibri"/>
          <w:shd w:fill="auto" w:val="clear"/>
        </w:rPr>
        <w:t xml:space="preserve">2) надлежащим образом заверенный перевод на русский язык документов </w:t>
      </w:r>
      <w:r>
        <w:rPr>
          <w:rFonts w:eastAsia="Calibri"/>
          <w:shd w:fill="auto" w:val="clear"/>
        </w:rPr>
        <w:br w:type="textWrapping" w:clear="all"/>
      </w:r>
      <w:r>
        <w:rPr>
          <w:rFonts w:eastAsia="Calibri"/>
          <w:shd w:fill="auto" w:val="clear"/>
        </w:rPr>
        <w:t>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jc w:val="both"/>
        <w:rPr>
          <w:highlight w:val="none"/>
          <w:shd w:fill="auto" w:val="clear"/>
        </w:rPr>
      </w:pPr>
      <w:r>
        <w:rPr>
          <w:rFonts w:eastAsia="Calibri"/>
          <w:shd w:fill="auto" w:val="clear"/>
        </w:rPr>
        <w:t>3) документы, подтверждающие внесение задатка.</w:t>
      </w:r>
    </w:p>
    <w:p>
      <w:pPr>
        <w:pStyle w:val="Normal"/>
        <w:jc w:val="both"/>
        <w:rPr>
          <w:rFonts w:eastAsia="Calibri"/>
          <w:highlight w:val="none"/>
          <w:shd w:fill="auto" w:val="clear"/>
        </w:rPr>
      </w:pPr>
      <w:r>
        <w:rPr>
          <w:rFonts w:eastAsia="Calibri"/>
          <w:shd w:fill="auto" w:val="clear"/>
        </w:rPr>
      </w:r>
    </w:p>
    <w:p>
      <w:pPr>
        <w:pStyle w:val="Normal"/>
        <w:ind w:firstLine="708"/>
        <w:jc w:val="center"/>
        <w:rPr>
          <w:highlight w:val="none"/>
          <w:shd w:fill="auto" w:val="clear"/>
        </w:rPr>
      </w:pPr>
      <w:r>
        <w:rPr>
          <w:b/>
          <w:shd w:fill="auto" w:val="clear"/>
        </w:rPr>
        <w:t>Инструкция по заполнению и подаче заявки, порядок приема заявки</w:t>
      </w:r>
    </w:p>
    <w:p>
      <w:pPr>
        <w:pStyle w:val="Normal"/>
        <w:ind w:firstLine="708"/>
        <w:jc w:val="center"/>
        <w:rPr>
          <w:b/>
          <w:highlight w:val="none"/>
          <w:shd w:fill="auto" w:val="clear"/>
        </w:rPr>
      </w:pPr>
      <w:r>
        <w:rPr>
          <w:b/>
          <w:shd w:fill="auto" w:val="clear"/>
        </w:rPr>
      </w:r>
    </w:p>
    <w:p>
      <w:pPr>
        <w:pStyle w:val="Normal"/>
        <w:ind w:firstLine="567" w:left="-567"/>
        <w:jc w:val="both"/>
        <w:rPr>
          <w:highlight w:val="none"/>
          <w:shd w:fill="auto" w:val="clear"/>
        </w:rPr>
      </w:pPr>
      <w:r>
        <w:rPr>
          <w:shd w:fill="auto" w:val="clear"/>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39.12 Земельного кодекса Российской Федерации (копии </w:t>
      </w:r>
      <w:r>
        <w:rPr>
          <w:b w:val="false"/>
          <w:shd w:fill="auto" w:val="clear"/>
        </w:rPr>
        <w:t xml:space="preserve">документов, удостоверяющих личность заявителя (для граждан); </w:t>
      </w:r>
      <w:r>
        <w:rPr>
          <w:b w:val="false"/>
        </w:rPr>
        <w:t xml:space="preserve">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w:t>
      </w:r>
    </w:p>
    <w:p>
      <w:pPr>
        <w:pStyle w:val="Normal"/>
        <w:ind w:firstLine="567" w:left="-567"/>
        <w:jc w:val="both"/>
        <w:rPr>
          <w:highlight w:val="none"/>
          <w:shd w:fill="auto" w:val="clear"/>
        </w:rPr>
      </w:pPr>
      <w:r>
        <w:rPr>
          <w:shd w:fill="auto" w:val="clear"/>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ind w:firstLine="567" w:left="-567"/>
        <w:jc w:val="both"/>
        <w:rPr>
          <w:highlight w:val="none"/>
        </w:rPr>
      </w:pPr>
      <w:r>
        <w:rPr>
          <w:sz w:val="24"/>
          <w:szCs w:val="24"/>
        </w:rPr>
        <w:t>На каждый лот представляется отдельный пакет документов.</w:t>
      </w:r>
    </w:p>
    <w:p>
      <w:pPr>
        <w:pStyle w:val="Normal"/>
        <w:ind w:firstLine="567" w:left="-567"/>
        <w:jc w:val="both"/>
        <w:rPr>
          <w:highlight w:val="none"/>
          <w:shd w:fill="auto" w:val="clear"/>
        </w:rPr>
      </w:pPr>
      <w:r>
        <w:rPr>
          <w:shd w:fill="auto" w:val="clear"/>
        </w:rPr>
        <w:t>Заполнение заявки осуществляется в соответствии с порядком, определенным регламентом электронной площадки АО «Сбербанк-АСТ».</w:t>
      </w:r>
    </w:p>
    <w:p>
      <w:pPr>
        <w:pStyle w:val="Normal"/>
        <w:ind w:firstLine="567" w:left="-567"/>
        <w:jc w:val="both"/>
        <w:rPr>
          <w:highlight w:val="none"/>
          <w:shd w:fill="auto" w:val="clear"/>
        </w:rPr>
      </w:pPr>
      <w:r>
        <w:rPr>
          <w:shd w:fill="auto" w:val="clear"/>
        </w:rPr>
        <w:t>Все документы и сведения, связанные с получением регистрации на универсальной торговой платформе и проведением закупок/продаж, направляются заявителями, пользователями, оператором электронной площадки либо размещаются ими на универсальной торговой платформе в форме электронных документов (п. 10.1.1. Регламента Универсальной торговой платформы).</w:t>
      </w:r>
    </w:p>
    <w:p>
      <w:pPr>
        <w:pStyle w:val="Normal"/>
        <w:ind w:firstLine="567" w:left="-567"/>
        <w:jc w:val="both"/>
        <w:rPr>
          <w:highlight w:val="none"/>
          <w:shd w:fill="auto" w:val="clear"/>
        </w:rPr>
      </w:pPr>
      <w:r>
        <w:rPr>
          <w:shd w:fill="auto" w:val="clear"/>
        </w:rPr>
        <w:t>Пользователи принимают, что в случае наличия требований к формату и содержанию электронного документа, в системе используются электронные документы установленного формата (п. 10.2.3.</w:t>
      </w:r>
      <w:r>
        <w:rPr>
          <w:rFonts w:eastAsia="Droid Sans Fallback" w:cs="Lohit Devanagari"/>
          <w:color w:val="000000"/>
          <w:sz w:val="24"/>
          <w:szCs w:val="24"/>
          <w:shd w:fill="auto" w:val="clear"/>
          <w:lang w:val="ru-RU" w:eastAsia="zh-CN" w:bidi="ar-SA"/>
        </w:rPr>
        <w:t xml:space="preserve"> Регламента Универсальной торговой платформы).</w:t>
      </w:r>
    </w:p>
    <w:p>
      <w:pPr>
        <w:pStyle w:val="Normal"/>
        <w:ind w:firstLine="567" w:left="-567"/>
        <w:jc w:val="both"/>
        <w:rPr>
          <w:highlight w:val="none"/>
          <w:shd w:fill="auto" w:val="clear"/>
        </w:rPr>
      </w:pPr>
      <w:r>
        <w:rPr>
          <w:rFonts w:eastAsia="Droid Sans Fallback" w:cs="Lohit Devanagari"/>
          <w:color w:val="000000"/>
          <w:sz w:val="24"/>
          <w:szCs w:val="24"/>
          <w:shd w:fill="auto" w:val="clear"/>
          <w:lang w:val="ru-RU" w:eastAsia="zh-CN" w:bidi="ar-SA"/>
        </w:rPr>
        <w:t>Заявка подается в виде электронного документа, подписанного электронной подписью заявителя (п. 3.2.2. Регламента торговой секции).</w:t>
      </w:r>
    </w:p>
    <w:p>
      <w:pPr>
        <w:pStyle w:val="Normal"/>
        <w:ind w:firstLine="567" w:left="-567"/>
        <w:jc w:val="both"/>
        <w:rPr>
          <w:highlight w:val="none"/>
          <w:shd w:fill="auto" w:val="clear"/>
        </w:rPr>
      </w:pPr>
      <w:r>
        <w:rPr>
          <w:rFonts w:eastAsia="Droid Sans Fallback" w:cs="Lohit Devanagari"/>
          <w:color w:val="000000"/>
          <w:sz w:val="24"/>
          <w:szCs w:val="24"/>
          <w:shd w:fill="auto" w:val="clear"/>
          <w:lang w:val="ru-RU" w:eastAsia="zh-CN" w:bidi="ar-SA"/>
        </w:rPr>
        <w:t>Заявитель заполняет электронную форму заявки, при</w:t>
      </w:r>
      <w:r>
        <w:rPr>
          <w:shd w:fill="auto" w:val="clear"/>
        </w:rPr>
        <w:t>кладывает предусмотренные извещением о проведении аукциона файлы документов (при необходимости). Документы и сведения из регистрационных данных заявителя на универсальной торговой платформе, актуальные на дату и время окончания приема заявок, направляются оператором электронной площадки вместе с заявкой организатору аукциона после окончания приема заявок (п. 3.2.3. Регламента торговой секции).</w:t>
      </w:r>
    </w:p>
    <w:p>
      <w:pPr>
        <w:pStyle w:val="Normal"/>
        <w:ind w:firstLine="567" w:left="-567"/>
        <w:jc w:val="both"/>
        <w:rPr>
          <w:highlight w:val="none"/>
          <w:shd w:fill="auto" w:val="clear"/>
        </w:rPr>
      </w:pPr>
      <w:r>
        <w:rPr>
          <w:shd w:fill="auto" w:val="clear"/>
        </w:rPr>
        <w:t xml:space="preserve">Подача заявки осуществляется заявителем, зарегистрированным в торговой секции, </w:t>
      </w:r>
      <w:r>
        <w:rPr>
          <w:shd w:fill="auto" w:val="clear"/>
        </w:rPr>
        <w:br w:type="textWrapping" w:clear="all"/>
      </w:r>
      <w:r>
        <w:rPr>
          <w:shd w:fill="auto" w:val="clear"/>
        </w:rPr>
        <w:t>из личного кабинета посредством штатного интерфейса отдельно по каждому лоту в сроки, установленные в извещении о проведении аукциона.</w:t>
      </w:r>
    </w:p>
    <w:p>
      <w:pPr>
        <w:pStyle w:val="Normal"/>
        <w:ind w:firstLine="567" w:left="-567"/>
        <w:jc w:val="both"/>
        <w:rPr>
          <w:highlight w:val="none"/>
          <w:shd w:fill="auto" w:val="clear"/>
        </w:rPr>
      </w:pPr>
      <w:r>
        <w:rPr>
          <w:shd w:fill="auto" w:val="clear"/>
        </w:rPr>
        <w:t xml:space="preserve">Заявитель вправе подать заявку в любое время с момента размещения извещения </w:t>
      </w:r>
      <w:r>
        <w:rPr>
          <w:shd w:fill="auto" w:val="clear"/>
        </w:rPr>
        <w:br w:type="textWrapping" w:clear="all"/>
      </w:r>
      <w:r>
        <w:rPr>
          <w:shd w:fill="auto" w:val="clear"/>
        </w:rPr>
        <w:t>о проведении аукциона до предусмотренных указанным извещением даты и времени окончания срока подачи заявок.</w:t>
      </w:r>
    </w:p>
    <w:p>
      <w:pPr>
        <w:pStyle w:val="Normal"/>
        <w:ind w:firstLine="567" w:left="-567"/>
        <w:jc w:val="both"/>
        <w:rPr>
          <w:highlight w:val="none"/>
          <w:shd w:fill="auto" w:val="clear"/>
        </w:rPr>
      </w:pPr>
      <w:r>
        <w:rPr>
          <w:shd w:fill="auto" w:val="clear"/>
        </w:rPr>
        <w:t>Один заявитель вправе подать только одну заявку на участие в аукционе в отношении каждого лота.</w:t>
      </w:r>
    </w:p>
    <w:p>
      <w:pPr>
        <w:pStyle w:val="Normal"/>
        <w:ind w:firstLine="567" w:left="-567"/>
        <w:jc w:val="both"/>
        <w:rPr>
          <w:highlight w:val="none"/>
          <w:shd w:fill="auto" w:val="clear"/>
        </w:rPr>
      </w:pPr>
      <w:r>
        <w:rPr>
          <w:shd w:fill="auto" w:val="clear"/>
        </w:rPr>
        <w:t>Заявка на участие в аукционе, поступившая по истечении срока приема заявок, возвращается заявителю в день ее поступления.</w:t>
      </w:r>
    </w:p>
    <w:p>
      <w:pPr>
        <w:pStyle w:val="Normal"/>
        <w:ind w:firstLine="567" w:left="-567"/>
        <w:jc w:val="both"/>
        <w:rPr>
          <w:highlight w:val="none"/>
          <w:shd w:fill="auto" w:val="clear"/>
        </w:rPr>
      </w:pPr>
      <w:r>
        <w:rPr>
          <w:shd w:fill="auto" w:val="clear"/>
        </w:rPr>
        <w:t xml:space="preserve">Участие в аукционе возможно при наличии на лицевом счете заявителя денежных средств </w:t>
      </w:r>
      <w:r>
        <w:rPr>
          <w:shd w:fill="auto" w:val="clear"/>
        </w:rPr>
        <w:br w:type="textWrapping" w:clear="all"/>
      </w:r>
      <w:r>
        <w:rPr>
          <w:shd w:fill="auto" w:val="clear"/>
        </w:rPr>
        <w:t xml:space="preserve">в размере не менее чем размер задатка на участие в аукционе, предусмотренный извещением </w:t>
      </w:r>
      <w:r>
        <w:rPr>
          <w:shd w:fill="auto" w:val="clear"/>
        </w:rPr>
        <w:br w:type="textWrapping" w:clear="all"/>
      </w:r>
      <w:r>
        <w:rPr>
          <w:shd w:fill="auto" w:val="clear"/>
        </w:rPr>
        <w:t>о проведении аукциона.</w:t>
      </w:r>
    </w:p>
    <w:p>
      <w:pPr>
        <w:pStyle w:val="Normal"/>
        <w:ind w:firstLine="567" w:left="-567"/>
        <w:jc w:val="both"/>
        <w:rPr>
          <w:highlight w:val="none"/>
          <w:shd w:fill="auto" w:val="clear"/>
        </w:rPr>
      </w:pPr>
      <w:r>
        <w:rPr>
          <w:shd w:fill="auto" w:val="clear"/>
        </w:rPr>
        <w:t>Все документы, входящие в состав заявки, должны иметь четко читаемый текст.</w:t>
      </w:r>
    </w:p>
    <w:p>
      <w:pPr>
        <w:pStyle w:val="Normal"/>
        <w:ind w:firstLine="567" w:left="-567"/>
        <w:jc w:val="both"/>
        <w:rPr>
          <w:highlight w:val="none"/>
          <w:shd w:fill="auto" w:val="clear"/>
        </w:rPr>
      </w:pPr>
      <w:r>
        <w:rPr>
          <w:shd w:fill="auto" w:val="clear"/>
        </w:rPr>
        <w:t>Заявка предоставляется организатору аукциона через Оператора.</w:t>
      </w:r>
    </w:p>
    <w:p>
      <w:pPr>
        <w:pStyle w:val="Normal"/>
        <w:numPr>
          <w:ilvl w:val="0"/>
          <w:numId w:val="0"/>
        </w:numPr>
        <w:tabs>
          <w:tab w:val="clear" w:pos="708"/>
          <w:tab w:val="center" w:pos="5076" w:leader="none"/>
        </w:tabs>
        <w:ind w:hanging="0" w:left="0"/>
        <w:jc w:val="both"/>
        <w:outlineLvl w:val="0"/>
        <w:rPr>
          <w:highlight w:val="none"/>
          <w:shd w:fill="auto" w:val="clear"/>
        </w:rPr>
      </w:pPr>
      <w:r>
        <w:rPr>
          <w:bCs/>
          <w:shd w:fill="auto" w:val="clear"/>
        </w:rPr>
        <w:t>Заявка не может быть принята Оператором в случае:</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 xml:space="preserve">а) отсутствия на лицевом счете заявителя достаточной суммы денежных средств </w:t>
      </w:r>
      <w:r>
        <w:rPr>
          <w:bCs/>
          <w:shd w:fill="auto" w:val="clear"/>
        </w:rPr>
        <w:br w:type="textWrapping" w:clear="all"/>
      </w:r>
      <w:r>
        <w:rPr>
          <w:bCs/>
          <w:shd w:fill="auto" w:val="clear"/>
        </w:rPr>
        <w:t>в размере задатка;</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б) подачи заявителем второй заявки на участие в отношении одного и того же лота при условии, что поданная ранее заявка таким заявителем не отозвана;</w:t>
      </w:r>
    </w:p>
    <w:p>
      <w:pPr>
        <w:pStyle w:val="Normal"/>
        <w:numPr>
          <w:ilvl w:val="0"/>
          <w:numId w:val="0"/>
        </w:numPr>
        <w:tabs>
          <w:tab w:val="clear" w:pos="708"/>
          <w:tab w:val="center" w:pos="5076" w:leader="none"/>
        </w:tabs>
        <w:ind w:hanging="0" w:left="0"/>
        <w:jc w:val="both"/>
        <w:outlineLvl w:val="0"/>
        <w:rPr>
          <w:highlight w:val="none"/>
          <w:shd w:fill="auto" w:val="clear"/>
        </w:rPr>
      </w:pPr>
      <w:r>
        <w:rPr>
          <w:bCs/>
          <w:shd w:fill="auto" w:val="clear"/>
        </w:rPr>
        <w:t>в) подачи заявки по истечении установленного срока подачи заявок;</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г) некорректного заполнения формы заявки, в том числе незаполнения полей, являющихся обязательными для заполнения.</w:t>
      </w:r>
    </w:p>
    <w:p>
      <w:pPr>
        <w:pStyle w:val="Normal"/>
        <w:numPr>
          <w:ilvl w:val="0"/>
          <w:numId w:val="0"/>
        </w:numPr>
        <w:tabs>
          <w:tab w:val="clear" w:pos="708"/>
          <w:tab w:val="center" w:pos="284" w:leader="none"/>
        </w:tabs>
        <w:ind w:firstLine="567" w:left="-567"/>
        <w:jc w:val="both"/>
        <w:outlineLvl w:val="0"/>
        <w:rPr>
          <w:highlight w:val="none"/>
          <w:shd w:fill="auto" w:val="clear"/>
        </w:rPr>
      </w:pPr>
      <w:r>
        <w:rPr>
          <w:bCs/>
          <w:shd w:fill="auto" w:val="clear"/>
        </w:rPr>
        <w:t xml:space="preserve">Заявителям, признанным участниками аукциона, и заявителям, не допущенным к участию </w:t>
        <w:br/>
        <w:t xml:space="preserve">в аукционе, оператор электронной площадки направляет в электронной форме уведомления </w:t>
        <w:br/>
        <w:t xml:space="preserve">о принятых в отношении их решениях не позднее дня, следующего после дня подписания протокола рассмотрения заявок на участие в аукционе. </w:t>
      </w:r>
    </w:p>
    <w:p>
      <w:pPr>
        <w:pStyle w:val="Normal"/>
        <w:numPr>
          <w:ilvl w:val="0"/>
          <w:numId w:val="0"/>
        </w:numPr>
        <w:tabs>
          <w:tab w:val="clear" w:pos="708"/>
          <w:tab w:val="center" w:pos="284" w:leader="none"/>
        </w:tabs>
        <w:spacing w:lineRule="auto" w:line="276"/>
        <w:ind w:firstLine="567" w:left="-567"/>
        <w:jc w:val="both"/>
        <w:outlineLvl w:val="0"/>
        <w:rPr>
          <w:bCs/>
          <w:highlight w:val="none"/>
          <w:shd w:fill="auto" w:val="clear"/>
        </w:rPr>
      </w:pPr>
      <w:r>
        <w:rPr>
          <w:bCs/>
          <w:shd w:fill="auto" w:val="clear"/>
        </w:rPr>
      </w:r>
    </w:p>
    <w:p>
      <w:pPr>
        <w:pStyle w:val="Normal"/>
        <w:widowControl w:val="false"/>
        <w:ind w:left="502"/>
        <w:jc w:val="center"/>
        <w:rPr>
          <w:highlight w:val="none"/>
          <w:shd w:fill="auto" w:val="clear"/>
        </w:rPr>
      </w:pPr>
      <w:r>
        <w:rPr>
          <w:b/>
          <w:bCs/>
          <w:shd w:fill="auto" w:val="clear"/>
          <w:lang w:bidi="ru-RU"/>
        </w:rPr>
        <w:t>Порядок и срок изменения, отзыва заявки на участие в аукционе</w:t>
      </w:r>
    </w:p>
    <w:p>
      <w:pPr>
        <w:pStyle w:val="Normal"/>
        <w:widowControl w:val="false"/>
        <w:ind w:left="502"/>
        <w:rPr>
          <w:b/>
          <w:bCs/>
          <w:highlight w:val="none"/>
          <w:shd w:fill="auto" w:val="clear"/>
          <w:lang w:bidi="ru-RU"/>
        </w:rPr>
      </w:pPr>
      <w:r>
        <w:rPr>
          <w:b/>
          <w:bCs/>
          <w:shd w:fill="auto" w:val="clear"/>
          <w:lang w:bidi="ru-RU"/>
        </w:rPr>
      </w:r>
    </w:p>
    <w:p>
      <w:pPr>
        <w:pStyle w:val="Normal"/>
        <w:widowControl w:val="false"/>
        <w:ind w:firstLine="567" w:left="-567"/>
        <w:jc w:val="both"/>
        <w:rPr>
          <w:highlight w:val="none"/>
          <w:shd w:fill="auto" w:val="clear"/>
        </w:rPr>
      </w:pPr>
      <w:r>
        <w:rPr>
          <w:shd w:fill="auto" w:val="clear"/>
        </w:rPr>
        <w:t xml:space="preserve">Заявитель имеет право отозвать принятую организатором аукциона заявку на участие </w:t>
      </w:r>
      <w:r>
        <w:rPr>
          <w:shd w:fill="auto" w:val="clear"/>
        </w:rPr>
        <w:br w:type="textWrapping" w:clear="all"/>
      </w:r>
      <w:r>
        <w:rPr>
          <w:shd w:fill="auto" w:val="clear"/>
        </w:rPr>
        <w:t xml:space="preserve">в аукционе до дня окончания срока приема заявок, путем направления уведомления об отзыве заявки на электронную площадку. В случае отзыва заявки в установленном порядке, уведомление об отзыве заявки поступает в «личный кабинет» организатора аукциона, о чем заявителю направляется соответствующее уведомление. Заявителю внесенный им задаток возвращается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w:t>
      </w:r>
    </w:p>
    <w:p>
      <w:pPr>
        <w:pStyle w:val="Normal"/>
        <w:widowControl w:val="false"/>
        <w:ind w:firstLine="567" w:left="-567"/>
        <w:jc w:val="both"/>
        <w:rPr>
          <w:highlight w:val="none"/>
          <w:shd w:fill="auto" w:val="clear"/>
        </w:rPr>
      </w:pPr>
      <w:r>
        <w:rPr>
          <w:shd w:fill="auto" w:val="clear"/>
        </w:rPr>
      </w:r>
    </w:p>
    <w:p>
      <w:pPr>
        <w:pStyle w:val="Normal"/>
        <w:jc w:val="center"/>
        <w:rPr>
          <w:highlight w:val="none"/>
          <w:shd w:fill="auto" w:val="clear"/>
        </w:rPr>
      </w:pPr>
      <w:r>
        <w:rPr>
          <w:b/>
          <w:bCs/>
          <w:shd w:fill="auto" w:val="clear"/>
        </w:rPr>
        <w:t>Определение участников аукциона</w:t>
      </w:r>
    </w:p>
    <w:p>
      <w:pPr>
        <w:pStyle w:val="Normal"/>
        <w:jc w:val="center"/>
        <w:rPr>
          <w:b/>
          <w:bCs/>
          <w:highlight w:val="none"/>
          <w:shd w:fill="auto" w:val="clear"/>
        </w:rPr>
      </w:pPr>
      <w:r>
        <w:rPr>
          <w:b/>
          <w:bCs/>
          <w:shd w:fill="auto" w:val="clear"/>
        </w:rPr>
      </w:r>
    </w:p>
    <w:p>
      <w:pPr>
        <w:pStyle w:val="Normal"/>
        <w:ind w:firstLine="567" w:left="-567"/>
        <w:jc w:val="both"/>
        <w:rPr>
          <w:highlight w:val="none"/>
          <w:shd w:fill="auto" w:val="clear"/>
        </w:rPr>
      </w:pPr>
      <w:r>
        <w:rPr>
          <w:bCs/>
          <w:shd w:fill="auto" w:val="clear"/>
        </w:rPr>
        <w:t xml:space="preserve">По результатам рассмотрения заявок комиссия принимает решение о допуске заявителей </w:t>
      </w:r>
      <w:r>
        <w:rPr>
          <w:bCs/>
          <w:shd w:fill="auto" w:val="clear"/>
        </w:rPr>
        <w:br w:type="textWrapping" w:clear="all"/>
      </w:r>
      <w:r>
        <w:rPr>
          <w:bCs/>
          <w:shd w:fill="auto" w:val="clear"/>
        </w:rPr>
        <w:t>к участию в аукционе или об отказе в допуске к участию в аукционе.</w:t>
      </w:r>
    </w:p>
    <w:p>
      <w:pPr>
        <w:pStyle w:val="Normal"/>
        <w:jc w:val="both"/>
        <w:rPr>
          <w:highlight w:val="none"/>
          <w:shd w:fill="auto" w:val="clear"/>
        </w:rPr>
      </w:pPr>
      <w:r>
        <w:rPr>
          <w:shd w:fill="auto" w:val="clear"/>
        </w:rPr>
        <w:t>Заявитель не допускается к участию в аукционе в следующих случаях:</w:t>
      </w:r>
    </w:p>
    <w:p>
      <w:pPr>
        <w:pStyle w:val="Normal"/>
        <w:widowControl w:val="false"/>
        <w:ind w:firstLine="567" w:left="-567"/>
        <w:jc w:val="both"/>
        <w:rPr>
          <w:highlight w:val="none"/>
          <w:shd w:fill="auto" w:val="clear"/>
        </w:rPr>
      </w:pPr>
      <w:r>
        <w:rPr>
          <w:sz w:val="20"/>
          <w:shd w:fill="auto" w:val="clear"/>
        </w:rPr>
        <w:t xml:space="preserve">1) </w:t>
      </w:r>
      <w:r>
        <w:rPr>
          <w:shd w:fill="auto" w:val="clear"/>
        </w:rPr>
        <w:t>непредставление необходимых для участия в аукционе документов или представление недостоверных сведений;</w:t>
      </w:r>
    </w:p>
    <w:p>
      <w:pPr>
        <w:pStyle w:val="Normal"/>
        <w:widowControl w:val="false"/>
        <w:jc w:val="both"/>
        <w:rPr>
          <w:highlight w:val="none"/>
          <w:shd w:fill="auto" w:val="clear"/>
        </w:rPr>
      </w:pPr>
      <w:r>
        <w:rPr>
          <w:shd w:fill="auto" w:val="clear"/>
        </w:rPr>
        <w:t>2) непоступление задатка на дату рассмотрения заявок на участие в аукционе;</w:t>
      </w:r>
    </w:p>
    <w:p>
      <w:pPr>
        <w:pStyle w:val="Normal"/>
        <w:widowControl w:val="false"/>
        <w:ind w:firstLine="567" w:left="-567"/>
        <w:jc w:val="both"/>
        <w:rPr>
          <w:highlight w:val="none"/>
          <w:shd w:fill="auto" w:val="clear"/>
        </w:rPr>
      </w:pPr>
      <w:r>
        <w:rPr>
          <w:shd w:fill="auto" w:val="clear"/>
        </w:rPr>
        <w:t xml:space="preserve">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w:t>
        <w:br/>
        <w:t>в аренду;</w:t>
      </w:r>
    </w:p>
    <w:p>
      <w:pPr>
        <w:pStyle w:val="Normal"/>
        <w:widowControl w:val="false"/>
        <w:ind w:firstLine="567" w:left="-567"/>
        <w:jc w:val="both"/>
        <w:rPr>
          <w:highlight w:val="none"/>
          <w:shd w:fill="auto" w:val="clear"/>
        </w:rPr>
      </w:pPr>
      <w:r>
        <w:rPr>
          <w:shd w:fill="auto" w:val="clear"/>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pPr>
        <w:pStyle w:val="Normal"/>
        <w:widowControl w:val="false"/>
        <w:ind w:firstLine="567" w:left="-567"/>
        <w:jc w:val="both"/>
        <w:rPr>
          <w:highlight w:val="none"/>
          <w:shd w:fill="auto" w:val="clear"/>
        </w:rPr>
      </w:pPr>
      <w:r>
        <w:rPr>
          <w:shd w:fill="auto" w:val="clear"/>
        </w:rPr>
        <w:t xml:space="preserve">В день признания заявителей участниками аукциона, указанный в извещении </w:t>
        <w:br/>
        <w:t>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pPr>
        <w:pStyle w:val="Normal"/>
        <w:widowControl w:val="false"/>
        <w:ind w:firstLine="567" w:left="-567"/>
        <w:jc w:val="both"/>
        <w:rPr>
          <w:highlight w:val="none"/>
          <w:shd w:fill="auto" w:val="clear"/>
        </w:rPr>
      </w:pPr>
      <w:r>
        <w:rPr>
          <w:shd w:fill="auto" w:val="clear"/>
        </w:rPr>
        <w:t>Заявитель приобретает статус участника аукциона с момента подписания протокола рассмотрения заявок.</w:t>
      </w:r>
    </w:p>
    <w:p>
      <w:pPr>
        <w:pStyle w:val="Normal"/>
        <w:widowControl w:val="false"/>
        <w:ind w:firstLine="567" w:left="-567"/>
        <w:jc w:val="both"/>
        <w:rPr>
          <w:highlight w:val="none"/>
          <w:shd w:fill="auto" w:val="clear"/>
        </w:rPr>
      </w:pPr>
      <w:r>
        <w:rPr>
          <w:shd w:fill="auto" w:val="clear"/>
        </w:rPr>
        <w:t xml:space="preserve">Не позднее следующего рабочего дня после дня подписания протокола рассмотрения заявок, всем заявителям оператором электронной площадки направляется в личные кабинеты уведомления о признании их участниками аукциона или об отказе в признании участниками аукциона с указанием оснований отказа. </w:t>
      </w:r>
    </w:p>
    <w:p>
      <w:pPr>
        <w:pStyle w:val="BodyText"/>
        <w:widowControl w:val="false"/>
        <w:ind w:firstLine="567" w:left="-567"/>
        <w:jc w:val="both"/>
        <w:rPr>
          <w:highlight w:val="none"/>
          <w:shd w:fill="auto" w:val="clear"/>
        </w:rPr>
      </w:pPr>
      <w:r>
        <w:rPr>
          <w:rFonts w:eastAsia="Droid Sans Fallback" w:cs="Lohit Devanagari"/>
          <w:color w:val="000000"/>
          <w:sz w:val="24"/>
          <w:szCs w:val="24"/>
          <w:shd w:fill="auto" w:val="clear"/>
          <w:lang w:val="ru-RU" w:eastAsia="zh-CN" w:bidi="ar-SA"/>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на участие в аукционе, включается информация об основании признания аукциона несостоявшимся и сведения, указанные в подпункте 4 пункта 15 ст. 39.12 З</w:t>
      </w:r>
      <w:r>
        <w:rPr>
          <w:rFonts w:eastAsia="Droid Sans Fallback" w:cs="Lohit Devanagari"/>
          <w:bCs/>
          <w:color w:val="000000"/>
          <w:sz w:val="24"/>
          <w:szCs w:val="24"/>
          <w:shd w:fill="auto" w:val="clear"/>
          <w:lang w:val="ru-RU" w:eastAsia="zh-CN" w:bidi="ar-SA"/>
        </w:rPr>
        <w:t>емельного кодекса Российской Федерации</w:t>
      </w:r>
      <w:r>
        <w:rPr>
          <w:rFonts w:eastAsia="Droid Sans Fallback" w:cs="Lohit Devanagari"/>
          <w:color w:val="000000"/>
          <w:sz w:val="24"/>
          <w:szCs w:val="24"/>
          <w:shd w:fill="auto" w:val="clear"/>
          <w:lang w:val="ru-RU" w:eastAsia="zh-CN" w:bidi="ar-SA"/>
        </w:rPr>
        <w:t>, в отношении лиц, указанных в пунктах 13 и 14 ст. 39.12 З</w:t>
      </w:r>
      <w:r>
        <w:rPr>
          <w:rFonts w:eastAsia="Droid Sans Fallback" w:cs="Lohit Devanagari"/>
          <w:bCs/>
          <w:color w:val="000000"/>
          <w:sz w:val="24"/>
          <w:szCs w:val="24"/>
          <w:shd w:fill="auto" w:val="clear"/>
          <w:lang w:val="ru-RU" w:eastAsia="zh-CN" w:bidi="ar-SA"/>
        </w:rPr>
        <w:t>емельного кодекса Российской Федерации.</w:t>
      </w:r>
    </w:p>
    <w:p>
      <w:pPr>
        <w:pStyle w:val="Normal"/>
        <w:widowControl w:val="false"/>
        <w:spacing w:lineRule="auto" w:line="276"/>
        <w:ind w:firstLine="567" w:left="-567"/>
        <w:jc w:val="both"/>
        <w:rPr>
          <w:highlight w:val="none"/>
          <w:shd w:fill="auto" w:val="clear"/>
        </w:rPr>
      </w:pPr>
      <w:r>
        <w:rPr>
          <w:shd w:fill="auto" w:val="clear"/>
        </w:rPr>
      </w:r>
    </w:p>
    <w:p>
      <w:pPr>
        <w:pStyle w:val="Normal"/>
        <w:jc w:val="center"/>
        <w:rPr>
          <w:highlight w:val="none"/>
          <w:shd w:fill="auto" w:val="clear"/>
        </w:rPr>
      </w:pPr>
      <w:r>
        <w:rPr>
          <w:b/>
          <w:bCs/>
          <w:shd w:fill="auto" w:val="clear"/>
        </w:rPr>
        <w:t>Порядок проведения аукциона</w:t>
      </w:r>
    </w:p>
    <w:p>
      <w:pPr>
        <w:pStyle w:val="Normal"/>
        <w:widowControl w:val="false"/>
        <w:ind w:left="502"/>
        <w:jc w:val="center"/>
        <w:rPr>
          <w:rFonts w:eastAsia="Courier New"/>
          <w:b/>
          <w:bCs/>
          <w:highlight w:val="none"/>
          <w:shd w:fill="auto" w:val="clear"/>
          <w:lang w:bidi="ru-RU"/>
        </w:rPr>
      </w:pPr>
      <w:r>
        <w:rPr>
          <w:rFonts w:eastAsia="Courier New"/>
          <w:b/>
          <w:bCs/>
          <w:shd w:fill="auto" w:val="clear"/>
          <w:lang w:bidi="ru-RU"/>
        </w:rPr>
      </w:r>
    </w:p>
    <w:p>
      <w:pPr>
        <w:pStyle w:val="Normal"/>
        <w:ind w:firstLine="567" w:left="-567"/>
        <w:jc w:val="both"/>
        <w:rPr>
          <w:highlight w:val="none"/>
          <w:shd w:fill="auto" w:val="clear"/>
        </w:rPr>
      </w:pPr>
      <w:r>
        <w:rPr>
          <w:rFonts w:eastAsia="Calibri"/>
          <w:shd w:fill="auto" w:val="clear"/>
        </w:rPr>
        <w:t>Торговая сессия проводится путем последовательного повышения участниками аукциона начальной цены аукциона на величину, равную величине «шага аукциона».</w:t>
      </w:r>
    </w:p>
    <w:p>
      <w:pPr>
        <w:pStyle w:val="Normal"/>
        <w:ind w:firstLine="567" w:left="-567"/>
        <w:jc w:val="both"/>
        <w:rPr>
          <w:highlight w:val="none"/>
          <w:shd w:fill="auto" w:val="clear"/>
        </w:rPr>
      </w:pPr>
      <w:r>
        <w:rPr>
          <w:rFonts w:eastAsia="Calibri"/>
          <w:shd w:fill="auto" w:val="clear"/>
        </w:rPr>
        <w:t xml:space="preserve">«Шаг аукциона» устанавливается Организатором аукциона в фиксированной сумме, составляющей </w:t>
      </w:r>
      <w:r>
        <w:rPr>
          <w:rFonts w:eastAsia="Droid Sans Fallback" w:cs="Lohit Devanagari"/>
          <w:bCs/>
          <w:color w:val="000000"/>
          <w:sz w:val="24"/>
          <w:szCs w:val="24"/>
          <w:shd w:fill="auto" w:val="clear"/>
          <w:lang w:val="ru-RU" w:eastAsia="zh-CN" w:bidi="ar-SA"/>
        </w:rPr>
        <w:t>5% от начальной цены предмета аукциона</w:t>
      </w:r>
      <w:r>
        <w:rPr>
          <w:rFonts w:eastAsia="Calibri"/>
          <w:shd w:fill="auto" w:val="clear"/>
        </w:rPr>
        <w:t>, и не изменяется в течение всего времени подачи предложений о цене.</w:t>
      </w:r>
    </w:p>
    <w:p>
      <w:pPr>
        <w:pStyle w:val="Normal"/>
        <w:ind w:firstLine="567" w:left="-567"/>
        <w:jc w:val="both"/>
        <w:rPr>
          <w:highlight w:val="none"/>
          <w:shd w:fill="auto" w:val="clear"/>
        </w:rPr>
      </w:pPr>
      <w:r>
        <w:rPr>
          <w:rFonts w:eastAsia="Calibri"/>
          <w:shd w:fill="auto" w:val="clear"/>
        </w:rPr>
        <w:t>В ходе проведения аукциона участники аукциона подают предложения о цене предмета аукциона в соответствии со следующими требованиями:</w:t>
      </w:r>
    </w:p>
    <w:p>
      <w:pPr>
        <w:pStyle w:val="Normal"/>
        <w:ind w:firstLine="567" w:left="-567"/>
        <w:jc w:val="both"/>
        <w:rPr>
          <w:highlight w:val="none"/>
          <w:shd w:fill="auto" w:val="clear"/>
        </w:rPr>
      </w:pPr>
      <w:r>
        <w:rPr>
          <w:rFonts w:eastAsia="Calibri"/>
          <w:shd w:fill="auto" w:val="clear"/>
        </w:rPr>
        <w:t xml:space="preserve">1) предложение о цене предмета аукциона увеличивает текущее максимальное предложение </w:t>
      </w:r>
      <w:r>
        <w:rPr>
          <w:rFonts w:eastAsia="Calibri"/>
          <w:shd w:fill="auto" w:val="clear"/>
        </w:rPr>
        <w:br w:type="textWrapping" w:clear="all"/>
      </w:r>
      <w:r>
        <w:rPr>
          <w:rFonts w:eastAsia="Calibri"/>
          <w:shd w:fill="auto" w:val="clear"/>
        </w:rPr>
        <w:t>о цене предмета аукциона на величину «шага аукциона»;</w:t>
      </w:r>
    </w:p>
    <w:p>
      <w:pPr>
        <w:pStyle w:val="Normal"/>
        <w:ind w:firstLine="567" w:left="-567"/>
        <w:jc w:val="both"/>
        <w:rPr>
          <w:highlight w:val="none"/>
          <w:shd w:fill="auto" w:val="clear"/>
        </w:rPr>
      </w:pPr>
      <w:r>
        <w:rPr>
          <w:rFonts w:eastAsia="Calibri"/>
          <w:shd w:fill="auto" w:val="clear"/>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pPr>
        <w:pStyle w:val="Normal"/>
        <w:ind w:firstLine="567" w:left="-567"/>
        <w:jc w:val="both"/>
        <w:rPr>
          <w:highlight w:val="none"/>
          <w:shd w:fill="auto" w:val="clear"/>
        </w:rPr>
      </w:pPr>
      <w:r>
        <w:rPr>
          <w:rFonts w:eastAsia="Calibri"/>
          <w:shd w:fill="auto" w:val="clear"/>
        </w:rPr>
        <w:t>Время для подачи предложений о цене аукциона определяется в следующем порядке:</w:t>
      </w:r>
    </w:p>
    <w:p>
      <w:pPr>
        <w:pStyle w:val="Normal"/>
        <w:ind w:firstLine="567" w:left="-567"/>
        <w:jc w:val="both"/>
        <w:rPr>
          <w:highlight w:val="none"/>
          <w:shd w:fill="auto" w:val="clear"/>
        </w:rPr>
      </w:pPr>
      <w:r>
        <w:rPr>
          <w:rFonts w:eastAsia="Calibri"/>
          <w:shd w:fill="auto" w:val="clear"/>
        </w:rPr>
        <w:t xml:space="preserve">Время ожидания предложения участника аукциона о цене предмета аукциона составляет </w:t>
      </w:r>
      <w:r>
        <w:rPr>
          <w:rFonts w:eastAsia="Calibri"/>
          <w:shd w:fill="auto" w:val="clear"/>
        </w:rPr>
        <w:br w:type="textWrapping" w:clear="all"/>
      </w:r>
      <w:r>
        <w:rPr>
          <w:rFonts w:eastAsia="Calibri"/>
          <w:shd w:fill="auto" w:val="clear"/>
        </w:rPr>
        <w:t xml:space="preserve">10 (десять) минут. При поступлении предложения участника аукциона </w:t>
        <w:br/>
        <w:t>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аукцион завершается.</w:t>
      </w:r>
    </w:p>
    <w:p>
      <w:pPr>
        <w:pStyle w:val="Normal"/>
        <w:ind w:firstLine="567" w:left="-567"/>
        <w:jc w:val="both"/>
        <w:rPr>
          <w:highlight w:val="none"/>
          <w:shd w:fill="auto" w:val="clear"/>
        </w:rPr>
      </w:pPr>
      <w:r>
        <w:rPr>
          <w:rFonts w:eastAsia="Calibri"/>
          <w:shd w:fill="auto" w:val="clear"/>
        </w:rPr>
        <w:t xml:space="preserve">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торгов, </w:t>
        <w:br/>
        <w:t>а так же как время, оставшееся до окончания торгов в минутах.</w:t>
      </w:r>
    </w:p>
    <w:p>
      <w:pPr>
        <w:pStyle w:val="Normal"/>
        <w:ind w:firstLine="567" w:left="-567"/>
        <w:jc w:val="both"/>
        <w:rPr>
          <w:highlight w:val="none"/>
          <w:shd w:fill="auto" w:val="clear"/>
        </w:rPr>
      </w:pPr>
      <w:r>
        <w:rPr>
          <w:rFonts w:eastAsia="Calibri"/>
          <w:shd w:fill="auto" w:val="clear"/>
        </w:rPr>
        <w:t xml:space="preserve">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w:t>
      </w:r>
      <w:r>
        <w:rPr>
          <w:rFonts w:eastAsia="Calibri"/>
          <w:shd w:fill="auto" w:val="clear"/>
        </w:rPr>
        <w:br w:type="textWrapping" w:clear="all"/>
      </w:r>
      <w:r>
        <w:rPr>
          <w:rFonts w:eastAsia="Calibri"/>
          <w:shd w:fill="auto" w:val="clear"/>
        </w:rPr>
        <w:t>в момент его поступления и соответствующее уведомление участника аукциона, в случаях, если:</w:t>
      </w:r>
    </w:p>
    <w:p>
      <w:pPr>
        <w:pStyle w:val="Normal"/>
        <w:ind w:firstLine="567" w:left="-567"/>
        <w:jc w:val="both"/>
        <w:rPr>
          <w:highlight w:val="none"/>
          <w:shd w:fill="auto" w:val="clear"/>
        </w:rPr>
      </w:pPr>
      <w:r>
        <w:rPr>
          <w:rFonts w:eastAsia="Calibri"/>
          <w:shd w:fill="auto" w:val="clear"/>
        </w:rPr>
        <w:t>- предложение о цене аукциона предоставлено до начала или по истечении установленного времени для подачи предложений о цене аукциона;</w:t>
      </w:r>
    </w:p>
    <w:p>
      <w:pPr>
        <w:pStyle w:val="Normal"/>
        <w:ind w:firstLine="567" w:left="-567"/>
        <w:jc w:val="both"/>
        <w:rPr>
          <w:highlight w:val="none"/>
          <w:shd w:fill="auto" w:val="clear"/>
        </w:rPr>
      </w:pPr>
      <w:r>
        <w:rPr>
          <w:rFonts w:eastAsia="Calibri"/>
          <w:shd w:fill="auto" w:val="clear"/>
        </w:rPr>
        <w:t>- представленное предложение о цене аукциона ниже начальной цены;</w:t>
      </w:r>
    </w:p>
    <w:p>
      <w:pPr>
        <w:pStyle w:val="Normal"/>
        <w:ind w:firstLine="567" w:left="-567"/>
        <w:jc w:val="both"/>
        <w:rPr>
          <w:highlight w:val="none"/>
          <w:shd w:fill="auto" w:val="clear"/>
        </w:rPr>
      </w:pPr>
      <w:r>
        <w:rPr>
          <w:rFonts w:eastAsia="Calibri"/>
          <w:shd w:fill="auto" w:val="clear"/>
        </w:rPr>
        <w:t>- представленное предложение о цене аукциона равно нулю;</w:t>
      </w:r>
    </w:p>
    <w:p>
      <w:pPr>
        <w:pStyle w:val="Normal"/>
        <w:ind w:firstLine="567" w:left="-567"/>
        <w:jc w:val="both"/>
        <w:rPr>
          <w:highlight w:val="none"/>
          <w:shd w:fill="auto" w:val="clear"/>
        </w:rPr>
      </w:pPr>
      <w:r>
        <w:rPr>
          <w:rFonts w:eastAsia="Calibri"/>
          <w:shd w:fill="auto" w:val="clear"/>
        </w:rPr>
        <w:t>- представленное предложение о цене аукциона не соответствует увеличению текущей цены на величину «шага аукциона»;</w:t>
      </w:r>
    </w:p>
    <w:p>
      <w:pPr>
        <w:pStyle w:val="Normal"/>
        <w:ind w:firstLine="567" w:left="-567"/>
        <w:jc w:val="both"/>
        <w:rPr>
          <w:highlight w:val="none"/>
          <w:shd w:fill="auto" w:val="clear"/>
        </w:rPr>
      </w:pPr>
      <w:r>
        <w:rPr>
          <w:rFonts w:eastAsia="Calibri"/>
          <w:shd w:fill="auto" w:val="clear"/>
        </w:rPr>
        <w:t>- предыдущее представленное данным участником аукциона предложение о цене аукциона является лучшим текущим предложением о цене;</w:t>
      </w:r>
    </w:p>
    <w:p>
      <w:pPr>
        <w:pStyle w:val="Normal"/>
        <w:ind w:firstLine="567" w:left="-567"/>
        <w:jc w:val="both"/>
        <w:rPr>
          <w:highlight w:val="none"/>
          <w:shd w:fill="auto" w:val="clear"/>
        </w:rPr>
      </w:pPr>
      <w:r>
        <w:rPr>
          <w:rFonts w:eastAsia="Calibri"/>
          <w:shd w:fill="auto" w:val="clear"/>
        </w:rPr>
        <w:t>- представленное участником аукциона предложение о цене аукциона меньше ранее представленных предложений.</w:t>
      </w:r>
    </w:p>
    <w:p>
      <w:pPr>
        <w:pStyle w:val="Normal"/>
        <w:ind w:firstLine="567" w:left="-567"/>
        <w:jc w:val="both"/>
        <w:rPr>
          <w:highlight w:val="none"/>
          <w:shd w:fill="auto" w:val="clear"/>
        </w:rPr>
      </w:pPr>
      <w:r>
        <w:rPr>
          <w:rFonts w:eastAsia="Calibri"/>
          <w:shd w:fill="auto" w:val="clear"/>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pPr>
        <w:pStyle w:val="Normal"/>
        <w:ind w:firstLine="567" w:left="-567"/>
        <w:jc w:val="both"/>
        <w:rPr>
          <w:highlight w:val="none"/>
          <w:shd w:fill="auto" w:val="clear"/>
        </w:rPr>
      </w:pPr>
      <w:r>
        <w:rPr>
          <w:rFonts w:eastAsia="Calibri"/>
          <w:shd w:fill="auto" w:val="clear"/>
        </w:rPr>
        <w:t xml:space="preserve">Победителем аукциона признается участник аукциона, предложивший наибольшую цену </w:t>
      </w:r>
      <w:r>
        <w:rPr>
          <w:rFonts w:eastAsia="Calibri"/>
          <w:shd w:fill="auto" w:val="clear"/>
        </w:rPr>
        <w:br w:type="textWrapping" w:clear="all"/>
      </w:r>
      <w:r>
        <w:rPr>
          <w:rFonts w:eastAsia="Calibri"/>
          <w:shd w:fill="auto" w:val="clear"/>
        </w:rPr>
        <w:t>за земельный участок.</w:t>
      </w:r>
    </w:p>
    <w:p>
      <w:pPr>
        <w:pStyle w:val="Normal"/>
        <w:ind w:firstLine="567" w:left="-567"/>
        <w:jc w:val="both"/>
        <w:rPr>
          <w:highlight w:val="none"/>
          <w:shd w:fill="auto" w:val="clear"/>
        </w:rPr>
      </w:pPr>
      <w:r>
        <w:rPr>
          <w:rFonts w:eastAsia="Calibri"/>
          <w:shd w:fill="auto" w:val="clear"/>
        </w:rPr>
        <w:t>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w:t>
      </w:r>
    </w:p>
    <w:p>
      <w:pPr>
        <w:pStyle w:val="Normal"/>
        <w:ind w:firstLine="567" w:left="-567"/>
        <w:jc w:val="both"/>
        <w:rPr>
          <w:rFonts w:eastAsia="Calibri"/>
          <w:highlight w:val="none"/>
          <w:shd w:fill="auto" w:val="clear"/>
        </w:rPr>
      </w:pPr>
      <w:r>
        <w:rPr>
          <w:rFonts w:eastAsia="Calibri"/>
          <w:shd w:fill="auto" w:val="clear"/>
        </w:rPr>
      </w:r>
    </w:p>
    <w:p>
      <w:pPr>
        <w:pStyle w:val="Normal"/>
        <w:numPr>
          <w:ilvl w:val="0"/>
          <w:numId w:val="0"/>
        </w:numPr>
        <w:tabs>
          <w:tab w:val="clear" w:pos="708"/>
          <w:tab w:val="center" w:pos="5076" w:leader="none"/>
        </w:tabs>
        <w:ind w:hanging="0" w:left="0"/>
        <w:jc w:val="center"/>
        <w:outlineLvl w:val="0"/>
        <w:rPr>
          <w:highlight w:val="none"/>
          <w:shd w:fill="auto" w:val="clear"/>
        </w:rPr>
      </w:pPr>
      <w:r>
        <w:rPr>
          <w:b/>
          <w:bCs/>
          <w:shd w:fill="auto" w:val="clear"/>
        </w:rPr>
        <w:t>Порядок и срок заключения договора</w:t>
      </w:r>
      <w:r>
        <w:rPr>
          <w:b/>
          <w:bCs/>
          <w:shd w:fill="auto" w:val="clear"/>
        </w:rPr>
        <w:br w:type="textWrapping" w:clear="all"/>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По результатам проведения аукциона не допускается заключение договора купли-продажи земельного участка,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 ес</w:t>
      </w:r>
      <w:r>
        <w:rPr>
          <w:rFonts w:eastAsia="Droid Sans Fallback" w:cs="Lohit Devanagari"/>
          <w:bCs/>
          <w:color w:val="000000"/>
          <w:sz w:val="24"/>
          <w:szCs w:val="24"/>
          <w:shd w:fill="auto" w:val="clear"/>
          <w:lang w:val="ru-RU" w:eastAsia="zh-CN" w:bidi="ar-SA"/>
        </w:rPr>
        <w:t>ли аукцион признан несостоявшимся, либо протокола о результатах аукциона на официальных сайтах www.torgi.gov.ru,  www.gorodperm.ru.</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 xml:space="preserve">Департамент земельных отношений администрации города Перми обязан в течение пяти дней со дня истечения срока, предусмотренного пунктом 11 статьи 39.13 Земельного кодекса Российской Федерации, направить победителю аукциона или иным лицам, с которыми </w:t>
        <w:br/>
        <w:t xml:space="preserve">в соответствии с пунктами 13, 14, 20 и 25 статьи 39.12 Земельного кодекса Российской Федерации заключается договор купли-продажи земельного участка, находящегося </w:t>
        <w:br/>
        <w:t>в государственной или муниципальной собственности, подписанный проект договора купли-продажи земельного участка, находящегося в государственной или муниципальной собственности.</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По результатам проведения аукциона договор купли-продажи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pPr>
        <w:pStyle w:val="Normal"/>
        <w:ind w:firstLine="567" w:left="-567"/>
        <w:jc w:val="both"/>
        <w:rPr>
          <w:highlight w:val="none"/>
          <w:shd w:fill="auto" w:val="clear"/>
        </w:rPr>
      </w:pPr>
      <w:r>
        <w:rPr>
          <w:bCs/>
          <w:shd w:fill="auto" w:val="clear"/>
        </w:rPr>
        <w:t xml:space="preserve">Проекты договоров являются частью извещения и представлены в Приложениях 1,3,5,7 </w:t>
        <w:br/>
        <w:t>к настоящему извещению.</w:t>
        <w:tab/>
      </w:r>
    </w:p>
    <w:p>
      <w:pPr>
        <w:pStyle w:val="Normal"/>
        <w:ind w:firstLine="567" w:left="-567"/>
        <w:jc w:val="both"/>
        <w:rPr>
          <w:highlight w:val="none"/>
          <w:shd w:fill="auto" w:val="clear"/>
        </w:rPr>
      </w:pPr>
      <w:r>
        <w:rPr>
          <w:bCs/>
          <w:shd w:fill="auto" w:val="clear"/>
        </w:rPr>
        <w:t xml:space="preserve">Если договор купли-продажи  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 департамент земельных отношений администрации города Перми направляет указанный договор участнику аукциона, который сделал предпоследнее предложение о цене предмета аукциона, </w:t>
      </w:r>
      <w:r>
        <w:rPr>
          <w:b w:val="false"/>
          <w:bCs/>
          <w:shd w:fill="auto" w:val="clear"/>
        </w:rPr>
        <w:t>для их заключения по цене, предложенной таким участником аукциона.</w:t>
      </w:r>
    </w:p>
    <w:p>
      <w:pPr>
        <w:pStyle w:val="Normal"/>
        <w:numPr>
          <w:ilvl w:val="0"/>
          <w:numId w:val="0"/>
        </w:numPr>
        <w:tabs>
          <w:tab w:val="clear" w:pos="708"/>
          <w:tab w:val="center" w:pos="567" w:leader="none"/>
        </w:tabs>
        <w:ind w:firstLine="567" w:left="-567"/>
        <w:jc w:val="both"/>
        <w:outlineLvl w:val="0"/>
        <w:rPr>
          <w:highlight w:val="none"/>
          <w:shd w:fill="auto" w:val="clear"/>
        </w:rPr>
      </w:pPr>
      <w:r>
        <w:rPr>
          <w:rFonts w:eastAsia="Courier New"/>
          <w:shd w:fill="auto" w:val="clear"/>
          <w:lang w:bidi="ru-RU"/>
        </w:rPr>
        <w:t>Сведения о победителях аукционов, уклонившихся от заключения договора купли-продажи, являющегося предметом аукциона, и об иных лицах, с которыми указанный договор заключается в соответствии с пунктом 13, 14, 20 или 25 ст. 39.12 Земельного кодекса Российской Федерации и которые уклонились от их заключения, включаются в реестр недобросовестных участников аукциона.</w:t>
      </w:r>
    </w:p>
    <w:sectPr>
      <w:headerReference w:type="default" r:id="rId20"/>
      <w:headerReference w:type="first" r:id="rId21"/>
      <w:type w:val="nextPage"/>
      <w:pgSz w:w="11906" w:h="16838"/>
      <w:pgMar w:left="1418" w:right="567" w:gutter="0" w:header="363" w:top="420"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Symbol">
    <w:charset w:val="01"/>
    <w:family w:val="roman"/>
    <w:pitch w:val="variable"/>
  </w:font>
  <w:font w:name="Courier New">
    <w:charset w:val="01"/>
    <w:family w:val="roman"/>
    <w:pitch w:val="variable"/>
  </w:font>
  <w:font w:name="Calibri Light">
    <w:charset w:val="01"/>
    <w:family w:val="roman"/>
    <w:pitch w:val="variable"/>
  </w:font>
  <w:font w:name="Open Sans">
    <w:charset w:val="01"/>
    <w:family w:val="roman"/>
    <w:pitch w:val="variable"/>
  </w:font>
  <w:font w:name="Consultant">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0"/>
        <w:szCs w:val="28"/>
      </w:rPr>
    </w:pPr>
    <w:r>
      <w:rPr>
        <w:sz w:val="20"/>
        <w:szCs w:val="28"/>
      </w:rPr>
      <w:fldChar w:fldCharType="begin"/>
    </w:r>
    <w:r>
      <w:rPr>
        <w:sz w:val="20"/>
        <w:szCs w:val="28"/>
      </w:rPr>
      <w:instrText xml:space="preserve"> PAGE </w:instrText>
    </w:r>
    <w:r>
      <w:rPr>
        <w:sz w:val="20"/>
        <w:szCs w:val="28"/>
      </w:rPr>
      <w:fldChar w:fldCharType="separate"/>
    </w:r>
    <w:r>
      <w:rPr>
        <w:sz w:val="20"/>
        <w:szCs w:val="28"/>
      </w:rPr>
      <w:t>40</w:t>
    </w:r>
    <w:r>
      <w:rPr>
        <w:sz w:val="20"/>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pStyle w:val="Heading6"/>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bullet"/>
      <w:lvlText w:val=""/>
      <w:lvlJc w:val="left"/>
      <w:pPr>
        <w:tabs>
          <w:tab w:val="num" w:pos="0"/>
        </w:tabs>
        <w:ind w:left="720" w:hanging="360"/>
      </w:pPr>
      <w:rPr>
        <w:rFonts w:ascii="Symbol" w:hAnsi="Symbol" w:cs="Symbol" w:hint="default"/>
        <w:sz w:val="24"/>
        <w:shd w:fill="FFFFFF" w:val="clear"/>
        <w:szCs w:val="24"/>
        <w:color w:val="000000"/>
        <w:lang w:val="ru-RU" w:eastAsia="zh-CN" w:bidi="ar-SA"/>
      </w:rPr>
    </w:lvl>
    <w:lvl w:ilvl="1">
      <w:start w:val="1"/>
      <w:numFmt w:val="decimal"/>
      <w:lvlText w:val="%2."/>
      <w:lvlJc w:val="left"/>
      <w:pPr>
        <w:tabs>
          <w:tab w:val="num" w:pos="360"/>
        </w:tabs>
        <w:ind w:left="360" w:hanging="360"/>
      </w:pPr>
      <w:rPr>
        <w:sz w:val="24"/>
        <w:u w:val="single"/>
        <w:szCs w:val="24"/>
        <w:color w:themeColor="text1" w:val="000000"/>
      </w:rPr>
    </w:lvl>
    <w:lvl w:ilvl="2">
      <w:start w:val="1"/>
      <w:numFmt w:val="decimal"/>
      <w:lvlText w:val="%3."/>
      <w:lvlJc w:val="left"/>
      <w:pPr>
        <w:tabs>
          <w:tab w:val="num" w:pos="2160"/>
        </w:tabs>
        <w:ind w:left="2160" w:hanging="360"/>
      </w:pPr>
      <w:rPr>
        <w:b/>
        <w:bCs/>
        <w:lang w:bidi="ru-RU"/>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bullet"/>
      <w:lvlText w:val=""/>
      <w:lvlJc w:val="left"/>
      <w:pPr>
        <w:tabs>
          <w:tab w:val="num" w:pos="0"/>
        </w:tabs>
        <w:ind w:left="720" w:hanging="360"/>
      </w:pPr>
      <w:rPr>
        <w:rFonts w:ascii="Symbol" w:hAnsi="Symbol" w:cs="Symbol" w:hint="default"/>
        <w:sz w:val="24"/>
        <w:u w:val="none"/>
        <w:szCs w:val="24"/>
        <w:color w:val="000000"/>
      </w:rPr>
    </w:lvl>
    <w:lvl w:ilvl="1">
      <w:start w:val="1"/>
      <w:numFmt w:val="decimal"/>
      <w:lvlText w:val="%2."/>
      <w:lvlJc w:val="left"/>
      <w:pPr>
        <w:tabs>
          <w:tab w:val="num" w:pos="360"/>
        </w:tabs>
        <w:ind w:left="360" w:hanging="360"/>
      </w:pPr>
      <w:rPr>
        <w:sz w:val="24"/>
        <w:u w:val="none"/>
        <w:szCs w:val="24"/>
        <w:color w:val="000000"/>
        <w:lang w:val="ru-RU"/>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880"/>
        </w:tabs>
        <w:ind w:left="2880" w:hanging="360"/>
      </w:pPr>
      <w:rPr>
        <w:sz w:val="24"/>
        <w:szCs w:val="24"/>
        <w:lang w:val="ru-RU"/>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rFonts w:eastAsia="Courier New"/>
        <w:lang w:bidi="ru-RU"/>
      </w:rPr>
    </w:lvl>
    <w:lvl w:ilvl="6">
      <w:start w:val="1"/>
      <w:numFmt w:val="decimal"/>
      <w:lvlText w:val="%7."/>
      <w:lvlJc w:val="left"/>
      <w:pPr>
        <w:tabs>
          <w:tab w:val="num" w:pos="5040"/>
        </w:tabs>
        <w:ind w:left="5040" w:hanging="360"/>
      </w:pPr>
      <w:rPr>
        <w:rFonts w:eastAsia="Calibri"/>
        <w:lang w:eastAsia="en-US"/>
      </w:rPr>
    </w:lvl>
    <w:lvl w:ilvl="7">
      <w:start w:val="1"/>
      <w:numFmt w:val="decimal"/>
      <w:lvlText w:val="%8."/>
      <w:lvlJc w:val="left"/>
      <w:pPr>
        <w:tabs>
          <w:tab w:val="num" w:pos="5760"/>
        </w:tabs>
        <w:ind w:left="5760" w:hanging="360"/>
      </w:pPr>
      <w:rPr>
        <w:bCs/>
        <w:lang w:eastAsia="en-US" w:bidi="ru-RU"/>
      </w:rPr>
    </w:lvl>
    <w:lvl w:ilvl="8">
      <w:start w:val="1"/>
      <w:numFmt w:val="decimal"/>
      <w:lvlText w:val="%9."/>
      <w:lvlJc w:val="left"/>
      <w:pPr>
        <w:tabs>
          <w:tab w:val="num" w:pos="6480"/>
        </w:tabs>
        <w:ind w:left="6480" w:hanging="360"/>
      </w:pPr>
      <w:rPr>
        <w:sz w:val="24"/>
        <w:szCs w:val="24"/>
        <w:color w:themeColor="text1" w:val="00000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Droid Sans Fallback" w:cs="Lohit Devanagari"/>
      <w:color w:val="auto"/>
      <w:kern w:val="0"/>
      <w:sz w:val="24"/>
      <w:szCs w:val="24"/>
      <w:lang w:val="ru-RU" w:eastAsia="zh-CN" w:bidi="ar-SA"/>
    </w:rPr>
  </w:style>
  <w:style w:type="paragraph" w:styleId="Heading1">
    <w:name w:val="Heading 1"/>
    <w:basedOn w:val="Normal"/>
    <w:qFormat/>
    <w:pPr>
      <w:keepNext w:val="true"/>
      <w:numPr>
        <w:ilvl w:val="0"/>
        <w:numId w:val="1"/>
      </w:numPr>
      <w:jc w:val="center"/>
      <w:outlineLvl w:val="0"/>
    </w:pPr>
    <w:rPr>
      <w:b/>
      <w:sz w:val="28"/>
      <w:szCs w:val="2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qFormat/>
    <w:pPr>
      <w:numPr>
        <w:ilvl w:val="5"/>
        <w:numId w:val="1"/>
      </w:numPr>
      <w:spacing w:before="240" w:after="60"/>
      <w:outlineLvl w:val="5"/>
    </w:pPr>
    <w:rPr>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Pr>
      <w:rFonts w:ascii="Arial" w:hAnsi="Arial" w:eastAsia="Arial" w:cs="Arial"/>
      <w:sz w:val="40"/>
      <w:szCs w:val="40"/>
    </w:rPr>
  </w:style>
  <w:style w:type="character" w:styleId="2" w:customStyle="1">
    <w:name w:val="Заголовок 2 Знак"/>
    <w:uiPriority w:val="9"/>
    <w:qFormat/>
    <w:rPr>
      <w:rFonts w:ascii="Arial" w:hAnsi="Arial" w:eastAsia="Arial" w:cs="Arial"/>
      <w:sz w:val="34"/>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1" w:customStyle="1">
    <w:name w:val="Заголовок 6 Знак1"/>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11" w:customStyle="1">
    <w:name w:val="Заголовок Знак1"/>
    <w:uiPriority w:val="10"/>
    <w:qFormat/>
    <w:rPr>
      <w:sz w:val="48"/>
      <w:szCs w:val="48"/>
    </w:rPr>
  </w:style>
  <w:style w:type="character" w:styleId="Style5" w:customStyle="1">
    <w:name w:val="Подзаголовок Знак"/>
    <w:uiPriority w:val="11"/>
    <w:qFormat/>
    <w:rPr>
      <w:sz w:val="24"/>
      <w:szCs w:val="24"/>
    </w:rPr>
  </w:style>
  <w:style w:type="character" w:styleId="21" w:customStyle="1">
    <w:name w:val="Цитата 2 Знак"/>
    <w:uiPriority w:val="29"/>
    <w:qFormat/>
    <w:rPr>
      <w:i/>
    </w:rPr>
  </w:style>
  <w:style w:type="character" w:styleId="Style6" w:customStyle="1">
    <w:name w:val="Выделенная цитата Знак"/>
    <w:uiPriority w:val="30"/>
    <w:qFormat/>
    <w:rPr>
      <w:i/>
    </w:rPr>
  </w:style>
  <w:style w:type="character" w:styleId="12" w:customStyle="1">
    <w:name w:val="Верхний колонтитул Знак1"/>
    <w:uiPriority w:val="99"/>
    <w:qFormat/>
    <w:rPr/>
  </w:style>
  <w:style w:type="character" w:styleId="FooterChar" w:customStyle="1">
    <w:name w:val="Footer Char"/>
    <w:uiPriority w:val="99"/>
    <w:qFormat/>
    <w:rPr/>
  </w:style>
  <w:style w:type="character" w:styleId="13" w:customStyle="1">
    <w:name w:val="Нижний колонтитул Знак1"/>
    <w:uiPriority w:val="99"/>
    <w:qFormat/>
    <w:rPr/>
  </w:style>
  <w:style w:type="character" w:styleId="Style7" w:customStyle="1">
    <w:name w:val="Текст сноски Знак"/>
    <w:uiPriority w:val="99"/>
    <w:qFormat/>
    <w:rPr>
      <w:sz w:val="18"/>
    </w:rPr>
  </w:style>
  <w:style w:type="character" w:styleId="Style8">
    <w:name w:val="Символ сноски"/>
    <w:uiPriority w:val="99"/>
    <w:unhideWhenUsed/>
    <w:qFormat/>
    <w:rPr>
      <w:vertAlign w:val="superscript"/>
    </w:rPr>
  </w:style>
  <w:style w:type="character" w:styleId="FootnoteReference">
    <w:name w:val="Footnote Reference"/>
    <w:rPr>
      <w:vertAlign w:val="superscript"/>
    </w:rPr>
  </w:style>
  <w:style w:type="character" w:styleId="Style9" w:customStyle="1">
    <w:name w:val="Текст концевой сноски Знак"/>
    <w:uiPriority w:val="99"/>
    <w:qFormat/>
    <w:rPr>
      <w:sz w:val="20"/>
    </w:rPr>
  </w:style>
  <w:style w:type="character" w:styleId="Style10">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WW8Num2z0" w:customStyle="1">
    <w:name w:val="WW8Num2z0"/>
    <w:qFormat/>
    <w:rPr>
      <w:rFonts w:ascii="Symbol" w:hAnsi="Symbol" w:cs="Symbol"/>
    </w:rPr>
  </w:style>
  <w:style w:type="character" w:styleId="WW8Num3z0" w:customStyle="1">
    <w:name w:val="WW8Num3z0"/>
    <w:qFormat/>
    <w:rPr/>
  </w:style>
  <w:style w:type="character" w:styleId="WW8Num4z0" w:customStyle="1">
    <w:name w:val="WW8Num4z0"/>
    <w:qFormat/>
    <w:rPr/>
  </w:style>
  <w:style w:type="character" w:styleId="WW8Num5z0" w:customStyle="1">
    <w:name w:val="WW8Num5z0"/>
    <w:qFormat/>
    <w:rPr>
      <w:sz w:val="16"/>
      <w:szCs w:val="16"/>
    </w:rPr>
  </w:style>
  <w:style w:type="character" w:styleId="WW8Num6z0" w:customStyle="1">
    <w:name w:val="WW8Num6z0"/>
    <w:qFormat/>
    <w:rPr/>
  </w:style>
  <w:style w:type="character" w:styleId="WW8Num7z0" w:customStyle="1">
    <w:name w:val="WW8Num7z0"/>
    <w:qFormat/>
    <w:rPr/>
  </w:style>
  <w:style w:type="character" w:styleId="WW8Num8z0" w:customStyle="1">
    <w:name w:val="WW8Num8z0"/>
    <w:qFormat/>
    <w:rPr/>
  </w:style>
  <w:style w:type="character" w:styleId="WW8Num9z0" w:customStyle="1">
    <w:name w:val="WW8Num9z0"/>
    <w:qFormat/>
    <w:rPr/>
  </w:style>
  <w:style w:type="character" w:styleId="WW8Num10z0" w:customStyle="1">
    <w:name w:val="WW8Num10z0"/>
    <w:qFormat/>
    <w:rPr/>
  </w:style>
  <w:style w:type="character" w:styleId="WW8Num11z0" w:customStyle="1">
    <w:name w:val="WW8Num11z0"/>
    <w:qFormat/>
    <w:rPr/>
  </w:style>
  <w:style w:type="character" w:styleId="WW8Num12z0" w:customStyle="1">
    <w:name w:val="WW8Num12z0"/>
    <w:qFormat/>
    <w:rPr/>
  </w:style>
  <w:style w:type="character" w:styleId="WW8Num13z0" w:customStyle="1">
    <w:name w:val="WW8Num13z0"/>
    <w:qFormat/>
    <w:rPr/>
  </w:style>
  <w:style w:type="character" w:styleId="WW8Num14z0" w:customStyle="1">
    <w:name w:val="WW8Num14z0"/>
    <w:qFormat/>
    <w:rPr/>
  </w:style>
  <w:style w:type="character" w:styleId="WW8Num15z0" w:customStyle="1">
    <w:name w:val="WW8Num15z0"/>
    <w:qFormat/>
    <w:rPr/>
  </w:style>
  <w:style w:type="character" w:styleId="WW8Num18z0" w:customStyle="1">
    <w:name w:val="WW8Num18z0"/>
    <w:qFormat/>
    <w:rPr/>
  </w:style>
  <w:style w:type="character" w:styleId="WW8Num19z0" w:customStyle="1">
    <w:name w:val="WW8Num19z0"/>
    <w:qFormat/>
    <w:rPr/>
  </w:style>
  <w:style w:type="character" w:styleId="WW8Num20z0" w:customStyle="1">
    <w:name w:val="WW8Num20z0"/>
    <w:qFormat/>
    <w:rPr/>
  </w:style>
  <w:style w:type="character" w:styleId="WW8Num21z0" w:customStyle="1">
    <w:name w:val="WW8Num21z0"/>
    <w:qFormat/>
    <w:rPr/>
  </w:style>
  <w:style w:type="character" w:styleId="WW8Num22z0" w:customStyle="1">
    <w:name w:val="WW8Num22z0"/>
    <w:qFormat/>
    <w:rPr/>
  </w:style>
  <w:style w:type="character" w:styleId="WW8Num23z0" w:customStyle="1">
    <w:name w:val="WW8Num23z0"/>
    <w:qFormat/>
    <w:rPr/>
  </w:style>
  <w:style w:type="character" w:styleId="WW8Num25z0" w:customStyle="1">
    <w:name w:val="WW8Num25z0"/>
    <w:qFormat/>
    <w:rPr/>
  </w:style>
  <w:style w:type="character" w:styleId="WW8Num26z0" w:customStyle="1">
    <w:name w:val="WW8Num26z0"/>
    <w:qFormat/>
    <w:rPr/>
  </w:style>
  <w:style w:type="character" w:styleId="WW8Num27z0" w:customStyle="1">
    <w:name w:val="WW8Num27z0"/>
    <w:qFormat/>
    <w:rPr/>
  </w:style>
  <w:style w:type="character" w:styleId="WW8Num29z0" w:customStyle="1">
    <w:name w:val="WW8Num29z0"/>
    <w:qFormat/>
    <w:rPr>
      <w:rFonts w:ascii="Symbol" w:hAnsi="Symbol" w:cs="Symbol"/>
    </w:rPr>
  </w:style>
  <w:style w:type="character" w:styleId="WW8Num30z0" w:customStyle="1">
    <w:name w:val="WW8Num30z0"/>
    <w:qFormat/>
    <w:rPr/>
  </w:style>
  <w:style w:type="character" w:styleId="WW8Num31z0" w:customStyle="1">
    <w:name w:val="WW8Num31z0"/>
    <w:qFormat/>
    <w:rPr/>
  </w:style>
  <w:style w:type="character" w:styleId="WW8Num32z0" w:customStyle="1">
    <w:name w:val="WW8Num32z0"/>
    <w:qFormat/>
    <w:rPr/>
  </w:style>
  <w:style w:type="character" w:styleId="WW8Num33z0" w:customStyle="1">
    <w:name w:val="WW8Num33z0"/>
    <w:qFormat/>
    <w:rPr/>
  </w:style>
  <w:style w:type="character" w:styleId="WW8Num34z0" w:customStyle="1">
    <w:name w:val="WW8Num34z0"/>
    <w:qFormat/>
    <w:rPr/>
  </w:style>
  <w:style w:type="character" w:styleId="Pagenumber">
    <w:name w:val="page number"/>
    <w:basedOn w:val="DefaultParagraphFont"/>
    <w:qFormat/>
    <w:rPr/>
  </w:style>
  <w:style w:type="character" w:styleId="Style11" w:customStyle="1">
    <w:name w:val="Текст Знак"/>
    <w:qFormat/>
    <w:rPr>
      <w:rFonts w:ascii="Courier New" w:hAnsi="Courier New" w:cs="Courier New"/>
    </w:rPr>
  </w:style>
  <w:style w:type="character" w:styleId="Style12" w:customStyle="1">
    <w:name w:val="Верхний колонтитул Знак"/>
    <w:qFormat/>
    <w:rPr>
      <w:sz w:val="16"/>
      <w:lang w:val="ru-RU" w:bidi="ar-SA"/>
    </w:rPr>
  </w:style>
  <w:style w:type="character" w:styleId="31" w:customStyle="1">
    <w:name w:val="Основной текст с отступом 3 Знак"/>
    <w:qFormat/>
    <w:rPr>
      <w:sz w:val="16"/>
      <w:szCs w:val="16"/>
    </w:rPr>
  </w:style>
  <w:style w:type="character" w:styleId="Hyperlink">
    <w:name w:val="Hyperlink"/>
    <w:rPr>
      <w:color w:val="0563C1"/>
      <w:u w:val="single"/>
    </w:rPr>
  </w:style>
  <w:style w:type="character" w:styleId="Style13" w:customStyle="1">
    <w:name w:val="Абзац списка Знак"/>
    <w:qFormat/>
    <w:rPr>
      <w:sz w:val="24"/>
      <w:szCs w:val="24"/>
    </w:rPr>
  </w:style>
  <w:style w:type="character" w:styleId="6" w:customStyle="1">
    <w:name w:val="Заголовок 6 Знак"/>
    <w:qFormat/>
    <w:rPr>
      <w:b/>
      <w:bCs/>
      <w:sz w:val="22"/>
      <w:szCs w:val="22"/>
    </w:rPr>
  </w:style>
  <w:style w:type="character" w:styleId="Style14" w:customStyle="1">
    <w:name w:val="Название Знак"/>
    <w:qFormat/>
    <w:rPr>
      <w:sz w:val="28"/>
      <w:lang w:val="ru-RU" w:bidi="ar-SA"/>
    </w:rPr>
  </w:style>
  <w:style w:type="character" w:styleId="Style15" w:customStyle="1">
    <w:name w:val="Заголовок Знак"/>
    <w:qFormat/>
    <w:rPr>
      <w:rFonts w:ascii="Calibri Light" w:hAnsi="Calibri Light" w:eastAsia="Times New Roman" w:cs="Times New Roman"/>
      <w:b/>
      <w:bCs/>
      <w:sz w:val="32"/>
      <w:szCs w:val="32"/>
    </w:rPr>
  </w:style>
  <w:style w:type="character" w:styleId="Style16" w:customStyle="1">
    <w:name w:val="Нижний колонтитул Знак"/>
    <w:qFormat/>
    <w:rPr/>
  </w:style>
  <w:style w:type="character" w:styleId="FollowedHyperlink">
    <w:name w:val="FollowedHyperlink"/>
    <w:rPr>
      <w:color w:val="954F72"/>
      <w:u w:val="single"/>
    </w:rPr>
  </w:style>
  <w:style w:type="character" w:styleId="Style17" w:customStyle="1">
    <w:name w:val="Гиперссылка"/>
    <w:qFormat/>
    <w:rPr>
      <w:color w:val="0000FF"/>
      <w:u w:val="single"/>
    </w:rPr>
  </w:style>
  <w:style w:type="character" w:styleId="Style18">
    <w:name w:val="Символ нумерации"/>
    <w:qFormat/>
    <w:rPr/>
  </w:style>
  <w:style w:type="paragraph" w:styleId="Style19">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jc w:val="right"/>
    </w:pPr>
    <w:rPr>
      <w:sz w:val="28"/>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rPr>
  </w:style>
  <w:style w:type="paragraph" w:styleId="Style20">
    <w:name w:val="Указатель"/>
    <w:basedOn w:val="Normal"/>
    <w:qFormat/>
    <w:pPr>
      <w:suppressLineNumbers/>
    </w:pPr>
    <w:rPr>
      <w:rFonts w:cs="Lohit Devanagari"/>
    </w:rPr>
  </w:style>
  <w:style w:type="paragraph" w:styleId="ListParagraph">
    <w:name w:val="List Paragraph"/>
    <w:basedOn w:val="Normal"/>
    <w:qFormat/>
    <w:pPr>
      <w:ind w:left="708"/>
    </w:pPr>
    <w:rPr/>
  </w:style>
  <w:style w:type="paragraph" w:styleId="NoSpacing">
    <w:name w:val="No Spacing"/>
    <w:uiPriority w:val="1"/>
    <w:qFormat/>
    <w:pPr>
      <w:widowControl/>
      <w:suppressAutoHyphens w:val="true"/>
      <w:bidi w:val="0"/>
      <w:spacing w:before="0" w:after="0"/>
      <w:jc w:val="left"/>
    </w:pPr>
    <w:rPr>
      <w:rFonts w:ascii="Times New Roman" w:hAnsi="Times New Roman" w:eastAsia="Droid Sans Fallback" w:cs="Lohit Devanagari"/>
      <w:color w:val="auto"/>
      <w:kern w:val="0"/>
      <w:sz w:val="20"/>
      <w:szCs w:val="20"/>
      <w:lang w:val="ru-RU" w:eastAsia="ru-RU" w:bidi="ar-SA"/>
    </w:rPr>
  </w:style>
  <w:style w:type="paragraph" w:styleId="Title">
    <w:name w:val="Title"/>
    <w:basedOn w:val="Normal"/>
    <w:qFormat/>
    <w:pPr>
      <w:spacing w:before="240" w:after="60"/>
      <w:jc w:val="center"/>
      <w:outlineLvl w:val="0"/>
    </w:pPr>
    <w:rPr>
      <w:rFonts w:ascii="Calibri Light" w:hAnsi="Calibri Light"/>
      <w:b/>
      <w:bCs/>
      <w:sz w:val="32"/>
      <w:szCs w:val="32"/>
    </w:rPr>
  </w:style>
  <w:style w:type="paragraph" w:styleId="Subtitle">
    <w:name w:val="Subtitle"/>
    <w:basedOn w:val="Normal"/>
    <w:uiPriority w:val="11"/>
    <w:qFormat/>
    <w:pPr>
      <w:spacing w:before="200" w:after="200"/>
    </w:pPr>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z w:val="20"/>
    </w:rPr>
  </w:style>
  <w:style w:type="paragraph" w:styleId="TOC1">
    <w:name w:val="TOC 1"/>
    <w:basedOn w:val="Normal"/>
    <w:uiPriority w:val="39"/>
    <w:unhideWhenUsed/>
    <w:pPr>
      <w:spacing w:before="0" w:after="57"/>
    </w:pPr>
    <w:rPr/>
  </w:style>
  <w:style w:type="paragraph" w:styleId="TOC2">
    <w:name w:val="TOC 2"/>
    <w:basedOn w:val="Normal"/>
    <w:uiPriority w:val="39"/>
    <w:unhideWhenUsed/>
    <w:pPr>
      <w:spacing w:before="0" w:after="57"/>
      <w:ind w:left="283"/>
    </w:pPr>
    <w:rPr/>
  </w:style>
  <w:style w:type="paragraph" w:styleId="TOC3">
    <w:name w:val="TOC 3"/>
    <w:basedOn w:val="Normal"/>
    <w:uiPriority w:val="39"/>
    <w:unhideWhenUsed/>
    <w:pPr>
      <w:spacing w:before="0" w:after="57"/>
      <w:ind w:left="567"/>
    </w:pPr>
    <w:rPr/>
  </w:style>
  <w:style w:type="paragraph" w:styleId="TOC4">
    <w:name w:val="TOC 4"/>
    <w:basedOn w:val="Normal"/>
    <w:uiPriority w:val="39"/>
    <w:unhideWhenUsed/>
    <w:pPr>
      <w:spacing w:before="0" w:after="57"/>
      <w:ind w:left="850"/>
    </w:pPr>
    <w:rPr/>
  </w:style>
  <w:style w:type="paragraph" w:styleId="TOC5">
    <w:name w:val="TOC 5"/>
    <w:basedOn w:val="Normal"/>
    <w:uiPriority w:val="39"/>
    <w:unhideWhenUsed/>
    <w:pPr>
      <w:spacing w:before="0" w:after="57"/>
      <w:ind w:left="1134"/>
    </w:pPr>
    <w:rPr/>
  </w:style>
  <w:style w:type="paragraph" w:styleId="TOC6">
    <w:name w:val="TOC 6"/>
    <w:basedOn w:val="Normal"/>
    <w:uiPriority w:val="39"/>
    <w:unhideWhenUsed/>
    <w:pPr>
      <w:spacing w:before="0" w:after="57"/>
      <w:ind w:left="1417"/>
    </w:pPr>
    <w:rPr/>
  </w:style>
  <w:style w:type="paragraph" w:styleId="TOC7">
    <w:name w:val="TOC 7"/>
    <w:basedOn w:val="Normal"/>
    <w:uiPriority w:val="39"/>
    <w:unhideWhenUsed/>
    <w:pPr>
      <w:spacing w:before="0" w:after="57"/>
      <w:ind w:left="1701"/>
    </w:pPr>
    <w:rPr/>
  </w:style>
  <w:style w:type="paragraph" w:styleId="TOC8">
    <w:name w:val="TOC 8"/>
    <w:basedOn w:val="Normal"/>
    <w:uiPriority w:val="39"/>
    <w:unhideWhenUsed/>
    <w:pPr>
      <w:spacing w:before="0" w:after="57"/>
      <w:ind w:left="1984"/>
    </w:pPr>
    <w:rPr/>
  </w:style>
  <w:style w:type="paragraph" w:styleId="TOC9">
    <w:name w:val="TOC 9"/>
    <w:basedOn w:val="Normal"/>
    <w:uiPriority w:val="39"/>
    <w:unhideWhenUsed/>
    <w:pPr>
      <w:spacing w:before="0" w:after="57"/>
      <w:ind w:lef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Droid Sans Fallback" w:cs="Lohit Devanagari"/>
      <w:color w:val="auto"/>
      <w:kern w:val="0"/>
      <w:sz w:val="20"/>
      <w:szCs w:val="20"/>
      <w:lang w:val="ru-RU" w:eastAsia="ru-RU" w:bidi="ar-SA"/>
    </w:rPr>
  </w:style>
  <w:style w:type="paragraph" w:styleId="TableofFigures">
    <w:name w:val="Table of Figures"/>
    <w:basedOn w:val="Normal"/>
    <w:uiPriority w:val="99"/>
    <w:unhideWhenUsed/>
    <w:pPr/>
    <w:rPr/>
  </w:style>
  <w:style w:type="paragraph" w:styleId="Indexheading1">
    <w:name w:val="index heading1"/>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rPr>
  </w:style>
  <w:style w:type="paragraph" w:styleId="PlainText">
    <w:name w:val="Plain Text"/>
    <w:basedOn w:val="Normal"/>
    <w:qFormat/>
    <w:pPr/>
    <w:rPr>
      <w:rFonts w:ascii="Courier New" w:hAnsi="Courier New" w:cs="Courier New"/>
      <w:sz w:val="20"/>
      <w:szCs w:val="20"/>
      <w:lang w:val="en-US"/>
    </w:rPr>
  </w:style>
  <w:style w:type="paragraph" w:styleId="ConsNormal" w:customStyle="1">
    <w:name w:val="ConsNormal"/>
    <w:qFormat/>
    <w:pPr>
      <w:widowControl/>
      <w:suppressAutoHyphens w:val="true"/>
      <w:bidi w:val="0"/>
      <w:spacing w:before="0" w:after="0"/>
      <w:ind w:firstLine="720"/>
      <w:jc w:val="left"/>
    </w:pPr>
    <w:rPr>
      <w:rFonts w:ascii="Consultant" w:hAnsi="Consultant" w:eastAsia="Droid Sans Fallback" w:cs="Consultant"/>
      <w:color w:val="auto"/>
      <w:kern w:val="0"/>
      <w:sz w:val="20"/>
      <w:szCs w:val="20"/>
      <w:lang w:val="ru-RU" w:eastAsia="zh-CN" w:bidi="ar-SA"/>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Style21" w:customStyle="1">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qFormat/>
    <w:pPr/>
    <w:rPr>
      <w:rFonts w:ascii="Tahoma" w:hAnsi="Tahoma" w:cs="Tahoma"/>
      <w:sz w:val="16"/>
      <w:szCs w:val="16"/>
    </w:rPr>
  </w:style>
  <w:style w:type="paragraph" w:styleId="Style22" w:customStyle="1">
    <w:name w:val="Знак Знак Знак Знак Знак Знак Знак Знак Знак Знак Знак Знак"/>
    <w:basedOn w:val="Normal"/>
    <w:qFormat/>
    <w:pPr/>
    <w:rPr>
      <w:rFonts w:ascii="Verdana" w:hAnsi="Verdana" w:cs="Verdana"/>
      <w:sz w:val="20"/>
      <w:szCs w:val="20"/>
      <w:lang w:val="en-US"/>
    </w:rPr>
  </w:style>
  <w:style w:type="paragraph" w:styleId="ConsPlusNormal" w:customStyle="1">
    <w:name w:val="ConsPlusNormal"/>
    <w:qFormat/>
    <w:pPr>
      <w:widowControl/>
      <w:suppressAutoHyphens w:val="true"/>
      <w:bidi w:val="0"/>
      <w:spacing w:before="0" w:after="0"/>
      <w:jc w:val="left"/>
    </w:pPr>
    <w:rPr>
      <w:rFonts w:ascii="Times New Roman" w:hAnsi="Times New Roman" w:eastAsia="Calibri" w:cs="Lohit Devanagari"/>
      <w:color w:val="auto"/>
      <w:kern w:val="0"/>
      <w:sz w:val="20"/>
      <w:szCs w:val="20"/>
      <w:lang w:val="ru-RU" w:eastAsia="zh-CN" w:bidi="ar-SA"/>
    </w:rPr>
  </w:style>
  <w:style w:type="paragraph" w:styleId="Header">
    <w:name w:val="Header"/>
    <w:pPr>
      <w:widowControl/>
      <w:tabs>
        <w:tab w:val="clear" w:pos="708"/>
        <w:tab w:val="center" w:pos="4153" w:leader="none"/>
        <w:tab w:val="right" w:pos="8306" w:leader="none"/>
      </w:tabs>
      <w:suppressAutoHyphens w:val="true"/>
      <w:bidi w:val="0"/>
      <w:spacing w:before="0" w:after="0"/>
      <w:jc w:val="center"/>
    </w:pPr>
    <w:rPr>
      <w:rFonts w:ascii="Times New Roman" w:hAnsi="Times New Roman" w:eastAsia="Droid Sans Fallback" w:cs="Lohit Devanagari"/>
      <w:color w:val="auto"/>
      <w:kern w:val="0"/>
      <w:sz w:val="16"/>
      <w:szCs w:val="20"/>
      <w:lang w:val="ru-RU" w:eastAsia="zh-CN" w:bidi="ar-SA"/>
    </w:rPr>
  </w:style>
  <w:style w:type="paragraph" w:styleId="BodyTextIndent3">
    <w:name w:val="Body Text Indent 3"/>
    <w:basedOn w:val="Normal"/>
    <w:qFormat/>
    <w:pPr>
      <w:spacing w:before="0" w:after="120"/>
      <w:ind w:left="283"/>
    </w:pPr>
    <w:rPr>
      <w:sz w:val="16"/>
      <w:szCs w:val="16"/>
      <w:lang w:val="en-US"/>
    </w:rPr>
  </w:style>
  <w:style w:type="paragraph" w:styleId="NormalWeb">
    <w:name w:val="Normal (Web)"/>
    <w:basedOn w:val="Normal"/>
    <w:qFormat/>
    <w:pPr>
      <w:spacing w:before="280" w:after="280"/>
    </w:pPr>
    <w:rPr/>
  </w:style>
  <w:style w:type="paragraph" w:styleId="Default" w:customStyle="1">
    <w:name w:val="Default"/>
    <w:qFormat/>
    <w:pPr>
      <w:widowControl/>
      <w:suppressAutoHyphens w:val="true"/>
      <w:bidi w:val="0"/>
      <w:spacing w:before="0" w:after="0"/>
      <w:jc w:val="left"/>
    </w:pPr>
    <w:rPr>
      <w:rFonts w:ascii="Times New Roman" w:hAnsi="Times New Roman" w:eastAsia="Droid Sans Fallback" w:cs="Lohit Devanagari"/>
      <w:color w:val="000000"/>
      <w:kern w:val="0"/>
      <w:sz w:val="24"/>
      <w:szCs w:val="24"/>
      <w:lang w:val="ru-RU" w:eastAsia="zh-CN" w:bidi="ar-SA"/>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14">
    <w:name w:val="Основной текст1"/>
    <w:qFormat/>
    <w:pPr>
      <w:widowControl w:val="false"/>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TableParagraph">
    <w:name w:val="Table Paragraph"/>
    <w:qFormat/>
    <w:pPr>
      <w:widowControl w:val="false"/>
      <w:suppressAutoHyphens w:val="true"/>
      <w:bidi w:val="0"/>
      <w:spacing w:before="0" w:after="0"/>
      <w:ind w:hanging="0" w:left="107" w:right="0"/>
      <w:jc w:val="left"/>
    </w:pPr>
    <w:rPr>
      <w:rFonts w:ascii="Times New Roman" w:hAnsi="Times New Roman" w:eastAsia="Times New Roman" w:cs="Times New Roman"/>
      <w:color w:val="auto"/>
      <w:kern w:val="0"/>
      <w:sz w:val="22"/>
      <w:szCs w:val="22"/>
      <w:lang w:val="ru-RU" w:eastAsia="ru-RU" w:bidi="ar-SA"/>
    </w:rPr>
  </w:style>
  <w:style w:type="paragraph" w:styleId="TimesNewRoman">
    <w:name w:val="Times New Roman"/>
    <w:qFormat/>
    <w:pPr>
      <w:keepNext w:val="false"/>
      <w:keepLines w:val="false"/>
      <w:pageBreakBefore w:val="false"/>
      <w:widowControl/>
      <w:shd w:val="nil"/>
      <w:suppressAutoHyphens w:val="true"/>
      <w:bidi w:val="0"/>
      <w:spacing w:lineRule="auto" w:line="240" w:beforeAutospacing="0" w:before="0" w:afterAutospacing="0" w:after="0"/>
      <w:ind w:firstLine="311" w:left="0" w:right="0"/>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numbering" w:styleId="NoList" w:default="1">
    <w:name w:val="No List"/>
    <w:uiPriority w:val="99"/>
    <w:semiHidden/>
    <w:unhideWhenUsed/>
    <w:qFormat/>
  </w:style>
  <w:style w:type="table" w:styleId="825">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26">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7">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28">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29">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30">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31">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32">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33">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34">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35">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36">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37">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38">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39">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40">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41">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42">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43">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44">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45">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46">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47">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48">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49">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50">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51">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52">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53">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854">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855">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56">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57">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58">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59">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60">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61">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62">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63">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64">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65">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866">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867">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868">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869">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870">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871">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872">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873">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874">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875">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876">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877">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878">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879">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880">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881">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882">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883">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884">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885">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886">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887">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888">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89">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890">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891">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892">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893">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894">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895">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96">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897">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898">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899">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00">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01">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02">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03">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04">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05">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06">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07">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08">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09">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10">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11">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12">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13">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14">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15">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16">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17">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18">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19">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20">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21">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22">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23">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24">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25">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26">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27">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28">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29">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30">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31">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32">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33">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34">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35">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36">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37">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38">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39">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40">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41">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42">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43">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44">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45">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46">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947">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948">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949">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950">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51">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rgi.gov.ru/" TargetMode="External"/><Relationship Id="rId3" Type="http://schemas.openxmlformats.org/officeDocument/2006/relationships/hyperlink" Target="http://www.gorodperm.ru/" TargetMode="External"/><Relationship Id="rId4" Type="http://schemas.openxmlformats.org/officeDocument/2006/relationships/hyperlink" Target="http://utp.sberbank-ast.ru/" TargetMode="External"/><Relationship Id="rId5" Type="http://schemas.openxmlformats.org/officeDocument/2006/relationships/hyperlink" Target="http://utp.sberbank-ast.ru/" TargetMode="External"/><Relationship Id="rId6" Type="http://schemas.openxmlformats.org/officeDocument/2006/relationships/hyperlink" Target="https://utp.sberbank-ast.ru/Main/Notice/988/Reglament" TargetMode="External"/><Relationship Id="rId7" Type="http://schemas.openxmlformats.org/officeDocument/2006/relationships/hyperlink" Target="https://utp.sberbank-ast.ru/AP/Notice/1027/Instructions" TargetMode="External"/><Relationship Id="rId8" Type="http://schemas.openxmlformats.org/officeDocument/2006/relationships/hyperlink" Target="https://utp.sberbank-ast.ru/AP/Notice/652/Instructions" TargetMode="External"/><Relationship Id="rId9" Type="http://schemas.openxmlformats.org/officeDocument/2006/relationships/hyperlink" Target="http://www.gorodperm.ru/" TargetMode="External"/><Relationship Id="rId10" Type="http://schemas.openxmlformats.org/officeDocument/2006/relationships/hyperlink" Target="https://&#1087;&#1086;&#1088;&#1090;&#1072;&#1083;-&#1090;&#1087;.&#1088;&#1092;" TargetMode="External"/><Relationship Id="rId11" Type="http://schemas.openxmlformats.org/officeDocument/2006/relationships/hyperlink" Target="https://connectgas.ru/" TargetMode="External"/><Relationship Id="rId12" Type="http://schemas.openxmlformats.org/officeDocument/2006/relationships/hyperlink" Target="http://www.gorodperm.ru/" TargetMode="External"/><Relationship Id="rId13" Type="http://schemas.openxmlformats.org/officeDocument/2006/relationships/hyperlink" Target="http://www.gorodperm.ru/" TargetMode="External"/><Relationship Id="rId14" Type="http://schemas.openxmlformats.org/officeDocument/2006/relationships/hyperlink" Target="https://" TargetMode="External"/><Relationship Id="rId15" Type="http://schemas.openxmlformats.org/officeDocument/2006/relationships/hyperlink" Target="mailto:perm-mail@ural.rt.ru" TargetMode="External"/><Relationship Id="rId16" Type="http://schemas.openxmlformats.org/officeDocument/2006/relationships/hyperlink" Target="http://www.gorodperm.ru/" TargetMode="External"/><Relationship Id="rId17" Type="http://schemas.openxmlformats.org/officeDocument/2006/relationships/hyperlink" Target="https://" TargetMode="External"/><Relationship Id="rId18" Type="http://schemas.openxmlformats.org/officeDocument/2006/relationships/hyperlink" Target="mailto:perm-mail@ural.rt.ru" TargetMode="External"/><Relationship Id="rId19" Type="http://schemas.openxmlformats.org/officeDocument/2006/relationships/hyperlink" Target="http://utp.sberbank-ast.ru/AP/Notice/653/Requisites"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229</TotalTime>
  <Application>LibreOffice/7.6.7.2$Linux_X86_64 LibreOffice_project/60$Build-2</Application>
  <AppVersion>15.0000</AppVersion>
  <Pages>40</Pages>
  <Words>12507</Words>
  <Characters>89454</Characters>
  <CharactersWithSpaces>102560</CharactersWithSpaces>
  <Paragraphs>600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2023-10-30T09:15:00Z</dcterms:created>
  <dc:creator>Tatyannikova</dc:creator>
  <dc:description/>
  <dc:language>ru-RU</dc:language>
  <cp:lastModifiedBy/>
  <dcterms:modified xsi:type="dcterms:W3CDTF">2026-08-18T14:53:14Z</dcterms:modified>
  <cp:revision>360</cp:revision>
  <dc:subject/>
  <dc:title>Департамент имущественных отношений администрации города Перми</dc:title>
</cp:coreProperties>
</file>

<file path=docProps/custom.xml><?xml version="1.0" encoding="utf-8"?>
<Properties xmlns="http://schemas.openxmlformats.org/officeDocument/2006/custom-properties" xmlns:vt="http://schemas.openxmlformats.org/officeDocument/2006/docPropsVTypes"/>
</file>