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lainText"/>
        <w:ind w:hanging="1134" w:left="1134" w:right="-26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732" w:leader="none"/>
          <w:tab w:val="left" w:pos="5812" w:leader="none"/>
        </w:tabs>
        <w:spacing w:lineRule="exact" w:line="240"/>
        <w:ind w:firstLine="5670" w:left="0"/>
        <w:jc w:val="both"/>
        <w:outlineLvl w:val="5"/>
        <w:rPr>
          <w:sz w:val="28"/>
          <w:szCs w:val="28"/>
        </w:rPr>
      </w:pPr>
      <w:r>
        <w:rPr>
          <w:bCs/>
          <w:sz w:val="28"/>
          <w:szCs w:val="28"/>
        </w:rPr>
        <w:t>Приложение 2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6" w:left="5664"/>
        <w:rPr>
          <w:sz w:val="28"/>
          <w:szCs w:val="28"/>
        </w:rPr>
      </w:pPr>
      <w:r>
        <w:rPr>
          <w:sz w:val="28"/>
          <w:szCs w:val="28"/>
        </w:rPr>
        <w:t>к приказу начальника департамента имущественных отношений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>администрации города Перми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20.08.2026 № 059-19-01-11-133</w:t>
      </w:r>
    </w:p>
    <w:p>
      <w:pPr>
        <w:pStyle w:val="Normal"/>
        <w:tabs>
          <w:tab w:val="clear" w:pos="708"/>
          <w:tab w:val="left" w:pos="4732" w:leader="none"/>
        </w:tabs>
        <w:ind w:left="283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4732" w:leader="none"/>
        </w:tabs>
        <w:ind w:lef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Извещение о проведении</w:t>
      </w:r>
      <w:r>
        <w:rPr>
          <w:rFonts w:cs="Times New Roman" w:ascii="Times New Roman" w:hAnsi="Times New Roman"/>
          <w:b/>
          <w:sz w:val="28"/>
          <w:szCs w:val="28"/>
          <w:shd w:fill="auto" w:val="clear"/>
          <w:lang w:val="ru-RU"/>
        </w:rPr>
        <w:t xml:space="preserve"> 17.09.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>2026 электронных аукционов на право заключения договоров аренды земельных участков</w:t>
      </w:r>
    </w:p>
    <w:p>
      <w:pPr>
        <w:pStyle w:val="PlainTex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shd w:fill="FFFFFF" w:val="clear"/>
        </w:rPr>
        <w:t xml:space="preserve">Электронные аукционы на право заключения договоров аренды земельных участков (далее – аукцион) проводятся в соответствии со статьями 39.11, 39.12, 39.13, 39.18 Земельного кодекса Российской Федерации, Положением о департаменте имущественных отношений администрации города Перми, утвержденным решением Пермской городской Думы от 12 сентября 2006 г. № 210, постановлением администрации города Перми от 20 ноября 2008 г. № 1089 «О комиссии 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расположенных на земельных участках, находящихся в муниципальной собственности города Перми, и участках, собственность на которые не разграничена, или на право заключения договоров аренды земельных участков, находящихся в муниципальной собственности города Перми, </w:t>
      </w:r>
      <w:r>
        <w:rPr>
          <w:rFonts w:eastAsia="Droid Sans Fallback" w:cs="Lohit Devanagari"/>
          <w:color w:val="000000"/>
          <w:sz w:val="24"/>
          <w:szCs w:val="24"/>
          <w:shd w:fill="FFFFFF" w:val="clear"/>
          <w:lang w:val="ru-RU" w:eastAsia="zh-CN" w:bidi="ar-SA"/>
        </w:rPr>
        <w:t>и участков, собственность на которые не разграничена» (далее – комиссия), регламентом работы электронной площадки АО «Сбербанк-АСТ», регламентом работы торговой секции АО «Сбербанк-АСТ».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</w:rPr>
      </w:pPr>
      <w:r>
        <w:rPr>
          <w:b/>
          <w:bCs/>
        </w:rPr>
        <w:t xml:space="preserve">Орган, принявший решение о проведении аукциона: </w:t>
      </w:r>
      <w:r>
        <w:rPr>
          <w:bCs/>
        </w:rPr>
        <w:t xml:space="preserve">департамент земельных отношений администрации города Перми, местонахождение: 614000, г. Пермь, ул. Сибирская,15, почтовый адрес: 614000, г. Пермь, ул. Сибирская,15, телефон 212-33-48 (аналитический отдел), адрес электронной почты: </w:t>
      </w:r>
      <w:r>
        <w:rPr>
          <w:rStyle w:val="Hyperlink"/>
          <w:bCs/>
          <w:sz w:val="24"/>
          <w:szCs w:val="24"/>
          <w:lang w:val="en-US"/>
        </w:rPr>
        <w:t>dzo@perm.permkrai.ru.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</w:rPr>
        <w:t xml:space="preserve">Организатор аукциона </w:t>
      </w:r>
      <w:r>
        <w:rPr>
          <w:bCs/>
        </w:rPr>
        <w:t>(далее – Организатор аукциона)</w:t>
      </w:r>
      <w:r>
        <w:rPr>
          <w:b/>
          <w:bCs/>
        </w:rPr>
        <w:t xml:space="preserve">: </w:t>
      </w:r>
      <w:r>
        <w:rPr>
          <w:bCs/>
        </w:rPr>
        <w:t>департамент имущественных отношений администрации города Перми, местонахождение: 614000, г. Пермь, ул. Сибирская,14, почтовый адрес: 614000, г. Пермь, ул. Сибирская,14, телефон 212-77-24 (отдел по распоряжению муниципальным имуществом), адрес электронной почты:</w:t>
      </w:r>
      <w:r>
        <w:rPr>
          <w:b/>
          <w:bCs/>
        </w:rPr>
        <w:t xml:space="preserve"> </w:t>
      </w:r>
      <w:r>
        <w:rPr>
          <w:sz w:val="24"/>
          <w:szCs w:val="24"/>
          <w:lang w:val="en-US"/>
        </w:rPr>
        <w:t>dio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perm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permkrai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b/>
          <w:bCs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sz w:val="24"/>
          <w:szCs w:val="24"/>
        </w:rPr>
      </w:pPr>
      <w:r>
        <w:rPr>
          <w:b/>
          <w:bCs/>
        </w:rPr>
        <w:t>Реквизиты приказа об организации проведения аукциона:</w:t>
      </w:r>
      <w:r>
        <w:rPr>
          <w:bCs/>
        </w:rPr>
        <w:t xml:space="preserve"> приказ начальника департамента имущественных отношений администрации города Перми от</w:t>
      </w:r>
      <w:r>
        <w:rPr>
          <w:bCs/>
          <w:sz w:val="16"/>
          <w:szCs w:val="24"/>
        </w:rPr>
        <w:t xml:space="preserve"> </w:t>
      </w:r>
      <w:r>
        <w:rPr>
          <w:bCs/>
          <w:sz w:val="24"/>
          <w:szCs w:val="28"/>
        </w:rPr>
        <w:t>20.08.2026 № 059-19-01-11-133.</w:t>
      </w:r>
    </w:p>
    <w:p>
      <w:pPr>
        <w:pStyle w:val="BodyTextIndent3"/>
        <w:numPr>
          <w:ilvl w:val="0"/>
          <w:numId w:val="0"/>
        </w:numPr>
        <w:spacing w:before="0" w:after="0"/>
        <w:ind w:firstLine="567" w:left="-567"/>
        <w:jc w:val="both"/>
        <w:outlineLvl w:val="0"/>
        <w:rPr>
          <w:rFonts w:eastAsia="Courier New"/>
          <w:b/>
          <w:color w:val="000000"/>
          <w:lang w:val="ru-RU" w:bidi="ru-RU"/>
        </w:rPr>
      </w:pPr>
      <w:r>
        <w:rPr>
          <w:sz w:val="24"/>
          <w:szCs w:val="24"/>
          <w:lang w:val="ru-RU"/>
        </w:rPr>
        <w:t xml:space="preserve">Извещение о проведение электронных аукционов размещается на официальном сайте Российской Федерации для размещения информации о проведении торгов </w:t>
      </w:r>
      <w:hyperlink r:id="rId2" w:tgtFrame="http://www.torgi.gov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torgi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gov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color w:val="000000"/>
          <w:sz w:val="24"/>
          <w:szCs w:val="24"/>
          <w:u w:val="none"/>
        </w:rPr>
        <w:t xml:space="preserve"> </w:t>
        <w:br/>
        <w:t>(далее – ГИС Торги)</w:t>
      </w:r>
      <w:r>
        <w:rPr>
          <w:b/>
          <w:sz w:val="24"/>
          <w:szCs w:val="24"/>
          <w:lang w:val="ru-RU"/>
        </w:rPr>
        <w:t>,</w:t>
      </w:r>
      <w:r>
        <w:rPr>
          <w:b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официальном сайте муниципального образования город Пермь </w:t>
        <w:br/>
        <w:t xml:space="preserve">в информационно-телекоммуникационной сети «Интернет» </w:t>
      </w:r>
      <w:hyperlink r:id="rId3" w:tgtFrame="http://www.gorodperm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gorodperm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sz w:val="24"/>
          <w:szCs w:val="24"/>
          <w:lang w:val="ru-RU"/>
        </w:rPr>
        <w:t xml:space="preserve"> и на электронной </w:t>
      </w:r>
      <w:r>
        <w:rPr>
          <w:bCs/>
          <w:sz w:val="24"/>
          <w:szCs w:val="24"/>
          <w:lang w:val="ru-RU" w:bidi="ru-RU"/>
        </w:rPr>
        <w:t xml:space="preserve">площадке </w:t>
      </w:r>
      <w:hyperlink r:id="rId4" w:tgtFrame="http://utp.sberbank-ast.ru/">
        <w:r>
          <w:rPr>
            <w:rStyle w:val="Hyperlink"/>
            <w:sz w:val="24"/>
            <w:szCs w:val="24"/>
          </w:rPr>
          <w:t>http</w:t>
        </w:r>
        <w:r>
          <w:rPr>
            <w:rStyle w:val="Hyperlink"/>
            <w:sz w:val="24"/>
            <w:szCs w:val="24"/>
            <w:lang w:val="ru-RU"/>
          </w:rPr>
          <w:t>://</w:t>
        </w:r>
        <w:r>
          <w:rPr>
            <w:rStyle w:val="Hyperlink"/>
            <w:sz w:val="24"/>
            <w:szCs w:val="24"/>
          </w:rPr>
          <w:t>utp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sberbank</w:t>
        </w:r>
        <w:r>
          <w:rPr>
            <w:rStyle w:val="Hyperlink"/>
            <w:sz w:val="24"/>
            <w:szCs w:val="24"/>
            <w:lang w:val="ru-RU"/>
          </w:rPr>
          <w:t>-</w:t>
        </w:r>
        <w:r>
          <w:rPr>
            <w:rStyle w:val="Hyperlink"/>
            <w:sz w:val="24"/>
            <w:szCs w:val="24"/>
          </w:rPr>
          <w:t>ast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ru</w:t>
        </w:r>
      </w:hyperlink>
      <w:r>
        <w:rPr>
          <w:bCs/>
          <w:sz w:val="24"/>
          <w:szCs w:val="24"/>
          <w:lang w:val="ru-RU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rFonts w:eastAsia="Courier New"/>
          <w:b/>
          <w:color w:val="000000"/>
          <w:lang w:eastAsia="en-US" w:bidi="ru-RU"/>
        </w:rPr>
      </w:pPr>
      <w:r>
        <w:rPr>
          <w:rFonts w:eastAsia="Courier New"/>
          <w:b/>
          <w:color w:val="000000"/>
          <w:lang w:bidi="ru-RU"/>
        </w:rPr>
        <w:t>Адрес электронной площадки в информационно-телекоммуникационной сети «Интернет», на которой будет проводиться аукцион</w:t>
      </w:r>
      <w:r>
        <w:rPr>
          <w:rFonts w:eastAsia="Courier New"/>
          <w:color w:val="000000"/>
          <w:lang w:bidi="ru-RU"/>
        </w:rPr>
        <w:t>:</w:t>
      </w:r>
      <w:r>
        <w:rPr>
          <w:rFonts w:eastAsia="Courier New" w:cs="Courier New" w:ascii="Courier New" w:hAnsi="Courier New"/>
          <w:color w:val="000000"/>
          <w:lang w:bidi="ru-RU"/>
        </w:rPr>
        <w:t xml:space="preserve"> </w:t>
      </w:r>
      <w:hyperlink r:id="rId5" w:tgtFrame="http://utp.sberbank-ast.ru/">
        <w:r>
          <w:rPr>
            <w:rStyle w:val="Hyperlink"/>
          </w:rPr>
          <w:t>http://utp.sberbank-ast.ru</w:t>
        </w:r>
      </w:hyperlink>
      <w:r>
        <w:rPr>
          <w:rFonts w:eastAsia="Courier New"/>
          <w:lang w:bidi="ru-RU"/>
        </w:rPr>
        <w:t xml:space="preserve"> </w:t>
        <w:br/>
      </w:r>
      <w:r>
        <w:rPr>
          <w:rFonts w:eastAsia="Courier New"/>
          <w:color w:val="000000"/>
          <w:lang w:bidi="ru-RU"/>
        </w:rPr>
        <w:t xml:space="preserve">(далее – электронная площадка), торговая секция «Приватизация, аренда и продажа прав» </w:t>
        <w:br/>
        <w:t xml:space="preserve">(далее – торговая секция). 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b/>
          <w:color w:val="000000"/>
          <w:lang w:eastAsia="en-US" w:bidi="ru-RU"/>
        </w:rPr>
        <w:t>Владелец электронной площадки</w:t>
      </w:r>
      <w:r>
        <w:rPr>
          <w:rFonts w:eastAsia="Courier New"/>
          <w:color w:val="000000"/>
          <w:lang w:eastAsia="en-US" w:bidi="ru-RU"/>
        </w:rPr>
        <w:t>:</w:t>
      </w:r>
      <w:r>
        <w:rPr>
          <w:rFonts w:eastAsia="Calibri"/>
          <w:lang w:eastAsia="en-US"/>
        </w:rPr>
        <w:t xml:space="preserve"> АО «Сбербанк-АСТ» (далее – Оператор)</w:t>
      </w:r>
      <w:r>
        <w:rPr>
          <w:rFonts w:eastAsia="Courier New"/>
          <w:color w:val="000000"/>
          <w:lang w:eastAsia="en-US"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rFonts w:eastAsia="Courier New"/>
          <w:color w:val="000000"/>
          <w:lang w:bidi="ru-RU"/>
        </w:rPr>
        <w:t xml:space="preserve">Регламент работы электронной площадки размещён по </w:t>
      </w:r>
      <w:r>
        <w:rPr>
          <w:rFonts w:eastAsia="Courier New"/>
          <w:lang w:bidi="ru-RU"/>
        </w:rPr>
        <w:t xml:space="preserve">адресу: </w:t>
      </w:r>
      <w:hyperlink r:id="rId6" w:tgtFrame="https://utp.sberbank-ast.ru/Main/Notice/988/Reglament">
        <w:r>
          <w:rPr>
            <w:rStyle w:val="Hyperlink"/>
            <w:rFonts w:eastAsia="Courier New"/>
            <w:lang w:bidi="ru-RU"/>
          </w:rPr>
          <w:t>https://utp.sberbank-ast.ru/Main/Notice/988/Reglament</w:t>
        </w:r>
      </w:hyperlink>
      <w:r>
        <w:rPr>
          <w:rFonts w:eastAsia="Courier New"/>
          <w:lang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lang w:bidi="ru-RU"/>
        </w:rPr>
      </w:pPr>
      <w:r>
        <w:rPr>
          <w:bCs/>
          <w:lang w:bidi="ru-RU"/>
        </w:rPr>
        <w:t xml:space="preserve">Регламент работы </w:t>
      </w:r>
      <w:r>
        <w:rPr>
          <w:rFonts w:eastAsia="Courier New"/>
          <w:lang w:bidi="ru-RU"/>
        </w:rPr>
        <w:t xml:space="preserve">торговой секции </w:t>
      </w:r>
      <w:r>
        <w:rPr>
          <w:bCs/>
          <w:lang w:eastAsia="en-US" w:bidi="ru-RU"/>
        </w:rPr>
        <w:t xml:space="preserve">размещен по адресу: 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 w:type="textWrapping" w:clear="all"/>
      </w:r>
      <w:hyperlink r:id="rId7" w:tgtFrame="https://utp.sberbank-ast.ru/AP/Notice/1027/Instructions">
        <w:r>
          <w:rPr>
            <w:rStyle w:val="Hyperlink"/>
            <w:rFonts w:eastAsia="Calibri"/>
            <w:lang w:eastAsia="en-US"/>
          </w:rPr>
          <w:t>https://utp.sberbank-ast.ru/AP/Notice/1027/Instructions</w:t>
        </w:r>
      </w:hyperlink>
      <w:r>
        <w:rPr>
          <w:rFonts w:eastAsia="Calibri"/>
          <w:lang w:eastAsia="en-US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</w:rPr>
      </w:pPr>
      <w:r>
        <w:rPr>
          <w:rFonts w:eastAsia="Courier New"/>
          <w:lang w:bidi="ru-RU"/>
        </w:rPr>
        <w:t xml:space="preserve">Инструкция по работе в торговой секции электронной площадки  </w:t>
      </w:r>
      <w:r>
        <w:rPr>
          <w:rFonts w:eastAsia="Courier New"/>
          <w:lang w:bidi="ru-RU"/>
        </w:rPr>
        <w:br w:type="textWrapping" w:clear="all"/>
      </w:r>
      <w:r>
        <w:rPr>
          <w:bCs/>
          <w:lang w:eastAsia="en-US" w:bidi="ru-RU"/>
        </w:rPr>
        <w:t>размещена по адресу:</w:t>
      </w:r>
      <w:r>
        <w:rPr>
          <w:rFonts w:eastAsia="Calibri" w:cs="Calibri" w:ascii="Calibri" w:hAnsi="Calibri"/>
          <w:sz w:val="22"/>
          <w:szCs w:val="22"/>
          <w:lang w:eastAsia="en-US"/>
        </w:rPr>
        <w:t xml:space="preserve"> </w:t>
      </w:r>
      <w:hyperlink r:id="rId8" w:tgtFrame="https://utp.sberbank-ast.ru/AP/Notice/652/Instructions">
        <w:r>
          <w:rPr>
            <w:rStyle w:val="Hyperlink"/>
            <w:bCs/>
            <w:lang w:eastAsia="en-US" w:bidi="ru-RU"/>
          </w:rPr>
          <w:t>https://utp.sberbank-ast.ru/AP/Notice/652/Instructions</w:t>
        </w:r>
      </w:hyperlink>
      <w:r>
        <w:rPr>
          <w:bCs/>
          <w:lang w:eastAsia="en-US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highlight w:val="none"/>
        </w:rPr>
      </w:pPr>
      <w:r>
        <w:rPr>
          <w:b/>
          <w:bCs/>
        </w:rPr>
        <w:t xml:space="preserve">Орган, уполномоченный на право заключение договора аренды земельного участка: </w:t>
      </w:r>
      <w:r>
        <w:rPr>
          <w:bCs/>
        </w:rPr>
        <w:t xml:space="preserve">департамент земельных отношений администрации города Перми, местонахождение: 614000, </w:t>
        <w:br/>
        <w:t>г. Пермь, ул. Сибирская,15, почтовый адрес: 614000, г. Пермь, ул. Сибирская,15, телефон 212-61-90 (отдел договоров), адрес электронной почты:</w:t>
      </w:r>
      <w:r>
        <w:rPr>
          <w:bCs/>
          <w:sz w:val="24"/>
          <w:szCs w:val="24"/>
        </w:rPr>
        <w:t xml:space="preserve"> </w:t>
      </w:r>
      <w:r>
        <w:rPr>
          <w:rStyle w:val="Hyperlink"/>
          <w:bCs/>
          <w:sz w:val="24"/>
          <w:szCs w:val="24"/>
          <w:lang w:val="en-US"/>
        </w:rPr>
        <w:t>dzo</w:t>
      </w:r>
      <w:r>
        <w:rPr>
          <w:rStyle w:val="Hyperlink"/>
          <w:bCs/>
          <w:sz w:val="24"/>
          <w:szCs w:val="24"/>
        </w:rPr>
        <w:t>@</w:t>
      </w:r>
      <w:r>
        <w:rPr>
          <w:rStyle w:val="Hyperlink"/>
          <w:bCs/>
          <w:sz w:val="24"/>
          <w:szCs w:val="24"/>
          <w:lang w:val="en-US"/>
        </w:rPr>
        <w:t>perm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permkrai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ru.</w:t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b/>
          <w:bCs/>
        </w:rPr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Сведения о лотах (предметах аукциона)</w:t>
      </w:r>
    </w:p>
    <w:p>
      <w:pPr>
        <w:pStyle w:val="PlainText"/>
        <w:spacing w:lineRule="exact" w:line="240"/>
        <w:ind w:hanging="1134" w:left="1134"/>
        <w:jc w:val="center"/>
        <w:rPr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PlainText"/>
        <w:spacing w:lineRule="exact" w:line="240"/>
        <w:ind w:hanging="1134" w:left="1134"/>
        <w:jc w:val="left"/>
        <w:rPr/>
      </w:pPr>
      <w:r>
        <w:rPr>
          <w:rFonts w:cs="Times New Roman" w:ascii="Times New Roman" w:hAnsi="Times New Roman"/>
          <w:b/>
          <w:sz w:val="24"/>
          <w:szCs w:val="28"/>
          <w:lang w:val="ru-RU"/>
        </w:rPr>
        <w:t>Лот № 1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от 30 июня 2026 г. № 21-01-03-4544 </w:t>
            </w:r>
            <w:r>
              <w:rPr>
                <w:rFonts w:eastAsia="Droid Sans Fallback" w:cs="Lohit Devanagari"/>
                <w:color w:val="000000"/>
                <w:kern w:val="0"/>
                <w:sz w:val="24"/>
                <w:szCs w:val="28"/>
                <w:shd w:fill="auto" w:val="clear"/>
                <w:lang w:val="ru-RU" w:eastAsia="zh-CN" w:bidi="ar-SA"/>
              </w:rPr>
              <w:t xml:space="preserve">«О проведении аукциона на право заключения договора аренды земельного участка в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shd w:fill="auto" w:val="clear"/>
                <w:lang w:val="ru-RU" w:eastAsia="ru-RU" w:bidi="ar-SA"/>
              </w:rPr>
              <w:t>Орджоникидзевском</w:t>
            </w:r>
            <w:r>
              <w:rPr>
                <w:rFonts w:eastAsia="Droid Sans Fallback" w:cs="Lohit Devanagari"/>
                <w:color w:val="000000"/>
                <w:kern w:val="0"/>
                <w:sz w:val="24"/>
                <w:szCs w:val="28"/>
                <w:shd w:fill="auto" w:val="clear"/>
                <w:lang w:val="ru-RU" w:eastAsia="zh-CN" w:bidi="ar-SA"/>
              </w:rPr>
              <w:t xml:space="preserve"> районе города Перми»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,                    от 12 августа 2026 г.  № 21-01-03-5665 «О внесении изменений  в абзац первый пункта 1 распоряжения начальника департамента земельных отношений администрации города Перми от 30 июня 2026 г. № 21-01-03-4544 «О проведении аукциона на право заключения договора аренды земельного участка в Орджоникидзевском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Ромашковая, з/у 9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632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59:01:3512039:129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Ж-4 «Зона индивидуальной жилой застройки городского типа»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16.07.2026г. № КУВИ-001/2026-96440653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22.06</w:t>
            </w:r>
            <w:r>
              <w:rPr>
                <w:color w:val="000000"/>
                <w:sz w:val="24"/>
                <w:szCs w:val="24"/>
                <w:shd w:fill="auto" w:val="clear"/>
              </w:rPr>
              <w:t>.2026 № РФ-59-2-03-0-00-2026-1640-0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2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Доступ к Участку не ограничен, состояние рельефа – ровное. На Участке произрастают многолетние хвойные и лиственные деревья, низкорослые кустарники. Объектов движимого и/или недвижимого имущества не выявлено.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Ближайший источник противопожарного водоснабжения, относительно испрашиваемого Участка является – пожарный резервуар расположен по адресу: Пермский край, г. Пермь, Орджоникидзевский район, ул. Прохладная, 20.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администрации Орджоникидзевского района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от 15.06.2026 № 059-37-01-32/3-3397, в акте обследования от 11.06.2026 № 52</w:t>
            </w:r>
            <w:r>
              <w:rPr>
                <w:color w:val="auto"/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В соответствии с копией планшета масштаба 1:500 (требуется корректура) на Участке отсутствуют капитальные и некапитальные строения.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Согласно сведениям ЕГРН, ГПЗУ и справке </w:t>
              <w:br/>
              <w:t xml:space="preserve">по градостроительным условиям участка от 16.07.2026 </w:t>
              <w:br/>
              <w:t xml:space="preserve">№ 687036 </w:t>
            </w:r>
            <w:r>
              <w:rPr>
                <w:b w:val="false"/>
                <w:bCs w:val="false"/>
                <w:color w:val="auto"/>
                <w:sz w:val="24"/>
                <w:szCs w:val="24"/>
                <w:highlight w:val="white"/>
              </w:rPr>
              <w:t>сведения о границах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зон с особыми условиями использования территории отсутствуют</w:t>
            </w:r>
            <w:r>
              <w:rPr>
                <w:b w:val="false"/>
                <w:bCs w:val="false"/>
                <w:color w:val="auto"/>
                <w:sz w:val="24"/>
                <w:szCs w:val="24"/>
                <w:highlight w:val="white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На Участке произрастает 632 шт. деревьев породы «береза», «липа», «рябина», «ива».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Средняя стоимость в ценах 2026 года одного дерева лиственной породы от 40 тыс. руб., а хвойной – от 50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 xml:space="preserve">Победителю аукциона необходимо соблюдать условия строительства, перечисленные в перечне мероприятий </w:t>
              <w:br/>
              <w:t>по охране окружающей среды от 10.06.2026 № 132.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>управления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по экологии и природопользованию администрации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10.06.2026 № 059-33-01-10/3-334).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966, на период 2025-2029 годы и Программой комплексного развития транспортной инфраструктуры города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Перми </w:t>
              <w:br/>
              <w:t>на 2025-2029 годы, утвержденной Решением Пермской городской Думы от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16.12.2025 № 238, мероприятия </w:t>
              <w:br/>
              <w:t>по строительству,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реконструкции,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капитальному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ремонту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улично-дорожной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сети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рассматриваемой территории </w:t>
              <w:br/>
              <w:t>не предусмотрены.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sz w:val="24"/>
                <w:szCs w:val="24"/>
              </w:rPr>
              <w:t>В отношении территории, в границах которой расположен Участок, постановлением администрации города Перми от 09.10.2019 № 654 утверждены проект планировки территории и проект межевания территории.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425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Для примыкания Участка к улично-дорожной сети города Перми н</w:t>
            </w:r>
            <w:r>
              <w:rPr>
                <w:rFonts w:eastAsia="Times New Roman" w:cs="Times New Roman"/>
                <w:color w:themeColor="text1" w:val="000000"/>
                <w:sz w:val="24"/>
              </w:rPr>
              <w:t>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425" w:left="0" w:right="0"/>
              <w:jc w:val="both"/>
              <w:rPr/>
            </w:pPr>
            <w:r>
              <w:rPr>
                <w:rFonts w:eastAsia="Times New Roman" w:cs="Times New Roman"/>
                <w:color w:themeColor="text1" w:val="000000"/>
                <w:sz w:val="24"/>
              </w:rPr>
              <w:t xml:space="preserve">По информации, имеющейся в департаменте дорог </w:t>
              <w:br/>
              <w:t>и благоустройства администрации города Перми, улично-дорожная сеть для обеспечения доступа к участку отсутствует. Примыкание рассматриваемого  земельного участка к улично-дорожной сети возможно при строительстве улично-дорожной сети, обеспечивающей доступ к земельным участкам.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>Также направлена информация о соблюдении Правил благоустройства территории города Перми, утвержденных решением Пермской городской Думы от 15.12.2020 № 277 «Об утверждении правил благоустройства территории города Перми», при строительстве объектов недвижимости на земельных участках, предоставленных на торгах.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В соответствии с Федеральным законом от 08.11.2007 № 257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, расходы на строительства, реконструкцию, капитальный ремонт, ремонт пересечений и примыканий, в том числе расходы </w:t>
              <w:br/>
              <w:t xml:space="preserve">на выполнение дополнительных работ связанных </w:t>
              <w:br/>
              <w:t xml:space="preserve">с обеспечением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 xml:space="preserve">в интересах которых осуществляется строительство, реконструкция, капитальный ремонт, ремонт пересечений </w:t>
              <w:br/>
              <w:t>или примыканий.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департамента дорог и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благоустройства администрации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 от 04.06.2026 № 059-24-01-36/3-1777).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Ближайший источник противопожарного водоснабжения (пожарный гидрант на сети водоснабжения) расположен на расстоянии 315 метров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по адресу: ул Васильевская, 15.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Информация о подразделениях пожарной охраны </w:t>
              <w:br/>
              <w:t>и времени их прибытия содержится в «Расписании выезда подразделений Пермского местного пожарно-спасательного гарнизона для тушения 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ул. Волховская, 37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(ПСЧ-57 10-ПСО).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Помещения для аварийно-спасательных служб и (или) аварийно- 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Объект общественной безопасности, отнесенный </w:t>
              <w:br/>
              <w:t>к объектам полиции (участковые пункты полиции), расположен по адресу: г. Пермь,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ул. Бенгальская, 6 (Орджоникидзевский район). 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 информации, предоставленной Министерством территориальной безопасности Пермского края (письмо </w:t>
              <w:br/>
              <w:t>от 07.10.2020 № 964с), рассматриваемая территория попадает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/>
            </w:pPr>
            <w:r>
              <w:rPr/>
              <w:t>Данная территория находится в зоне действия региональной системы оповещения населения города Перми, установленной по адресу: ул. Бенгальская, д. 2 – 1500 метров.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департамента общественной безопасности администрации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04.06.2026 № 059-10-01-27/3-803).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9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color w:val="auto"/>
                <w:sz w:val="24"/>
                <w:szCs w:val="24"/>
              </w:rPr>
              <w:t xml:space="preserve"> </w:t>
              <w:br/>
            </w:r>
            <w:r>
              <w:rPr>
                <w:color w:val="auto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val="auto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спальни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); кухни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val="auto"/>
                <w:sz w:val="24"/>
                <w:szCs w:val="24"/>
              </w:rPr>
              <w:br/>
            </w:r>
            <w:r>
              <w:rPr>
                <w:color w:val="auto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>в мансардном этаже, допускается уменьшение высоты помещений (от пола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Согласно информации, содержащейся в ГПЗУ, предельная высота зданий, строений не более 10,5 м (документация по планировке территории, утвержденная постановлением администрации города Перми от 22.12.2017 № 1178).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Минимальный отступ от границ земельного участка </w:t>
              <w:br/>
              <w:t>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смежных земельных участков при блокированной жилой застройке) – 3 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Максимальный выступ за красную линию нависающих частей здания наземных уровней, выступающих </w:t>
              <w:br/>
              <w:t>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Максимальный процент застройки в границах Участка – 30%.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sz w:val="24"/>
                <w:highlight w:val="white"/>
              </w:rPr>
              <w:t>С уведомлением о планируемом строительстве жилого дома рекомендуется обратиться в уполномоченный орган администрации города Перми.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0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</w:rPr>
              <w:t>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РФ от 27.12.2004 № 861 (далее –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При подготовке ГПЗУ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Дополнительно сообщается, что в границах Участка сетей ПАО «Россети Урал» и их охранных зон нет.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Заявку на технологическое присоединение можно подать через единый федеральный портал электросетевых услуг группы компаний «Россети» на сайте: </w:t>
            </w:r>
            <w:hyperlink r:id="rId11" w:tgtFrame="https:/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 - «Пермэнерго» по адресу: </w:t>
              <w:br/>
              <w:t xml:space="preserve">г. Пермь, ул. Камчатовская, д. 26, а также почтовым отправлением по адресу: 314016, г. Пермь, </w:t>
              <w:br/>
              <w:t>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 xml:space="preserve">филиала ПАО «Россети Урал» - «Пермэнерго» </w:t>
            </w:r>
            <w:r>
              <w:rPr>
                <w:color w:val="auto"/>
                <w:sz w:val="24"/>
                <w:szCs w:val="24"/>
                <w:highlight w:val="white"/>
              </w:rPr>
              <w:t>от 09.06.2026 № ПЭ/ПГЭС/01/22/8644).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объекта капитального строительства с предполагаемой максимальной нагрузкой (часовым расходом газа) 8м</w:t>
            </w:r>
            <w:r>
              <w:rPr>
                <w:sz w:val="24"/>
                <w:szCs w:val="24"/>
                <w:highlight w:val="white"/>
                <w:vertAlign w:val="superscript"/>
              </w:rPr>
              <w:t>3</w:t>
            </w:r>
            <w:r>
              <w:rPr>
                <w:sz w:val="24"/>
                <w:szCs w:val="24"/>
                <w:highlight w:val="white"/>
              </w:rPr>
              <w:t>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заявку с приложением необходимых документов в соответствии с постановлением Правительства Российской Федерации от 13.09.2021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 силу некоторых актов Правительства Российской Федерации»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АО «Газпром газораспределение Пермь»</w:t>
            </w:r>
            <w:r>
              <w:rPr>
                <w:color w:val="auto"/>
                <w:sz w:val="24"/>
                <w:szCs w:val="24"/>
                <w:highlight w:val="white"/>
              </w:rPr>
              <w:t>от 09.06.2026 № ПФ-4339).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Ближайшей сетью водоснабжения, эксплуатируемой </w:t>
              <w:br/>
              <w:t xml:space="preserve">ООО «НОВОГОР Прикамье», является водопровод </w:t>
              <w:br/>
              <w:t>Д-150 мм, по ул. Железнодорожная.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В связи с тем, что в месте расположения Участка отсутствуют сети канализации, может быть применен альтернативный способ канализования, без подключения к централизованной системе канализации г. Перми (отвод стоков возможен на локальные очистные сооружения , либо в выгребную яму, с последующим вывозом стоков спец. Машинами), при этом состав канализационных стоков должен соответствовать всем норматиным требованиям РФ.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76913C"/>
                <w:sz w:val="25"/>
                <w:szCs w:val="25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Для сведения сообщаем, что в границах Участка отсутствуют сети водопровода и канализации, эксплуатируемые ООО «НОВОГОР — Прикамье».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ООО «НОВО</w:t>
            </w:r>
            <w:bookmarkStart w:id="0" w:name="undefined_Копия_1"/>
            <w:bookmarkEnd w:id="0"/>
            <w:r>
              <w:rPr>
                <w:b/>
                <w:color w:val="auto"/>
                <w:sz w:val="24"/>
                <w:szCs w:val="24"/>
                <w:highlight w:val="white"/>
              </w:rPr>
              <w:t xml:space="preserve">ГОР-Прикамье» </w:t>
            </w:r>
            <w:r>
              <w:rPr>
                <w:color w:val="auto"/>
                <w:sz w:val="24"/>
                <w:szCs w:val="24"/>
                <w:highlight w:val="white"/>
              </w:rPr>
              <w:t>от 08.06.2026 № 110-8463).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Участок расположен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филиала «Пермский ПАО «Т Плюс»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08.06.2026 № 51000-32-02240).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к сетям теплоснабжения отсутствует.</w:t>
            </w:r>
          </w:p>
          <w:p>
            <w:pPr>
              <w:pStyle w:val="Normal"/>
              <w:tabs>
                <w:tab w:val="clear" w:pos="708"/>
                <w:tab w:val="left" w:pos="1589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  <w:highlight w:val="white"/>
              </w:rPr>
              <w:t>В качестве альтернативного энергоресурса рекомендовано рассмотреть газ и обратиться в Пермский филиал АО «Газпром газораспределение Пермь», либо рассмотреть иные альтернативные энергоресурсы (электричество, дрова, пеллеты).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val="auto"/>
                <w:sz w:val="24"/>
                <w:szCs w:val="24"/>
                <w:highlight w:val="white"/>
              </w:rPr>
              <w:t>от 16.06.2026 № 059-04-17/3-493-ри).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Техническое присоединение планируемых к строительству объектов в границах Участка может быть произведено к узлу ВОЛС (г. Пермь, ул. Бенгальская, 14А), максимальную нагрузку в точке подключения (технологического присоединения) определить на стадии проектирования. В границах земельного участка сетей связи ПАО «Ростелеком» и их охранных зон нет.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Для подключения (технологического присоединения) вышеуказанного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заявки о заключении договора о подключении в порядке, определенном действующим законодательством.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color w:val="000000"/>
                <w:sz w:val="24"/>
                <w:szCs w:val="24"/>
                <w:highlight w:val="white"/>
              </w:rPr>
              <w:t>Для получения технических условий на подключение к сетям связи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ПАО «Ростелеком» необходимо обратиться в Отдел продаж и обслуживания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по адресу: г. Пермь, ул. Крупской, 2, тел.: (342) 235-57-34 или направить запрос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на </w:t>
            </w:r>
            <w:hyperlink r:id="rId12">
              <w:r>
                <w:rPr>
                  <w:rStyle w:val="Hyperlink"/>
                  <w:color w:val="000000"/>
                  <w:sz w:val="24"/>
                  <w:szCs w:val="24"/>
                  <w:highlight w:val="white"/>
                </w:rPr>
                <w:t>perm-mail@ural.rt.ru</w:t>
              </w:r>
            </w:hyperlink>
            <w:r>
              <w:rPr>
                <w:color w:val="000000"/>
                <w:sz w:val="24"/>
                <w:szCs w:val="24"/>
                <w:highlight w:val="white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  <w:szCs w:val="24"/>
                <w:highlight w:val="white"/>
              </w:rPr>
              <w:t>ПАО «Ростелеком»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от 04.06.2026 № 01/05/92953/26</w:t>
            </w:r>
            <w:r>
              <w:rPr>
                <w:color w:val="auto"/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>На территории, где расположен Участок, схемами не предусмотрено строительство сетей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водоснабжения </w:t>
            </w:r>
            <w:r>
              <w:rPr>
                <w:sz w:val="24"/>
                <w:szCs w:val="24"/>
              </w:rPr>
              <w:t>и водоотведения.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>Для определения технической возможности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подключения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объекта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капитального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строительства к сетям водоснабжения 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водоотведения необходимо обратиться 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гарантирующей организации для проведения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гидравлического расчета.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департамента жилищно-коммунального хозяйства администрации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10.06.2026 № 059-04-17/3-482-ри).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1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1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166 000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8 300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</w:t>
              <w:br/>
              <w:t xml:space="preserve">о государственной регистрации юридического лица </w:t>
              <w:br/>
              <w:t xml:space="preserve">в соответствии с законодательством иностранного государства </w:t>
              <w:br/>
              <w:t>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83 000</w:t>
            </w:r>
            <w:r>
              <w:rPr>
                <w:sz w:val="24"/>
                <w:szCs w:val="24"/>
              </w:rPr>
              <w:t xml:space="preserve"> 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28.05.2026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1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PlainText"/>
        <w:spacing w:lineRule="exact" w:line="240"/>
        <w:ind w:hanging="1134" w:left="1134"/>
        <w:jc w:val="left"/>
        <w:rPr/>
      </w:pPr>
      <w:r>
        <w:rPr>
          <w:rFonts w:cs="Times New Roman" w:ascii="Times New Roman" w:hAnsi="Times New Roman"/>
          <w:b/>
          <w:sz w:val="24"/>
          <w:szCs w:val="28"/>
          <w:lang w:val="ru-RU"/>
        </w:rPr>
        <w:t>Лот № 2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от 02 июня 2026 г. № 21-01-03-3697 </w:t>
            </w:r>
            <w:r>
              <w:rPr>
                <w:rFonts w:eastAsia="Droid Sans Fallback" w:cs="Lohit Devanagari"/>
                <w:color w:val="000000"/>
                <w:kern w:val="0"/>
                <w:sz w:val="24"/>
                <w:szCs w:val="28"/>
                <w:shd w:fill="auto" w:val="clear"/>
                <w:lang w:val="ru-RU" w:eastAsia="zh-CN" w:bidi="ar-SA"/>
              </w:rPr>
              <w:t xml:space="preserve">«О проведении аукциона на право заключения договора аренды земельного участка в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shd w:fill="auto" w:val="clear"/>
                <w:lang w:val="ru-RU" w:eastAsia="ru-RU" w:bidi="ar-SA"/>
              </w:rPr>
              <w:t>Орджоникидзевском</w:t>
            </w:r>
            <w:r>
              <w:rPr>
                <w:rFonts w:eastAsia="Droid Sans Fallback" w:cs="Lohit Devanagari"/>
                <w:color w:val="000000"/>
                <w:kern w:val="0"/>
                <w:sz w:val="24"/>
                <w:szCs w:val="28"/>
                <w:shd w:fill="auto" w:val="clear"/>
                <w:lang w:val="ru-RU" w:eastAsia="zh-CN" w:bidi="ar-SA"/>
              </w:rPr>
              <w:t xml:space="preserve">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Набережная, з/у 30а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59:01:3610013:1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Ж-5 «Зона индивидуальной усадебной жилой застройки»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15.06.2026г. № КУВИ-001/2026-80463053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15.04</w:t>
            </w:r>
            <w:r>
              <w:rPr>
                <w:color w:val="000000"/>
                <w:sz w:val="24"/>
                <w:szCs w:val="24"/>
                <w:shd w:fill="auto" w:val="clear"/>
              </w:rPr>
              <w:t>.2026 № РФ-59-2-03-0-00-2026-0829-0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4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Состояние рельефа – уклон. На обследуемом участке произрастают многолетние лиственные и хвойные деревья. Со стороны ул. Набережная установлен деревянный забор, в момент обследования находился в ветхом состоянии.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Близлежащие пожарные гидранты: Пермский край, </w:t>
              <w:br/>
              <w:t>г. Пермь, Орджоникидзевский район, ул. Ленина (Голованово) между жилыми домами 10 и 12, ул. Зелёная, в непосредственной близости расположен водный объект р. Васильевка.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администрации Орджоникидзевского района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10.04.2026 № 059-37-01-32/3-2056, в акте обследования от 08.04.2026</w:t>
            </w:r>
            <w:r>
              <w:rPr>
                <w:color w:themeColor="text1" w:val="000000"/>
                <w:sz w:val="24"/>
                <w:szCs w:val="24"/>
              </w:rPr>
              <w:t xml:space="preserve"> № 28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В соответствии со сведениями ЕГРН объекты капитального/некапитального строительства в границах Участка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В соответствии с копией планшета М 1:500 (требуется корректура)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 с севера пр границе Участка расположено ограждение – деревянный забор. О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бъекты капитального или некапитального строительства в границах Участка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Согласно сведениям, содержащимся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 в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ЕГРН, ГПЗУ </w:t>
              <w:br/>
              <w:t xml:space="preserve">и справке по градостроительным условиям участка </w:t>
              <w:br/>
              <w:t>от 15.06.2026 № 683257 Участок расположен в границах зоны с особыми условиями использования территории: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частично, площадью 245 кв.м, в границах прибрежной защитной полосы Камского</w:t>
            </w:r>
            <w:r>
              <w:rPr>
                <w:color w:themeColor="text1" w:val="000000"/>
                <w:sz w:val="24"/>
                <w:szCs w:val="24"/>
              </w:rPr>
              <w:t xml:space="preserve"> водохранилища, реестровый номер 59:01-6.4321;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частично, площадью 245 кв.м, в границах </w:t>
            </w:r>
            <w:r>
              <w:rPr>
                <w:color w:themeColor="text1" w:val="000000"/>
                <w:sz w:val="24"/>
                <w:szCs w:val="24"/>
              </w:rPr>
              <w:t>водоохранной зоны Камского водохранилища, реестровый номер 59:01-6.1326.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Необходимо соблюдать ограничения, установленные ст. 65 Водного кодекса Российской Федерации от 03.06.2026 г № 74-ФЗ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color w:themeColor="text1" w:val="000000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Проектировании и строительстве вести в соответствии с приказом Камского бассейнового водного управления Федерального агентства водных ресурсов № 163 от 07.07.2014 "Об установлении границ водоохранных зон и 247 прибрежных защитных полос Камского водохранилища".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На Участке произрастает 40 штук деревьев: черемуха – 2 шт., клен - 2 шт., ель – 4 шт., береза - 7 шт., осина - 8 шт., ива - 17 шт.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Средняя стоимость в ценах 2026 года одного дерева лиственной породы от 25 тыс. руб., а хвойной – от 30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pacing w:val="0"/>
                <w14:ligatures w14:val="none"/>
              </w:rPr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</w:rPr>
              <w:t xml:space="preserve">Победителю аукциона необходимо соблюдать условия строительства, перечисленные в </w:t>
            </w:r>
            <w:r>
              <w:rPr>
                <w:rFonts w:eastAsia="Times New Roman" w:cs="Times New Roman"/>
                <w:color w:themeColor="text1" w:val="000000"/>
                <w:spacing w:val="0"/>
                <w:sz w:val="24"/>
                <w:szCs w:val="24"/>
              </w:rPr>
              <w:t xml:space="preserve">перечне мероприятий </w:t>
              <w:br/>
              <w:t>по охране окружающей среды от 21.04.2026 № 76.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bCs/>
                <w:sz w:val="24"/>
                <w:szCs w:val="24"/>
                <w:highlight w:val="white"/>
              </w:rPr>
              <w:t>у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правления по экологии и природопользованию администрации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22.04.2026 № 059-33-01-10/3-226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 w:eastAsia="Times New Roman" w:cs="Times New Roman"/>
                <w:color w:themeColor="text1" w:val="000000"/>
                <w:spacing w:val="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 </w:t>
              <w:br/>
              <w:t>«Об утверждении муниципальной программы «Дорожная деятельность и благоустройство города Перми»,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</w:rPr>
              <w:t>Для примыкания Участка к улично-дорожной сети города Перми необходимо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</w:rPr>
              <w:t>Также направлена информация о соблюдении Правил благоустройства территории города Перми, утвержденных решением Пермской городской Думы от 15.12.2020 № 277 «Об утверждении Правил благоустройства территории города Перми», при строительстве объектов недвижимости на земельных участках, предоставленных на торгах.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В соответствии с Федеральным Законом от 08.11.2007 </w:t>
              <w:br/>
      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расходы на строительство, реконструкцию, капитальный ремонт, ремонт пересечений и примыканий, в том числе расходы на выполнение дополнительных работ, связанных </w:t>
              <w:br/>
              <w:t xml:space="preserve">с обеспечением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 xml:space="preserve">в интересах которых осуществляются строительство, реконструкция, капитальный ремонт, ремонт пересечений </w:t>
              <w:br/>
              <w:t>или примыканий.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bCs/>
                <w:sz w:val="24"/>
                <w:szCs w:val="24"/>
                <w:highlight w:val="white"/>
              </w:rPr>
              <w:t>д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епартамента дорог и благоустройства администрации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01.04.2026 № 059-24-01-36/3-911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Источники противопожарного водоснабжения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 xml:space="preserve">Информация о подразделениях пожарной охраны </w:t>
              <w:br/>
              <w:t xml:space="preserve">и времени их прибытия содержится в «Расписании выезда подразделений Пермского местного пожарно-спасательного гарнизона для тушения 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ул. Василия Каменского, 2 </w:t>
              <w:br/>
              <w:t>(ПСЧ-4 10-ПСО).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Помещения для аварийно-спасательных служб и (или) аварийно - 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Объекты общественной безопасности, отнесенные к объектам полиции (участковые пункты полиции) в данном микрорайоне (Голованово) отсутствуют. Ближайший участковый пункт расположен по адресу: г. Пермь, ул. Бенгальская, 6 (микрорайон Бумкомбинат, Орджоникидзевский район). 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На указанной территории оконечные устройства системы оповещения населения города Перми отсутствуют. Для обеспечения покрытия запланированной территории системой оповещения населения необходимо предусматривать размещение сиренно - речевых узлов согласно пунктам 6.38, 6.39 СП 165.1325800.2014 «Свод правил. Инженерно-технические мероприятия по гражданской обороне. Актуализированная редакция СНиП 2.01.51-90».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color w:themeColor="text1" w:val="000000"/>
                <w:sz w:val="24"/>
                <w:szCs w:val="24"/>
                <w:highlight w:val="white"/>
              </w:rPr>
              <w:t>департамента общественной безопасности администрации города Перми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  <w:t xml:space="preserve"> от 31.03.2026 № 059-10-01-27/3-469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themeColor="text1" w:val="000000"/>
                <w:sz w:val="24"/>
                <w:szCs w:val="24"/>
              </w:rPr>
              <w:t>На период до 2028 года 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№ 1085, строительство сетей водоснабжения в мкр. Голованово не предусмотрено.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департамента жилищно-коммунального хозяйства администрации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03.04.2026 № 059-04-17/3-265-ри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3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  <w:br/>
            </w:r>
            <w:r>
              <w:rPr>
                <w:color w:themeColor="text1" w:val="000000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themeColor="text1" w:val="000000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, спальни - 8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); кухни - 8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themeColor="text1" w:val="000000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themeColor="text1"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themeColor="text1" w:val="000000"/>
                <w:sz w:val="24"/>
                <w:szCs w:val="24"/>
              </w:rPr>
              <w:br/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>в мансардном этаже, допускается уменьшение высоты помещений (от пола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ГПЗУ: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минимальный отступ от границ Участка до места допустимого размещения зданий, строений </w:t>
              <w:br/>
              <w:t>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</w:rPr>
              <w:t>м</w:t>
            </w:r>
            <w:r>
              <w:rPr>
                <w:color w:themeColor="text1" w:val="000000"/>
                <w:sz w:val="24"/>
                <w:highlight w:val="white"/>
              </w:rPr>
              <w:t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40%;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документации по планировке территории, утвержденной постановлением администрации города Перми от 22.12.2017 № 1178, предельная высота жилой застройки – до 10,5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Победителю аукциона (единственному участнику) рекомендовано обратиться в уполномоченный орган </w:t>
              <w:br/>
              <w:t>с уведомлением о планируемом строительстве жилого дома.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4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 сообщает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В границах участка отсутствуют сети и охранные зоны </w:t>
              <w:br/>
              <w:t>ПАО «Россети Урал».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Согласно пунктам 15, 25, 25.1 Правил ТП технические условия являются неотъемлемым приложением </w:t>
              <w:br/>
              <w:t>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Для получения технических условий и заключения договора на технологическое присоединении необходимо направить в адрес филиала ПАО «Россети Урал» - «Пермэнерго» соответствующую заявку с указанием сведений и приложением необходимых документов в соответствии с Правилами ТП через единый федеральный портал электросетевых услуг группы компаний «Россети» на сайте: </w:t>
            </w:r>
            <w:hyperlink r:id="rId15" w:tgtFrame="https:/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 - «Пермэнерго» по адресу: г. Пермь, ул. Камчатовская, д. 26, а также почтовым отправлением по адресу: 614016, г. Пермь, 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При подготовке градостроительного плана земельного участка необходимо предусмотреть коридоры </w:t>
              <w:br/>
              <w:t>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филиала </w:t>
            </w:r>
            <w:r>
              <w:rPr>
                <w:b/>
                <w:bCs/>
                <w:color w:themeColor="text1" w:val="000000"/>
                <w:sz w:val="24"/>
                <w:szCs w:val="24"/>
                <w:highlight w:val="white"/>
              </w:rPr>
              <w:t xml:space="preserve">ПАО «Россети Урал» - «Пермэнерго» Пермские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городские электрические сети»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09.04.2026 № ПЭ/ПГЭС/01/22/4983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Участок находится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Для запроса информации о возможности подключения земельного участка рекомендуется обратиться </w:t>
              <w:br/>
              <w:t>к собственникам близлежащих тепловых сетей/источников теплоснабжения или рассмотреть возможность альтернативного источника теплоснабжения.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ПАО «Т Плюс»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03.04.2026 № 51000-32-01295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Техническая возможность подключения к сетям теплоснабжения отсутствует. Рекомендовано рассмотреть альтернативный источник теплоснабжения – газ, электричество, дрова, пеллеты.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от 17.04.2026 № 059-04-25/3-62-ри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запрос с приложением необходимых документов и сведений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color w:themeColor="text1" w:val="000000"/>
                <w:sz w:val="24"/>
                <w:szCs w:val="24"/>
              </w:rPr>
              <w:t>от 27.05.2026 № ПФ-3960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О наличии технической возможности для подключения сетей водоснабжения и водоотведения с предполагаемой величиной нагрузки 1,0 м3/сут. сообщается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Ближайшей точкой подключения к сетям водоснабжения, эксплуатируемой ООО «НОВОГОР - Прикамье» является сеть водопровода Д - 100 мм по ул. Набережная, з/у 30a ориентировочное расстояние от земельного участка - 70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В районе вышеуказанного земельного участка отсутствуют центральные сети канализации эксплуатируемые ООО «Новогор-Прикамье».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Альтернативный способ канализования, </w:t>
              <w:br/>
              <w:t>без подключения к централизованной системе канализации г. Перми (отвод стоков возможен на локальные очистные сооружения либо в выгребную яму с последующим вывозом стоков спец. машинами), который должен соответствовать всем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В границах земельного участка отсутствуют сети водопровода и канализации, эксплуатируемые ООО «НОВОГОР - Прикамье».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При этом обращаем Ваше внимание, размещение объекта необходимо предусматривать строго за пределами охранных зон сетей водопровода и канализации в соответствии норм CП, в том числе в соответствии таблицы 12.5 CП 42.13330.2016 «Градостроительство планировка и застройка городских </w:t>
              <w:br/>
              <w:t>и сельских поселений».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ООО «НОВОГОР - Прикамье»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от 02.04.2026 № 110-4614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Технологическое присоединение к сетям связи ПАО «Ростелеком» может быть произведено к узлу ВОЛС (г. Пермь, ул. Бенгальская, д. 14а), максимальную нагрузку в точке подключения (технологического присоединения) необходимо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b w:val="false"/>
                <w:bCs w:val="false"/>
                <w:color w:themeColor="text1" w:val="000000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Для получения технических условий на подключение </w:t>
              <w:br/>
              <w:t>к сетям связи необходимо направить запрос по адресу:</w:t>
              <w:br/>
              <w:t xml:space="preserve">г. Пермь, ул. Крупской, 2, тел.: (342) 235-57-34 или на </w:t>
            </w:r>
            <w:hyperlink r:id="rId16" w:tgtFrame="http://perm-mail@ural.rt.ru">
              <w:r>
                <w:rPr>
                  <w:rStyle w:val="Hyperlink"/>
                  <w:b w:val="false"/>
                  <w:bCs w:val="false"/>
                  <w:color w:themeColor="text1" w:val="000000"/>
                  <w:sz w:val="24"/>
                  <w:szCs w:val="24"/>
                </w:rPr>
                <w:t>perm-mail@ural.rt.ru</w:t>
              </w:r>
            </w:hyperlink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 xml:space="preserve">ПАО «Ростелеком» 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от 01.04.2026 № 01/05/49802/26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3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3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201 900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10 095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</w:t>
              <w:br/>
              <w:t xml:space="preserve">о государственной регистрации юридического лица </w:t>
              <w:br/>
              <w:t xml:space="preserve">в соответствии с законодательством иностранного государства </w:t>
              <w:br/>
              <w:t>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>
              <w:rPr>
                <w:b/>
                <w:bCs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39.11 Земельного кодекса Российской Федерации, аукцион является открытым по составу участников.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100 950</w:t>
            </w:r>
            <w:r>
              <w:rPr>
                <w:sz w:val="24"/>
                <w:szCs w:val="24"/>
              </w:rPr>
              <w:t xml:space="preserve"> 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3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PlainText"/>
        <w:spacing w:lineRule="exact" w:line="240"/>
        <w:ind w:hanging="1134" w:left="1134"/>
        <w:jc w:val="left"/>
        <w:rPr/>
      </w:pPr>
      <w:r>
        <w:rPr>
          <w:rFonts w:cs="Times New Roman" w:ascii="Times New Roman" w:hAnsi="Times New Roman"/>
          <w:b/>
          <w:sz w:val="24"/>
          <w:szCs w:val="28"/>
          <w:lang w:val="ru-RU"/>
        </w:rPr>
        <w:t>Лот № 3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от 27 марта 2026 г. № 21-01-03-1985 </w:t>
            </w:r>
            <w:r>
              <w:rPr>
                <w:rFonts w:eastAsia="Droid Sans Fallback" w:cs="Lohit Devanagari"/>
                <w:color w:val="000000"/>
                <w:kern w:val="0"/>
                <w:sz w:val="24"/>
                <w:szCs w:val="28"/>
                <w:shd w:fill="auto" w:val="clear"/>
                <w:lang w:val="ru-RU" w:eastAsia="zh-CN" w:bidi="ar-SA"/>
              </w:rPr>
              <w:t xml:space="preserve">«О проведении аукциона на право заключения договора аренды земельного участка в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shd w:fill="auto" w:val="clear"/>
                <w:lang w:val="ru-RU" w:eastAsia="ru-RU" w:bidi="ar-SA"/>
              </w:rPr>
              <w:t>Кировском</w:t>
            </w:r>
            <w:r>
              <w:rPr>
                <w:rFonts w:eastAsia="Droid Sans Fallback" w:cs="Lohit Devanagari"/>
                <w:color w:val="000000"/>
                <w:kern w:val="0"/>
                <w:sz w:val="24"/>
                <w:szCs w:val="28"/>
                <w:shd w:fill="auto" w:val="clear"/>
                <w:lang w:val="ru-RU" w:eastAsia="zh-CN" w:bidi="ar-SA"/>
              </w:rPr>
              <w:t xml:space="preserve">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Нижнекамская, з/у 24а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940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59:01:1717003:142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Ж-5 «Зона индивидуальной усадебной жилой застройки»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27.05.2026г. № КУВИ-001/2026-71922446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19.03</w:t>
            </w:r>
            <w:r>
              <w:rPr>
                <w:color w:val="000000"/>
                <w:sz w:val="24"/>
                <w:szCs w:val="24"/>
                <w:shd w:fill="auto" w:val="clear"/>
              </w:rPr>
              <w:t>.2026 № РФ-59-2-03-0-00-2026-0544-0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6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Земельный участок огорожен деревянным забором, доступ на участок ограничен. К</w:t>
            </w:r>
            <w:r>
              <w:rPr>
                <w:color w:val="auto"/>
                <w:sz w:val="24"/>
                <w:szCs w:val="24"/>
                <w:highlight w:val="white"/>
              </w:rPr>
              <w:t>апитальные/некапитальные строения на Участке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Капитальные/некапитальные объекты на земельном участке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Близлежащий источник противопожарного водоснабжения относительно земельного участка с кадастровым номером 59:01:1717003:142 расположен по ул. Нижнекамская, 25а (пожарный гидрант).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администрации Кировского района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10.03.2026 № 059-23-01-25/3-75, в акте обследования от 06.03.2026 № б/н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В соответствии со сведениями ЕГРН </w:t>
            </w:r>
            <w:r>
              <w:rPr>
                <w:color w:val="auto"/>
                <w:sz w:val="24"/>
                <w:szCs w:val="24"/>
              </w:rPr>
              <w:t>на участке расположено сооружение электроэнергетики с кадастровым номером 59:01:0000000:46572.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В соответствии с 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геодезической съемкой, выполненной в 2025 году </w:t>
            </w:r>
            <w:r>
              <w:rPr>
                <w:b w:val="false"/>
                <w:bCs w:val="false"/>
                <w:color w:val="auto"/>
                <w:sz w:val="24"/>
                <w:szCs w:val="24"/>
                <w:highlight w:val="white"/>
              </w:rPr>
              <w:t xml:space="preserve">с запада на восток Участок пересекают сети электроснабжения.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На участке произрастают отдельно стоящие деревья породы сосна. С северо-восточной стороны в границах участка частично расположено ограждение – деревянный забор смежного землепользования, расположенного по адресу: г. Пермь, ул. Нижнекамская, 24. С юга-западной стороны </w:t>
              <w:br/>
              <w:t xml:space="preserve">в границах участка частично расположено ограждение – деревянный забор смежного землепользования </w:t>
              <w:br/>
              <w:t xml:space="preserve">с кадастровым номером 59:01:1717003:4. </w:t>
              <w:br/>
              <w:t>Д</w:t>
            </w:r>
            <w:r>
              <w:rPr>
                <w:color w:val="auto"/>
                <w:sz w:val="24"/>
                <w:szCs w:val="24"/>
              </w:rPr>
              <w:t>оступ на участок ограничен.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Согласно копии планшета М 1:500,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требующего корректуры, с </w:t>
            </w:r>
            <w:r>
              <w:rPr>
                <w:b w:val="false"/>
                <w:bCs w:val="false"/>
                <w:color w:val="auto"/>
                <w:sz w:val="24"/>
                <w:szCs w:val="24"/>
                <w:highlight w:val="white"/>
              </w:rPr>
              <w:t>запада на восток Участок пересекают сети электроснабжения.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С юга - западной стороны в границах участка частично расположено ограждение – деревянный забор смежного землепользования с кадастровым номером 59:01:1717003:4. </w:t>
            </w:r>
            <w:r>
              <w:rPr>
                <w:color w:val="auto"/>
                <w:sz w:val="24"/>
                <w:szCs w:val="24"/>
              </w:rPr>
              <w:t>К</w:t>
            </w:r>
            <w:r>
              <w:rPr>
                <w:color w:val="auto"/>
                <w:sz w:val="24"/>
                <w:szCs w:val="24"/>
                <w:highlight w:val="white"/>
              </w:rPr>
              <w:t>апитальные/некапитальные строения в границах Участка отсутствуют.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accent5" w:themeShade="bf" w:val="auto"/>
                <w:sz w:val="24"/>
                <w:szCs w:val="24"/>
                <w:highlight w:val="white"/>
              </w:rPr>
            </w:pPr>
            <w:r>
              <w:rPr>
                <w:color w:themeColor="accent5" w:themeShade="bf" w:val="auto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Согласно сведениям, содержащимся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 в 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ЕГРН, ГПЗУ </w:t>
              <w:br/>
              <w:t xml:space="preserve">и справке по градостроительным условиям участка </w:t>
              <w:br/>
              <w:t>о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т 27.05.2026 № 681123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Участок расположен в границах зон с особыми условиями использования территории: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частично площадью 90 кв.м охранная зона ВЛ 0.4 кВ от ТП 1704, реестровый номер 59:01-6.3582;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частично площадью 8 кв.м зона затопления территории, прилегающих к зарегулированной р. Кама (Воткинскому водохранилищу) в нижнем бьефе Камского гидроузла в г. Перми Пермского края, затапливаемых при пропуске Камским гидроузлом паводков расчетной обеспеченности 1%, реестровый номер 59:00-6.2017;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4" w:themeShade="bf"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частично площадью 90 кв.м в границах зоны действия публичного сервитута, установленного распоряжением начальника департамента  земельных отношений </w:t>
              <w:br/>
              <w:t>от 12.01.2022 № 21-01-03-92 «Об установлении публичного сервитута в отдельных целях», в целях эксплуатации линейного объекта ВЛ-0,4 кВ ТП 1704, входящего в состав электросетевого комплекса «Крым» с кадастровым номером 59:01:0000000:46572, реестровый номер 59:01-6.8727;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полностью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приаэродромная территория аэродрома аэропорта Большое Савино, реестровый номер 59:32-6.55</w:t>
            </w:r>
            <w:r>
              <w:rPr>
                <w:color w:val="auto"/>
                <w:sz w:val="24"/>
                <w:szCs w:val="24"/>
                <w:highlight w:val="white"/>
              </w:rPr>
              <w:t>3</w:t>
            </w:r>
            <w:r>
              <w:rPr>
                <w:color w:val="auto"/>
                <w:sz w:val="24"/>
                <w:szCs w:val="24"/>
              </w:rPr>
              <w:t>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полностью в границах Прибрежной защитной полосы </w:t>
            </w:r>
            <w:r>
              <w:rPr>
                <w:color w:val="auto"/>
                <w:sz w:val="24"/>
                <w:szCs w:val="24"/>
              </w:rPr>
              <w:t>Воткинского водохранилища, реестровый номер 59:01-6.3928;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полностью в границах </w:t>
            </w:r>
            <w:r>
              <w:rPr>
                <w:color w:val="auto"/>
                <w:sz w:val="24"/>
                <w:szCs w:val="24"/>
              </w:rPr>
              <w:t>водоохранной зоны Воткинского водохранилища, реестровый номер 59:01-6.2096.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Необходимо соблюдать ограничения, установленные ст. 65 Водного кодекса Российской Федерации от 03.06.2026 г № 74-ФЗ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4" w:themeShade="bf"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Проектирование и строительство вести в соответствии: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4" w:themeShade="bf"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с п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остановлением Правительства Российской Федерации от 24.02.2009 № 160 «О порядке установления охранных зон объектов электросетевого хозяйства </w:t>
              <w:br/>
              <w:t>и особых условий использования земельных участков, расположенных в границах таких зон»;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с </w:t>
            </w:r>
            <w:r>
              <w:rPr>
                <w:color w:val="auto"/>
                <w:sz w:val="24"/>
                <w:szCs w:val="24"/>
              </w:rPr>
              <w:t xml:space="preserve">приказом Камского бассейного водного управления Федерального агентства водных ресурсов от 21.11.2022 </w:t>
              <w:br/>
              <w:t xml:space="preserve">№ 239 «Об установлении границ зон затопления </w:t>
              <w:br/>
              <w:t>на территориях, прилегающих к зарегулированной р. Кама (воткинскому водохранилищу) в нижнем бьефе Камского гидроузла в г. Перми Пермского края, затапливаемых при пропуске Камским гидроузлом паводком расчетной обеспеченности 1%, ограничения использования объектов недвижимости в соответствии с частью 3 статьи 67.1 Водного кодекса Российской Федерации);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accent3" w:themeShade="bf" w:val="auto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с </w:t>
            </w:r>
            <w:r>
              <w:rPr>
                <w:color w:val="auto"/>
                <w:sz w:val="24"/>
                <w:szCs w:val="24"/>
                <w:highlight w:val="white"/>
              </w:rPr>
              <w:t>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Федерации»: «Запрещается размещать в полосах воздушных подходов на удалении до 30 км, а вне полос воздушных подходов – до 15 км от контрольной точки аэродрома объекты выбросов (размещения) отходов, животноводческие фермы, скотобойни и другие объекты, способствующие привлечению и массовому скоплению птиц»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с приказом Камского бассейного водного управления Федерального агентства водных ресурсов № 164 </w:t>
              <w:br/>
              <w:t>от 07.07.2014 «Об установлении границ водоохранных зон и прибрежных защитных полос Воткинского водохранилища».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 Участке произрастает 111 деревьев: сосна - 24 шт., клен ясенелистный - 56 шт., береза - 31 шт.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Средняя стоимость в ценах 2025 года одного дерева лиственной породы от 25 тыс. руб., а хвойной – от 30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</w:rPr>
              <w:t xml:space="preserve">Победителю аукциона необходимо соблюдать условия строительства, перечисленные в 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</w:rPr>
              <w:t>перечне мероприятий по охране окружающей среды от 13.03.2026 № 53.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  <w:highlight w:val="white"/>
              </w:rPr>
              <w:t>у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правления по экологии и природопользованию администрации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13.03.2026 № 059-33-01-10/3-152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 </w:t>
              <w:br/>
              <w:t>«Об утверждении муниципальной программы «Дорожная деятельность и благоустройство города Перми»,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</w:t>
            </w:r>
            <w:r>
              <w:rPr>
                <w:color w:val="auto"/>
                <w:sz w:val="24"/>
                <w:szCs w:val="24"/>
              </w:rPr>
              <w:t>ьному ремонту улично-дорожной сети на рассматриваемой терр</w:t>
            </w:r>
            <w:r>
              <w:rPr>
                <w:color w:val="auto"/>
                <w:sz w:val="24"/>
                <w:szCs w:val="24"/>
                <w:highlight w:val="white"/>
              </w:rPr>
              <w:t>итории не предусмотрены.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</w:rPr>
              <w:t>Для примыкания Участка к улично-дорожной сети города Перми необходимо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</w:rPr>
              <w:t>Также направлена информация о соблюдении Правил благоустройства территории города Перми, утвержденных решением Пермской городской Думы от 15.12.2020 № 277 «Об утверждении Правил благоустройства территории города Перми», при строительстве объектов недвижимости на земельных участках, предоставленных на торгах.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 xml:space="preserve">В соответствии с Федеральным Законом от 08.11.2007 </w:t>
              <w:br/>
      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расходы на строительство, реконструкцию, капитальный ремонт, ремонт пересечений и примыканий, в том числе расходы на выполнение дополнительных работ, связанных </w:t>
              <w:br/>
              <w:t xml:space="preserve">с обеспечением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 xml:space="preserve">в интересах которых осуществляются строительство, реконструкция, капитальный ремонт, ремонт пересечений </w:t>
              <w:br/>
              <w:t>или примыканий.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департамента дорог и благоустройства администрации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10.03.2026 № 059-24-01-36/3-640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Источники противопожарного водоснабжения (далее - ИПВ) на указанной территории отсутствует.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Информация о подразделениях пожарной охраны </w:t>
              <w:br/>
              <w:t xml:space="preserve">и времени их прибытия содержится в «Расписании выезда подразделений Пермского местного пожарно - спасательного гарнизона для тушения пожаров и проведения аварийно - спасательных работ 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ул. Сысольская, 16 (ПСЧ-6 </w:t>
              <w:br/>
              <w:t>10-ПСО).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Помещения для аварийно-спасательных служб и (или) аварийно-спасательных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При планировке и размещении объектов на вышеуказанной территории необходимо соблюдать нормы и требования действующего законодательства: федеральных законов от 21 декабря 1994 г. № 69-ФЗ «О пожарной безопасности» и от 22 июля 2008 г. № 123-ФЗ «Технический регламент о требованиях пожарной безопасности», Свода правил 8.13130. «Системы противопожарной защиты. Источники наружного противопожарного водоснабжения. Требования пожарной безопасности», утвержденных приказом МЧС России от 30.03.2020 № 225, Свода правил 4.13130 «Системы противопожарной защиты. Ограничение распространения пожара на объектах защиты. Требования к объемно - планировочным и конструктивным решениям», утвержденных Приказом МЧС России от 24.04.2013 № 288 и иной документации, касающейся норм противопожарной безопасности.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Объекты общественной безопасности, отнесенные </w:t>
              <w:br/>
              <w:t xml:space="preserve">к объектам полиции (участковые пункты полиции), </w:t>
              <w:br/>
              <w:t>в данном микрорайоне расположены по адресу: г. Пермь, ул. Генерала Панфилова, 6/1 (микрорайон Крым, Кировский район). В настоящее время в указанном микрорайоне строительство (приобретение)участковых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В соответствии с информацией, предоставленной Министерством территориальной безопасности Пермского края (письмо от 07.10.2020 № 964-с), данная территория попадает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Территория находится в зоне действия региональной автоматизированной системы централизованного оповещения населения города Перми, установленной по адресу: ул. Генерала Панфилова, 10 – 1500 метров.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color w:val="auto"/>
                <w:sz w:val="24"/>
                <w:szCs w:val="24"/>
                <w:highlight w:val="white"/>
              </w:rPr>
              <w:t>департамента общественной безопасности администрации города Перми</w:t>
            </w:r>
            <w:r>
              <w:rPr>
                <w:rFonts w:eastAsia="Times New Roman" w:cs="Times New Roman"/>
                <w:color w:val="auto"/>
                <w:sz w:val="24"/>
                <w:szCs w:val="24"/>
                <w:highlight w:val="white"/>
              </w:rPr>
              <w:t xml:space="preserve"> от 10.03.2026 № 059-10-01-27/3-349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sz w:val="24"/>
                <w:szCs w:val="24"/>
              </w:rPr>
              <w:t>На период до 2028 года на территории, где расположен Участок, схемами предусмотрено строительство сетей водоснабжения в мкр. Крым.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>департамента жилищно-коммунального хозяйства администрации города Перми</w:t>
            </w:r>
            <w:r>
              <w:rPr>
                <w:sz w:val="24"/>
                <w:szCs w:val="24"/>
                <w:highlight w:val="white"/>
              </w:rPr>
              <w:t xml:space="preserve"> от 11.03.2026 № 059-04-17/3-185-ри).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7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color w:val="auto"/>
                <w:sz w:val="24"/>
                <w:szCs w:val="24"/>
              </w:rPr>
              <w:t xml:space="preserve"> </w:t>
              <w:br/>
            </w:r>
            <w:r>
              <w:rPr>
                <w:color w:val="auto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val="auto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спальни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); кухни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</w:t>
              <w:br/>
              <w:t xml:space="preserve">не менее 2,5 м. Высота внутридомовых коридоров, холлов, передних,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val="auto"/>
                <w:sz w:val="24"/>
                <w:szCs w:val="24"/>
              </w:rPr>
              <w:br/>
            </w:r>
            <w:r>
              <w:rPr>
                <w:color w:val="auto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>в мансардном этаже, допускается уменьшение высоты помещений (от пола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Согласно ГПЗУ: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минимальный отступ от границ Участка до места допустимого размещения зданий, строений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</w:rPr>
              <w:t>м</w:t>
            </w:r>
            <w:r>
              <w:rPr>
                <w:color w:val="auto"/>
                <w:sz w:val="24"/>
                <w:highlight w:val="white"/>
              </w:rPr>
              <w:t>аксимальный выступ за красную линию нависающих частей здания наземных уровней, выступающих из плоскости наружной стены фасада здания на высоте</w:t>
              <w:br/>
              <w:t>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40%;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предельная высота зданий, строений – согласно документации по планировке территории, утвержденной постановлением администрации города Перми </w:t>
              <w:br/>
              <w:t>от 17.12.2018 № 986, до 10,5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Победителю аукциона (единственному участнику) рекомендовано обратиться в уполномоченный орган </w:t>
              <w:br/>
              <w:t>с уведомлением о планируемом строительстве жилого дома.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8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 сообщает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Порядок технологического присоединения </w:t>
              <w:br/>
              <w:t xml:space="preserve">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</w:t>
              <w:br/>
              <w:t>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получения технических условий и заключения договора на технологическое присоединении необходимо направить в адрес филиала ПАО «Россети Урал» - «Пермэнерго» соответствующую заявку с указанием сведений и приложением необходимых документов в соответствии с Правилами ТП через единый федеральный портал электросетевых услуг группы компаний «Россети» на сайте: </w:t>
            </w:r>
            <w:hyperlink r:id="rId19" w:tgtFrame="https://">
              <w:r>
                <w:rPr>
                  <w:rStyle w:val="Hyperlink"/>
                  <w:color w:val="auto"/>
                  <w:sz w:val="24"/>
                  <w:szCs w:val="24"/>
                </w:rPr>
                <w:t>https://</w:t>
              </w:r>
            </w:hyperlink>
            <w:r>
              <w:rPr>
                <w:color w:val="auto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 - «Пермэнерго» по адресу: г. Пермь, ул. Камчатовская, д. 26, а также почтовым отправлением по адресу: 614016, г. Пермь, 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При подготовке градостроительного плана земельного участка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филиала </w:t>
            </w:r>
            <w:r>
              <w:rPr>
                <w:b/>
                <w:bCs/>
                <w:color w:val="auto"/>
                <w:sz w:val="24"/>
                <w:szCs w:val="24"/>
                <w:highlight w:val="white"/>
              </w:rPr>
              <w:t xml:space="preserve">ПАО «Россети Урал» - «Пермэнерго» Пермские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городские электрические сети»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18.03.2026 № ПЭ/ПГЭС/22/8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Возможность технического подключения имеется. Возможные точки присоединения на существующих тепловых сетях: Т-30-28 на М4-02 (разв.) 2Ду200мм. Источник теплоснабжения:ТЭЦ-14. Размер подключаемой нагрузки 0,05 Гкал/ч.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ПАО «Т Плюс»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11.03.2026 № 51030-01-01395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запрос с приложением необходимых документов и сведений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color w:val="auto"/>
                <w:sz w:val="24"/>
                <w:szCs w:val="24"/>
              </w:rPr>
              <w:t>от 13.03.2026 № ПФ-1666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О наличии технической возможности для подключения сетей водоснабжения и водоотведения с предполагаемой величиной нагрузки 1,0 м3/сут. сообщается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6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возможности подключения Объекта необходимо выполнить мероприятия по ликвидации технологических разрывов по сетям водопровода и канализации, то есть создание водопроводных и/или канализационных сетей </w:t>
              <w:br/>
              <w:t xml:space="preserve">и объектов на них от существующих сетей централизованной системы холодного водоснабжения и/или водоотведения (объектов такой системы) до точек подключения (технологического присоединения) объектов капитального строительства заявителя (п. 13 ст. 18 Федерального закона от 07.12.2011 г. № 416 - ФЗ «О водоснабжении и водоотведении», п. 85 Основ ценообразования в сфере водоснабжения </w:t>
              <w:br/>
              <w:t>и водоотведения, утвержденного постановлением Правительства РФ от 13.05.2013 г. N 406), а именно: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5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1. Запроектировать и построить сеть водопровода </w:t>
              <w:br/>
              <w:t xml:space="preserve">от точки подключения Объекта до сети водопровода </w:t>
              <w:br/>
              <w:t>Д-300 мм по ул. Генерала Панфилова, ориентировочной протяженностью - 500,0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2. Запроектировать и построить сеть водоотведения </w:t>
              <w:br/>
              <w:t>от точки подключения стоков Объекта до сети канализации Д-200 мм по ул. Генерала Панфилова, ориентировочной протяженностью - 570,0 м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Ввиду отсутствия данных о посадке проектируемого объекта, длины технологических разрывов до сетей водоснабжения и водоотведения указаны ориентировочно.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В случае наличия в границах земельного участка существующих сетей водоснабжения и (или) водоотведения размещение объекта предусмотреть строго за пределами охранных зон сетей в соответствии норм CП.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Ввиду отсутствия данных о посадке объекта </w:t>
              <w:br/>
              <w:t xml:space="preserve">и, соответственно, точных длин технологических разрывов до сетей водоснабжения и водоотведения, </w:t>
              <w:br/>
              <w:t xml:space="preserve">а так же информации о технических характеристиках </w:t>
              <w:br/>
              <w:t xml:space="preserve">и параметрах объекта, исходя из  которых  определяются  планируемые  расходы на  нужды наружного </w:t>
              <w:br/>
              <w:t>и внутреннего пожаротушения (класс функциональной пожарной опасности объекта, степень огнестойкости здания, класс конструктивной пожарной опасности, категория зданий и сооружений по взрывопожарной и пожарной опасности, этажность, строительный объем (мЗ) здания, количество пожарных кранов в проектируемом объекте и т.д.), ООО «НОВОГОР -Прикамье» не может определить точные объемы мероприятий для наличия технической возможности подключения объекта.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Подключение земельного участка с кадастровым номером 59:01:1717003:142, площадью 940 кв. м., расположенного по адресу: Российская Федерация, Пермский край, городской округ Пермский, город Пермь, улица Нижнекамская, 24a, с видом разрешенного использования «для индивидуального жилищного строительства», к сетям водоснабжения и водоотведения будет возможно только после выполнения вышеуказанных мероприятий.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Сведениями о наличии сетей 3-x лиц в границах вышеуказанного земельного участка ООО «НОВОГОР-Прикамье» не располагает.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В случае намерения строительства на данном земельном участке, Заявитель (правообладатель земельного участка), в соответствии с Постановлением Правительства РФ от 30.11.2021 N 2130 "Об утверждении Правил подключения (технологического присоединения) объектов капитального строительства </w:t>
              <w:br/>
              <w:t>к централизованным системам горячего водоснабжения, холодного водоснабжения и (или) водоотведения», должен получить технические условия на присоединение к сетям водопровода и канализации в ООО «НОВОГОР -Прикамье». При этом обязательства ООО «НОВОГОР - Прикамье» по обеспечению подключения объекта капитального строительства к сетям водопровода и канализации в соответствии с выданными Заявителю техническими условиями прекращаются в случае, если в течение 12 календарных месяцев (при комплексном развитии территории в течение 36 календарных месяцев) со дня выдачи технических условий, Заявителем не будет подано заявление о подключении. В случае заключения договора о подключении технические условия, являющиеся приложением к такому договору, действуют до окончания срока действия такого договора.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 xml:space="preserve">ООО «НОВОГОР - Прикамье» </w:t>
            </w:r>
            <w:r>
              <w:rPr>
                <w:color w:val="auto"/>
                <w:sz w:val="24"/>
                <w:szCs w:val="24"/>
                <w:highlight w:val="white"/>
              </w:rPr>
              <w:t>от 10.03.2026 № 110-3186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Технологическое присоединение к сетям связи ПАО «Ростелеком» может быть произведено к узлу ВОЛС (г. Пермь, ул. Генерала Панфилова, 8В), максимальную нагрузку в точке подключения (технологического присоединения) необходимо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В границах Участка сетей связи ПАО «Ростелеком» </w:t>
              <w:br/>
              <w:t>и их охранных зон нет.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Для получения технических условий на подключение</w:t>
              <w:br/>
              <w:t xml:space="preserve">к сетям связи необходимо направить запрос по адресу: </w:t>
              <w:br/>
              <w:t xml:space="preserve">г. Пермь, ул. Крупской, 2, тел.: (342) 235-57-34 или на </w:t>
            </w:r>
            <w:hyperlink r:id="rId20">
              <w:r>
                <w:rPr>
                  <w:rStyle w:val="Hyperlink"/>
                  <w:b w:val="false"/>
                  <w:bCs w:val="false"/>
                  <w:color w:val="auto"/>
                  <w:sz w:val="24"/>
                  <w:szCs w:val="24"/>
                </w:rPr>
                <w:t>perm-mail@ural.rt.ru</w:t>
              </w:r>
            </w:hyperlink>
            <w:r>
              <w:rPr>
                <w:b w:val="false"/>
                <w:bCs w:val="false"/>
                <w:sz w:val="24"/>
                <w:szCs w:val="24"/>
              </w:rPr>
              <w:t>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«Ростелеком»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от 11.03.2026 № 01/05/35349/26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</w:pPr>
            <w:r>
              <w:rPr>
                <w:b w:val="false"/>
                <w:bCs w:val="false"/>
                <w:sz w:val="24"/>
                <w:szCs w:val="24"/>
                <w:highlight w:val="white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5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5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161 700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8 085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</w:t>
              <w:br/>
              <w:t xml:space="preserve">о государственной регистрации юридического лица </w:t>
              <w:br/>
              <w:t xml:space="preserve">в соответствии с законодательством иностранного государства </w:t>
              <w:br/>
              <w:t>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80 850</w:t>
            </w:r>
            <w:r>
              <w:rPr>
                <w:sz w:val="24"/>
                <w:szCs w:val="24"/>
              </w:rPr>
              <w:t xml:space="preserve"> 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21.11.2025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5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PlainText"/>
        <w:spacing w:lineRule="exact" w:line="240"/>
        <w:ind w:hanging="0" w:left="1134"/>
        <w:jc w:val="left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cs="Times New Roman" w:ascii="Times New Roman" w:hAnsi="Times New Roman"/>
          <w:b/>
          <w:sz w:val="24"/>
          <w:szCs w:val="28"/>
          <w:lang w:val="ru-RU"/>
        </w:rPr>
      </w:r>
    </w:p>
    <w:p>
      <w:pPr>
        <w:pStyle w:val="PlainText"/>
        <w:spacing w:lineRule="exact" w:line="240"/>
        <w:ind w:hanging="1134" w:left="1134"/>
        <w:jc w:val="left"/>
        <w:rPr/>
      </w:pPr>
      <w:r>
        <w:rPr>
          <w:rFonts w:cs="Times New Roman" w:ascii="Times New Roman" w:hAnsi="Times New Roman"/>
          <w:b/>
          <w:sz w:val="24"/>
          <w:szCs w:val="28"/>
          <w:lang w:val="ru-RU"/>
        </w:rPr>
        <w:t>Лот № 4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от 01 июня 2026 г. № 21-01-03-3692 </w:t>
            </w:r>
            <w:r>
              <w:rPr>
                <w:rFonts w:eastAsia="Droid Sans Fallback" w:cs="Lohit Devanagari"/>
                <w:color w:val="000000"/>
                <w:kern w:val="0"/>
                <w:sz w:val="24"/>
                <w:szCs w:val="28"/>
                <w:shd w:fill="auto" w:val="clear"/>
                <w:lang w:val="ru-RU" w:eastAsia="zh-CN" w:bidi="ar-SA"/>
              </w:rPr>
              <w:t>«О проведении аукциона на право заключения договора аренды земельного участка в Д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shd w:fill="auto" w:val="clear"/>
                <w:lang w:val="ru-RU" w:eastAsia="ru-RU" w:bidi="ar-SA"/>
              </w:rPr>
              <w:t>зержинском</w:t>
            </w:r>
            <w:r>
              <w:rPr>
                <w:rFonts w:eastAsia="Droid Sans Fallback" w:cs="Lohit Devanagari"/>
                <w:color w:val="000000"/>
                <w:kern w:val="0"/>
                <w:sz w:val="24"/>
                <w:szCs w:val="28"/>
                <w:shd w:fill="auto" w:val="clear"/>
                <w:lang w:val="ru-RU" w:eastAsia="zh-CN" w:bidi="ar-SA"/>
              </w:rPr>
              <w:t xml:space="preserve">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г.о. Пермский, г Пермь, ул Новоколхозная, з/у 33в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693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59:01:4510451:258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Ж-4 «Зона индивидуальной жилой застройки городского типа»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08.06.2026г. № КУВИ-001/2026-77786828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25.05</w:t>
            </w:r>
            <w:r>
              <w:rPr>
                <w:color w:val="000000"/>
                <w:sz w:val="24"/>
                <w:szCs w:val="24"/>
                <w:shd w:fill="auto" w:val="clear"/>
              </w:rPr>
              <w:t>.2026 № РФ-59-2-03-0-00-2026-1324-0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8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>Участок не огорожен, доступ свободный, на территории зафиксирована дикорастущая поросль.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 xml:space="preserve"> администрации Дзержинского района города Перми</w:t>
            </w:r>
            <w:r>
              <w:rPr>
                <w:sz w:val="24"/>
                <w:szCs w:val="24"/>
                <w:highlight w:val="white"/>
              </w:rPr>
              <w:t xml:space="preserve"> от 08.05.2026 № 059-07-01-03/3-1332, в акте обследования от 07.05.2026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  <w:t>В соответствии со сведениями ЕГРН объекты капитального/некапитального строительства на Участке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  <w:t xml:space="preserve">Согласно </w:t>
            </w:r>
            <w:r>
              <w:rPr>
                <w:sz w:val="24"/>
                <w:szCs w:val="24"/>
                <w:highlight w:val="white"/>
              </w:rPr>
              <w:t>копии планшета М 1:500 (требуется корректура)</w:t>
            </w:r>
            <w:r>
              <w:rPr>
                <w:spacing w:val="0"/>
                <w:sz w:val="24"/>
                <w:szCs w:val="24"/>
                <w:highlight w:val="white"/>
              </w:rPr>
              <w:t xml:space="preserve"> и </w:t>
            </w:r>
            <w:r>
              <w:rPr>
                <w:sz w:val="24"/>
                <w:szCs w:val="24"/>
                <w14:ligatures w14:val="none"/>
              </w:rPr>
              <w:t>геодезической съемке, выполненной в 2026 году</w:t>
            </w:r>
            <w:r>
              <w:rPr>
                <w:spacing w:val="0"/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  <w14:ligatures w14:val="none"/>
              </w:rPr>
              <w:t>в границах Участка расположены сети теплоснабжения.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  <w14:ligatures w14:val="none"/>
              </w:rPr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Согласно сведениям, содержащимся в ГПЗУ, ЕГРН </w:t>
              <w:br/>
              <w:t>и справке по градостроительным условиям от 08.06.2026 № 682640, Участок расположен в границах зон с особыми условиями использования территории: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частично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highlight w:val="white"/>
              </w:rPr>
              <w:t xml:space="preserve">Охранной зоне инженерных коммуникаций «Охранная зона инженерных сетей (тепловой трассы лит.1, инв. </w:t>
            </w: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  <w:highlight w:val="white"/>
              </w:rPr>
              <w:t>57:401:002:000086830)», реестровый номер границы 59:01-6.4642, площадь пересечения 195 кв.м.;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sz w:val="24"/>
                <w:szCs w:val="24"/>
              </w:rPr>
              <w:t>полностью в Иной зоне с особыми условиями использования территории «Зона затопления территорий, прилегающих к зарегулированной р. Кама (Воткинскому водохранилищу) в нижнем бьефе Камского гидроузла в г. Перми Пермского края, затапливаемых при пропуске Камским гидроузлом паводков расчетной обеспеченности 1%», реестровый номер границы 59:00-6.2017;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полностью в «Зоне с особыми условиями использования - Приаэродромная территория аэродрома аэропорта Большое Савино», реестровый номер границы 59:32-6.553, площадь пересечения 643 кв.м.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Проектирование и строительство вести в соответствии с: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sz w:val="24"/>
                <w:szCs w:val="24"/>
              </w:rPr>
              <w:t xml:space="preserve">приказом Министерства архитектуры, строительства </w:t>
              <w:br/>
              <w:t>и жилищно-коммунального хозяйства Российской Федерации от 17.08.1992 № 197 «О типовых правилах охраны коммунальных тепловых сетей»;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приказом Камского бассейнового водного управления Федерального агентства водных ресурсов от 21.11.2022 </w:t>
              <w:br/>
              <w:t xml:space="preserve">№ 239 «Об установлении границ зон затопления </w:t>
              <w:br/>
              <w:t xml:space="preserve">на территориях, прилегающих к зарегулированной р. Кама (Воткинскому водохранилищу) в нижнем бьефе Камского гидроузла в г. Перми Пермского края, затапливаемых </w:t>
              <w:br/>
              <w:t>при пропуске Камским гидроузлом паводков расчетной обеспеченности 1%»; ограничения использования объектов недвижимости в соответствии с частью 3 статьи 67.1 Водного кодекса Российской Федерации;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постановлением Правительства Российской Федерации </w:t>
              <w:br/>
              <w:t>от 11.03.2010 № 138 «Об утверждении Федеральных правил использования воздушного пространства Российской Федерации».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 Участке произрастает поросль ивы (560 кв.м). Средняя стоимость в ценах 2026 года одного дерева лиственной породы </w:t>
              <w:br/>
              <w:t>от 25 тыс. руб., а хвойной – от 30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 xml:space="preserve">Победителю аукциона необходимо соблюдать условия строительства, перечисленные в перечне мероприятий </w:t>
              <w:br/>
              <w:t>по охране окружающей среды от 08.05.2026 № 105.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>управления по экологии и природопользованию администрации города Перми</w:t>
            </w:r>
            <w:r>
              <w:rPr>
                <w:sz w:val="24"/>
                <w:szCs w:val="24"/>
                <w:highlight w:val="white"/>
              </w:rPr>
              <w:t xml:space="preserve"> от 08.05.2026 № 059-33-01-10/3-266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966, на период 2025-2029 годы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sz w:val="24"/>
                <w:szCs w:val="24"/>
              </w:rPr>
              <w:t xml:space="preserve">Программой комплексного развития транспортной инфраструктуры города Перми на 2025-2043 годы, утвержденной Решением Пермской городской Думы </w:t>
              <w:br/>
              <w:t>от 16.12.2025 № 238,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Для примыкания Участка к улично-дорожной сети города Перми н</w:t>
            </w:r>
            <w:r>
              <w:rPr>
                <w:rFonts w:eastAsia="Times New Roman" w:cs="Times New Roman"/>
                <w:color w:themeColor="text1" w:val="000000"/>
                <w:sz w:val="24"/>
              </w:rPr>
              <w:t>е</w:t>
            </w: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Также направлена информация о соблюдении Правил благоустройства территории города Перми, утвержденных решением Пермской городской Думы от 15.12.2020 № 277 «Об утверждении правил благоустройства территории города Перми», при строительстве объектов недвижимости на земельных участках, предоставленных </w:t>
              <w:br/>
              <w:t>на торгах.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В соответствии с Федеральным законом от 08.11.2007 № 257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>, расходы на строительства, реконструкцию, капитальный ремонт, ремонт пересечений и примыканий, в том числе расходы на выполнение дополнительных работ связанных с обеспечением безопасности дорожного движения, водоотведения и исполнением других установленных техническими регламентами требований, несут лица, в интересах которых осуществляется строительство, реконструкция, капитальный ремонт, ремонт пересечений или примыканий.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департамента дорог и </w:t>
            </w:r>
            <w:r>
              <w:rPr>
                <w:b/>
                <w:sz w:val="24"/>
                <w:szCs w:val="24"/>
                <w:highlight w:val="white"/>
              </w:rPr>
              <w:t>благоустройства администрации города Перми</w:t>
            </w:r>
            <w:r>
              <w:rPr>
                <w:sz w:val="24"/>
                <w:szCs w:val="24"/>
                <w:highlight w:val="white"/>
              </w:rPr>
              <w:t xml:space="preserve"> от 08.05.2026 № 059-24-01-36/3-1428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Источники противопожарного водоснабжения (далее - ИПВ) на указанной территории отсутствуют. Ближайший ИПВ (пожарный гидрант на сети водоснабжения расположен на расстоянии 560 метров по адресу: ниже дома № 2 по ул. Новоколхозная (напротив автостоянки).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Объекты общественной безопасности, отнесенные </w:t>
              <w:br/>
              <w:t xml:space="preserve">к объектам полиции (участковые пункты полиции) </w:t>
              <w:br/>
              <w:t>в данном микрорайоне расположены по адресу: г. Пермь, ул. Новоколхозная, д. 2 (мкр. Заостровка, Дзержинский район).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Информация о подразделениях пожарной охраны </w:t>
              <w:br/>
              <w:t xml:space="preserve">и времени их прибытия содержится в «Расписании выезда подразделений Пермского местного пожарно-спасательного гарнизона для тушения пожаров </w:t>
              <w:br/>
              <w:t>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Подразделение пожарной охраны расположено </w:t>
              <w:br/>
              <w:t>по адресу: ул. Василия Каменского, 2, город Пермь (ПСЧ- 4 10-ПСО).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Помещения для аварийно-спасательных служб и (или) аварийно-спасательных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По информации, предоставленной письмом Министерства территориальной безопасности Пермского края от 07.10.2020 № 964с, рассматриваемая территория попадают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На указанной территории оконечные устройства системы оповещения населения города Перми отсутствуют. Для обеспечения покрытия запланированной территории системой оповещения населения необходимо предусматривать размещение сиренно-речевых узлов согласно пунктам 6.38, 6.39 СП 165.1325800.2014 «Свод правил. Инженерно-технические мероприятия по гражданской обороне. Актуализированная редакция СНиП 2.01.51-90», утвержденные Приказом Минстроя России от 12.11.2014 № 705/пр.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Иная информация, в части полномочий департамента общественной безопасности администрации города Перми, отсутствует.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>департамента общественной безопасности администрации города Перми</w:t>
            </w:r>
            <w:r>
              <w:rPr>
                <w:sz w:val="24"/>
                <w:szCs w:val="24"/>
                <w:highlight w:val="white"/>
              </w:rPr>
              <w:t xml:space="preserve"> от 08.05.2026 №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 059-10-01-27/3-665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21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, спальни - 8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); кухни - 8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; кухонной зоны в кухне-столовой - 6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Площадь спальни и кухни в мансардном этаже </w:t>
              <w:br/>
              <w:t>(или этаже с наклонными ограждающими конструкциями) допускается не менее 7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Согласно пункту 6.2 СП 55.13330.2016 высота (от пола 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spacing w:val="-2"/>
                <w:sz w:val="24"/>
                <w:szCs w:val="24"/>
              </w:rPr>
              <w:t xml:space="preserve"> </w:t>
              <w:br/>
            </w:r>
            <w:r>
              <w:rPr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sz w:val="24"/>
                <w:szCs w:val="24"/>
                <w:lang w:val="en-US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lang w:val="en-US"/>
              </w:rPr>
              <w:t xml:space="preserve">с наклонными ограждающими конструкциями </w:t>
              <w:br/>
              <w:t>или в мансардном этаже, допускается уменьшение высоты помещений (от пола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до потолка), отн</w:t>
            </w:r>
            <w:r>
              <w:rPr>
                <w:sz w:val="24"/>
                <w:szCs w:val="24"/>
                <w:highlight w:val="white"/>
                <w:lang w:val="en-US"/>
              </w:rPr>
              <w:t>осительно нормируемой на площади, не превышающей 50%.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Согласно информации, содержащейся в ГПЗУ, предельная высота зданий, строений не более 10,5 м (документация по планировке территории, утвержденная постановлением администрации города Перми от 22.12.2017 № 1178).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Минимальный отступ от границ земельного участка </w:t>
              <w:br/>
              <w:t>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смежных земельных участков при блокированной жилой застройке) – 3 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Максимальный выступ за красную линию нависающих частей здания наземных уровней, выступающих </w:t>
              <w:br/>
              <w:t xml:space="preserve">из плоскости наружной стены фасада здания на высоте </w:t>
              <w:br/>
              <w:t>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Максимальный процент застройки в границах </w:t>
              <w:br/>
              <w:t>Участка – 30%.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С уведомлением о планируемом строительстве жилого дома рекомендуется обратиться в уполномоченный орган администрации города Перми.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22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О возможности подключения (технологического присоединения) к сетям электроснабжения объекта капитального строительства присоединяемой мощностью 15 кВт сообщается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Порядок технологического присоединения </w:t>
              <w:br/>
              <w:t xml:space="preserve">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</w:t>
              <w:br/>
              <w:t>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Согласно пунктам 15, 25, 25.1 Правил ТП технические условия являются неотъемлемым приложением </w:t>
              <w:br/>
              <w:t>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При подготовке ГПЗУ необходимо предусмотреть коридоры для строительства кабельных линий и место </w:t>
              <w:br/>
              <w:t>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</w:rPr>
              <w:t>Сетей и их охранных зон ПАО «Россети Урал» в границах Участка нет.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Заявку на технологическое присоединение можно подать через единый федеральный портал электросетевых услуг группы компаний «Россети» на сайте: </w:t>
            </w:r>
            <w:hyperlink r:id="rId23" w:tgtFrame="https://">
              <w:r>
                <w:rPr>
                  <w:rStyle w:val="Hyperlink"/>
                  <w:color w:themeColor="text1" w:val="000000"/>
                  <w:sz w:val="24"/>
                  <w:szCs w:val="24"/>
                  <w:highlight w:val="white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портал-тп.рф, через Мобильное приложение ПАО «Россети» </w:t>
              <w:br/>
              <w:t xml:space="preserve">или при очном приеме в Центре обслуживания клиентов филиала «Россети» или рот очном приеме в Центре обслуживания клиентов филиала «Россети Урал» - «Пермэнерго» по адресу: г. Пермь, ул. Камчатовская, </w:t>
              <w:br/>
              <w:t>д. 26, а также почтовым отправлением по адресу: 314016, г. Пермь, 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 xml:space="preserve">Филиала ПАО «Россети Урал» - «Пермэнерго» </w:t>
            </w:r>
            <w:r>
              <w:rPr>
                <w:sz w:val="24"/>
                <w:szCs w:val="24"/>
                <w:highlight w:val="white"/>
              </w:rPr>
              <w:t>от 20.05.2026 № ПЭ/ПГЭС/01/22/7455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объекта капитального строительства с предполагаемой максимальной нагрузкой (часовым расходом газа) 8м</w:t>
            </w:r>
            <w:r>
              <w:rPr>
                <w:sz w:val="24"/>
                <w:szCs w:val="24"/>
                <w:highlight w:val="white"/>
                <w:vertAlign w:val="superscript"/>
              </w:rPr>
              <w:t>3</w:t>
            </w:r>
            <w:r>
              <w:rPr>
                <w:sz w:val="24"/>
                <w:szCs w:val="24"/>
                <w:highlight w:val="white"/>
              </w:rPr>
              <w:t>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заявку с приложением необходимых документов в соответствии с постановлением Правительства Российской Федерации от 13.09.2021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 силу некоторых актов Правительства Российской Федерации»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</w:rPr>
              <w:t xml:space="preserve">Дополнительно сообщается, что </w:t>
            </w:r>
            <w:r>
              <w:rPr>
                <w:sz w:val="24"/>
                <w:szCs w:val="24"/>
                <w:highlight w:val="white"/>
              </w:rPr>
              <w:t>в границах Участка могут располагаться газораспределительные сети (сети ЭХЗ), находящиеся как в собственности AO «Газпром газораспределение Пермь», так и в собственности третьих лиц. Для определения месторасположения газораспределительных сетей на интересуемом земельном участке необходимо направить в адрес Филиала в г. Пермь AO «Газпром газораспределение Пермь» инженерно-топографический план на бумажном носителе, выполненный в масштабе 1:500, в координатах г. Перми, на котором отображены рельеф местности, объекты ситуации и границы интересующей территории.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>АО «Газпром газораспределение Пермь»</w:t>
            </w:r>
            <w:r>
              <w:rPr>
                <w:sz w:val="24"/>
                <w:szCs w:val="24"/>
                <w:highlight w:val="white"/>
              </w:rPr>
              <w:t xml:space="preserve"> от 21.05.2026 № ПФ-3742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5"/>
                <w:highlight w:val="whit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Ближайшей сетью водоснабжения, эксплуатируемой ООО «НОВОГОР-Прикамье», является водопровод, Д-300 мм, внутри квартала, в районе здания по ул. Новоколхозная, 2.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Ближайшей точкой подключения к сетям водоотведения является сеть дворовой канализации, Д-189 мм, от здания по ул. Новоколхозная, 2.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На сегодняшний день техническая возможность подключения Объекта к централизованным системам холодного водоснабжения и водоотведения отсутствует ввиду отсутствия свободной мощности (резерва мощности) BHC, KHC Дзержинского района и отсутствия мероприятий, обеспечивающих данную техническую возможность, в Инвестиционной программе в сфере холодного водоснабжения, водоотведения и очистки сточных вод на территории г. Перми ООО «Hoвaя городская инфраструктура Прикамья» на период 2023-2027 гг., утв. Приказом Министерства тарифного регулирования и энергетики Пермского края № 46-02-41-68 от 20.11.2025 г.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При проектировании может быть применен альтернативный способ водоснабжения и водоотведения, без подключения к централизованной системе канализации г. Перми, а именно: водоснабжение </w:t>
              <w:br/>
              <w:t>от скважины, отвод канализационных стоков на локальные очистные сооружения либо в канализационные колодцы-накопители, с последующим вывозом стоков спец. мaшинaми, при этом состав канализационных стоков должен соответствовать всем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6"/>
                <w:highlight w:val="whit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В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границах Участка отсутствуют централизованные сети водопровод а и канализации, эксплуатируемые ООО «НОВОГОР-Прикамье».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>ООО «НОВО</w:t>
            </w:r>
            <w:bookmarkStart w:id="1" w:name="undefined_Копия_1_Копия_1"/>
            <w:bookmarkEnd w:id="1"/>
            <w:r>
              <w:rPr>
                <w:b/>
                <w:sz w:val="24"/>
                <w:szCs w:val="24"/>
                <w:highlight w:val="white"/>
              </w:rPr>
              <w:t xml:space="preserve">ГОР-Прикамье» </w:t>
            </w:r>
            <w:r>
              <w:rPr>
                <w:sz w:val="24"/>
                <w:szCs w:val="24"/>
                <w:highlight w:val="white"/>
              </w:rPr>
              <w:t>от 07</w:t>
            </w:r>
            <w:r>
              <w:rPr>
                <w:color w:val="000000"/>
                <w:sz w:val="24"/>
                <w:szCs w:val="24"/>
                <w:highlight w:val="white"/>
              </w:rPr>
              <w:t>.05.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2026 № 110-6525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к системе теплоснабжения отсутствует</w:t>
            </w:r>
            <w:r>
              <w:rPr>
                <w:sz w:val="24"/>
                <w:szCs w:val="24"/>
              </w:rPr>
              <w:t>, требуется реконструкция тепловых сетей.</w:t>
            </w:r>
          </w:p>
          <w:p>
            <w:pPr>
              <w:pStyle w:val="Normal"/>
              <w:spacing w:lineRule="auto" w:line="235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>Уточнение объема и перечня необходимых мероприятий для подключения объекта к системе теплоснабжения возможно после подачи заявки и предоставления полного пакета документов для заключения договора о подключении (технологическом присоединении).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>В границах земельного Участка расположены тепловые сети (реестровый номер границ охранной зоны 59:01-6.4642). При проектировании и застройке участка необходимо выполнение условий, обеспечивающих: сохранность существующих тепловых сетей; соблюдение Типовых правил охраны коммунальных тепловых сетей, утвержденных Приказом Минстроя России от 17.08.1992 № 197; беспрепятственный доступ персонала и транспорта для обслуживания и ремонтам.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>Филиала «Пермский ПАО «Т Плюс»</w:t>
            </w:r>
            <w:r>
              <w:rPr>
                <w:sz w:val="24"/>
                <w:szCs w:val="24"/>
                <w:highlight w:val="white"/>
              </w:rPr>
              <w:t xml:space="preserve"> от 14.05.2026 № 51030-01-02961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объектов капитального строительства к сетям теплоснабжения отсутствует.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 качестве альтернативного энергоресурса рекомендуется рассмотреть газ и обратиться в АО «Газпром газораспределение Пермь» филиал в городе Пермь, либо рассмотреть иные альтернативные энергоресурсы (электричество, дрова, пеллеты).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sz w:val="24"/>
                <w:szCs w:val="24"/>
                <w:highlight w:val="white"/>
              </w:rPr>
              <w:t>от 27.05.2026 № 059-04-25/3-93-ри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Техническое присоединение планируемых к строительству объектов в границах Участка может быть произведено к узлу ВОЛС (г. Пермь, ул. Маяковского, д. 33А), максимальную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нагрузку в точке подключения (технологического присоединения) определить на стадии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проектирования.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color w:val="000000"/>
                <w:sz w:val="24"/>
                <w:szCs w:val="24"/>
              </w:rPr>
              <w:t>В границах Участка линии и сооружения связи ПАО «Ростелеком» отсутствуют.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Для подключения (технологического присоединения) вышеуказанного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заявки о заключении договора о подключении в порядке, определенном действующим законодательством.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Срок действия технических условий составляет 3 года со дня выдачи.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 случае, если в течение 1 года (при комплексном развитии территории – 3 лет) со дня выдачи технических условий заявителем не будет подана заявка о подключении, срок действия технических условий прекращается («Правила подключения (технологического присоединения) объектов капитального строительства к сетям электросвязи», утвержденные постановлением Правительства РФ от 01.07.2022 № 1196).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Для получения ТУ на подключение к сетям связи ПАО «Ростелеком» необходимо обратиться в Отдел продаж </w:t>
              <w:br/>
              <w:t xml:space="preserve">и обслуживания по адресу: г. Пермь, ул. Крупской, 2, </w:t>
              <w:br/>
              <w:t xml:space="preserve">тел.: +7 (342) 235-57-34 или направить запрос </w:t>
              <w:br/>
              <w:t xml:space="preserve">на </w:t>
            </w:r>
            <w:hyperlink r:id="rId24">
              <w:r>
                <w:rPr>
                  <w:rStyle w:val="Hyperlink"/>
                  <w:color w:val="000000"/>
                  <w:sz w:val="24"/>
                  <w:szCs w:val="24"/>
                  <w:highlight w:val="white"/>
                </w:rPr>
                <w:t>perm-mail@ural.rt.ru</w:t>
              </w:r>
            </w:hyperlink>
            <w:r>
              <w:rPr>
                <w:color w:val="000000"/>
                <w:sz w:val="24"/>
                <w:szCs w:val="24"/>
                <w:highlight w:val="white"/>
              </w:rPr>
              <w:t>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  <w:szCs w:val="24"/>
                <w:highlight w:val="white"/>
              </w:rPr>
              <w:t>ПАО «Ростелеком»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от 13.05.2026 № 01/05/76941/26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№ 1085, на период до 2028 года предусмотрено строительство сетей водоснабжения в мкр. Заостровка.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  <w:highlight w:val="white"/>
              </w:rPr>
              <w:t>Департамента жилищно-коммунального хозяйства администрации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18.05.2026 № 059-04-17/3-410-ри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7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7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361 200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18 060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Заявка на участие в электронном аукционе с указанием</w:t>
              <w:br/>
              <w:t>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</w:t>
              <w:br/>
              <w:t>о государственной регистрации юридического лица</w:t>
              <w:br/>
              <w:t>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180 600</w:t>
            </w:r>
            <w:r>
              <w:rPr>
                <w:sz w:val="24"/>
                <w:szCs w:val="24"/>
              </w:rPr>
              <w:t xml:space="preserve"> 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20.02.2026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7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spacing w:before="0" w:after="0"/>
        <w:ind w:left="0"/>
        <w:contextualSpacing/>
        <w:jc w:val="center"/>
        <w:rPr>
          <w:rFonts w:eastAsia="Courier New"/>
          <w:b/>
          <w:bCs/>
          <w:highlight w:val="none"/>
          <w:lang w:bidi="ru-RU"/>
        </w:rPr>
      </w:pPr>
      <w:r>
        <w:rPr>
          <w:rFonts w:eastAsia="Courier New"/>
          <w:b/>
          <w:lang w:bidi="ru-RU"/>
        </w:rPr>
        <w:t>Сроки, время подачи заявок, рассмотрения заявок, проведения аукциона</w:t>
      </w:r>
    </w:p>
    <w:p>
      <w:pPr>
        <w:pStyle w:val="Normal"/>
        <w:widowControl w:val="false"/>
        <w:spacing w:before="0" w:after="0"/>
        <w:ind w:left="567"/>
        <w:contextualSpacing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687" w:left="-567" w:right="0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и время начала срока подачи заявок на участие в аукционе – 27.08.2026</w:t>
      </w:r>
      <w:r>
        <w:rPr>
          <w:rFonts w:eastAsia="Courier New"/>
          <w:lang w:bidi="ru-RU"/>
        </w:rPr>
        <w:t xml:space="preserve"> в 9:00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>по местному времени (7:00 МСК).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Дата и время окончания срока подачи заявок на участие в аукционе – 15.09.2026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 xml:space="preserve">в 18:00 по местному времени (16:00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окончания срока рассмотрения заявок на участие в аукционе (определение участников аукциона)</w:t>
      </w:r>
      <w:r>
        <w:rPr>
          <w:rFonts w:eastAsia="Courier New"/>
          <w:lang w:bidi="ru-RU"/>
        </w:rPr>
        <w:t xml:space="preserve"> –</w:t>
      </w:r>
      <w:r>
        <w:rPr>
          <w:rFonts w:eastAsia="Courier New"/>
          <w:b/>
          <w:bCs/>
          <w:lang w:bidi="ru-RU"/>
        </w:rPr>
        <w:t xml:space="preserve"> 16.09.2026.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bCs/>
          <w:lang w:bidi="ru-RU"/>
        </w:rPr>
      </w:pPr>
      <w:r>
        <w:rPr>
          <w:rFonts w:eastAsia="Courier New"/>
          <w:b/>
          <w:bCs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bCs/>
          <w:lang w:bidi="ru-RU"/>
        </w:rPr>
        <w:t xml:space="preserve">Дата проведения аукциона (дата и время начала приема предложений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>от участников аукциона) – 17.09</w:t>
      </w:r>
      <w:r>
        <w:rPr>
          <w:rFonts w:eastAsia="Courier New"/>
          <w:b/>
          <w:lang w:bidi="ru-RU"/>
        </w:rPr>
        <w:t>.2026</w:t>
      </w:r>
      <w:r>
        <w:rPr>
          <w:rFonts w:eastAsia="Courier New"/>
          <w:lang w:bidi="ru-RU"/>
        </w:rPr>
        <w:t xml:space="preserve"> в 09:00 по местному времени (07:00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highlight w:val="none"/>
        </w:rPr>
      </w:pPr>
      <w:r>
        <w:rPr>
          <w:b/>
        </w:rPr>
        <w:t>Место подачи (приема) заявок и место проведения аукциона:</w:t>
      </w:r>
      <w:r>
        <w:rPr/>
        <w:t xml:space="preserve"> электронная </w:t>
        <w:br/>
        <w:t>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ind w:firstLine="709" w:left="-567"/>
        <w:jc w:val="center"/>
        <w:rPr>
          <w:b/>
        </w:rPr>
      </w:pPr>
      <w:r>
        <w:rPr>
          <w:b/>
        </w:rPr>
        <w:t>Плата оператору электронной площадки за участие в электронном аукционе</w:t>
      </w:r>
    </w:p>
    <w:p>
      <w:pPr>
        <w:pStyle w:val="Normal"/>
        <w:widowControl w:val="false"/>
        <w:ind w:firstLine="709" w:left="-567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ind w:firstLine="709" w:left="-567"/>
        <w:jc w:val="both"/>
        <w:rPr/>
      </w:pPr>
      <w:r>
        <w:rPr/>
        <w:t xml:space="preserve">В соответствии с постановлением Правительства Российской Федерации от 10 мая 2018 г. </w:t>
      </w:r>
      <w:r>
        <w:rPr/>
        <w:br w:type="textWrapping" w:clear="all"/>
      </w:r>
      <w:r>
        <w:rPr/>
        <w:t>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установления ее предельных размеров» оператор электронной площадки вправе взимать плату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в размере 1% начальной цены предмета аукциона, но не более 5 тыс. рублей без учета налога на добавленную стоимость.</w:t>
      </w:r>
    </w:p>
    <w:p>
      <w:pPr>
        <w:pStyle w:val="Normal"/>
        <w:widowControl w:val="false"/>
        <w:ind w:firstLine="709" w:left="-567"/>
        <w:jc w:val="both"/>
        <w:rPr/>
      </w:pPr>
      <w:r>
        <w:rPr/>
        <w:t>По информации оператора электронной площадки АО «Сбербанк-АСТ» в настоящее время взимание платы не установлено.</w:t>
      </w:r>
    </w:p>
    <w:p>
      <w:pPr>
        <w:pStyle w:val="Normal"/>
        <w:widowControl w:val="false"/>
        <w:ind w:firstLine="709" w:left="-567"/>
        <w:jc w:val="both"/>
        <w:rPr/>
      </w:pPr>
      <w:r>
        <w:rPr/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  <w:t>Размер задатка для участия в аукционе, порядок его внесения и возврата, реквизиты счета для перечисления задатка</w:t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 xml:space="preserve">Заявители, зарегистрированные на электронной площадке в установленном порядке, </w:t>
        <w:br/>
        <w:t xml:space="preserve">до подачи заявки на участие в аукционе (далее – заявка), осуществляют перечисление суммы задатка на участие в аукционе на банковские реквизиты Оператора, размещенные в открытой части торговой секции. 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 xml:space="preserve">В момент подачи заявки Оператор проверяет наличие денежной суммы в размере задатка </w:t>
      </w:r>
      <w:r>
        <w:rPr>
          <w:bCs/>
          <w:lang w:bidi="ru-RU"/>
        </w:rPr>
        <w:br w:type="textWrapping" w:clear="all"/>
      </w:r>
      <w:r>
        <w:rPr>
          <w:bCs/>
          <w:lang w:bidi="ru-RU"/>
        </w:rPr>
        <w:t>на лицевом счете заявителя и осуществляет блокирование необходимой денежной суммы.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>Представление документов, подтверждающих внесение задатка, признается заключением соглашения о задатке (п.2 ст. 39.12 Земельного кодекса Российской Федерации).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>Сумма задатка для участия в аукционе определяется в размере 50 процентов от начальной цены предмета аукциона. Размер задатка в извещении о проведении аукциона указан по каждому лоту.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  <w:lang w:bidi="ru-RU"/>
        </w:rPr>
      </w:pPr>
      <w:r>
        <w:rPr>
          <w:bCs/>
          <w:lang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площадки. </w:t>
      </w:r>
    </w:p>
    <w:p>
      <w:pPr>
        <w:pStyle w:val="Normal"/>
        <w:widowControl w:val="false"/>
        <w:ind w:firstLine="567" w:left="-567"/>
        <w:jc w:val="both"/>
        <w:rPr>
          <w:rFonts w:eastAsia="Calibri"/>
          <w:bCs/>
          <w:lang w:eastAsia="en-US"/>
        </w:rPr>
      </w:pPr>
      <w:r>
        <w:rPr>
          <w:b/>
          <w:bCs/>
          <w:lang w:bidi="ru-RU"/>
        </w:rPr>
        <w:t>Задаток перечисляется на реквизиты Оператора электронной площадки (</w:t>
      </w:r>
      <w:hyperlink r:id="rId25" w:tgtFrame="http://utp.sberbank-ast.ru/AP/Notice/653/Requisites">
        <w:r>
          <w:rPr>
            <w:rStyle w:val="Hyperlink"/>
            <w:b/>
            <w:bCs/>
            <w:lang w:bidi="ru-RU"/>
          </w:rPr>
          <w:t>http://utp.sberbank-ast.ru/AP/Notice/653/Requisites</w:t>
        </w:r>
      </w:hyperlink>
      <w:r>
        <w:rPr>
          <w:b/>
          <w:bCs/>
          <w:lang w:bidi="ru-RU"/>
        </w:rPr>
        <w:t>).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Получатель: АО «Сбербанк-АСТ»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ИНН: 7707308480, КПП: 770401001, </w:t>
      </w:r>
    </w:p>
    <w:p>
      <w:pPr>
        <w:pStyle w:val="Normal"/>
        <w:spacing w:lineRule="exact" w:line="240"/>
        <w:rPr/>
      </w:pPr>
      <w:r>
        <w:rPr>
          <w:rFonts w:eastAsia="Calibri"/>
          <w:bCs/>
          <w:lang w:eastAsia="en-US"/>
        </w:rPr>
        <w:t>Банк получателя: ПАО «СБЕРБАНК РОССИИ» Г. МОСКВА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/>
        <w:t xml:space="preserve">Расчетный счет: </w:t>
      </w:r>
      <w:r>
        <w:rPr>
          <w:rFonts w:eastAsia="Calibri"/>
          <w:bCs/>
          <w:lang w:eastAsia="en-US"/>
        </w:rPr>
        <w:t>40702810300020038047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БИК: 044525225</w:t>
      </w:r>
    </w:p>
    <w:p>
      <w:pPr>
        <w:pStyle w:val="Normal"/>
        <w:spacing w:lineRule="exact" w:line="240"/>
        <w:rPr>
          <w:bCs/>
          <w:lang w:bidi="ru-RU"/>
        </w:rPr>
      </w:pPr>
      <w:r>
        <w:rPr>
          <w:rFonts w:eastAsia="Calibri"/>
          <w:bCs/>
          <w:lang w:eastAsia="en-US"/>
        </w:rPr>
        <w:t>Корреспондентский счет: 30101810400000000225</w:t>
      </w:r>
    </w:p>
    <w:p>
      <w:pPr>
        <w:pStyle w:val="Normal"/>
        <w:widowControl w:val="false"/>
        <w:ind w:firstLine="567" w:left="-567"/>
        <w:jc w:val="both"/>
        <w:rPr>
          <w:b/>
        </w:rPr>
      </w:pPr>
      <w:r>
        <w:rPr>
          <w:bCs/>
          <w:lang w:bidi="ru-RU"/>
        </w:rPr>
        <w:t>В платёжном поручении в части «Назначение платежа» необходимо указать: Задаток по лоту  № ___, ИНН плательщика. НДС не облагается.</w:t>
      </w:r>
    </w:p>
    <w:p>
      <w:pPr>
        <w:pStyle w:val="Normal"/>
        <w:widowControl w:val="false"/>
        <w:ind w:firstLine="567" w:left="-567"/>
        <w:jc w:val="both"/>
        <w:rPr>
          <w:bCs/>
          <w:lang w:bidi="ru-RU"/>
        </w:rPr>
      </w:pPr>
      <w:r>
        <w:rPr>
          <w:b/>
        </w:rPr>
        <w:t xml:space="preserve">Срок внесения задатка, т.е. поступления суммы задатка на счет </w:t>
      </w:r>
      <w:r>
        <w:rPr>
          <w:rFonts w:eastAsia="Calibri"/>
          <w:b/>
        </w:rPr>
        <w:t>Оператора</w:t>
      </w:r>
      <w:r>
        <w:rPr>
          <w:b/>
        </w:rPr>
        <w:t xml:space="preserve">: </w:t>
      </w:r>
      <w:r>
        <w:rPr>
          <w:b/>
        </w:rPr>
        <w:br w:type="textWrapping" w:clear="all"/>
      </w:r>
      <w:r>
        <w:rPr>
          <w:b w:val="false"/>
          <w:bCs w:val="false"/>
          <w:lang w:bidi="ru-RU"/>
        </w:rPr>
        <w:t>c 27.08.2026 по 15.09.2026.</w:t>
      </w:r>
    </w:p>
    <w:p>
      <w:pPr>
        <w:pStyle w:val="Normal"/>
        <w:widowControl w:val="false"/>
        <w:ind w:firstLine="709" w:left="-567"/>
        <w:jc w:val="both"/>
        <w:rPr>
          <w:bCs/>
          <w:lang w:bidi="ru-RU"/>
        </w:rPr>
      </w:pPr>
      <w:r>
        <w:rPr>
          <w:bCs/>
          <w:lang w:bidi="ru-RU"/>
        </w:rPr>
      </w:r>
    </w:p>
    <w:p>
      <w:pPr>
        <w:pStyle w:val="Normal"/>
        <w:widowControl w:val="false"/>
        <w:ind w:firstLine="709" w:left="-567"/>
        <w:jc w:val="center"/>
        <w:rPr>
          <w:b/>
          <w:lang w:bidi="ru-RU"/>
        </w:rPr>
      </w:pPr>
      <w:r>
        <w:rPr>
          <w:b/>
          <w:lang w:bidi="ru-RU"/>
        </w:rPr>
        <w:t>Порядок возврата задатка:</w:t>
      </w:r>
    </w:p>
    <w:p>
      <w:pPr>
        <w:pStyle w:val="Normal"/>
        <w:widowControl w:val="false"/>
        <w:ind w:firstLine="709" w:left="-567"/>
        <w:jc w:val="both"/>
        <w:rPr>
          <w:b/>
          <w:lang w:bidi="ru-RU"/>
        </w:rPr>
      </w:pPr>
      <w:r>
        <w:rPr>
          <w:b/>
          <w:lang w:bidi="ru-RU"/>
        </w:rPr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lang w:bidi="ru-RU"/>
        </w:rPr>
      </w:pPr>
      <w:r>
        <w:rPr>
          <w:bCs/>
          <w:lang w:bidi="ru-RU"/>
        </w:rPr>
        <w:t>Задаток возвращается лицам, участвовавшим в аукционе, но не победившим в нем, в течение трех ра</w:t>
      </w:r>
      <w:r>
        <w:rPr>
          <w:bCs/>
          <w:shd w:fill="auto" w:val="clear"/>
          <w:lang w:bidi="ru-RU"/>
        </w:rPr>
        <w:t xml:space="preserve">бочих дней со дня подписания протокола о результатах аукциона, </w:t>
      </w:r>
      <w:r>
        <w:rPr>
          <w:b w:val="false"/>
          <w:bCs/>
          <w:shd w:fill="auto" w:val="clear"/>
          <w:lang w:bidi="ru-RU"/>
        </w:rPr>
        <w:t>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Заявителю, не допущенному к участию в аукционе, внесенный им задаток возвращается </w:t>
      </w:r>
      <w:r>
        <w:rPr>
          <w:shd w:fill="auto" w:val="clear"/>
          <w:lang w:bidi="ru-RU"/>
        </w:rPr>
        <w:br w:type="textWrapping" w:clear="all"/>
      </w:r>
      <w:r>
        <w:rPr>
          <w:shd w:fill="auto" w:val="clear"/>
          <w:lang w:bidi="ru-RU"/>
        </w:rPr>
        <w:t xml:space="preserve">в течение трех рабочих дней со дня оформления протокола рассмотрения заявок на участие </w:t>
        <w:br/>
        <w:t xml:space="preserve">в аукционе.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Оператор прекращает блокирование в отношении денежных средств участников аукциона, заблокированных в размере задатков на их лицевых счетах на электронной площадке после публикации протокола о результатах аукциона, за исключением единственного заявителя, признанного участником аукциона, победителя аукциона, единственного принявшего участие </w:t>
        <w:br/>
        <w:t xml:space="preserve">в аукционе участника, а также </w:t>
      </w:r>
      <w:r>
        <w:rPr>
          <w:b w:val="false"/>
          <w:shd w:fill="auto" w:val="clear"/>
          <w:lang w:bidi="ru-RU"/>
        </w:rPr>
        <w:t xml:space="preserve">участника аукциона, который сделал предпоследнее предложение </w:t>
        <w:br/>
        <w:t>о цене предмета аукциона.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Организатор аукциона посредством штатного интерфейса торговой секции </w:t>
      </w:r>
      <w:r>
        <w:rPr>
          <w:shd w:fill="auto" w:val="clear"/>
          <w:lang w:bidi="ru-RU"/>
        </w:rPr>
        <w:br w:type="textWrapping" w:clear="all"/>
      </w:r>
      <w:r>
        <w:rPr>
          <w:shd w:fill="auto" w:val="clear"/>
          <w:lang w:bidi="ru-RU"/>
        </w:rPr>
        <w:t>в установленные сроки формирует поручение Оператору: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>- о перечислении задатка единственного заявителя, признанного участником аукциона, победителя аукциона или единственного принявшего участие в аукционе участника после формирования протокола о результатах аукциона на указанные в поручении банковские реквизиты;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пунктами 13, 14, 20 или 25 ст. 39.12 Земельного кодекса Российской Федерации, засчитываются  в счет арендной платы за него.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указанного договора, не возвращаются. </w:t>
      </w:r>
    </w:p>
    <w:p>
      <w:pPr>
        <w:pStyle w:val="Normal"/>
        <w:widowControl w:val="false"/>
        <w:spacing w:lineRule="auto" w:line="276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Организатор аукциона вправе:</w:t>
      </w:r>
    </w:p>
    <w:p>
      <w:pPr>
        <w:pStyle w:val="Normal"/>
        <w:widowControl w:val="false"/>
        <w:jc w:val="center"/>
        <w:rPr>
          <w:rFonts w:eastAsia="Courier New"/>
          <w:highlight w:val="none"/>
          <w:shd w:fill="auto" w:val="clear"/>
          <w:lang w:bidi="ru-RU"/>
        </w:rPr>
      </w:pPr>
      <w:r>
        <w:rPr>
          <w:rFonts w:eastAsia="Courier New"/>
          <w:shd w:fill="auto" w:val="clear"/>
          <w:lang w:bidi="ru-RU"/>
        </w:rPr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Не позднее чем за один рабочий день до даты окончания приема заявок на участие в аукционе 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в порядке, установленном п. 19 ст. 39.11 Земельного кодекса Российской Федерации, изменений в извещение о проведении аукциона до дня проведения аукциона такой срок составлял не менее десяти рабочих дней. </w:t>
      </w: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Информация о внесении изменений в извещение </w:t>
        <w:br/>
        <w:t xml:space="preserve">о проведении аукциона размещается на официальных сайтах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>www.torgi.gov.ru,  www.gorodperm.ru.</w:t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В случае, если за один рабочий день до даты окончания приема заявок на участие в аукционе не поступило ни одной заявки, организатор аукциона до момента окончания срока подачи заявок </w:t>
        <w:br/>
        <w:t xml:space="preserve">на участие в аукционе может принять решение о продлении срока подачи заявок в соответствии </w:t>
        <w:br/>
        <w:t>с правилами, предусмотренными п. 22.1  ст. 39.11 Земельного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/>
      </w:pPr>
      <w:r>
        <w:rPr>
          <w:shd w:fill="auto" w:val="clear"/>
        </w:rPr>
        <w:t xml:space="preserve">В соответствии с п. 4 ст. 448 Гражданского кодекса Российской Федерации отказаться </w:t>
      </w:r>
      <w:r>
        <w:rPr/>
        <w:br w:type="textWrapping" w:clear="all"/>
      </w:r>
      <w:r>
        <w:rPr/>
        <w:t xml:space="preserve">от проведения аукциона в любое время, но не позднее чем за три дня до наступления даты </w:t>
      </w:r>
      <w:r>
        <w:rPr/>
        <w:br w:type="textWrapping" w:clear="all"/>
      </w:r>
      <w:r>
        <w:rPr/>
        <w:t xml:space="preserve">его проведения, указанной в извещении </w:t>
      </w:r>
      <w:r>
        <w:rPr>
          <w:shd w:fill="auto" w:val="clear"/>
        </w:rPr>
        <w:t xml:space="preserve">о проведении аукциона.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 xml:space="preserve">Организатор аукциона обязан: 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Принять решение об отказе в проведении аукциона в случае выявления обстоятельств, предусмотренных п. 8 ст. 39.11 Земельного кодекса Российской Федерации.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Извещение об отказе в проведении аукциона размещается организатором аукциона </w:t>
        <w:br/>
        <w:t xml:space="preserve">на официальных сайтах 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 xml:space="preserve">www.torgi.gov.ru,  www.gorodperm.ru </w:t>
      </w:r>
      <w:r>
        <w:rPr>
          <w:shd w:fill="auto" w:val="clear"/>
        </w:rPr>
        <w:t xml:space="preserve"> и на электронной площадке в течение трех дней со дня принятия данного решения.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 течение трех дней со дня принятия решения об отказе в проведении аукциона участники аукциона извещаются об отказе в проведении аукциона, внесенные задатки возвращаются его участникам.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В случае отказа от проведения аукциона организатором (в т. ч. одного или нескольких лотов) Оператор в течение одного часа прекращает блокирование денежных средств участников аукциона </w:t>
        <w:br/>
        <w:t>в размере задатка на их лицевых счетах на электронной площадке.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rFonts w:eastAsia="Courier New"/>
          <w:b/>
          <w:shd w:fill="auto" w:val="clear"/>
          <w:lang w:bidi="ru-RU"/>
        </w:rPr>
        <w:t>Порядок регистрации на электронной площадке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Для обеспечения доступа к участию в аукционе заявителю необходимо пройти процедуру регистрации на электронной площадке. Регистрации на электронной площадке подлежат лица, ранее не зарегистрированные на электронной площадке.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Регистрация на электронной площадке проводится в соответствии с регламентом электронной площадки.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Дата и время регистрации участников аукциона на участие в аукционе на электронной площадке на сайте в сети Интернет: </w:t>
      </w:r>
      <w:r>
        <w:rPr>
          <w:b w:val="false"/>
          <w:bCs w:val="false"/>
          <w:shd w:fill="auto" w:val="clear"/>
          <w:lang w:bidi="ru-RU"/>
        </w:rPr>
        <w:t>c 27.08.2026 по 15.09.2026</w:t>
      </w:r>
      <w:r>
        <w:rPr>
          <w:bCs/>
          <w:shd w:fill="auto" w:val="clear"/>
          <w:lang w:bidi="ru-RU"/>
        </w:rPr>
        <w:t xml:space="preserve"> с 9.00 до 18.00 по местному времени (7:00 – 16:00 МСК). </w:t>
      </w:r>
    </w:p>
    <w:p>
      <w:pPr>
        <w:pStyle w:val="NormalWeb"/>
        <w:jc w:val="center"/>
        <w:rPr>
          <w:highlight w:val="none"/>
        </w:rPr>
      </w:pPr>
      <w:r>
        <w:rPr/>
      </w:r>
    </w:p>
    <w:p>
      <w:pPr>
        <w:pStyle w:val="NormalWeb"/>
        <w:jc w:val="center"/>
        <w:rPr>
          <w:b/>
          <w:bCs/>
          <w:color w:val="000000"/>
          <w:highlight w:val="none"/>
          <w:shd w:fill="auto" w:val="clear"/>
        </w:rPr>
      </w:pPr>
      <w:r>
        <w:rPr>
          <w:b/>
          <w:color w:val="000000"/>
          <w:shd w:fill="auto" w:val="clear"/>
        </w:rPr>
        <w:t>Разъяснение положений извещения о проведении аукциона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На этапе приема заявок любое заинтересованное лицо вправе не позднее 10 календарных дней до окончания срока подачи заявок направить Организатору аукциона запрос о разъяснениях положений извещения о проведении аукциона посредством функционала электронной площадки. Запросы о разъяснении положений извещения, полученные после вышеуказанного срока, </w:t>
        <w:br/>
        <w:t>не рассматриваются.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Ответ на запрос о разъяснении положений извещения должен быть подготовлен в течение трех рабочих дней со дня поступления указанного запроса.  </w:t>
      </w:r>
    </w:p>
    <w:p>
      <w:pPr>
        <w:pStyle w:val="Normal"/>
        <w:widowControl w:val="false"/>
        <w:spacing w:lineRule="auto" w:line="276"/>
        <w:ind w:firstLine="709" w:left="-567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Требования к содержанию и составу заявки на участие в аукционе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 xml:space="preserve">Для участия в аукционе заявители представляют в установленный в извещении </w:t>
      </w:r>
      <w:r>
        <w:rPr>
          <w:rFonts w:eastAsia="Courier New"/>
          <w:shd w:fill="auto" w:val="clear"/>
          <w:lang w:bidi="ru-RU"/>
        </w:rPr>
        <w:br w:type="textWrapping" w:clear="all"/>
      </w:r>
      <w:r>
        <w:rPr>
          <w:rFonts w:eastAsia="Courier New"/>
          <w:shd w:fill="auto" w:val="clear"/>
          <w:lang w:bidi="ru-RU"/>
        </w:rPr>
        <w:t>о проведении аукциона срок следующие документы: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1) копии документов, удостоверяющих личность заявителя (для граждан), всех страниц;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2) надлежащим образом заверенный перевод на русский язык документов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3) документы, подтверждающие внесение задатка.</w:t>
      </w:r>
    </w:p>
    <w:p>
      <w:pPr>
        <w:pStyle w:val="Normal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ind w:firstLine="708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Инструкция по заполнению и подаче заявки, порядок приема заявки</w:t>
      </w:r>
    </w:p>
    <w:p>
      <w:pPr>
        <w:pStyle w:val="Normal"/>
        <w:ind w:firstLine="708"/>
        <w:jc w:val="center"/>
        <w:rPr>
          <w:b/>
          <w:highlight w:val="none"/>
          <w:shd w:fill="auto" w:val="clear"/>
        </w:rPr>
      </w:pPr>
      <w:r>
        <w:rPr>
          <w:b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2 - 4 пункта 1, пункте 1.1 статьи 39.12 Земельного кодекса Российской Федерации (копии </w:t>
      </w:r>
      <w:r>
        <w:rPr>
          <w:b w:val="false"/>
          <w:shd w:fill="auto" w:val="clear"/>
        </w:rPr>
        <w:t xml:space="preserve">документов, удостоверяющих личность заявителя (для граждан); </w:t>
      </w:r>
      <w:r>
        <w:rPr>
          <w:b w:val="false"/>
        </w:rPr>
        <w:t xml:space="preserve"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>
      <w:pPr>
        <w:pStyle w:val="Normal"/>
        <w:ind w:firstLine="567" w:left="-567"/>
        <w:jc w:val="both"/>
        <w:rPr>
          <w:highlight w:val="none"/>
        </w:rPr>
      </w:pPr>
      <w:r>
        <w:rPr>
          <w:sz w:val="24"/>
          <w:szCs w:val="24"/>
        </w:rPr>
        <w:t>На каждый лот представляется отдельный пакет документов.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Заполнение заявки осуществляется в соответствии с порядком, определенным регламентом электронной площадки АО «Сбербанк-АСТ».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 и сведения, связанные с получением регистрации на универсальной торговой платформе и проведением закупок/продаж, направляются заявителями, пользователями, оператором электронной площадки либо размещаются ими на универсальной торговой платформе в форме электронных документов (п. 10.1.1.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Пользователи принимают, что в случае наличия требований к формату и содержанию электронного документа, в системе используются электронные документы установленного формата (п. 10.2.3.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Заявка подается в виде электронного документа, подписанного электронной подписью заявителя (п. 3.2.2.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Заявитель заполняет электронную форму заявки, при</w:t>
      </w:r>
      <w:r>
        <w:rPr>
          <w:shd w:fill="auto" w:val="clear"/>
        </w:rPr>
        <w:t xml:space="preserve">кладывает предусмотренные извещением </w:t>
        <w:br/>
        <w:t xml:space="preserve">о проведении аукциона файлы документов (при необходимости). Документы и сведения </w:t>
        <w:br/>
        <w:t xml:space="preserve">из регистрационных данных заявителя на универсальной торговой платформе, актуальные на дату </w:t>
        <w:br/>
        <w:t>и время окончания приема заявок, направляются оператором электронной площадки вместе с заявкой организатору аукциона после окончания приема заявок (п. 3.2.3.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Подача заявки осуществляется заявителем, зарегистрированным в торговой секции,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из личного кабинета посредством штатного интерфейса отдельно по каждому лоту в сроки, установленные в извещении 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Заявитель вправе подать заявку в любое время с момента размещения извещения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 до предусмотренных указанным извещением даты и времени окончания срока подачи заявок.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Один заявитель вправе подать только одну заявку на участие в аукционе в отношении каждого лота.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Участие в аукционе возможно при наличии на лицевом счете заявителя денежных средств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 xml:space="preserve">в размере не менее чем размер задатка на участие в аукционе, предусмотренный извещением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документы, входящие в состав заявки, должны иметь четко читаемый текст.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предоставляется организатору аукциона через Оператора.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Заявка не может быть принята Оператором в случае: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а) отсутствия на лицевом счете заявителя достаточной суммы денежных средств 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в размере задатка;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б) подачи заявителем второй заявки на участие в отношении одного и того же лота при условии, что поданная ранее заявка таким заявителем не отозвана;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в) подачи заявки по истечении установленного срока подачи заявок;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г) некорректного заполнения формы заявки, в том числе незаполнения полей, являющихся обязательными для заполнения.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Заявителям, признанным участниками аукциона, и заявителям, не допущенным к участию </w:t>
        <w:br/>
        <w:t xml:space="preserve">в аукционе, оператор электронной площадки направляет в электронной форме уведомления </w:t>
        <w:br/>
        <w:t xml:space="preserve">о принятых в отношении их решениях не позднее дня, следующего после дня подписания протокола рассмотрения заявок на участие в аукционе. 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spacing w:lineRule="auto" w:line="276"/>
        <w:ind w:firstLine="567" w:left="-567"/>
        <w:jc w:val="both"/>
        <w:outlineLvl w:val="0"/>
        <w:rPr>
          <w:bCs/>
          <w:highlight w:val="none"/>
          <w:shd w:fill="auto" w:val="clear"/>
        </w:rPr>
      </w:pPr>
      <w:r>
        <w:rPr>
          <w:bCs/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  <w:lang w:bidi="ru-RU"/>
        </w:rPr>
        <w:t>Порядок и срок изменения, отзыва заявки на участие в аукционе</w:t>
      </w:r>
    </w:p>
    <w:p>
      <w:pPr>
        <w:pStyle w:val="Normal"/>
        <w:widowControl w:val="false"/>
        <w:ind w:left="502"/>
        <w:rPr>
          <w:b/>
          <w:bCs/>
          <w:highlight w:val="none"/>
          <w:shd w:fill="auto" w:val="clear"/>
          <w:lang w:bidi="ru-RU"/>
        </w:rPr>
      </w:pPr>
      <w:r>
        <w:rPr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Заявитель имеет право отозвать принятую организатором аукциона заявку на участие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 xml:space="preserve">в аукционе до дня окончания срока приема заявок, путем направления уведомления об отзыве заявки на электронную площадку. В случае отзыва заявки в установленном порядке, уведомление об отзыве заявки поступает в «личный кабинет» организатора аукциона, о чем заявителю направляется соответствующее уведомление. Заявителю внесенный им задаток возвращается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 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</w:rPr>
        <w:t>Определение участников аукциона</w:t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По результатам рассмотрения заявок комиссия принимает решение о допуске заявителей 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к участию в аукционе или об отказе в допуске к участию в аукционе.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не допускается к участию в аукционе в следующих случаях: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z w:val="20"/>
          <w:shd w:fill="auto" w:val="clear"/>
        </w:rPr>
        <w:t xml:space="preserve">1) </w:t>
      </w:r>
      <w:r>
        <w:rPr>
          <w:shd w:fill="auto" w:val="clear"/>
        </w:rPr>
        <w:t>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  <w:t>2) непоступление задатка на дату рассмотрения заявок на участие в аукционе;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</w:t>
        <w:br/>
        <w:t>в аренду;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В день признания заявителей участниками аукциона, указанный в извещении </w:t>
        <w:br/>
        <w:t>о проведении аукциона, оператор через «личный кабинет» организатора торгов обеспечивает доступ организатора торгов к поданным  заявителями заявкам и документам, а также к журналу приема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приобретает статус участника аукциона с момента подписания протокола рассмотрения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Не позднее следующего рабочего дня после дня подписания протокола рассмотрения заявок, всем заявителям оператором электронной площадки направляется в личные кабинеты уведомления </w:t>
        <w:br/>
        <w:t xml:space="preserve">о признании их участниками аукциона или об отказе в признании участниками аукциона с указанием оснований отказа. </w:t>
      </w:r>
    </w:p>
    <w:p>
      <w:pPr>
        <w:pStyle w:val="BodyText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</w:t>
        <w:br/>
        <w:t xml:space="preserve">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При признании аукциона несостоявшимся в протокол рассмотрения заявок на участие в аукционе, включается информация </w:t>
        <w:br/>
        <w:t>об основании признания аукциона несостоявшимся и сведения, указанные в подпункте 4 пункта 15 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, в отношении лиц, указанных в пунктах 13 и 14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>
          <w:rFonts w:ascii="Times New Roman" w:hAnsi="Times New Roman" w:eastAsia="Droid Sans Fallback" w:cs="Lohit Devanagari"/>
          <w:color w:val="auto"/>
          <w:sz w:val="24"/>
          <w:szCs w:val="24"/>
          <w:highlight w:val="none"/>
          <w:shd w:fill="auto" w:val="clear"/>
          <w:lang w:val="ru-RU" w:eastAsia="zh-CN" w:bidi="ar-SA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>Порядок проведения аукциона</w:t>
      </w:r>
    </w:p>
    <w:p>
      <w:pPr>
        <w:pStyle w:val="Normal"/>
        <w:widowControl w:val="false"/>
        <w:ind w:left="502"/>
        <w:jc w:val="center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Торговая сессия проводится путем последовательного повышения участниками аукциона начальной цены аукциона на величину, равную величине «шага аукциона».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«Шаг аукциона» устанавливается Организатором аукциона в фиксированной сумме, составляющей 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5% от начальной цены предмета аукциона</w:t>
      </w:r>
      <w:r>
        <w:rPr>
          <w:rFonts w:eastAsia="Calibri"/>
          <w:shd w:fill="auto" w:val="clear"/>
        </w:rPr>
        <w:t>, и не изменяется в течение всего времени подачи предложений о цене.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1) предложение о цене предмета аукциона увеличивает текущее максимальное предложение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цене предмета аукциона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Время для подачи предложений о цене аукциона определяется в следующем порядке: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Время ожидания предложения участника аукциона о цене предмета аукциона составляет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 xml:space="preserve">10 (десять) минут. При поступлении предложения участника аукциона </w:t>
        <w:br/>
        <w:t>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аукцион завершается.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Срок для подачи предложений о цене обновляется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 же как время, оставшееся до окончания торгов в минутах.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в момент его поступления и соответствующее уведомление участника аукциона, в случаях, если: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предложение о цене аукциона предоставлено до начала или по истечении установленного времени для подачи предложений о цене аукциона;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ниже начальной цены;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равно нулю;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не соответствует увеличению текущей цены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предыдущее представленное данным участником аукциона предложение о цене аукциона является лучшим текущим предложением о цене;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участником аукциона предложение о цене аукциона меньше ранее представленных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Победителем аукциона признается участник аукциона, предложивший наибольшую цену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за земельный участок или наибольший размер ежегодной арендной платы за земельный участок.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аукциона.</w:t>
      </w:r>
    </w:p>
    <w:p>
      <w:pPr>
        <w:pStyle w:val="Normal"/>
        <w:ind w:firstLine="567" w:left="-567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Порядок и срок заключения договора</w:t>
      </w:r>
      <w:r>
        <w:rPr>
          <w:b/>
          <w:bCs/>
          <w:shd w:fill="auto" w:val="clear"/>
        </w:rPr>
        <w:br w:type="textWrapping" w:clear="all"/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По результатам проведения аукциона не допускается заключение договора аренды земельного участка ранее чем через десять дней со дня размещения протокола рассмотрения заявок на участие </w:t>
        <w:br/>
        <w:t>в аукционе в случае, ес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ли аукцион признан несостоявшимся, либо протокола о результатах аукциона на официальных сайтах www.torgi.gov.ru,  www.gorodperm.ru.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Департамент земельных отношений администрации города Перми обязан в течение пяти дней со дня истечения срока, предусмотренного пунктом 11 статьи 39.13 Земельного кодекса Российской Федерации, направить победителю аукциона или иным лицам, с которыми в соответствии</w:t>
        <w:br/>
        <w:t>с пунктами 13, 14, 20 и 25 статьи 39.12 Земельного кодекса Российской Федерации заключается  договор аренды земельного участка, подписанный проект договора  аренды земельного участка.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По результатам проведения аукциона договор аренды земельного участка заключается</w:t>
        <w:br/>
        <w:t>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>Проекты договоров являются частью извещения и представлены в Приложениях 1, 3, 5, 7</w:t>
        <w:br/>
        <w:t>к настоящему извещению.</w:t>
        <w:tab/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Если договор аренды земельного участка </w:t>
      </w:r>
      <w:r>
        <w:rPr>
          <w:b w:val="false"/>
          <w:bCs/>
          <w:shd w:fill="auto" w:val="clear"/>
        </w:rPr>
        <w:t>в течение десяти рабочих дней со дня направления победителю аукциона проекта указанного договора не был им подписан и представлен в департамент земельных отношений администрации города Перми, департамент земельных отношений администрации города Перми направляет указанный договор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67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>Сведения о победителях аукционов, уклонившихся от заключения договора  аренды земельного участка, являющегося предметом аукциона, и об иных лицах, с которыми указанный договор заключается в соответствии с пунктом 13, 14, 20 или 25 ст. 39.12 Земельного кодекса Российской Федерации и которые уклонились от заключения, включаются в реестр недобросовестных участников аукциона.</w:t>
      </w:r>
    </w:p>
    <w:sectPr>
      <w:headerReference w:type="default" r:id="rId26"/>
      <w:headerReference w:type="first" r:id="rId27"/>
      <w:type w:val="nextPage"/>
      <w:pgSz w:w="11906" w:h="16838"/>
      <w:pgMar w:left="1418" w:right="567" w:gutter="0" w:header="363" w:top="420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Open Sans">
    <w:charset w:val="01"/>
    <w:family w:val="roman"/>
    <w:pitch w:val="variable"/>
  </w:font>
  <w:font w:name="Consultant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0"/>
        <w:szCs w:val="28"/>
      </w:rPr>
    </w:pPr>
    <w:r>
      <w:rPr>
        <w:sz w:val="20"/>
        <w:szCs w:val="28"/>
      </w:rPr>
      <w:fldChar w:fldCharType="begin"/>
    </w:r>
    <w:r>
      <w:rPr>
        <w:sz w:val="20"/>
        <w:szCs w:val="28"/>
      </w:rPr>
      <w:instrText xml:space="preserve"> PAGE </w:instrText>
    </w:r>
    <w:r>
      <w:rPr>
        <w:sz w:val="20"/>
        <w:szCs w:val="28"/>
      </w:rPr>
      <w:fldChar w:fldCharType="separate"/>
    </w:r>
    <w:r>
      <w:rPr>
        <w:sz w:val="20"/>
        <w:szCs w:val="28"/>
      </w:rPr>
      <w:t>44</w:t>
    </w:r>
    <w:r>
      <w:rPr>
        <w:sz w:val="20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u w:val="none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4"/>
        <w:u w:val="none"/>
        <w:szCs w:val="24"/>
        <w:color w:val="000000"/>
        <w:lang w:val="ru-RU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lang w:bidi="ru-RU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lang w:eastAsia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bCs/>
        <w:lang w:eastAsia="en-US" w:bidi="ru-RU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b/>
        <w:bCs/>
        <w:lang w:bidi="ru-RU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" w:customStyle="1">
    <w:name w:val="Заголовок Знак1"/>
    <w:uiPriority w:val="10"/>
    <w:qFormat/>
    <w:rPr>
      <w:sz w:val="48"/>
      <w:szCs w:val="48"/>
    </w:rPr>
  </w:style>
  <w:style w:type="character" w:styleId="Style5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6" w:customStyle="1">
    <w:name w:val="Выделенная цитата Знак"/>
    <w:uiPriority w:val="30"/>
    <w:qFormat/>
    <w:rPr>
      <w:i/>
    </w:rPr>
  </w:style>
  <w:style w:type="character" w:styleId="12" w:customStyle="1">
    <w:name w:val="Верхний колонтитул Знак1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13" w:customStyle="1">
    <w:name w:val="Нижний колонтитул Знак1"/>
    <w:uiPriority w:val="99"/>
    <w:qFormat/>
    <w:rPr/>
  </w:style>
  <w:style w:type="character" w:styleId="Style7" w:customStyle="1">
    <w:name w:val="Текст сноски Знак"/>
    <w:uiPriority w:val="99"/>
    <w:qFormat/>
    <w:rPr>
      <w:sz w:val="18"/>
    </w:rPr>
  </w:style>
  <w:style w:type="character" w:styleId="Style8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концевой сноски Знак"/>
    <w:uiPriority w:val="99"/>
    <w:qFormat/>
    <w:rPr>
      <w:sz w:val="20"/>
    </w:rPr>
  </w:style>
  <w:style w:type="character" w:styleId="Style1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sz w:val="16"/>
      <w:szCs w:val="16"/>
    </w:rPr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/>
  </w:style>
  <w:style w:type="character" w:styleId="WW8Num15z0" w:customStyle="1">
    <w:name w:val="WW8Num15z0"/>
    <w:qFormat/>
    <w:rPr/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/>
  </w:style>
  <w:style w:type="character" w:styleId="WW8Num21z0" w:customStyle="1">
    <w:name w:val="WW8Num21z0"/>
    <w:qFormat/>
    <w:rPr/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/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/>
  </w:style>
  <w:style w:type="character" w:styleId="WW8Num29z0" w:customStyle="1">
    <w:name w:val="WW8Num29z0"/>
    <w:qFormat/>
    <w:rPr>
      <w:rFonts w:ascii="Symbol" w:hAnsi="Symbol" w:cs="Symbol"/>
    </w:rPr>
  </w:style>
  <w:style w:type="character" w:styleId="WW8Num30z0" w:customStyle="1">
    <w:name w:val="WW8Num30z0"/>
    <w:qFormat/>
    <w:rPr/>
  </w:style>
  <w:style w:type="character" w:styleId="WW8Num31z0" w:customStyle="1">
    <w:name w:val="WW8Num31z0"/>
    <w:qFormat/>
    <w:rPr/>
  </w:style>
  <w:style w:type="character" w:styleId="WW8Num32z0" w:customStyle="1">
    <w:name w:val="WW8Num32z0"/>
    <w:qFormat/>
    <w:rPr/>
  </w:style>
  <w:style w:type="character" w:styleId="WW8Num33z0" w:customStyle="1">
    <w:name w:val="WW8Num33z0"/>
    <w:qFormat/>
    <w:rPr/>
  </w:style>
  <w:style w:type="character" w:styleId="WW8Num34z0" w:customStyle="1">
    <w:name w:val="WW8Num34z0"/>
    <w:qFormat/>
    <w:rPr/>
  </w:style>
  <w:style w:type="character" w:styleId="Pagenumber">
    <w:name w:val="page number"/>
    <w:basedOn w:val="DefaultParagraphFont"/>
    <w:qFormat/>
    <w:rPr/>
  </w:style>
  <w:style w:type="character" w:styleId="Style11" w:customStyle="1">
    <w:name w:val="Текст Знак"/>
    <w:qFormat/>
    <w:rPr>
      <w:rFonts w:ascii="Courier New" w:hAnsi="Courier New" w:cs="Courier New"/>
    </w:rPr>
  </w:style>
  <w:style w:type="character" w:styleId="Style12" w:customStyle="1">
    <w:name w:val="Верхний колонтитул Знак"/>
    <w:qFormat/>
    <w:rPr>
      <w:sz w:val="16"/>
      <w:lang w:val="ru-RU" w:bidi="ar-SA"/>
    </w:rPr>
  </w:style>
  <w:style w:type="character" w:styleId="31" w:customStyle="1">
    <w:name w:val="Основной текст с отступом 3 Знак"/>
    <w:qFormat/>
    <w:rPr>
      <w:sz w:val="16"/>
      <w:szCs w:val="16"/>
    </w:rPr>
  </w:style>
  <w:style w:type="character" w:styleId="Hyperlink">
    <w:name w:val="Hyperlink"/>
    <w:rPr>
      <w:color w:val="0563C1"/>
      <w:u w:val="single"/>
    </w:rPr>
  </w:style>
  <w:style w:type="character" w:styleId="Style13" w:customStyle="1">
    <w:name w:val="Абзац списка Знак"/>
    <w:qFormat/>
    <w:rPr>
      <w:sz w:val="24"/>
      <w:szCs w:val="24"/>
    </w:rPr>
  </w:style>
  <w:style w:type="character" w:styleId="6" w:customStyle="1">
    <w:name w:val="Заголовок 6 Знак"/>
    <w:qFormat/>
    <w:rPr>
      <w:b/>
      <w:bCs/>
      <w:sz w:val="22"/>
      <w:szCs w:val="22"/>
    </w:rPr>
  </w:style>
  <w:style w:type="character" w:styleId="Style14" w:customStyle="1">
    <w:name w:val="Название Знак"/>
    <w:qFormat/>
    <w:rPr>
      <w:sz w:val="28"/>
      <w:lang w:val="ru-RU" w:bidi="ar-SA"/>
    </w:rPr>
  </w:style>
  <w:style w:type="character" w:styleId="Style15" w:customStyle="1">
    <w:name w:val="Заголовок Знак"/>
    <w:qFormat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Style16" w:customStyle="1">
    <w:name w:val="Нижний колонтитул Знак"/>
    <w:qFormat/>
    <w:rPr/>
  </w:style>
  <w:style w:type="character" w:styleId="FollowedHyperlink">
    <w:name w:val="FollowedHyperlink"/>
    <w:rPr>
      <w:color w:val="954F72"/>
      <w:u w:val="single"/>
    </w:rPr>
  </w:style>
  <w:style w:type="character" w:styleId="Style17" w:customStyle="1">
    <w:name w:val="Гиперссылка"/>
    <w:qFormat/>
    <w:rPr>
      <w:color w:val="0000FF"/>
      <w:u w:val="single"/>
    </w:rPr>
  </w:style>
  <w:style w:type="character" w:styleId="Style18">
    <w:name w:val="Символ нумерации"/>
    <w:qFormat/>
    <w:rPr/>
  </w:style>
  <w:style w:type="character" w:styleId="Style19">
    <w:name w:val="Маркеры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jc w:val="right"/>
    </w:pPr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ind w:left="708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20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Indexheading1">
    <w:name w:val="index heading1"/>
    <w:basedOn w:val="Normal"/>
    <w:qFormat/>
    <w:pPr>
      <w:suppressLineNumbers/>
    </w:pPr>
    <w:rPr>
      <w:rFonts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  <w:lang w:val="en-US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Consultant" w:hAnsi="Consultant" w:eastAsia="Droid Sans Fallback" w:cs="Consultant"/>
      <w:color w:val="auto"/>
      <w:kern w:val="0"/>
      <w:sz w:val="20"/>
      <w:szCs w:val="20"/>
      <w:lang w:val="ru-RU" w:eastAsia="zh-CN" w:bidi="ar-SA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e22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0"/>
      <w:szCs w:val="20"/>
      <w:lang w:val="ru-RU" w:eastAsia="zh-CN" w:bidi="ar-SA"/>
    </w:rPr>
  </w:style>
  <w:style w:type="paragraph" w:styleId="Header">
    <w:name w:val="Header"/>
    <w:pPr>
      <w:widowControl/>
      <w:tabs>
        <w:tab w:val="clear" w:pos="708"/>
        <w:tab w:val="center" w:pos="4153" w:leader="none"/>
        <w:tab w:val="right" w:pos="8306" w:leader="none"/>
      </w:tabs>
      <w:suppressAutoHyphens w:val="true"/>
      <w:bidi w:val="0"/>
      <w:spacing w:before="0" w:after="0"/>
      <w:jc w:val="center"/>
    </w:pPr>
    <w:rPr>
      <w:rFonts w:ascii="Times New Roman" w:hAnsi="Times New Roman" w:eastAsia="Droid Sans Fallback" w:cs="Lohit Devanagari"/>
      <w:color w:val="auto"/>
      <w:kern w:val="0"/>
      <w:sz w:val="16"/>
      <w:szCs w:val="20"/>
      <w:lang w:val="ru-RU" w:eastAsia="zh-CN" w:bidi="ar-SA"/>
    </w:rPr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  <w:lang w:val="en-US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000000"/>
      <w:kern w:val="0"/>
      <w:sz w:val="24"/>
      <w:szCs w:val="24"/>
      <w:lang w:val="ru-RU" w:eastAsia="zh-CN" w:bidi="ar-SA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TimesNewRoman">
    <w:name w:val="Times New Roman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40" w:beforeAutospacing="0" w:before="0" w:afterAutospacing="0" w:after="0"/>
      <w:ind w:firstLine="311" w:left="0" w:right="0"/>
      <w:jc w:val="both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styleId="831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2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3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4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5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36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7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38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5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6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7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8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9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0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1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2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3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4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5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6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7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8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9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860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861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862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63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64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65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66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6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6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6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7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7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87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873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7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87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7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87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7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7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80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7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95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96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97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98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99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00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01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2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3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4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5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6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7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8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9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0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1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2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3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4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5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2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2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2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2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2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2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2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29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3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3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3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3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3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3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36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37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38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39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0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1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42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43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44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45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46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7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8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49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50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51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952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953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954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955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956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957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gorodperm.ru/" TargetMode="External"/><Relationship Id="rId4" Type="http://schemas.openxmlformats.org/officeDocument/2006/relationships/hyperlink" Target="http://utp.sberbank-ast.ru/" TargetMode="External"/><Relationship Id="rId5" Type="http://schemas.openxmlformats.org/officeDocument/2006/relationships/hyperlink" Target="http://utp.sberbank-ast.ru/" TargetMode="External"/><Relationship Id="rId6" Type="http://schemas.openxmlformats.org/officeDocument/2006/relationships/hyperlink" Target="https://utp.sberbank-ast.ru/Main/Notice/988/Reglament" TargetMode="External"/><Relationship Id="rId7" Type="http://schemas.openxmlformats.org/officeDocument/2006/relationships/hyperlink" Target="https://utp.sberbank-ast.ru/AP/Notice/1027/Instructions" TargetMode="External"/><Relationship Id="rId8" Type="http://schemas.openxmlformats.org/officeDocument/2006/relationships/hyperlink" Target="https://utp.sberbank-ast.ru/AP/Notice/652/Instructions" TargetMode="External"/><Relationship Id="rId9" Type="http://schemas.openxmlformats.org/officeDocument/2006/relationships/hyperlink" Target="http://www.gorodperm.ru/" TargetMode="External"/><Relationship Id="rId10" Type="http://schemas.openxmlformats.org/officeDocument/2006/relationships/hyperlink" Target="http://www.gorodperm.ru/" TargetMode="External"/><Relationship Id="rId11" Type="http://schemas.openxmlformats.org/officeDocument/2006/relationships/hyperlink" Target="https://" TargetMode="External"/><Relationship Id="rId12" Type="http://schemas.openxmlformats.org/officeDocument/2006/relationships/hyperlink" Target="mailto:perm-mail@ural.rt.ru" TargetMode="External"/><Relationship Id="rId13" Type="http://schemas.openxmlformats.org/officeDocument/2006/relationships/hyperlink" Target="http://www.gorodperm.ru/" TargetMode="External"/><Relationship Id="rId14" Type="http://schemas.openxmlformats.org/officeDocument/2006/relationships/hyperlink" Target="http://www.gorodperm.ru/" TargetMode="External"/><Relationship Id="rId15" Type="http://schemas.openxmlformats.org/officeDocument/2006/relationships/hyperlink" Target="https://" TargetMode="External"/><Relationship Id="rId16" Type="http://schemas.openxmlformats.org/officeDocument/2006/relationships/hyperlink" Target="http://perm-mail@ural.rt.ru" TargetMode="External"/><Relationship Id="rId17" Type="http://schemas.openxmlformats.org/officeDocument/2006/relationships/hyperlink" Target="http://www.gorodperm.ru/" TargetMode="External"/><Relationship Id="rId18" Type="http://schemas.openxmlformats.org/officeDocument/2006/relationships/hyperlink" Target="http://www.gorodperm.ru/" TargetMode="External"/><Relationship Id="rId19" Type="http://schemas.openxmlformats.org/officeDocument/2006/relationships/hyperlink" Target="https://" TargetMode="External"/><Relationship Id="rId20" Type="http://schemas.openxmlformats.org/officeDocument/2006/relationships/hyperlink" Target="mailto:perm-mail@ural.rt.ru" TargetMode="External"/><Relationship Id="rId21" Type="http://schemas.openxmlformats.org/officeDocument/2006/relationships/hyperlink" Target="http://www.gorodperm.ru/" TargetMode="External"/><Relationship Id="rId22" Type="http://schemas.openxmlformats.org/officeDocument/2006/relationships/hyperlink" Target="http://www.gorodperm.ru/" TargetMode="External"/><Relationship Id="rId23" Type="http://schemas.openxmlformats.org/officeDocument/2006/relationships/hyperlink" Target="https://" TargetMode="External"/><Relationship Id="rId24" Type="http://schemas.openxmlformats.org/officeDocument/2006/relationships/hyperlink" Target="mailto:perm-mail@ural.rt.ru" TargetMode="External"/><Relationship Id="rId25" Type="http://schemas.openxmlformats.org/officeDocument/2006/relationships/hyperlink" Target="http://utp.sberbank-ast.ru/AP/Notice/653/Requisites" TargetMode="External"/><Relationship Id="rId26" Type="http://schemas.openxmlformats.org/officeDocument/2006/relationships/header" Target="header1.xml"/><Relationship Id="rId27" Type="http://schemas.openxmlformats.org/officeDocument/2006/relationships/header" Target="header2.xml"/><Relationship Id="rId28" Type="http://schemas.openxmlformats.org/officeDocument/2006/relationships/numbering" Target="numbering.xml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Application>LibreOffice/7.6.7.2$Linux_X86_64 LibreOffice_project/60$Build-2</Application>
  <AppVersion>15.0000</AppVersion>
  <Pages>44</Pages>
  <Words>13879</Words>
  <Characters>98753</Characters>
  <CharactersWithSpaces>112336</CharactersWithSpaces>
  <Paragraphs>635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2023-10-30T09:15:00Z</dcterms:created>
  <dc:creator>Tatyannikova</dc:creator>
  <dc:description/>
  <dc:language>ru-RU</dc:language>
  <cp:lastModifiedBy/>
  <dcterms:modified xsi:type="dcterms:W3CDTF">2026-08-21T14:15:58Z</dcterms:modified>
  <cp:revision>473</cp:revision>
  <dc:subject/>
  <dc:title>Департамент имущественных отношений администрации города Перми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