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Департамент имущественных отношений администрации города Перми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Протокол рассмотрения заявок на участие в электронных аукционах </w:t>
      </w:r>
    </w:p>
    <w:p>
      <w:pPr>
        <w:pStyle w:val="Normal"/>
        <w:numPr>
          <w:ilvl w:val="0"/>
          <w:numId w:val="0"/>
        </w:numPr>
        <w:ind w:hanging="0" w:left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на право</w:t>
      </w:r>
      <w:r>
        <w:rPr>
          <w:rFonts w:eastAsia="Droid Sans Fallback" w:cs="Lohit Devanagari"/>
          <w:b/>
          <w:color w:val="auto"/>
          <w:sz w:val="28"/>
          <w:szCs w:val="28"/>
          <w:lang w:val="ru-RU" w:eastAsia="ru-RU" w:bidi="ar-SA"/>
        </w:rPr>
        <w:t xml:space="preserve"> заключения договоров аренды  зем</w:t>
      </w:r>
      <w:r>
        <w:rPr>
          <w:b/>
          <w:sz w:val="28"/>
          <w:szCs w:val="28"/>
        </w:rPr>
        <w:t>ельных участков</w:t>
      </w:r>
    </w:p>
    <w:p>
      <w:pPr>
        <w:pStyle w:val="Normal"/>
        <w:numPr>
          <w:ilvl w:val="0"/>
          <w:numId w:val="0"/>
        </w:numPr>
        <w:ind w:hanging="0" w:left="0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г. Пермь, ул. Сибирская, д.14, каб. 2                      </w:t>
        <w:tab/>
        <w:t xml:space="preserve">                               26.08.2026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2805" w:leader="none"/>
        </w:tabs>
        <w:spacing w:lineRule="auto" w:line="276"/>
        <w:ind w:firstLine="720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Комиссия по проведению аукционов по продаже земельных участков, находящихся в муниципальной собственности города Перми, и участков, собственность на которые не разграничена, объектов незавершенного строительства, расположенных на земельных участках, находящихся                              в муниципальной собственности города Перми, и участках, собственность                  на которые не разграничена, или на право заключения договоров аренды земельных участков, находящихся в муниципальной собственности города Перми, и участков, собственность на которые не разграничена, утвержденная постановлением администрации города Перми от 20.11.2008 № 1089, в  составе: </w:t>
      </w:r>
    </w:p>
    <w:p>
      <w:pPr>
        <w:pStyle w:val="Normal"/>
        <w:spacing w:lineRule="auto" w:line="276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             </w:t>
      </w:r>
    </w:p>
    <w:p>
      <w:pPr>
        <w:pStyle w:val="Normal"/>
        <w:widowControl/>
        <w:spacing w:lineRule="auto" w:line="276" w:before="0" w:after="120"/>
        <w:ind w:hanging="3000" w:left="3000" w:right="0"/>
        <w:jc w:val="both"/>
        <w:rPr>
          <w:highlight w:val="white"/>
        </w:rPr>
      </w:pPr>
      <w:r>
        <w:rPr>
          <w:sz w:val="28"/>
          <w:szCs w:val="28"/>
          <w:highlight w:val="white"/>
          <w:lang w:eastAsia="en-US"/>
        </w:rPr>
        <w:t xml:space="preserve">Председатель комиссии: Хаткевич А.А., начальник департамента имущественных отношений администрации города Перми;   </w:t>
      </w:r>
    </w:p>
    <w:p>
      <w:pPr>
        <w:pStyle w:val="Normal"/>
        <w:widowControl/>
        <w:spacing w:lineRule="auto" w:line="276" w:before="0" w:after="120"/>
        <w:ind w:hanging="4680" w:left="4680" w:right="0"/>
        <w:jc w:val="both"/>
        <w:rPr>
          <w:highlight w:val="white"/>
        </w:rPr>
      </w:pPr>
      <w:r>
        <w:rPr>
          <w:sz w:val="28"/>
          <w:szCs w:val="28"/>
          <w:highlight w:val="white"/>
          <w:lang w:eastAsia="en-US"/>
        </w:rPr>
        <w:t xml:space="preserve">Заместитель председателя комиссии: </w:t>
      </w:r>
      <w:r>
        <w:rPr>
          <w:rFonts w:eastAsia="Droid Sans Fallback" w:cs="Lohit Devanagari"/>
          <w:color w:val="auto"/>
          <w:sz w:val="28"/>
          <w:szCs w:val="28"/>
          <w:highlight w:val="white"/>
          <w:lang w:val="ru-RU" w:eastAsia="en-US" w:bidi="ar-SA"/>
        </w:rPr>
        <w:t>Шафранова Е.П.,</w:t>
      </w:r>
      <w:r>
        <w:rPr>
          <w:sz w:val="28"/>
          <w:szCs w:val="28"/>
          <w:highlight w:val="white"/>
          <w:lang w:eastAsia="en-US"/>
        </w:rPr>
        <w:t xml:space="preserve"> заместитель начальника департамента земельных отношений администрации города Перми;  </w:t>
      </w:r>
    </w:p>
    <w:p>
      <w:pPr>
        <w:pStyle w:val="Normal"/>
        <w:widowControl/>
        <w:spacing w:lineRule="auto" w:line="276" w:before="0" w:after="120"/>
        <w:ind w:hanging="2880" w:left="2880" w:right="0"/>
        <w:jc w:val="both"/>
        <w:rPr/>
      </w:pPr>
      <w:r>
        <w:rPr>
          <w:rFonts w:eastAsia="Droid Sans Fallback" w:cs="Lohit Devanagari"/>
          <w:color w:val="auto"/>
          <w:sz w:val="28"/>
          <w:szCs w:val="28"/>
          <w:highlight w:val="white"/>
          <w:lang w:val="ru-RU" w:eastAsia="en-US" w:bidi="ar-SA"/>
        </w:rPr>
        <w:t>Секретарь комиссии: Павлова О.И., консультант отдела по распоряжению муниципальным имуществом управления                             по распоряжению муниципальным имуществом департамента имущественных отношений администрации города Перми;</w:t>
      </w:r>
      <w:r>
        <w:rPr>
          <w:sz w:val="28"/>
          <w:szCs w:val="28"/>
          <w:highlight w:val="white"/>
          <w:lang w:eastAsia="en-US"/>
        </w:rPr>
        <w:t xml:space="preserve"> </w:t>
      </w:r>
    </w:p>
    <w:p>
      <w:pPr>
        <w:pStyle w:val="Normal"/>
        <w:widowControl/>
        <w:tabs>
          <w:tab w:val="clear" w:pos="708"/>
          <w:tab w:val="left" w:pos="2100" w:leader="none"/>
        </w:tabs>
        <w:spacing w:lineRule="auto" w:line="276" w:before="0" w:after="0"/>
        <w:ind w:hanging="2268" w:left="2268" w:right="0"/>
        <w:jc w:val="both"/>
        <w:rPr/>
      </w:pPr>
      <w:r>
        <w:rPr>
          <w:rFonts w:eastAsia="Droid Sans Fallback" w:cs="Lohit Devanagari"/>
          <w:color w:val="000000"/>
          <w:sz w:val="28"/>
          <w:szCs w:val="28"/>
          <w:shd w:fill="auto" w:val="clear"/>
          <w:lang w:val="ru-RU" w:eastAsia="ru-RU" w:bidi="ar-SA"/>
        </w:rPr>
        <w:t>Члены комиссии:  Союстова А.А., заместитель начальника отдела сопровождения договоров департамента земельных отношений администрации города Перми;</w:t>
      </w:r>
    </w:p>
    <w:p>
      <w:pPr>
        <w:pStyle w:val="Normal"/>
        <w:widowControl/>
        <w:tabs>
          <w:tab w:val="clear" w:pos="708"/>
          <w:tab w:val="left" w:pos="2100" w:leader="none"/>
        </w:tabs>
        <w:spacing w:lineRule="auto" w:line="276" w:before="0" w:after="0"/>
        <w:ind w:hanging="0" w:left="2268" w:right="0"/>
        <w:jc w:val="both"/>
        <w:rPr/>
      </w:pPr>
      <w:r>
        <w:rPr>
          <w:rFonts w:eastAsia="Droid Sans Fallback" w:cs="Lohit Devanagari"/>
          <w:color w:val="000000"/>
          <w:sz w:val="28"/>
          <w:szCs w:val="28"/>
          <w:highlight w:val="white"/>
          <w:shd w:fill="auto" w:val="clear"/>
          <w:lang w:val="ru-RU" w:eastAsia="ru-RU" w:bidi="ar-SA"/>
        </w:rPr>
        <w:t>Четина Ю.И., заместитель начальника отдела по распоряжению муниципальным имуществом управления по распоряжению муниципальным имуществом департамента имущественных отношений администрации города Перми;</w:t>
      </w:r>
    </w:p>
    <w:p>
      <w:pPr>
        <w:pStyle w:val="Normal"/>
        <w:widowControl/>
        <w:spacing w:lineRule="auto" w:line="276" w:before="0" w:after="0"/>
        <w:ind w:hanging="0" w:left="2160" w:right="0"/>
        <w:jc w:val="both"/>
        <w:rPr>
          <w:rFonts w:ascii="Times New Roman" w:hAnsi="Times New Roman" w:eastAsia="Droid Sans Fallback" w:cs="Lohit Devanagari"/>
          <w:sz w:val="28"/>
          <w:szCs w:val="28"/>
          <w:lang w:val="ru-RU" w:eastAsia="en-US" w:bidi="ar-SA"/>
        </w:rPr>
      </w:pPr>
      <w:r>
        <w:rPr>
          <w:rFonts w:eastAsia="Droid Sans Fallback" w:cs="Lohit Devanagari"/>
          <w:sz w:val="28"/>
          <w:szCs w:val="28"/>
          <w:lang w:val="ru-RU" w:eastAsia="en-US" w:bidi="ar-SA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val="000000"/>
        </w:rPr>
      </w:pPr>
      <w:r>
        <w:rPr>
          <w:sz w:val="28"/>
          <w:szCs w:val="28"/>
        </w:rPr>
        <w:t xml:space="preserve">рассмотрев заявки на 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участие в электронных аукционах, назначенных                           на 27.08.2026 (процедура </w:t>
      </w:r>
      <w:r>
        <w:rPr>
          <w:rFonts w:eastAsia="Droid Sans Fallback" w:cs="Lohit Devanagari"/>
          <w:color w:val="auto"/>
          <w:kern w:val="0"/>
          <w:sz w:val="28"/>
          <w:szCs w:val="28"/>
          <w:lang w:val="ru-RU" w:eastAsia="ru-RU" w:bidi="ar-SA"/>
        </w:rPr>
        <w:t>№ SBR012-2607270083), решила:</w:t>
      </w:r>
    </w:p>
    <w:p>
      <w:pPr>
        <w:pStyle w:val="Normal"/>
        <w:spacing w:lineRule="auto" w:line="276" w:before="0" w:after="0"/>
        <w:ind w:hanging="0" w:left="0" w:right="0"/>
        <w:jc w:val="both"/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pP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val="000000"/>
        </w:rPr>
      </w:pPr>
      <w:r>
        <w:rPr>
          <w:b/>
          <w:sz w:val="28"/>
          <w:szCs w:val="28"/>
        </w:rPr>
        <w:t xml:space="preserve">Лот № 1 </w:t>
      </w:r>
      <w:r>
        <w:rPr>
          <w:rFonts w:eastAsia="Droid Sans Fallback" w:cs="Lohit Devanagari"/>
          <w:b w:val="false"/>
          <w:bCs w:val="false"/>
          <w:color w:val="auto"/>
          <w:sz w:val="28"/>
          <w:szCs w:val="28"/>
          <w:lang w:val="ru-RU" w:eastAsia="ru-RU" w:bidi="ar-SA"/>
        </w:rPr>
        <w:t>– п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z w:val="28"/>
          <w:szCs w:val="28"/>
        </w:rPr>
        <w:t>рав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z w:val="28"/>
          <w:szCs w:val="28"/>
          <w:lang w:val="ru-RU" w:eastAsia="ru-RU" w:bidi="ar-SA"/>
        </w:rPr>
        <w:t>о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kern w:val="0"/>
          <w:sz w:val="28"/>
          <w:szCs w:val="28"/>
          <w:lang w:val="ru-RU" w:eastAsia="ru-RU" w:bidi="ar-SA"/>
        </w:rPr>
        <w:t xml:space="preserve"> заключения договора аренды земельного участка, находящегося в муниципальной собственности, с кадастровым номером 59:01:3610019:163 площадью 490 кв. м, расположенного по адресу: Российская Федерация, Пермский край, городской округ Пермский, город Пермь, улица Ленина (Голованово), земельный участок 5в, для индивидуального жилищного строительства. Разрешенное использование земельного участка – для индивидуального жилищного строительства.</w:t>
      </w:r>
    </w:p>
    <w:p>
      <w:pPr>
        <w:pStyle w:val="Normal"/>
        <w:spacing w:lineRule="auto" w:line="276" w:before="0" w:after="0"/>
        <w:ind w:firstLine="708"/>
        <w:jc w:val="both"/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kern w:val="0"/>
          <w:sz w:val="28"/>
          <w:szCs w:val="28"/>
          <w:lang w:val="ru-RU" w:eastAsia="ru-RU" w:bidi="ar-SA"/>
        </w:rPr>
        <w:t>По указанному лоту заявки не посту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>пали.</w:t>
      </w:r>
    </w:p>
    <w:p>
      <w:pPr>
        <w:pStyle w:val="Normal"/>
        <w:spacing w:lineRule="auto" w:line="276"/>
        <w:ind w:firstLine="708"/>
        <w:jc w:val="both"/>
        <w:rPr>
          <w:rFonts w:ascii="Times New Roman" w:hAnsi="Times New Roman" w:eastAsia="Droid Sans Fallback" w:cs="Lohit Devanagari"/>
          <w:color w:val="auto"/>
          <w:sz w:val="28"/>
          <w:szCs w:val="28"/>
          <w:highlight w:val="none"/>
          <w:lang w:val="ru-RU" w:eastAsia="ru-RU" w:bidi="ar-SA"/>
        </w:rPr>
      </w:pPr>
      <w:r>
        <w:rPr>
          <w:rFonts w:eastAsia="Droid Sans Fallback" w:cs="Lohit Devanagari"/>
          <w:b w:val="false"/>
          <w:bCs w:val="false"/>
          <w:i w:val="false"/>
          <w:iCs w:val="false"/>
          <w:caps w:val="false"/>
          <w:smallCaps w:val="false"/>
          <w:color w:val="auto"/>
          <w:sz w:val="28"/>
          <w:szCs w:val="28"/>
          <w:highlight w:val="white"/>
          <w:lang w:val="ru-RU" w:eastAsia="ru-RU" w:bidi="ar-SA"/>
        </w:rPr>
        <w:t>На основании пункта 12 статьи 39.12 Земельного кодекса Российской Федерации электронный аукцион признан несостовшимся.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color w:themeColor="text1" w:val="000000"/>
        </w:rPr>
      </w:pP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color w:themeColor="text1" w:val="000000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val="000000"/>
        </w:rPr>
      </w:pPr>
      <w:r>
        <w:rPr>
          <w:rFonts w:eastAsia="Droid Sans Fallback" w:cs="Lohit Devanagari"/>
          <w:b/>
          <w:color w:val="auto"/>
          <w:sz w:val="28"/>
          <w:szCs w:val="28"/>
          <w:lang w:val="ru-RU" w:eastAsia="ru-RU" w:bidi="ar-SA"/>
        </w:rPr>
        <w:t>Лот № 2</w:t>
      </w:r>
      <w:r>
        <w:rPr>
          <w:rFonts w:eastAsia="Droid Sans Fallback" w:cs="Lohit Devanagari"/>
          <w:b/>
          <w:color w:val="auto"/>
          <w:lang w:val="ru-RU" w:eastAsia="ru-RU" w:bidi="ar-SA"/>
        </w:rPr>
        <w:t xml:space="preserve"> </w:t>
      </w:r>
      <w:r>
        <w:rPr>
          <w:rFonts w:eastAsia="Droid Sans Fallback" w:cs="Lohit Devanagari"/>
          <w:b w:val="false"/>
          <w:bCs w:val="false"/>
          <w:color w:val="auto"/>
          <w:sz w:val="28"/>
          <w:szCs w:val="28"/>
          <w:lang w:val="ru-RU" w:eastAsia="ru-RU" w:bidi="ar-SA"/>
        </w:rPr>
        <w:t>– п</w:t>
      </w: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kern w:val="0"/>
          <w:sz w:val="28"/>
          <w:szCs w:val="28"/>
          <w:lang w:val="ru-RU" w:eastAsia="ru-RU" w:bidi="ar-SA"/>
        </w:rPr>
        <w:t>раво заключения договора аренды земельного участка, находящегося в муниципальной собственности, с кадастровым номером 59:01:3610007:213 площадью 561 кв. м, расположенного по адресу: Российская Федерация, Пермский край, городской округ Пермский, город Пермь, улица Северная, з/у 15б, для индивидуального жилищного строительства. Разрешенное использование земельного участка – для индивидуального жилищного строительства.</w:t>
      </w:r>
    </w:p>
    <w:p>
      <w:pPr>
        <w:pStyle w:val="Normal"/>
        <w:spacing w:lineRule="auto" w:line="276" w:before="0" w:after="0"/>
        <w:ind w:firstLine="708"/>
        <w:jc w:val="both"/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kern w:val="0"/>
          <w:sz w:val="28"/>
          <w:szCs w:val="28"/>
          <w:lang w:val="ru-RU" w:eastAsia="ru-RU" w:bidi="ar-SA"/>
        </w:rPr>
        <w:t>По указанному лоту заявки не посту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>пали.</w:t>
      </w:r>
    </w:p>
    <w:p>
      <w:pPr>
        <w:pStyle w:val="Normal"/>
        <w:spacing w:lineRule="auto" w:line="276"/>
        <w:ind w:firstLine="708"/>
        <w:jc w:val="both"/>
        <w:rPr>
          <w:rFonts w:ascii="Times New Roman" w:hAnsi="Times New Roman" w:eastAsia="Droid Sans Fallback" w:cs="Lohit Devanagari"/>
          <w:color w:val="auto"/>
          <w:sz w:val="28"/>
          <w:szCs w:val="28"/>
          <w:highlight w:val="none"/>
          <w:lang w:val="ru-RU" w:eastAsia="ru-RU" w:bidi="ar-SA"/>
        </w:rPr>
      </w:pPr>
      <w:r>
        <w:rPr>
          <w:rFonts w:eastAsia="Droid Sans Fallback" w:cs="Lohit Devanagari"/>
          <w:b w:val="false"/>
          <w:bCs w:val="false"/>
          <w:i w:val="false"/>
          <w:iCs w:val="false"/>
          <w:caps w:val="false"/>
          <w:smallCaps w:val="false"/>
          <w:color w:val="auto"/>
          <w:sz w:val="28"/>
          <w:szCs w:val="28"/>
          <w:highlight w:val="white"/>
          <w:lang w:val="ru-RU" w:eastAsia="ru-RU" w:bidi="ar-SA"/>
        </w:rPr>
        <w:t>На основании пункта 12 статьи 39.12 Земельного кодекса Российской Федерации электронный аукцион признан несостовшимся.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color w:themeColor="text1" w:val="000000"/>
        </w:rPr>
      </w:pP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color w:themeColor="text1" w:val="000000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val="000000"/>
        </w:rPr>
      </w:pPr>
      <w:r>
        <w:rPr/>
      </w:r>
    </w:p>
    <w:p>
      <w:pPr>
        <w:pStyle w:val="Normal"/>
        <w:spacing w:lineRule="auto" w:line="480"/>
        <w:jc w:val="both"/>
        <w:rPr/>
      </w:pPr>
      <w:r>
        <w:rPr>
          <w:sz w:val="28"/>
          <w:szCs w:val="28"/>
        </w:rPr>
        <w:t xml:space="preserve">Председатель комиссии                                                                        </w:t>
      </w:r>
      <w:r>
        <w:rPr>
          <w:sz w:val="28"/>
          <w:szCs w:val="28"/>
          <w:highlight w:val="white"/>
        </w:rPr>
        <w:t>А.А. Хаткевич</w:t>
      </w:r>
    </w:p>
    <w:p>
      <w:pPr>
        <w:pStyle w:val="Normal"/>
        <w:spacing w:lineRule="auto" w:line="480" w:before="120" w:after="120"/>
        <w:ind w:hanging="5610" w:left="5610"/>
        <w:rPr/>
      </w:pPr>
      <w:r>
        <w:rPr>
          <w:sz w:val="28"/>
          <w:szCs w:val="28"/>
          <w:lang w:eastAsia="en-US"/>
        </w:rPr>
        <w:t>Заместитель председателя комиссии</w:t>
      </w:r>
      <w:r>
        <w:rPr>
          <w:sz w:val="28"/>
          <w:szCs w:val="28"/>
        </w:rPr>
        <w:t xml:space="preserve"> </w:t>
        <w:tab/>
        <w:tab/>
        <w:tab/>
        <w:tab/>
        <w:t xml:space="preserve">            Е.П. </w:t>
      </w:r>
      <w:r>
        <w:rPr>
          <w:rFonts w:eastAsia="Droid Sans Fallback" w:cs="Lohit Devanagari"/>
          <w:color w:val="auto"/>
          <w:sz w:val="28"/>
          <w:szCs w:val="28"/>
          <w:lang w:val="ru-RU" w:eastAsia="en-US" w:bidi="ar-SA"/>
        </w:rPr>
        <w:t>Шафранова</w:t>
      </w:r>
    </w:p>
    <w:p>
      <w:pPr>
        <w:pStyle w:val="Normal"/>
        <w:spacing w:lineRule="auto" w:line="480" w:before="120" w:after="120"/>
        <w:ind w:hanging="5610" w:left="5610"/>
        <w:rPr/>
      </w:pPr>
      <w:r>
        <w:rPr>
          <w:rFonts w:eastAsia="Droid Sans Fallback" w:cs="Lohit Devanagari"/>
          <w:color w:val="auto"/>
          <w:sz w:val="28"/>
          <w:szCs w:val="28"/>
          <w:lang w:val="ru-RU" w:eastAsia="en-US" w:bidi="ar-SA"/>
        </w:rPr>
        <w:t xml:space="preserve">Секретарь комиссии </w:t>
        <w:tab/>
        <w:tab/>
        <w:tab/>
        <w:tab/>
        <w:t xml:space="preserve">            О.И. Павлова</w:t>
      </w:r>
    </w:p>
    <w:p>
      <w:pPr>
        <w:pStyle w:val="Normal"/>
        <w:spacing w:lineRule="auto" w:line="480" w:before="120" w:after="120"/>
        <w:rPr/>
      </w:pPr>
      <w:r>
        <w:rPr>
          <w:rFonts w:eastAsia="Droid Sans Fallback" w:cs="Lohit Devanagari"/>
          <w:color w:val="000000"/>
          <w:sz w:val="28"/>
          <w:szCs w:val="28"/>
          <w:shd w:fill="auto" w:val="clear"/>
          <w:lang w:val="ru-RU" w:eastAsia="en-US" w:bidi="ar-SA"/>
        </w:rPr>
        <w:t xml:space="preserve">Члены комиссии </w:t>
        <w:tab/>
        <w:tab/>
        <w:tab/>
        <w:tab/>
        <w:tab/>
        <w:tab/>
        <w:tab/>
        <w:tab/>
        <w:t xml:space="preserve">            А.А. Союстова</w:t>
      </w:r>
    </w:p>
    <w:p>
      <w:pPr>
        <w:pStyle w:val="Normal"/>
        <w:spacing w:lineRule="auto" w:line="480" w:before="120" w:after="120"/>
        <w:rPr/>
      </w:pPr>
      <w:r>
        <w:rPr>
          <w:rFonts w:eastAsia="Droid Sans Fallback" w:cs="Lohit Devanagari"/>
          <w:color w:val="000000"/>
          <w:sz w:val="28"/>
          <w:szCs w:val="28"/>
          <w:highlight w:val="white"/>
          <w:shd w:fill="auto" w:val="clear"/>
          <w:lang w:val="ru-RU" w:eastAsia="en-US" w:bidi="ar-SA"/>
        </w:rPr>
        <w:t xml:space="preserve">                                                                                                                 </w:t>
      </w:r>
      <w:r>
        <w:rPr>
          <w:rFonts w:eastAsia="Droid Sans Fallback" w:cs="Lohit Devanagari"/>
          <w:color w:val="000000"/>
          <w:sz w:val="28"/>
          <w:szCs w:val="28"/>
          <w:highlight w:val="white"/>
          <w:shd w:fill="auto" w:val="clear"/>
          <w:lang w:val="ru-RU" w:eastAsia="en-US" w:bidi="ar-SA"/>
        </w:rPr>
        <w:t>Ю.И. Четина</w:t>
      </w:r>
    </w:p>
    <w:sectPr>
      <w:headerReference w:type="default" r:id="rId2"/>
      <w:footerReference w:type="even" r:id="rId3"/>
      <w:footerReference w:type="default" r:id="rId4"/>
      <w:footerReference w:type="first" r:id="rId5"/>
      <w:type w:val="nextPage"/>
      <w:pgSz w:w="11906" w:h="16838"/>
      <w:pgMar w:left="1418" w:right="567" w:gutter="0" w:header="0" w:top="786" w:footer="709" w:bottom="766"/>
      <w:pgNumType w:start="2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roman"/>
    <w:pitch w:val="variable"/>
  </w:font>
  <w:font w:name="Tahoma">
    <w:charset w:val="01"/>
    <w:family w:val="roman"/>
    <w:pitch w:val="variable"/>
  </w:font>
  <w:font w:name="Open Sans">
    <w:charset w:val="01"/>
    <w:family w:val="roman"/>
    <w:pitch w:val="variable"/>
  </w:font>
  <w:font w:name="Verdana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ind w:right="360"/>
                            <w:rPr>
                              <w:rStyle w:val="Style10"/>
                            </w:rPr>
                          </w:pPr>
                          <w:r>
                            <w:rPr>
                              <w:rStyle w:val="Style10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36360" rIns="36360" tIns="-20880" bIns="-2088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" path="m0,0l-2147483645,0l-2147483645,-2147483646l0,-2147483646xe" stroked="f" o:allowincell="f" style="position:absolute;margin-left:0pt;margin-top:0.05pt;width:1.1pt;height:1.1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ind w:right="360"/>
                      <w:rPr>
                        <w:rStyle w:val="Style10"/>
                      </w:rPr>
                    </w:pPr>
                    <w:r>
                      <w:rPr>
                        <w:rStyle w:val="Style10"/>
                        <w:color w:val="000000"/>
                      </w:rPr>
                      <w:fldChar w:fldCharType="begin"/>
                    </w:r>
                    <w:r>
                      <w:rPr>
                        <w:rStyle w:val="Style10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Style10"/>
                        <w:color w:val="000000"/>
                      </w:rPr>
                      <w:fldChar w:fldCharType="separate"/>
                    </w:r>
                    <w:r>
                      <w:rPr>
                        <w:rStyle w:val="Style10"/>
                        <w:color w:val="000000"/>
                      </w:rPr>
                      <w:t>0</w:t>
                    </w:r>
                    <w:r>
                      <w:rPr>
                        <w:rStyle w:val="Style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Style10"/>
                            </w:rPr>
                          </w:pPr>
                          <w:r>
                            <w:rPr>
                              <w:rStyle w:val="Style10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Style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36360" rIns="36360" tIns="-20880" bIns="-2088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3" path="m0,0l-2147483645,0l-2147483645,-2147483646l0,-2147483646xe" stroked="f" o:allowincell="f" style="position:absolute;margin-left:0pt;margin-top:0.05pt;width:1.1pt;height:1.1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Style10"/>
                      </w:rPr>
                    </w:pPr>
                    <w:r>
                      <w:rPr>
                        <w:rStyle w:val="Style10"/>
                        <w:color w:val="000000"/>
                      </w:rPr>
                      <w:fldChar w:fldCharType="begin"/>
                    </w:r>
                    <w:r>
                      <w:rPr>
                        <w:rStyle w:val="Style10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Style10"/>
                        <w:color w:val="000000"/>
                      </w:rPr>
                      <w:fldChar w:fldCharType="separate"/>
                    </w:r>
                    <w:r>
                      <w:rPr>
                        <w:rStyle w:val="Style10"/>
                        <w:color w:val="000000"/>
                      </w:rPr>
                      <w:t>0</w:t>
                    </w:r>
                    <w:r>
                      <w:rPr>
                        <w:rStyle w:val="Style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9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85725" cy="246380"/>
              <wp:effectExtent l="0" t="0" r="0" b="0"/>
              <wp:wrapSquare wrapText="bothSides"/>
              <wp:docPr id="3" name="Врезка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5680" cy="246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Style10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lIns="36360" rIns="36360" tIns="36360" bIns="3636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 2" path="m0,0l-2147483645,0l-2147483645,-2147483646l0,-2147483646xe" stroked="f" o:allowincell="f" style="position:absolute;margin-left:0pt;margin-top:0.05pt;width:6.7pt;height:19.35pt;mso-wrap-style:none;v-text-anchor:middle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Style10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7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85725" cy="246380"/>
              <wp:effectExtent l="0" t="0" r="0" b="0"/>
              <wp:wrapSquare wrapText="bothSides"/>
              <wp:docPr id="4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5680" cy="246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Style10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lIns="36360" rIns="36360" tIns="36360" bIns="3636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489.2pt;margin-top:0.05pt;width:6.7pt;height:19.35pt;mso-wrap-style:none;v-text-anchor:middle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Style10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7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85725" cy="246380"/>
              <wp:effectExtent l="0" t="0" r="0" b="0"/>
              <wp:wrapSquare wrapText="bothSides"/>
              <wp:docPr id="5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5680" cy="246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Style10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lIns="36360" rIns="36360" tIns="36360" bIns="3636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489.2pt;margin-top:0.05pt;width:6.7pt;height:19.35pt;mso-wrap-style:none;v-text-anchor:middle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Style10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roid Sans Fallback" w:cs="Lohit Devanagari"/>
        <w:lang w:val="ru-RU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Droid Sans Fallback" w:cs="Lohit Devanagari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uiPriority w:val="10"/>
    <w:qFormat/>
    <w:rPr>
      <w:sz w:val="48"/>
      <w:szCs w:val="48"/>
    </w:rPr>
  </w:style>
  <w:style w:type="character" w:styleId="SubtitleChar">
    <w:name w:val="Subtitle Char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uiPriority w:val="99"/>
    <w:qFormat/>
    <w:rPr/>
  </w:style>
  <w:style w:type="character" w:styleId="FooterChar">
    <w:name w:val="Footer Char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Style5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7">
    <w:name w:val="Основной шрифт абзаца"/>
    <w:semiHidden/>
    <w:qFormat/>
    <w:rPr/>
  </w:style>
  <w:style w:type="character" w:styleId="3">
    <w:name w:val="Основной текст с отступом 3 Знак"/>
    <w:qFormat/>
    <w:rPr>
      <w:sz w:val="16"/>
      <w:szCs w:val="16"/>
    </w:rPr>
  </w:style>
  <w:style w:type="character" w:styleId="Style8">
    <w:name w:val="Текст Знак"/>
    <w:qFormat/>
    <w:rPr>
      <w:rFonts w:ascii="Courier New" w:hAnsi="Courier New"/>
    </w:rPr>
  </w:style>
  <w:style w:type="character" w:styleId="Style9">
    <w:name w:val="Текст выноски Знак"/>
    <w:qFormat/>
    <w:rPr>
      <w:rFonts w:ascii="Tahoma" w:hAnsi="Tahoma" w:cs="Tahoma"/>
      <w:sz w:val="16"/>
      <w:szCs w:val="16"/>
    </w:rPr>
  </w:style>
  <w:style w:type="character" w:styleId="Style10">
    <w:name w:val="Основной текст с отступом Знак"/>
    <w:qFormat/>
    <w:rPr>
      <w:sz w:val="24"/>
      <w:szCs w:val="24"/>
    </w:rPr>
  </w:style>
  <w:style w:type="character" w:styleId="Style11">
    <w:name w:val="Верхний колонтитул Знак"/>
    <w:qFormat/>
    <w:rPr>
      <w:sz w:val="24"/>
      <w:szCs w:val="24"/>
    </w:rPr>
  </w:style>
  <w:style w:type="character" w:styleId="Style12">
    <w:name w:val="Нижний колонтитул Знак"/>
    <w:qFormat/>
    <w:rPr>
      <w:sz w:val="24"/>
      <w:szCs w:val="24"/>
    </w:rPr>
  </w:style>
  <w:style w:type="character" w:styleId="Style13">
    <w:name w:val="Текст сноски Знак"/>
    <w:basedOn w:val="Style7"/>
    <w:qFormat/>
    <w:rPr/>
  </w:style>
  <w:style w:type="character" w:styleId="Style14">
    <w:name w:val="Знак сноски"/>
    <w:qFormat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link w:val="CaptionChar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Droid Sans Fallback" w:cs="Lohit Devanagari"/>
      <w:color w:val="auto"/>
      <w:kern w:val="0"/>
      <w:sz w:val="20"/>
      <w:szCs w:val="20"/>
      <w:lang w:val="ru-RU" w:eastAsia="zh-CN" w:bidi="ar-SA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/>
      <w:ind w:left="720" w:right="720"/>
    </w:pPr>
    <w:rPr>
      <w:i/>
    </w:rPr>
  </w:style>
  <w:style w:type="paragraph" w:styleId="Style17">
    <w:name w:val="Колонтитул"/>
    <w:basedOn w:val="Normal"/>
    <w:qFormat/>
    <w:pPr/>
    <w:rPr/>
  </w:style>
  <w:style w:type="paragraph" w:styleId="Header">
    <w:name w:val="Header"/>
    <w:basedOn w:val="Normal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  <w:ind w:hanging="0" w:left="0" w:right="0"/>
    </w:pPr>
    <w:rPr/>
  </w:style>
  <w:style w:type="paragraph" w:styleId="TOC2">
    <w:name w:val="TOC 2"/>
    <w:basedOn w:val="Normal"/>
    <w:uiPriority w:val="39"/>
    <w:unhideWhenUsed/>
    <w:pPr>
      <w:spacing w:before="0" w:after="57"/>
      <w:ind w:hanging="0" w:left="283" w:right="0"/>
    </w:pPr>
    <w:rPr/>
  </w:style>
  <w:style w:type="paragraph" w:styleId="TOC3">
    <w:name w:val="TOC 3"/>
    <w:basedOn w:val="Normal"/>
    <w:uiPriority w:val="39"/>
    <w:unhideWhenUsed/>
    <w:pPr>
      <w:spacing w:before="0" w:after="57"/>
      <w:ind w:hanging="0" w:left="567" w:right="0"/>
    </w:pPr>
    <w:rPr/>
  </w:style>
  <w:style w:type="paragraph" w:styleId="TOC4">
    <w:name w:val="TOC 4"/>
    <w:basedOn w:val="Normal"/>
    <w:uiPriority w:val="39"/>
    <w:unhideWhenUsed/>
    <w:pPr>
      <w:spacing w:before="0" w:after="57"/>
      <w:ind w:hanging="0" w:left="850" w:right="0"/>
    </w:pPr>
    <w:rPr/>
  </w:style>
  <w:style w:type="paragraph" w:styleId="TOC5">
    <w:name w:val="TOC 5"/>
    <w:basedOn w:val="Normal"/>
    <w:uiPriority w:val="39"/>
    <w:unhideWhenUsed/>
    <w:pPr>
      <w:spacing w:before="0" w:after="57"/>
      <w:ind w:hanging="0" w:left="1134" w:right="0"/>
    </w:pPr>
    <w:rPr/>
  </w:style>
  <w:style w:type="paragraph" w:styleId="TOC6">
    <w:name w:val="TOC 6"/>
    <w:basedOn w:val="Normal"/>
    <w:uiPriority w:val="39"/>
    <w:unhideWhenUsed/>
    <w:pPr>
      <w:spacing w:before="0" w:after="57"/>
      <w:ind w:hanging="0" w:left="1417" w:right="0"/>
    </w:pPr>
    <w:rPr/>
  </w:style>
  <w:style w:type="paragraph" w:styleId="TOC7">
    <w:name w:val="TOC 7"/>
    <w:basedOn w:val="Normal"/>
    <w:uiPriority w:val="39"/>
    <w:unhideWhenUsed/>
    <w:pPr>
      <w:spacing w:before="0" w:after="57"/>
      <w:ind w:hanging="0" w:left="1701" w:right="0"/>
    </w:pPr>
    <w:rPr/>
  </w:style>
  <w:style w:type="paragraph" w:styleId="TOC8">
    <w:name w:val="TOC 8"/>
    <w:basedOn w:val="Normal"/>
    <w:uiPriority w:val="39"/>
    <w:unhideWhenUsed/>
    <w:pPr>
      <w:spacing w:before="0" w:after="57"/>
      <w:ind w:hanging="0" w:left="1984" w:right="0"/>
    </w:pPr>
    <w:rPr/>
  </w:style>
  <w:style w:type="paragraph" w:styleId="TOC9">
    <w:name w:val="TOC 9"/>
    <w:basedOn w:val="Normal"/>
    <w:uiPriority w:val="39"/>
    <w:unhideWhenUsed/>
    <w:pPr>
      <w:spacing w:before="0" w:after="57"/>
      <w:ind w:hanging="0" w:left="2268" w:right="0"/>
    </w:pPr>
    <w:rPr/>
  </w:style>
  <w:style w:type="paragraph" w:styleId="IndexHeading">
    <w:name w:val="Index Heading"/>
    <w:basedOn w:val="Style15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Droid Sans Fallback" w:cs="Lohit Devanagari"/>
      <w:color w:val="auto"/>
      <w:kern w:val="0"/>
      <w:sz w:val="20"/>
      <w:szCs w:val="20"/>
      <w:lang w:val="ru-RU" w:eastAsia="zh-CN" w:bidi="ar-SA"/>
    </w:rPr>
  </w:style>
  <w:style w:type="paragraph" w:styleId="TableofFigures">
    <w:name w:val="Table of Figures"/>
    <w:basedOn w:val="Normal"/>
    <w:uiPriority w:val="99"/>
    <w:unhideWhenUsed/>
    <w:pPr>
      <w:spacing w:before="0" w:afterAutospacing="0" w:after="0"/>
    </w:pPr>
    <w:rPr/>
  </w:style>
  <w:style w:type="paragraph" w:styleId="BodyTextIndent">
    <w:name w:val="Body Text Indent"/>
    <w:basedOn w:val="Normal"/>
    <w:pPr>
      <w:spacing w:before="0" w:after="120"/>
      <w:ind w:left="283"/>
    </w:pPr>
    <w:rPr>
      <w:lang w:val="en-US" w:eastAsia="en-US"/>
    </w:rPr>
  </w:style>
  <w:style w:type="paragraph" w:styleId="Style18">
    <w:name w:val="Текст"/>
    <w:basedOn w:val="Normal"/>
    <w:qFormat/>
    <w:pPr/>
    <w:rPr>
      <w:rFonts w:ascii="Courier New" w:hAnsi="Courier New"/>
      <w:sz w:val="20"/>
      <w:szCs w:val="20"/>
      <w:lang w:val="en-US" w:eastAsia="en-US"/>
    </w:rPr>
  </w:style>
  <w:style w:type="paragraph" w:styleId="Style19">
    <w:name w:val="Знак Знак Знак Знак Знак Знак Знак Знак Знак Знак Знак Знак"/>
    <w:basedOn w:val="Normal"/>
    <w:qFormat/>
    <w:pPr/>
    <w:rPr>
      <w:rFonts w:ascii="Verdana" w:hAnsi="Verdana" w:cs="Verdana"/>
      <w:sz w:val="20"/>
      <w:szCs w:val="20"/>
      <w:lang w:val="en-US" w:eastAsia="en-US"/>
    </w:rPr>
  </w:style>
  <w:style w:type="paragraph" w:styleId="31">
    <w:name w:val="Основной текст с отступом 3"/>
    <w:basedOn w:val="Normal"/>
    <w:qFormat/>
    <w:pPr>
      <w:spacing w:before="0" w:after="120"/>
      <w:ind w:left="283"/>
    </w:pPr>
    <w:rPr>
      <w:sz w:val="16"/>
      <w:szCs w:val="16"/>
      <w:lang w:val="en-US" w:eastAsia="en-US"/>
    </w:rPr>
  </w:style>
  <w:style w:type="paragraph" w:styleId="Style20">
    <w:name w:val="Текст выноски"/>
    <w:basedOn w:val="Normal"/>
    <w:qFormat/>
    <w:pPr/>
    <w:rPr>
      <w:rFonts w:ascii="Tahoma" w:hAnsi="Tahoma"/>
      <w:sz w:val="16"/>
      <w:szCs w:val="16"/>
      <w:lang w:val="en-US" w:eastAsia="en-US"/>
    </w:rPr>
  </w:style>
  <w:style w:type="paragraph" w:styleId="Style21">
    <w:name w:val="Текст сноски"/>
    <w:basedOn w:val="Normal"/>
    <w:qFormat/>
    <w:pPr/>
    <w:rPr>
      <w:sz w:val="20"/>
      <w:szCs w:val="20"/>
    </w:rPr>
  </w:style>
  <w:style w:type="paragraph" w:styleId="Style22">
    <w:name w:val="Содержимое врезки"/>
    <w:basedOn w:val="Normal"/>
    <w:qFormat/>
    <w:pPr/>
    <w:rPr/>
  </w:style>
  <w:style w:type="paragraph" w:styleId="Style23">
    <w:name w:val="Содержимое таблицы"/>
    <w:basedOn w:val="Normal"/>
    <w:qFormat/>
    <w:pPr>
      <w:widowControl w:val="false"/>
      <w:suppressLineNumbers/>
    </w:pPr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  <w:style w:type="numbering" w:styleId="Style25">
    <w:name w:val="Нет списка"/>
    <w:semiHidden/>
    <w:qFormat/>
  </w:style>
  <w:style w:type="numbering" w:styleId="NoList" w:default="1">
    <w:name w:val="No List"/>
    <w:uiPriority w:val="99"/>
    <w:semiHidden/>
    <w:unhideWhenUsed/>
    <w:qFormat/>
  </w:style>
  <w:style w:type="table" w:styleId="832">
    <w:name w:val="Table Grid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33">
    <w:name w:val="Table Grid Light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34">
    <w:name w:val="Plain Table 1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0"/>
      </w:tcPr>
    </w:tblStylePr>
    <w:tblStylePr w:type="band1Vert">
      <w:tblPr/>
      <w:tcPr>
        <w:shd w:val="clear" w:color="FFFFFF" w:fill="F2F2F2" w:themeFill="text1" w:themeFillTint="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835">
    <w:name w:val="Plain Table 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836">
    <w:name w:val="Plain Table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0"/>
      </w:tcPr>
    </w:tblStylePr>
    <w:tblStylePr w:type="band1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</w:style>
  <w:style w:type="table" w:styleId="837">
    <w:name w:val="Plain Table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0"/>
      </w:tcPr>
    </w:tblStylePr>
    <w:tblStylePr w:type="band1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38">
    <w:name w:val="Plain Table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0"/>
      </w:tcPr>
    </w:tblStylePr>
    <w:tblStylePr w:type="band1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39">
    <w:name w:val="Grid Table 1 Ligh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40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41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42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43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44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45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846">
    <w:name w:val="Grid Table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47">
    <w:name w:val="Grid Table 2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AE5F1" w:themeFill="accent1" w:themeFillTint="34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48">
    <w:name w:val="Grid Table 2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49">
    <w:name w:val="Grid Table 2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0">
    <w:name w:val="Grid Table 2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1">
    <w:name w:val="Grid Table 2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2">
    <w:name w:val="Grid Table 2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3">
    <w:name w:val="Grid Table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4">
    <w:name w:val="Grid Table 3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AE5F1" w:themeFill="accent1" w:themeFillTint="34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5">
    <w:name w:val="Grid Table 3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6">
    <w:name w:val="Grid Table 3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7">
    <w:name w:val="Grid Table 3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8">
    <w:name w:val="Grid Table 3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59">
    <w:name w:val="Grid Table 3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860">
    <w:name w:val="Grid Table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</w:style>
  <w:style w:type="table" w:styleId="861">
    <w:name w:val="Grid Table 4 - Accent 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CE6F1" w:themeFill="accent1" w:themeFillTint="32"/>
      </w:tcPr>
    </w:tblStylePr>
    <w:tblStylePr w:type="band1Vert">
      <w:rPr>
        <w:sz w:val="22"/>
      </w:rPr>
      <w:tblPr/>
      <w:tcPr>
        <w:shd w:val="clear" w:color="FFFFFF" w:fill="DCE6F1" w:themeFill="accent1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DC2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</w:tcBorders>
      </w:tcPr>
    </w:tblStylePr>
  </w:style>
  <w:style w:type="table" w:styleId="862">
    <w:name w:val="Grid Table 4 - Accent 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99694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</w:tcBorders>
      </w:tcPr>
    </w:tblStylePr>
  </w:style>
  <w:style w:type="table" w:styleId="863">
    <w:name w:val="Grid Table 4 - Accent 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A59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</w:tcBorders>
      </w:tcPr>
    </w:tblStylePr>
  </w:style>
  <w:style w:type="table" w:styleId="864">
    <w:name w:val="Grid Table 4 - Accent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6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</w:tcBorders>
      </w:tcPr>
    </w:tblStylePr>
  </w:style>
  <w:style w:type="table" w:styleId="865">
    <w:name w:val="Grid Table 4 - Accent 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</w:tcBorders>
      </w:tcPr>
    </w:tblStylePr>
  </w:style>
  <w:style w:type="table" w:styleId="866">
    <w:name w:val="Grid Table 4 - Accent 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</w:tcBorders>
      </w:tcPr>
    </w:tblStylePr>
  </w:style>
  <w:style w:type="table" w:styleId="867">
    <w:name w:val="Grid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</w:style>
  <w:style w:type="table" w:styleId="868">
    <w:name w:val="Grid Table 5 Dark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DC5E0" w:themeFill="accent1" w:themeFillTint="75"/>
      </w:tcPr>
    </w:tblStylePr>
    <w:tblStylePr w:type="band1Vert">
      <w:tblPr/>
      <w:tcPr>
        <w:shd w:val="clear" w:color="FFFFFF" w:fill="ADC5E0" w:themeFill="accent1" w:themeFillTint="75"/>
      </w:tcPr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</w:style>
  <w:style w:type="table" w:styleId="869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1ADAC" w:themeFill="accent2" w:themeFillTint="75"/>
      </w:tcPr>
    </w:tblStylePr>
    <w:tblStylePr w:type="band1Vert">
      <w:tblPr/>
      <w:tcPr>
        <w:shd w:val="clear" w:color="FFFFFF" w:fill="E1ADAC" w:themeFill="accent2" w:themeFillTint="75"/>
      </w:tcPr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</w:style>
  <w:style w:type="table" w:styleId="870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DFB2" w:themeFill="accent3" w:themeFillTint="75"/>
      </w:tcPr>
    </w:tblStylePr>
    <w:tblStylePr w:type="band1Vert">
      <w:tblPr/>
      <w:tcPr>
        <w:shd w:val="clear" w:color="FFFFFF" w:fill="D1DFB2" w:themeFill="accent3" w:themeFillTint="75"/>
      </w:tcPr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</w:style>
  <w:style w:type="table" w:styleId="871">
    <w:name w:val="Grid Table 5 Dark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4B7D4" w:themeFill="accent4" w:themeFillTint="75"/>
      </w:tcPr>
    </w:tblStylePr>
    <w:tblStylePr w:type="band1Vert">
      <w:tblPr/>
      <w:tcPr>
        <w:shd w:val="clear" w:color="FFFFFF" w:fill="C4B7D4" w:themeFill="accent4" w:themeFillTint="75"/>
      </w:tcPr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</w:style>
  <w:style w:type="table" w:styleId="872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BD9E4" w:themeFill="accent5" w:themeFillTint="75"/>
      </w:tcPr>
    </w:tblStylePr>
    <w:tblStylePr w:type="band1Vert">
      <w:tblPr/>
      <w:tcPr>
        <w:shd w:val="clear" w:color="FFFFFF" w:fill="ABD9E4" w:themeFill="accent5" w:themeFillTint="75"/>
      </w:tcPr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</w:style>
  <w:style w:type="table" w:styleId="873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DA8" w:themeFill="accent6" w:themeFillTint="75"/>
      </w:tcPr>
    </w:tblStylePr>
    <w:tblStylePr w:type="band1Vert">
      <w:tblPr/>
      <w:tcPr>
        <w:shd w:val="clear" w:color="FFFFFF" w:fill="FBCDA8" w:themeFill="accent6" w:themeFillTint="75"/>
      </w:tcPr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</w:style>
  <w:style w:type="table" w:styleId="874">
    <w:name w:val="Grid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rPr>
        <w:b/>
        <w:color w:themeColor="text1" w:themeTint="80" w:themeShade="95"/>
      </w:rPr>
      <w:tblPr/>
    </w:tblStylePr>
    <w:tblStylePr w:type="firstRow"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themeColor="text1" w:themeTint="80" w:themeShade="95"/>
      </w:rPr>
      <w:tblPr/>
    </w:tblStylePr>
    <w:tblStylePr w:type="lastRow">
      <w:rPr>
        <w:b/>
        <w:color w:themeColor="text1" w:themeTint="80" w:themeShade="95"/>
      </w:rPr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875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firstCol">
      <w:rPr>
        <w:b/>
        <w:color w:themeColor="accent1" w:themeTint="80" w:themeShade="95"/>
      </w:rPr>
      <w:tblPr/>
    </w:tblStylePr>
    <w:tblStylePr w:type="firstRow">
      <w:rPr>
        <w:b/>
        <w:color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themeColor="accent1" w:themeTint="80" w:themeShade="95"/>
      </w:rPr>
      <w:tblPr/>
    </w:tblStylePr>
    <w:tblStylePr w:type="lastRow">
      <w:rPr>
        <w:b/>
        <w:color w:themeColor="accent1" w:themeTint="80" w:themeShade="95"/>
      </w:rPr>
      <w:tblPr/>
    </w:tblStylePr>
    <w:tblStylePr w:type="wholeTable">
      <w:rPr>
        <w:color w:themeColor="accent1" w:themeTint="80" w:themeShade="95"/>
        <w:sz w:val="22"/>
      </w:rPr>
      <w:tblPr/>
    </w:tblStylePr>
  </w:style>
  <w:style w:type="table" w:styleId="876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2DCDB" w:themeFill="accent2" w:themeFillTint="32"/>
      </w:tcPr>
    </w:tblStylePr>
    <w:tblStylePr w:type="band1Vert">
      <w:tblPr/>
      <w:tcPr>
        <w:shd w:val="clear" w:color="FFFFFF" w:fill="F2DCDB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877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AF0DD" w:themeFill="accent3" w:themeFillTint="34"/>
      </w:tcPr>
    </w:tblStylePr>
    <w:tblStylePr w:type="band1Vert">
      <w:tblPr/>
      <w:tcPr>
        <w:shd w:val="clear" w:color="FFFFFF" w:fill="EAF0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firstCol">
      <w:rPr>
        <w:b/>
        <w:color w:themeColor="accent3" w:themeTint="fe" w:themeShade="95"/>
      </w:rPr>
      <w:tblPr/>
    </w:tblStylePr>
    <w:tblStylePr w:type="firstRow">
      <w:rPr>
        <w:b/>
        <w:color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themeColor="accent3" w:themeTint="fe" w:themeShade="95"/>
      </w:rPr>
      <w:tblPr/>
    </w:tblStylePr>
    <w:tblStylePr w:type="lastRow">
      <w:rPr>
        <w:b/>
        <w:color w:themeColor="accent3" w:themeTint="fe" w:themeShade="95"/>
      </w:rPr>
      <w:tblPr/>
    </w:tblStylePr>
    <w:tblStylePr w:type="wholeTable">
      <w:rPr>
        <w:color w:themeColor="accent3" w:themeTint="fe" w:themeShade="95"/>
        <w:sz w:val="22"/>
      </w:rPr>
      <w:tblPr/>
    </w:tblStylePr>
  </w:style>
  <w:style w:type="table" w:styleId="878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879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880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881">
    <w:name w:val="Grid Table 7 Colorfu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F2F2F2" w:themeFill="text1" w:themeFillTint="0"/>
      </w:tcPr>
    </w:tblStylePr>
    <w:tblStylePr w:type="band1Vert">
      <w:tblPr/>
      <w:tcPr>
        <w:shd w:val="clear" w:color="FFFFFF" w:fill="F2F2F2" w:themeFill="text1" w:themeFillTint="0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82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83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2DCDB" w:themeFill="accent2" w:themeFillTint="32"/>
      </w:tcPr>
    </w:tblStylePr>
    <w:tblStylePr w:type="band1Vert">
      <w:tblPr/>
      <w:tcPr>
        <w:shd w:val="clear" w:color="FFFFFF" w:fill="F2DCDB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84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AF0DD" w:themeFill="accent3" w:themeFillTint="34"/>
      </w:tcPr>
    </w:tblStylePr>
    <w:tblStylePr w:type="band1Vert">
      <w:tblPr/>
      <w:tcPr>
        <w:shd w:val="clear" w:color="FFFFFF" w:fill="EAF0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85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86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b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87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b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888">
    <w:name w:val="List Table 1 Ligh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>
    <w:name w:val="List Table 1 Light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0">
    <w:name w:val="List Table 1 Light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1">
    <w:name w:val="List Table 1 Light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2">
    <w:name w:val="List Table 1 Light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3">
    <w:name w:val="List Table 1 Light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4">
    <w:name w:val="List Table 1 Light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5">
    <w:name w:val="List Table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896">
    <w:name w:val="List Table 2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E0EE" w:themeFill="accent1" w:themeFillTint="40"/>
      </w:tcPr>
    </w:tblStylePr>
    <w:tblStylePr w:type="band1Vert">
      <w:rPr>
        <w:sz w:val="22"/>
      </w:rPr>
      <w:tblPr/>
      <w:tcPr>
        <w:shd w:val="clear" w:color="FFFFFF" w:fill="D3E0EE" w:themeFill="accen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897">
    <w:name w:val="List Table 2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898">
    <w:name w:val="List Table 2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899">
    <w:name w:val="List Table 2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7" w:themeFill="accent4" w:themeFillTint="40"/>
      </w:tc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900">
    <w:name w:val="List Table 2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1EAF0" w:themeFill="accent5" w:themeFillTint="40"/>
      </w:tc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901">
    <w:name w:val="List Table 2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CE4D1" w:themeFill="accent6" w:themeFillTint="40"/>
      </w:tcPr>
    </w:tblStylePr>
    <w:tblStylePr w:type="band1Vert">
      <w:rPr>
        <w:sz w:val="22"/>
      </w:rPr>
      <w:tblPr/>
      <w:tcPr>
        <w:shd w:val="clear" w:color="FFFFFF" w:fill="FCE4D1" w:themeFill="accent6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902">
    <w:name w:val="List Table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03">
    <w:name w:val="List Table 3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04">
    <w:name w:val="List Table 3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05">
    <w:name w:val="List Table 3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3D69B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06">
    <w:name w:val="List Table 3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07">
    <w:name w:val="List Table 3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1CDDC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08">
    <w:name w:val="List Table 3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9BF90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09">
    <w:name w:val="List Table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10">
    <w:name w:val="List Table 4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E0EE" w:themeFill="accent1" w:themeFillTint="40"/>
      </w:tcPr>
    </w:tblStylePr>
    <w:tblStylePr w:type="band1Vert">
      <w:rPr>
        <w:sz w:val="22"/>
      </w:rPr>
      <w:tblPr/>
      <w:tcPr>
        <w:shd w:val="clear" w:color="FFFFFF" w:fill="D3E0EE" w:themeFill="accen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11">
    <w:name w:val="List Table 4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12">
    <w:name w:val="List Table 4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13">
    <w:name w:val="List Table 4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7" w:themeFill="accent4" w:themeFillTint="40"/>
      </w:tc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14">
    <w:name w:val="List Table 4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1EAF0" w:themeFill="accent5" w:themeFillTint="40"/>
      </w:tc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15">
    <w:name w:val="List Table 4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CE4D1" w:themeFill="accent6" w:themeFillTint="40"/>
      </w:tcPr>
    </w:tblStylePr>
    <w:tblStylePr w:type="band1Vert">
      <w:rPr>
        <w:sz w:val="22"/>
      </w:rPr>
      <w:tblPr/>
      <w:tcPr>
        <w:shd w:val="clear" w:color="FFFFFF" w:fill="FCE4D1" w:themeFill="accent6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916">
    <w:name w:val="List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17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18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99694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99694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99694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99694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19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B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B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20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6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6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21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1CDDC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1CDDC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1CDDC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1CDDC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22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9BF90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9BF90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9BF90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9BF90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923">
    <w:name w:val="List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/>
        <w:sz w:val="22"/>
      </w:rPr>
      <w:tblPr/>
    </w:tblStylePr>
    <w:tblStylePr w:type="firstCol">
      <w:rPr>
        <w:b/>
        <w:color w:themeColor="text1"/>
      </w:rPr>
      <w:tblPr/>
    </w:tblStylePr>
    <w:tblStylePr w:type="firstRow"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themeColor="text1"/>
      </w:rPr>
      <w:tblPr/>
    </w:tblStylePr>
    <w:tblStylePr w:type="lastRow"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</w:style>
  <w:style w:type="table" w:styleId="924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firstCol">
      <w:rPr>
        <w:b/>
        <w:color w:themeColor="accent1" w:themeShade="95"/>
      </w:rPr>
      <w:tblPr/>
    </w:tblStylePr>
    <w:tblStylePr w:type="firstRow">
      <w:rPr>
        <w:b/>
        <w:color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themeColor="accent1" w:themeShade="95"/>
      </w:rPr>
      <w:tblPr/>
    </w:tblStylePr>
    <w:tblStylePr w:type="lastRow">
      <w:rPr>
        <w:b/>
        <w:color w:themeColor="accent1" w:themeShade="95"/>
      </w:rPr>
      <w:tblPr/>
      <w:tcPr>
        <w:tcBorders>
          <w:top w:val="single" w:color="000000" w:themeColor="accent1" w:sz="4" w:space="0"/>
        </w:tcBorders>
      </w:tcPr>
    </w:tblStylePr>
  </w:style>
  <w:style w:type="table" w:styleId="925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</w:style>
  <w:style w:type="table" w:styleId="926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firstCol">
      <w:rPr>
        <w:b/>
        <w:color w:themeColor="accent3" w:themeTint="98" w:themeShade="95"/>
      </w:rPr>
      <w:tblPr/>
    </w:tblStylePr>
    <w:tblStylePr w:type="firstRow">
      <w:rPr>
        <w:b/>
        <w:color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themeColor="accent3" w:themeTint="98" w:themeShade="95"/>
      </w:rPr>
      <w:tblPr/>
    </w:tblStylePr>
    <w:tblStylePr w:type="lastRow">
      <w:rPr>
        <w:b/>
        <w:color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</w:style>
  <w:style w:type="table" w:styleId="927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</w:style>
  <w:style w:type="table" w:styleId="928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firstCol">
      <w:rPr>
        <w:b/>
        <w:color w:themeColor="accent5" w:themeTint="9a" w:themeShade="95"/>
      </w:rPr>
      <w:tblPr/>
    </w:tblStylePr>
    <w:tblStylePr w:type="firstRow">
      <w:rPr>
        <w:b/>
        <w:color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themeColor="accent5" w:themeTint="9a" w:themeShade="95"/>
      </w:rPr>
      <w:tblPr/>
    </w:tblStylePr>
    <w:tblStylePr w:type="lastRow">
      <w:rPr>
        <w:b/>
        <w:color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</w:style>
  <w:style w:type="table" w:styleId="929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firstCol">
      <w:rPr>
        <w:b/>
        <w:color w:themeColor="accent6" w:themeTint="98" w:themeShade="95"/>
      </w:rPr>
      <w:tblPr/>
    </w:tblStylePr>
    <w:tblStylePr w:type="firstRow">
      <w:rPr>
        <w:b/>
        <w:color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themeColor="accent6" w:themeTint="98" w:themeShade="95"/>
      </w:rPr>
      <w:tblPr/>
    </w:tblStylePr>
    <w:tblStylePr w:type="lastRow">
      <w:rPr>
        <w:b/>
        <w:color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</w:style>
  <w:style w:type="table" w:styleId="930">
    <w:name w:val="List Table 7 Colorfu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text1" w:themeTint="80" w:themeShade="95"/>
        <w:sz w:val="22"/>
      </w:rPr>
      <w:tblPr/>
    </w:tblStylePr>
  </w:style>
  <w:style w:type="table" w:styleId="93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1" w:themeShade="95"/>
        <w:sz w:val="22"/>
      </w:rPr>
      <w:tblPr/>
    </w:tblStylePr>
  </w:style>
  <w:style w:type="table" w:styleId="932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933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3" w:themeTint="98" w:themeShade="95"/>
        <w:sz w:val="22"/>
      </w:rPr>
      <w:tblPr/>
    </w:tblStylePr>
  </w:style>
  <w:style w:type="table" w:styleId="934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935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5" w:themeTint="9a" w:themeShade="95"/>
        <w:sz w:val="22"/>
      </w:rPr>
      <w:tblPr/>
    </w:tblStylePr>
  </w:style>
  <w:style w:type="table" w:styleId="936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6" w:themeTint="98" w:themeShade="95"/>
        <w:sz w:val="22"/>
      </w:rPr>
      <w:tblPr/>
    </w:tblStylePr>
  </w:style>
  <w:style w:type="table" w:styleId="937">
    <w:name w:val="Lined - Accen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0"/>
      </w:tcPr>
    </w:tblStylePr>
    <w:tblStylePr w:type="band2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938">
    <w:name w:val="Lined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firstCol">
      <w:rPr>
        <w:sz w:val="22"/>
      </w:rPr>
      <w:tblPr/>
      <w:tcPr>
        <w:shd w:val="clear" w:color="FFFFFF" w:fill="5D8DC2" w:themeFill="accent1" w:themeFillTint="ea"/>
      </w:tcPr>
    </w:tblStylePr>
    <w:tblStylePr w:type="firstRow">
      <w:rPr>
        <w:sz w:val="22"/>
      </w:rPr>
      <w:tblPr/>
      <w:tcPr>
        <w:shd w:val="clear" w:color="FFFFFF" w:fill="5D8DC2" w:themeFill="accent1" w:themeFillTint="ea"/>
      </w:tcPr>
    </w:tblStylePr>
    <w:tblStylePr w:type="lastCol">
      <w:rPr>
        <w:sz w:val="22"/>
      </w:rPr>
      <w:tblPr/>
      <w:tcPr>
        <w:shd w:val="clear" w:color="FFFFFF" w:fill="5D8DC2" w:themeFill="accent1" w:themeFillTint="ea"/>
      </w:tcPr>
    </w:tblStylePr>
    <w:tblStylePr w:type="lastRow">
      <w:rPr>
        <w:sz w:val="22"/>
      </w:rPr>
      <w:tblPr/>
      <w:tcPr>
        <w:shd w:val="clear" w:color="FFFFFF" w:fill="5D8DC2" w:themeFill="accent1" w:themeFillTint="ea"/>
      </w:tcPr>
    </w:tblStylePr>
  </w:style>
  <w:style w:type="table" w:styleId="939">
    <w:name w:val="Lined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DCDB" w:themeFill="accent2" w:themeFillTint="32"/>
      </w:tcPr>
    </w:tblStylePr>
    <w:tblStylePr w:type="band2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sz w:val="22"/>
      </w:rPr>
      <w:tblPr/>
      <w:tcPr>
        <w:shd w:val="clear" w:color="FFFFFF" w:fill="D99694" w:themeFill="accent2" w:themeFillTint="97"/>
      </w:tcPr>
    </w:tblStylePr>
    <w:tblStylePr w:type="firstRow">
      <w:rPr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sz w:val="22"/>
      </w:rPr>
      <w:tblPr/>
      <w:tcPr>
        <w:shd w:val="clear" w:color="FFFFFF" w:fill="D99694" w:themeFill="accent2" w:themeFillTint="97"/>
      </w:tcPr>
    </w:tblStylePr>
    <w:tblStylePr w:type="lastRow">
      <w:rPr>
        <w:sz w:val="22"/>
      </w:rPr>
      <w:tblPr/>
      <w:tcPr>
        <w:shd w:val="clear" w:color="FFFFFF" w:fill="D99694" w:themeFill="accent2" w:themeFillTint="97"/>
      </w:tcPr>
    </w:tblStylePr>
  </w:style>
  <w:style w:type="table" w:styleId="940">
    <w:name w:val="Lined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AF0DD" w:themeFill="accent3" w:themeFillTint="34"/>
      </w:tcPr>
    </w:tblStylePr>
    <w:tblStylePr w:type="band2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sz w:val="22"/>
      </w:rPr>
      <w:tblPr/>
      <w:tcPr>
        <w:shd w:val="clear" w:color="FFFFFF" w:fill="9BBA59" w:themeFill="accent3" w:themeFillTint="fe"/>
      </w:tcPr>
    </w:tblStylePr>
    <w:tblStylePr w:type="firstRow">
      <w:rPr>
        <w:sz w:val="22"/>
      </w:rPr>
      <w:tblPr/>
      <w:tcPr>
        <w:shd w:val="clear" w:color="FFFFFF" w:fill="9BBA59" w:themeFill="accent3" w:themeFillTint="fe"/>
      </w:tcPr>
    </w:tblStylePr>
    <w:tblStylePr w:type="lastCol">
      <w:rPr>
        <w:sz w:val="22"/>
      </w:rPr>
      <w:tblPr/>
      <w:tcPr>
        <w:shd w:val="clear" w:color="FFFFFF" w:fill="9BBA59" w:themeFill="accent3" w:themeFillTint="fe"/>
      </w:tcPr>
    </w:tblStylePr>
    <w:tblStylePr w:type="lastRow">
      <w:rPr>
        <w:sz w:val="22"/>
      </w:rPr>
      <w:tblPr/>
      <w:tcPr>
        <w:shd w:val="clear" w:color="FFFFFF" w:fill="9BBA59" w:themeFill="accent3" w:themeFillTint="fe"/>
      </w:tcPr>
    </w:tblStylePr>
  </w:style>
  <w:style w:type="table" w:styleId="941">
    <w:name w:val="Lined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</w:style>
  <w:style w:type="table" w:styleId="942">
    <w:name w:val="Lined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</w:style>
  <w:style w:type="table" w:styleId="943">
    <w:name w:val="Lined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</w:style>
  <w:style w:type="table" w:styleId="944">
    <w:name w:val="Bordered &amp; Lined - Accen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0"/>
      </w:tcPr>
    </w:tblStylePr>
    <w:tblStylePr w:type="band2Vert">
      <w:rPr>
        <w:sz w:val="22"/>
      </w:rPr>
      <w:tblPr/>
      <w:tcPr>
        <w:shd w:val="clear" w:color="FFFFFF" w:fill="F2F2F2" w:themeFill="text1" w:themeFillTint="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945">
    <w:name w:val="Bordered &amp; Lin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firstCol">
      <w:rPr>
        <w:sz w:val="22"/>
      </w:rPr>
      <w:tblPr/>
      <w:tcPr>
        <w:shd w:val="clear" w:color="FFFFFF" w:fill="5D8DC2" w:themeFill="accent1" w:themeFillTint="ea"/>
      </w:tcPr>
    </w:tblStylePr>
    <w:tblStylePr w:type="firstRow">
      <w:rPr>
        <w:sz w:val="22"/>
      </w:rPr>
      <w:tblPr/>
      <w:tcPr>
        <w:shd w:val="clear" w:color="FFFFFF" w:fill="5D8DC2" w:themeFill="accent1" w:themeFillTint="ea"/>
      </w:tcPr>
    </w:tblStylePr>
    <w:tblStylePr w:type="lastCol">
      <w:rPr>
        <w:sz w:val="22"/>
      </w:rPr>
      <w:tblPr/>
      <w:tcPr>
        <w:shd w:val="clear" w:color="FFFFFF" w:fill="5D8DC2" w:themeFill="accent1" w:themeFillTint="ea"/>
      </w:tcPr>
    </w:tblStylePr>
    <w:tblStylePr w:type="lastRow">
      <w:rPr>
        <w:sz w:val="22"/>
      </w:rPr>
      <w:tblPr/>
      <w:tcPr>
        <w:shd w:val="clear" w:color="FFFFFF" w:fill="5D8DC2" w:themeFill="accent1" w:themeFillTint="ea"/>
      </w:tcPr>
    </w:tblStylePr>
  </w:style>
  <w:style w:type="table" w:styleId="946">
    <w:name w:val="Bordered &amp; Lin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DCDB" w:themeFill="accent2" w:themeFillTint="32"/>
      </w:tcPr>
    </w:tblStylePr>
    <w:tblStylePr w:type="band2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sz w:val="22"/>
      </w:rPr>
      <w:tblPr/>
      <w:tcPr>
        <w:shd w:val="clear" w:color="FFFFFF" w:fill="D99694" w:themeFill="accent2" w:themeFillTint="97"/>
      </w:tcPr>
    </w:tblStylePr>
    <w:tblStylePr w:type="firstRow">
      <w:rPr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sz w:val="22"/>
      </w:rPr>
      <w:tblPr/>
      <w:tcPr>
        <w:shd w:val="clear" w:color="FFFFFF" w:fill="D99694" w:themeFill="accent2" w:themeFillTint="97"/>
      </w:tcPr>
    </w:tblStylePr>
    <w:tblStylePr w:type="lastRow">
      <w:rPr>
        <w:sz w:val="22"/>
      </w:rPr>
      <w:tblPr/>
      <w:tcPr>
        <w:shd w:val="clear" w:color="FFFFFF" w:fill="D99694" w:themeFill="accent2" w:themeFillTint="97"/>
      </w:tcPr>
    </w:tblStylePr>
  </w:style>
  <w:style w:type="table" w:styleId="947">
    <w:name w:val="Bordered &amp; Lin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AF0DD" w:themeFill="accent3" w:themeFillTint="34"/>
      </w:tcPr>
    </w:tblStylePr>
    <w:tblStylePr w:type="band2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sz w:val="22"/>
      </w:rPr>
      <w:tblPr/>
      <w:tcPr>
        <w:shd w:val="clear" w:color="FFFFFF" w:fill="9BBA59" w:themeFill="accent3" w:themeFillTint="fe"/>
      </w:tcPr>
    </w:tblStylePr>
    <w:tblStylePr w:type="firstRow">
      <w:rPr>
        <w:sz w:val="22"/>
      </w:rPr>
      <w:tblPr/>
      <w:tcPr>
        <w:shd w:val="clear" w:color="FFFFFF" w:fill="9BBA59" w:themeFill="accent3" w:themeFillTint="fe"/>
      </w:tcPr>
    </w:tblStylePr>
    <w:tblStylePr w:type="lastCol">
      <w:rPr>
        <w:sz w:val="22"/>
      </w:rPr>
      <w:tblPr/>
      <w:tcPr>
        <w:shd w:val="clear" w:color="FFFFFF" w:fill="9BBA59" w:themeFill="accent3" w:themeFillTint="fe"/>
      </w:tcPr>
    </w:tblStylePr>
    <w:tblStylePr w:type="lastRow">
      <w:rPr>
        <w:sz w:val="22"/>
      </w:rPr>
      <w:tblPr/>
      <w:tcPr>
        <w:shd w:val="clear" w:color="FFFFFF" w:fill="9BBA59" w:themeFill="accent3" w:themeFillTint="fe"/>
      </w:tcPr>
    </w:tblStylePr>
  </w:style>
  <w:style w:type="table" w:styleId="948">
    <w:name w:val="Bordered &amp; Lin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</w:style>
  <w:style w:type="table" w:styleId="949">
    <w:name w:val="Bordered &amp; Lin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</w:style>
  <w:style w:type="table" w:styleId="950">
    <w:name w:val="Bordered &amp; Lin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</w:style>
  <w:style w:type="table" w:styleId="951">
    <w:name w:val="Bordered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</w:style>
  <w:style w:type="table" w:styleId="952">
    <w:name w:val="Border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1" w:sz="12" w:space="0"/>
        </w:tcBorders>
      </w:tcPr>
    </w:tblStylePr>
  </w:style>
  <w:style w:type="table" w:styleId="953">
    <w:name w:val="Border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2" w:sz="12" w:space="0"/>
        </w:tcBorders>
      </w:tcPr>
    </w:tblStylePr>
  </w:style>
  <w:style w:type="table" w:styleId="954">
    <w:name w:val="Border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3" w:sz="12" w:space="0"/>
        </w:tcBorders>
      </w:tcPr>
    </w:tblStylePr>
  </w:style>
  <w:style w:type="table" w:styleId="955">
    <w:name w:val="Border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4" w:sz="12" w:space="0"/>
        </w:tcBorders>
      </w:tcPr>
    </w:tblStylePr>
  </w:style>
  <w:style w:type="table" w:styleId="956">
    <w:name w:val="Border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5" w:sz="12" w:space="0"/>
        </w:tcBorders>
      </w:tcPr>
    </w:tblStylePr>
  </w:style>
  <w:style w:type="table" w:styleId="957">
    <w:name w:val="Border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6" w:sz="12" w:space="0"/>
        </w:tcBorders>
      </w:tcPr>
    </w:tblStylePr>
  </w:style>
  <w:style w:type="table" w:default="1" w:styleId="958">
    <w:name w:val="Normal Table"/>
    <w:uiPriority w:val="99"/>
    <w:semiHidden/>
    <w:unhideWhenUsed/>
  </w:style>
  <w:style w:type="table" w:customStyle="1" w:styleId="959">
    <w:name w:val="block-tbl "/>
    <w:pPr>
      <w:ind w:right="0"/>
      <w:spacing w:before="0" w:after="0" w:line="240" w:lineRule="auto"/>
      <w:jc w:val="left"/>
    </w:pPr>
    <w:rPr>
      <w:lang w:val="en-US" w:eastAsia="en-US" w:bidi="ar-SA"/>
      <w:b w:val="0"/>
      <w:bCs w:val="0"/>
      <w:i w:val="0"/>
      <w:caps w:val="0"/>
      <w:smallCaps w:val="0"/>
      <w:spacing w:val="0"/>
      <w:sz w:val="20"/>
      <w:szCs w:val="20"/>
    </w:rPr>
    <w:tblPr>
      <w:tblStyleRowBandSize w:val="1"/>
      <w:tblStyleColBandSize w:val="1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vAlign w:val="top"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LibreOffice/7.6.7.2$Linux_X86_64 LibreOffice_project/60$Build-2</Application>
  <AppVersion>15.0000</AppVersion>
  <Pages>2</Pages>
  <Words>357</Words>
  <Characters>2783</Characters>
  <CharactersWithSpaces>3534</CharactersWithSpaces>
  <Paragraphs>25</Paragraphs>
  <Company>Деп. имущественных отношений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2015-07-02T10:18:00Z</dcterms:created>
  <dc:creator>bna</dc:creator>
  <dc:description/>
  <dc:language>ru-RU</dc:language>
  <cp:lastModifiedBy/>
  <dcterms:modified xsi:type="dcterms:W3CDTF">2026-08-26T10:00:25Z</dcterms:modified>
  <cp:revision>1132</cp:revision>
  <dc:subject/>
  <dc:title>Департамент имущественных отношений</dc:title>
  <cp:version>1048576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