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732" w:leader="none"/>
          <w:tab w:val="left" w:pos="5812" w:leader="none"/>
        </w:tabs>
        <w:spacing w:lineRule="exact" w:line="240"/>
        <w:ind w:firstLine="5670" w:left="0"/>
        <w:jc w:val="both"/>
        <w:outlineLvl w:val="5"/>
        <w:rPr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6" w:left="5664"/>
        <w:rPr>
          <w:sz w:val="28"/>
          <w:szCs w:val="28"/>
        </w:rPr>
      </w:pPr>
      <w:r>
        <w:rPr>
          <w:sz w:val="28"/>
          <w:szCs w:val="28"/>
        </w:rPr>
        <w:t>к приказу начальника департамента имущественных отношений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>администрации города Перми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28.08.2026 № 059-19-01-11-141</w:t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Извещение о проведении</w:t>
      </w:r>
      <w:r>
        <w:rPr>
          <w:rFonts w:cs="Times New Roman" w:ascii="Times New Roman" w:hAnsi="Times New Roman"/>
          <w:b/>
          <w:sz w:val="28"/>
          <w:szCs w:val="28"/>
          <w:shd w:fill="auto" w:val="clear"/>
          <w:lang w:val="ru-RU"/>
        </w:rPr>
        <w:t xml:space="preserve"> 17.09.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>2026 электронных аукционов на право заключения договоров аренды земельных участков</w:t>
      </w:r>
    </w:p>
    <w:p>
      <w:pPr>
        <w:pStyle w:val="Plain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shd w:fill="FFFFFF" w:val="clear"/>
        </w:rPr>
        <w:t xml:space="preserve">Электронные аукционы на право заключения договоров аренды земельных участков (далее – аукцион) проводятся в соответствии со статьями 39.11, 39.12, 39.13, 39.18 Земельного кодекса Российской Федерации,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в муниципальной собственности города Перми, и участках, собственность на которые не разграничена, или на право заключения договоров аренды земельных участков, находящихся в муниципальной собственности города Перми, </w:t>
      </w:r>
      <w:r>
        <w:rPr>
          <w:rFonts w:eastAsia="Droid Sans Fallback" w:cs="Lohit Devanagari"/>
          <w:color w:val="000000"/>
          <w:sz w:val="24"/>
          <w:szCs w:val="24"/>
          <w:shd w:fill="FFFFFF" w:val="clear"/>
          <w:lang w:val="ru-RU" w:eastAsia="zh-CN" w:bidi="ar-SA"/>
        </w:rPr>
        <w:t>и участков, собственность на которые не разграничена» (далее – комиссия), регламентом работы электронной площадки АО «Сбербанк-АСТ», регламентом работы торговой секции АО «Сбербанк-АСТ».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</w:rPr>
      </w:pPr>
      <w:r>
        <w:rPr>
          <w:b/>
          <w:bCs/>
        </w:rPr>
        <w:t xml:space="preserve">Орган, принявший решение о проведении аукциона: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Hyperlink"/>
          <w:bCs/>
          <w:sz w:val="24"/>
          <w:szCs w:val="24"/>
          <w:lang w:val="en-US"/>
        </w:rPr>
        <w:t>dzo@perm.permkrai.ru.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</w:rPr>
        <w:t xml:space="preserve">Организатор аукциона </w:t>
      </w:r>
      <w:r>
        <w:rPr>
          <w:bCs/>
        </w:rPr>
        <w:t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>департамент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>dio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perm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permkrai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b/>
          <w:bCs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sz w:val="24"/>
          <w:szCs w:val="24"/>
        </w:rPr>
      </w:pPr>
      <w:r>
        <w:rPr>
          <w:b/>
          <w:bCs/>
        </w:rPr>
        <w:t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16"/>
          <w:szCs w:val="24"/>
        </w:rPr>
        <w:t xml:space="preserve"> </w:t>
      </w:r>
      <w:r>
        <w:rPr>
          <w:bCs/>
          <w:sz w:val="24"/>
          <w:szCs w:val="28"/>
        </w:rPr>
        <w:t xml:space="preserve"> </w:t>
      </w:r>
      <w:r>
        <w:rPr>
          <w:bCs/>
          <w:sz w:val="24"/>
          <w:szCs w:val="28"/>
        </w:rPr>
        <w:t>28.08.2026 № 059-19-01-11-141.</w:t>
      </w:r>
    </w:p>
    <w:p>
      <w:pPr>
        <w:pStyle w:val="BodyTextIndent3"/>
        <w:numPr>
          <w:ilvl w:val="0"/>
          <w:numId w:val="0"/>
        </w:numPr>
        <w:spacing w:before="0" w:after="0"/>
        <w:ind w:firstLine="567" w:left="-567"/>
        <w:jc w:val="both"/>
        <w:outlineLvl w:val="0"/>
        <w:rPr>
          <w:rFonts w:eastAsia="Courier New"/>
          <w:b/>
          <w:color w:val="000000"/>
          <w:lang w:val="ru-RU" w:bidi="ru-RU"/>
        </w:rPr>
      </w:pPr>
      <w:r>
        <w:rPr>
          <w:sz w:val="24"/>
          <w:szCs w:val="24"/>
          <w:lang w:val="ru-RU"/>
        </w:rPr>
        <w:t xml:space="preserve">Извещение о проведение электронных аукционов размещается на официальном сайте Российской Федерации для размещения информации о проведении торгов </w:t>
      </w:r>
      <w:hyperlink r:id="rId2" w:tgtFrame="http://www.torgi.gov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torgi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gov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color w:val="000000"/>
          <w:sz w:val="24"/>
          <w:szCs w:val="24"/>
          <w:u w:val="none"/>
        </w:rPr>
        <w:t xml:space="preserve"> </w:t>
        <w:br/>
        <w:t>(далее – ГИС Торги)</w:t>
      </w:r>
      <w:r>
        <w:rPr>
          <w:b/>
          <w:sz w:val="24"/>
          <w:szCs w:val="24"/>
          <w:lang w:val="ru-RU"/>
        </w:rPr>
        <w:t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</w:t>
        <w:br/>
        <w:t xml:space="preserve">в информационно-телекоммуникационной сети «Интернет» </w:t>
      </w:r>
      <w:hyperlink r:id="rId3" w:tgtFrame="http://www.gorodperm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gorodperm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4" w:tgtFrame="http://utp.sberbank-ast.ru/">
        <w:r>
          <w:rPr>
            <w:rStyle w:val="Hyperlink"/>
            <w:sz w:val="24"/>
            <w:szCs w:val="24"/>
          </w:rPr>
          <w:t>http</w:t>
        </w:r>
        <w:r>
          <w:rPr>
            <w:rStyle w:val="Hyperlink"/>
            <w:sz w:val="24"/>
            <w:szCs w:val="24"/>
            <w:lang w:val="ru-RU"/>
          </w:rPr>
          <w:t>://</w:t>
        </w:r>
        <w:r>
          <w:rPr>
            <w:rStyle w:val="Hyperlink"/>
            <w:sz w:val="24"/>
            <w:szCs w:val="24"/>
          </w:rPr>
          <w:t>utp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sberbank</w:t>
        </w:r>
        <w:r>
          <w:rPr>
            <w:rStyle w:val="Hyperlink"/>
            <w:sz w:val="24"/>
            <w:szCs w:val="24"/>
            <w:lang w:val="ru-RU"/>
          </w:rPr>
          <w:t>-</w:t>
        </w:r>
        <w:r>
          <w:rPr>
            <w:rStyle w:val="Hyperlink"/>
            <w:sz w:val="24"/>
            <w:szCs w:val="24"/>
          </w:rPr>
          <w:t>ast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ru</w:t>
        </w:r>
      </w:hyperlink>
      <w:r>
        <w:rPr>
          <w:bCs/>
          <w:sz w:val="24"/>
          <w:szCs w:val="24"/>
          <w:lang w:val="ru-RU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>:</w:t>
      </w:r>
      <w:r>
        <w:rPr>
          <w:rFonts w:eastAsia="Courier New" w:cs="Courier New" w:ascii="Courier New" w:hAnsi="Courier New"/>
          <w:color w:val="000000"/>
          <w:lang w:bidi="ru-RU"/>
        </w:rPr>
        <w:t xml:space="preserve"> </w:t>
      </w:r>
      <w:hyperlink r:id="rId5" w:tgtFrame="http://utp.sberbank-ast.ru/">
        <w:r>
          <w:rPr>
            <w:rStyle w:val="Hyperlink"/>
          </w:rPr>
          <w:t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</w:t>
        <w:br/>
        <w:t xml:space="preserve">(далее – торговая секция).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>Владелец электронной площадки</w:t>
      </w:r>
      <w:r>
        <w:rPr>
          <w:rFonts w:eastAsia="Courier New"/>
          <w:color w:val="000000"/>
          <w:lang w:eastAsia="en-US" w:bidi="ru-RU"/>
        </w:rPr>
        <w:t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6" w:tgtFrame="https://utp.sberbank-ast.ru/Main/Notice/988/Reglament">
        <w:r>
          <w:rPr>
            <w:rStyle w:val="Hyperlink"/>
            <w:rFonts w:eastAsia="Courier New"/>
            <w:lang w:bidi="ru-RU"/>
          </w:rPr>
          <w:t>https://utp.sberbank-ast.ru/Main/Notice/988/Reglament</w:t>
        </w:r>
      </w:hyperlink>
      <w:r>
        <w:rPr>
          <w:rFonts w:eastAsia="Courier New"/>
          <w:lang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7" w:tgtFrame="https://utp.sberbank-ast.ru/AP/Notice/1027/Instructions">
        <w:r>
          <w:rPr>
            <w:rStyle w:val="Hyperlink"/>
            <w:rFonts w:eastAsia="Calibri"/>
            <w:lang w:eastAsia="en-US"/>
          </w:rPr>
          <w:t>https://utp.sberbank-ast.ru/AP/Notice/1027/Instructions</w:t>
        </w:r>
      </w:hyperlink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>размещена по адресу:</w:t>
      </w:r>
      <w:r>
        <w:rPr>
          <w:rFonts w:eastAsia="Calibri" w:cs="Calibri" w:ascii="Calibri" w:hAnsi="Calibri"/>
          <w:sz w:val="22"/>
          <w:szCs w:val="22"/>
          <w:lang w:eastAsia="en-US"/>
        </w:rPr>
        <w:t xml:space="preserve"> </w:t>
      </w:r>
      <w:hyperlink r:id="rId8" w:tgtFrame="https://utp.sberbank-ast.ru/AP/Notice/652/Instructions">
        <w:r>
          <w:rPr>
            <w:rStyle w:val="Hyperlink"/>
            <w:bCs/>
            <w:lang w:eastAsia="en-US" w:bidi="ru-RU"/>
          </w:rPr>
          <w:t>https://utp.sberbank-ast.ru/AP/Notice/652/Instructions</w:t>
        </w:r>
      </w:hyperlink>
      <w:r>
        <w:rPr>
          <w:bCs/>
          <w:lang w:eastAsia="en-US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highlight w:val="none"/>
        </w:rPr>
      </w:pPr>
      <w:r>
        <w:rPr>
          <w:b/>
          <w:bCs/>
        </w:rPr>
        <w:t xml:space="preserve">Орган, уполномоченный на право заключение договора аренды земельного участка: </w:t>
      </w:r>
      <w:r>
        <w:rPr>
          <w:bCs/>
        </w:rPr>
        <w:t xml:space="preserve">департамент земельных отношений администрации города Перми, местонахождение: 614000, </w:t>
        <w:br/>
        <w:t>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Hyperlink"/>
          <w:bCs/>
          <w:sz w:val="24"/>
          <w:szCs w:val="24"/>
          <w:lang w:val="en-US"/>
        </w:rPr>
        <w:t>dzo</w:t>
      </w:r>
      <w:r>
        <w:rPr>
          <w:rStyle w:val="Hyperlink"/>
          <w:bCs/>
          <w:sz w:val="24"/>
          <w:szCs w:val="24"/>
        </w:rPr>
        <w:t>@</w:t>
      </w:r>
      <w:r>
        <w:rPr>
          <w:rStyle w:val="Hyperlink"/>
          <w:bCs/>
          <w:sz w:val="24"/>
          <w:szCs w:val="24"/>
          <w:lang w:val="en-US"/>
        </w:rPr>
        <w:t>perm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permkrai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ru.</w:t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b/>
          <w:bCs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Сведения о лотах (предметах аукциона)</w:t>
      </w:r>
    </w:p>
    <w:p>
      <w:pPr>
        <w:pStyle w:val="PlainText"/>
        <w:spacing w:lineRule="exact" w:line="240"/>
        <w:ind w:hanging="1134" w:left="1134"/>
        <w:jc w:val="center"/>
        <w:rPr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1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от 30 июня 2026 г. № 21-01-03-4544 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shd w:fill="auto" w:val="clear"/>
                <w:lang w:val="ru-RU" w:eastAsia="ru-RU" w:bidi="ar-SA"/>
              </w:rPr>
              <w:t>Орджоникидзевском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 районе города Перми»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,                    от 12 августа 2026 г.  № 21-01-03-5665 «О внесении изменений  в абзац первый пункта 1 распоряжения начальника департамента земельных отношений администрации города Перми от 30 июня 2026 г. № 21-01-03-4544 «О проведении аукциона на право заключения договора аренды земельного участка в Орджоникидзевском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Ромашковая, з/у 9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59:01:3512039:129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Ж-4 «Зона индивидуальной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16.07.2026г. № КУВИ-001/2026-96440653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22.06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РФ-59-2-03-0-00-2026-1640-0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2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Доступ к Участку не ограничен, состояние рельефа – ровное. На Участке произрастают многолетние хвойные и лиственные деревья, низкорослые кустарники. Объектов движимого и/или недвижимого имущества не выявлено.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Ближайший источник противопожарного водоснабжения, относительно испрашиваемого Участка является – пожарный резервуар расположен по адресу: Пермский край, г. Пермь, Орджоникидзевский район, ул. Прохладная, 20.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администрации Орджоникидзевского района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от 15.06.2026 № 059-37-01-32/3-3397, в акте обследования от 11.06.2026 № 52</w:t>
            </w:r>
            <w:r>
              <w:rPr>
                <w:color w:val="auto"/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 копией планшета масштаба 1:500 (требуется корректура) на Участке отсутствуют капитальные и некапитальные строения.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Согласно сведениям ЕГРН, ГПЗУ и справке </w:t>
              <w:br/>
              <w:t xml:space="preserve">по градостроительным условиям участка от 16.07.2026 </w:t>
              <w:br/>
              <w:t xml:space="preserve">№ 687036 </w:t>
            </w:r>
            <w:r>
              <w:rPr>
                <w:b w:val="false"/>
                <w:bCs w:val="false"/>
                <w:color w:val="auto"/>
                <w:sz w:val="24"/>
                <w:szCs w:val="24"/>
                <w:highlight w:val="white"/>
              </w:rPr>
              <w:t>сведения о границах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зон с особыми условиями использования территории отсутствуют</w:t>
            </w:r>
            <w:r>
              <w:rPr>
                <w:b w:val="false"/>
                <w:bCs w:val="false"/>
                <w:color w:val="auto"/>
                <w:sz w:val="24"/>
                <w:szCs w:val="24"/>
                <w:highlight w:val="white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На Участке произрастает 632 шт. деревьев породы «береза», «липа», «рябина», «ива».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Средняя стоимость в ценах 2026 года одного дерева лиственной породы от 40 тыс. руб., а хвойной – от 50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 xml:space="preserve">Победителю аукциона необходимо соблюдать условия строительства, перечисленные в перечне мероприятий </w:t>
              <w:br/>
              <w:t>по охране окружающей среды от 10.06.2026 № 132.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управления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10.06.2026 № 059-33-01-10/3-334).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 на период 2025-2029 годы и Программой комплексного развития транспортной инфраструктуры города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Перми </w:t>
              <w:br/>
              <w:t>на 2025-2029 годы, утвержденной Решением Пермской городской Думы от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16.12.2025 № 238, мероприятия </w:t>
              <w:br/>
              <w:t>по строительству,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реконструкции,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капитальному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ремонту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улично-дорожной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сети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рассматриваемой территории </w:t>
              <w:br/>
              <w:t>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</w:rPr>
              <w:t>В отношении территории, в границах которой расположен Участок, постановлением администрации города Перми от 09.10.2019 № 654 утверждены проект планировки территории и проект межевания территории.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Для примыкания Участка к улично-дорожной сети города Перми н</w:t>
            </w:r>
            <w:r>
              <w:rPr>
                <w:rFonts w:eastAsia="Times New Roman" w:cs="Times New Roman"/>
                <w:color w:themeColor="text1" w:val="000000"/>
                <w:sz w:val="24"/>
              </w:rPr>
              <w:t>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/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 xml:space="preserve">По информации, имеющейся в департаменте дорог </w:t>
              <w:br/>
              <w:t>и благоустройства администрации города Перми, улично-дорожная сеть для обеспечения доступа к участку отсутствует. Примыкание рассматриваемого  земельного участка к улично-дорожной сети возможно при строительстве улично-дорожной сети, обеспечивающей доступ к земельным участкам.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В соответствии с Федеральным законом от 08.11.2007 № 257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, расходы на строительства, реконструкцию, капитальный ремонт, ремонт пересечений и примыканий, в том числе расходы </w:t>
              <w:br/>
              <w:t xml:space="preserve">на выполнение дополнительных работ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осуществляется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департамента дорог и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благоустройства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 от 04.06.2026 № 059-24-01-36/3-1777).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Ближайший источник противопожарного водоснабжения (пожарный гидрант на сети водоснабжения) расположен на расстоянии 315 метров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 адресу: ул Васильевская, 15.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Информация о подразделениях пожарной охраны </w:t>
              <w:br/>
              <w:t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Волховская, 37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(ПСЧ-57 10-ПСО).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Помещения для аварийно-спасательных служб и (или) аварийно- 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Объект общественной безопасности, отнесенный </w:t>
              <w:br/>
              <w:t>к объектам полиции (участковые пункты полиции), расположен по адресу: г. Пермь,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ул. Бенгальская, 6 (Орджоникидзевский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информации, предоставленной Министерством территориальной безопасности Пермского края (письмо </w:t>
              <w:br/>
              <w:t>от 07.10.2020 № 964с), рассматриваемая территория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/>
              <w:t>Данная территория находится в зоне действия региональной системы оповещения населения города Перми, установленной по адресу: ул. Бенгальская, д. 2 – 1500 метров.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04.06.2026 № 059-10-01-27/3-803).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9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  <w:br/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Согласно информации, содержащейся в ГПЗУ, предельная высота зданий, строений не более 10,5 м (документация по планировке территории, утвержденная постановлением администрации города Перми от 22.12.2017 № 1178).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Минимальный отступ от границ земельного участка </w:t>
              <w:br/>
              <w:t>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Максимальный выступ за красную линию нависающих частей здания наземных уровней, выступающих </w:t>
              <w:br/>
              <w:t>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процент застройки в границах Участка – 30%.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sz w:val="24"/>
                <w:highlight w:val="white"/>
              </w:rPr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0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 № 861 (далее –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Дополнительно сообщается, что в границах Участка сетей ПАО «Россети Урал» и их охранных зон нет.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федеральный портал электросетевых услуг группы компаний «Россети» на сайте: </w:t>
            </w:r>
            <w:hyperlink r:id="rId11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</w:t>
              <w:br/>
              <w:t xml:space="preserve">г. Пермь, ул. Камчатовская, д. 26, а также почтовым отправлением по адресу: 314016, г. Пермь, </w:t>
              <w:br/>
              <w:t>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филиала ПАО «Россети Урал» - «Пермэнерго» </w:t>
            </w:r>
            <w:r>
              <w:rPr>
                <w:color w:val="auto"/>
                <w:sz w:val="24"/>
                <w:szCs w:val="24"/>
                <w:highlight w:val="white"/>
              </w:rPr>
              <w:t>от 09.06.2026 № ПЭ/ПГЭС/01/22/8644).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szCs w:val="24"/>
                <w:highlight w:val="white"/>
                <w:vertAlign w:val="superscript"/>
              </w:rPr>
              <w:t>3</w:t>
            </w:r>
            <w:r>
              <w:rPr>
                <w:sz w:val="24"/>
                <w:szCs w:val="24"/>
                <w:highlight w:val="white"/>
              </w:rPr>
              <w:t>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заявку с приложением необходимых документов в соответствии с постановлением Правительства 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АО «Газпром газораспределение Пермь»</w:t>
            </w:r>
            <w:r>
              <w:rPr>
                <w:color w:val="auto"/>
                <w:sz w:val="24"/>
                <w:szCs w:val="24"/>
                <w:highlight w:val="white"/>
              </w:rPr>
              <w:t>от 09.06.2026 № ПФ-4339).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Ближайшей сетью водоснабжения, эксплуатируемой </w:t>
              <w:br/>
              <w:t xml:space="preserve">ООО «НОВОГОР Прикамье», является водопровод </w:t>
              <w:br/>
              <w:t>Д-150 мм, по ул. Железнодорожная.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 связи с тем, что в месте расположения Участка отсутствуют сети канализации, может быть применен альтернативный способ канализования, без подключения к централизованной системе канализации г. Перми (отвод стоков возможен на локальные очистные сооружения , либо в выгребную яму, с последующим вывозом стоков спец. Машинами), при этом состав канализационных стоков должен соответствовать всем норматиным требованиям РФ.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76913C"/>
                <w:sz w:val="25"/>
                <w:szCs w:val="25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Для сведения сообщаем, что в границах Участка отсутствуют сети водопровода и канализации, эксплуатируемые ООО «НОВОГОР — Прикамье».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ООО «НОВО</w:t>
            </w:r>
            <w:bookmarkStart w:id="0" w:name="undefined_Копия_1"/>
            <w:bookmarkEnd w:id="0"/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ГОР-Прикамье» </w:t>
            </w:r>
            <w:r>
              <w:rPr>
                <w:color w:val="auto"/>
                <w:sz w:val="24"/>
                <w:szCs w:val="24"/>
                <w:highlight w:val="white"/>
              </w:rPr>
              <w:t>от 08.06.2026 № 110-8463).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Участок расположен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филиала «Пермский ПАО «Т Плюс»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08.06.2026 № 51000-32-02240).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tabs>
                <w:tab w:val="clear" w:pos="708"/>
                <w:tab w:val="left" w:pos="1589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  <w:highlight w:val="white"/>
              </w:rPr>
              <w:t>В качестве альтернативного энергоресурса рекомендовано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auto"/>
                <w:sz w:val="24"/>
                <w:szCs w:val="24"/>
                <w:highlight w:val="white"/>
              </w:rPr>
              <w:t>от 16.06.2026 № 059-04-17/3-493-ри).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Техническое присоединение планируемых к строительству объектов в границах Участка может быть произведено к узлу ВОЛС (г. Пермь, ул. Бенгальская, 14А), максимальную нагрузку в точке подключения (технологического присоединения) определить на стадии проектирования. В границах земельного участка сетей связи ПАО «Ростелеком» и их охранных зон нет.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Для подключения (технологического присоединения) вышеуказанного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заявки о заключении договора о подключении в порядке, определенном действующим законодательством.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color w:val="000000"/>
                <w:sz w:val="24"/>
                <w:szCs w:val="24"/>
                <w:highlight w:val="white"/>
              </w:rPr>
              <w:t>Для получения технических условий на подключение к сетям связи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ПАО «Ростелеком» необходимо обратиться в Отдел продаж и обслуживания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по адресу: г. Пермь, ул. Крупской, 2, тел.: (342) 235-57-34 или направить запрос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на </w:t>
            </w:r>
            <w:hyperlink r:id="rId12">
              <w:r>
                <w:rPr>
                  <w:rStyle w:val="Hyperlink"/>
                  <w:color w:val="000000"/>
                  <w:sz w:val="24"/>
                  <w:szCs w:val="24"/>
                  <w:highlight w:val="white"/>
                </w:rPr>
                <w:t>perm-mail@ural.rt.ru</w:t>
              </w:r>
            </w:hyperlink>
            <w:r>
              <w:rPr>
                <w:color w:val="000000"/>
                <w:sz w:val="24"/>
                <w:szCs w:val="24"/>
                <w:highlight w:val="white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>ПАО «Ростелеком»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от 04.06.2026 № 01/05/92953/26</w:t>
            </w:r>
            <w:r>
              <w:rPr>
                <w:color w:val="auto"/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>На территории, где расположен Участок, схемами не предусмотрено строительство сетей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водоснабжения </w:t>
            </w:r>
            <w:r>
              <w:rPr>
                <w:sz w:val="24"/>
                <w:szCs w:val="24"/>
              </w:rPr>
              <w:t>и водоотведения.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>Для определения технической возможности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подключения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объекта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капитального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строительства к сетям водоснабжения 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водоотведения необходимо обратиться 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гарантирующей организации для проведения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гидравлического расчета.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10.06.2026 № 059-04-17/3-482-ри).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1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1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166 000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8 300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 xml:space="preserve">в соответствии с законодательством иностранного государства </w:t>
              <w:br/>
              <w:t>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83 000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28.05.2026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1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2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от 02 июня 2026 г. № 21-01-03-3697 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shd w:fill="auto" w:val="clear"/>
                <w:lang w:val="ru-RU" w:eastAsia="ru-RU" w:bidi="ar-SA"/>
              </w:rPr>
              <w:t>Орджоникидзевском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Набережная, з/у 30а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59:01:3610013:1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15.06.2026г. № КУВИ-001/2026-80463053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15.04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РФ-59-2-03-0-00-2026-0829-0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4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Состояние рельефа – уклон. На обследуемом участке произрастают многолетние лиственные и хвойные деревья. Со стороны ул. Набережная установлен деревянный забор, в момент обследования находился в ветхом состоянии.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Близлежащие пожарные гидранты: Пермский край, </w:t>
              <w:br/>
              <w:t>г. Пермь, Орджоникидзевский район, ул. Ленина (Голованово) между жилыми домами 10 и 12, ул. Зелёная, в непосредственной близости расположен водный объект р. Васильевка.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администрации Орджоникидзевского района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10.04.2026 № 059-37-01-32/3-2056, в акте обследования от 08.04.2026</w:t>
            </w:r>
            <w:r>
              <w:rPr>
                <w:color w:themeColor="text1" w:val="000000"/>
                <w:sz w:val="24"/>
                <w:szCs w:val="24"/>
              </w:rPr>
              <w:t xml:space="preserve"> № 28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В соответствии со сведениями ЕГРН объекты капитального/некапитального строительства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В соответствии с копией планшета М 1:500 (требуется корректура)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 с севера пр границе Участка расположено ограждение – деревянный забор. О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бъекты капитального или некапитального строительства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Согласно сведениям, содержащимся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 в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ЕГРН, ГПЗУ </w:t>
              <w:br/>
              <w:t xml:space="preserve">и справке по градостроительным условиям участка </w:t>
              <w:br/>
              <w:t>от 15.06.2026 № 683257 Участок расположен в границах зоны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частично, площадью 245 кв.м, в границах прибрежной защитной полосы Камского</w:t>
            </w:r>
            <w:r>
              <w:rPr>
                <w:color w:themeColor="text1" w:val="000000"/>
                <w:sz w:val="24"/>
                <w:szCs w:val="24"/>
              </w:rPr>
              <w:t xml:space="preserve"> водохранилища, реестровый номер 59:01-6.4321;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частично, площадью 245 кв.м, в границах </w:t>
            </w:r>
            <w:r>
              <w:rPr>
                <w:color w:themeColor="text1" w:val="000000"/>
                <w:sz w:val="24"/>
                <w:szCs w:val="24"/>
              </w:rPr>
              <w:t>водоохранной зоны Камского водохранилища, реестровый номер 59:01-6.1326.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Необходимо соблюдать ограничения, установленные ст. 65 Водного кодекса Российской Федерации от 03.06.2026 г № 74-ФЗ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color w:themeColor="text1" w:val="000000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Проектировании и строительстве вести в соответствии с приказом Камского бассейнового водного управления Федерального агентства водных ресурсов № 163 от 07.07.2014 "Об установлении границ водоохранных зон и 247 прибрежных защитных полос Камского водохранилища".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На Участке произрастает 40 штук деревьев: черемуха – 2 шт., клен - 2 шт., ель – 4 шт., береза - 7 шт., осина - 8 шт., ива - 17 шт.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Средняя стоимость в ценах 2026 года одного дерева лиственной породы 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14:ligatures w14:val="non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  <w:t xml:space="preserve">перечне мероприятий </w:t>
              <w:br/>
              <w:t>по охране окружающей среды от 21.04.2026 № 76.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sz w:val="24"/>
                <w:szCs w:val="24"/>
                <w:highlight w:val="white"/>
              </w:rPr>
              <w:t>у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правления по экологии и природопользованию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22.04.2026 № 059-33-01-10/3-226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 </w:t>
              <w:br/>
              <w:t>«Об утверждении муниципальной программы «Дорожная деятельность и благоустройство города Перми»,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осуществляются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sz w:val="24"/>
                <w:szCs w:val="24"/>
                <w:highlight w:val="white"/>
              </w:rPr>
              <w:t>д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епартамента дорог и благоустройства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01.04.2026 № 059-24-01-36/3-911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Источники противопожарного водоснабжения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Василия Каменского, 2 </w:t>
              <w:br/>
              <w:t>(ПСЧ-4 10-ПСО).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Помещения для аварийно-спасательных служб и (или) аварийно - 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Объекты общественной безопасности, отнесенные к объектам полиции (участковые пункты полиции) в данном микрорайоне (Голованово) отсутствуют. Ближайший участковый пункт расположен по адресу: г. Пермь, ул. Бенгальская, 6 (микрорайон Бумкомбинат, 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 - 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themeColor="text1" w:val="000000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  <w:t xml:space="preserve"> от 31.03.2026 № 059-10-01-27/3-469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themeColor="text1" w:val="000000"/>
                <w:sz w:val="24"/>
                <w:szCs w:val="24"/>
              </w:rPr>
              <w:t>На период до 2028 года 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строительство сетей водоснабжения в мкр. Голованово не предусмотрено.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03.04.2026 № 059-04-17/3-265-ри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3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  <w:br/>
            </w:r>
            <w:r>
              <w:rPr>
                <w:color w:themeColor="text1" w:val="000000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themeColor="text1" w:val="000000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, спальни - 8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); кухни - 8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themeColor="text1" w:val="000000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themeColor="text1"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themeColor="text1" w:val="000000"/>
                <w:sz w:val="24"/>
                <w:szCs w:val="24"/>
              </w:rPr>
              <w:br/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минимальный отступ от границ Участка до места допустимого размещения зданий, строений </w:t>
              <w:br/>
              <w:t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</w:rPr>
              <w:t>м</w:t>
            </w:r>
            <w:r>
              <w:rPr>
                <w:color w:themeColor="text1" w:val="000000"/>
                <w:sz w:val="24"/>
                <w:highlight w:val="white"/>
              </w:rPr>
              <w:t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документации по планировке территории, утвержденной постановлением администрации города Перми от 22.12.2017 № 1178, предельная высота жилой застройки – до 10,5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4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границах участка отсутствуют сети и охранные зоны </w:t>
              <w:br/>
              <w:t>ПАО «Россети Урал».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Согласно пунктам 15, 25, 25.1 Правил ТП технические условия являются неотъемлемым приложением </w:t>
              <w:br/>
              <w:t>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15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При подготовке градостроительного плана земельного участка необходимо предусмотреть коридоры </w:t>
              <w:br/>
              <w:t>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филиала </w:t>
            </w:r>
            <w:r>
              <w:rPr>
                <w:b/>
                <w:bCs/>
                <w:color w:themeColor="text1" w:val="000000"/>
                <w:sz w:val="24"/>
                <w:szCs w:val="24"/>
                <w:highlight w:val="white"/>
              </w:rPr>
              <w:t xml:space="preserve">ПАО «Россети Урал» - «Пермэнерго» Пермские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городские электрические сети»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09.04.2026 № ПЭ/ПГЭС/01/22/4983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Участок находится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</w:t>
              <w:br/>
              <w:t>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ПАО «Т Плюс»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03.04.2026 № 51000-32-01295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к сетям теплоснабжения отсутствует. Рекомендовано рассмотреть альтернативный источник теплоснабжения – газ, электричество, дрова, пеллеты.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17.04.2026 № 059-04-25/3-62-ри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themeColor="text1" w:val="000000"/>
                <w:sz w:val="24"/>
                <w:szCs w:val="24"/>
              </w:rPr>
              <w:t>от 27.05.2026 № ПФ-3960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Ближайшей точкой подключения к сетям водоснабжения, эксплуатируемой ООО «НОВОГОР - Прикамье» является сеть водопровода Д - 100 мм по ул. Набережная, з/у 30a ориентировочное расстояние от земельного участка - 70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В районе вышеуказанного земельного участка отсутствуют центральные сети канализации эксплуатируемые ООО «Новогор-Прикамье».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Альтернативный способ канализования, </w:t>
              <w:br/>
              <w:t>без подключения к централизованной системе канализации г. Перми (отвод стоков возможен на локальные очистные сооружения либо 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В границах земельного участка отсутствуют сети водопровода и канализации, эксплуатируемые ООО «НОВОГОР - Прикамье».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При этом обращаем Ваше внимание, размещение объекта необходимо предусматривать строго за пределами охранных зон сетей водопровода и канализации в соответствии норм CП, в том числе в соответствии таблицы 12.5 CП 42.13330.2016 «Градостроительство планировка и застройка городских </w:t>
              <w:br/>
              <w:t>и сельских поселений».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ООО «НОВОГОР - Прикамье»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02.04.2026 № 110-4614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Бенгальская, д. 14а),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themeColor="text1" w:val="000000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Для получения технических условий на подключение </w:t>
              <w:br/>
              <w:t>к сетям связи необходимо направить запрос по адресу:</w:t>
              <w:br/>
              <w:t xml:space="preserve">г. Пермь, ул. Крупской, 2, тел.: (342) 235-57-34 или на </w:t>
            </w:r>
            <w:hyperlink r:id="rId16" w:tgtFrame="http://perm-mail@ural.rt.ru">
              <w:r>
                <w:rPr>
                  <w:rStyle w:val="Hyperlink"/>
                  <w:b w:val="false"/>
                  <w:bCs w:val="false"/>
                  <w:color w:themeColor="text1" w:val="000000"/>
                  <w:sz w:val="24"/>
                  <w:szCs w:val="24"/>
                </w:rPr>
                <w:t>perm-mail@ural.rt.ru</w:t>
              </w:r>
            </w:hyperlink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ПАО «Ростелеком» 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от 01.04.2026 № 01/05/49802/26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3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3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201 900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10 095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 xml:space="preserve">в соответствии с законодательством иностранного государства </w:t>
              <w:br/>
              <w:t>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>
              <w:rPr>
                <w:b/>
                <w:bCs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39.11 Земельного кодекса Российской Федерации, аукцион является открытым по составу участников.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100 950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3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3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от 27 марта 2026 г. № 21-01-03-1985 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shd w:fill="auto" w:val="clear"/>
                <w:lang w:val="ru-RU" w:eastAsia="ru-RU" w:bidi="ar-SA"/>
              </w:rPr>
              <w:t>Кировском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Нижнекамская, з/у 24а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59:01:1717003:142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27.05.2026г. № КУВИ-001/2026-71922446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19.03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РФ-59-2-03-0-00-2026-0544-0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6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Земельный участок огорожен деревянным забором, доступ на участок ограничен. К</w:t>
            </w:r>
            <w:r>
              <w:rPr>
                <w:color w:val="auto"/>
                <w:sz w:val="24"/>
                <w:szCs w:val="24"/>
                <w:highlight w:val="white"/>
              </w:rPr>
              <w:t>апитальные/некапитальные строения на Участке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Капитальные/некапитальные объекты на земельном участке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Близлежащий источник противопожарного водоснабжения относительно земельного участка с кадастровым номером 59:01:1717003:142 расположен по ул. Нижнекамская, 25а (пожарный гидрант).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администрации Кировского района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10.03.2026 № 059-23-01-25/3-75, в акте обследования от 06.03.2026 № б/н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В соответствии со сведениями ЕГРН </w:t>
            </w:r>
            <w:r>
              <w:rPr>
                <w:color w:val="auto"/>
                <w:sz w:val="24"/>
                <w:szCs w:val="24"/>
              </w:rPr>
              <w:t>на участке расположено сооружение электроэнергетики с кадастровым номером 59:01:0000000:46572.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с 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геодезической съемкой, выполненной в 2025 году </w:t>
            </w:r>
            <w:r>
              <w:rPr>
                <w:b w:val="false"/>
                <w:bCs w:val="false"/>
                <w:color w:val="auto"/>
                <w:sz w:val="24"/>
                <w:szCs w:val="24"/>
                <w:highlight w:val="white"/>
              </w:rPr>
              <w:t xml:space="preserve">с запада на восток Участок пересекают сети электроснабжения.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На участке произрастают отдельно стоящие деревья породы сосна. С северо-восточной стороны в границах участка частично расположено ограждение – деревянный забор смежного землепользования, расположенного по адресу: г. Пермь, ул. Нижнекамская, 24. С юга-западной стороны </w:t>
              <w:br/>
              <w:t xml:space="preserve">в границах участка частично расположено ограждение – деревянный забор смежного землепользования </w:t>
              <w:br/>
              <w:t xml:space="preserve">с кадастровым номером 59:01:1717003:4. </w:t>
              <w:br/>
              <w:t>Д</w:t>
            </w:r>
            <w:r>
              <w:rPr>
                <w:color w:val="auto"/>
                <w:sz w:val="24"/>
                <w:szCs w:val="24"/>
              </w:rPr>
              <w:t>оступ на участок ограничен.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Согласно копии планшета М 1:500,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требующего корректуры, с </w:t>
            </w:r>
            <w:r>
              <w:rPr>
                <w:b w:val="false"/>
                <w:bCs w:val="false"/>
                <w:color w:val="auto"/>
                <w:sz w:val="24"/>
                <w:szCs w:val="24"/>
                <w:highlight w:val="white"/>
              </w:rPr>
              <w:t>запада на восток Участок пересекают сети электроснабжения.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С юга - западной стороны в границах участка частично расположено ограждение – деревянный забор смежного землепользования с кадастровым номером 59:01:1717003:4. </w:t>
            </w:r>
            <w:r>
              <w:rPr>
                <w:color w:val="auto"/>
                <w:sz w:val="24"/>
                <w:szCs w:val="24"/>
              </w:rPr>
              <w:t>К</w:t>
            </w:r>
            <w:r>
              <w:rPr>
                <w:color w:val="auto"/>
                <w:sz w:val="24"/>
                <w:szCs w:val="24"/>
                <w:highlight w:val="white"/>
              </w:rPr>
              <w:t>апитальные/некапитальные строения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accent5" w:themeShade="bf" w:val="auto"/>
                <w:sz w:val="24"/>
                <w:szCs w:val="24"/>
                <w:highlight w:val="white"/>
              </w:rPr>
            </w:pPr>
            <w:r>
              <w:rPr>
                <w:color w:themeColor="accent5" w:themeShade="bf"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Согласно сведениям, содержащимся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 в 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ЕГРН, ГПЗУ </w:t>
              <w:br/>
              <w:t xml:space="preserve">и справке по градостроительным условиям участка </w:t>
              <w:br/>
              <w:t>о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т 27.05.2026 № 681123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Участок расположен в границах зон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частично площадью 90 кв.м охранная зона ВЛ 0.4 кВ от ТП 1704, реестровый номер 59:01-6.3582;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частично площадью 8 кв.м зона затопления территории, прилегающих к зарегулированной р. Кама (Воткинскому водохранилищу) в нижнем бьефе Камского гидроузла в г. Перми Пермского края, затапливаемых при пропуске Камским гидроузлом паводков расчетной обеспеченности 1%, реестровый номер 59:00-6.2017;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4" w:themeShade="bf"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частично площадью 90 кв.м в границах зоны действия публичного сервитута, установленного распоряжением начальника департамента  земельных отношений </w:t>
              <w:br/>
              <w:t>от 12.01.2022 № 21-01-03-92 «Об установлении публичного сервитута в отдельных целях», в целях эксплуатации линейного объекта ВЛ-0,4 кВ ТП 1704, входящего в состав электросетевого комплекса «Крым» с кадастровым номером 59:01:0000000:46572, реестровый номер 59:01-6.8727;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полностью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приаэродромная территория аэродрома аэропорта Большое Савино, реестровый номер 59:32-6.55</w:t>
            </w:r>
            <w:r>
              <w:rPr>
                <w:color w:val="auto"/>
                <w:sz w:val="24"/>
                <w:szCs w:val="24"/>
                <w:highlight w:val="white"/>
              </w:rPr>
              <w:t>3</w:t>
            </w:r>
            <w:r>
              <w:rPr>
                <w:color w:val="auto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полностью в границах Прибрежной защитной полосы </w:t>
            </w:r>
            <w:r>
              <w:rPr>
                <w:color w:val="auto"/>
                <w:sz w:val="24"/>
                <w:szCs w:val="24"/>
              </w:rPr>
              <w:t>Воткинского водохранилища, реестровый номер 59:01-6.3928;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полностью в границах </w:t>
            </w:r>
            <w:r>
              <w:rPr>
                <w:color w:val="auto"/>
                <w:sz w:val="24"/>
                <w:szCs w:val="24"/>
              </w:rPr>
              <w:t>водоохранной зоны Воткинского водохранилища, реестровый номер 59:01-6.2096.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Необходимо соблюдать ограничения, установленные ст. 65 Водного кодекса Российской Федерации от 03.06.2026 г № 74-ФЗ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4" w:themeShade="bf"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Проектирование и строительство вести в соответствии: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4" w:themeShade="bf"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с п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остановлением Правительства Российской Федерации от 24.02.2009 № 160 «О порядке установления охранных зон объектов электросетевого хозяйства </w:t>
              <w:br/>
              <w:t>и особых условий использования земельных участков, расположенных в границах таких зон»;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с </w:t>
            </w:r>
            <w:r>
              <w:rPr>
                <w:color w:val="auto"/>
                <w:sz w:val="24"/>
                <w:szCs w:val="24"/>
              </w:rPr>
              <w:t xml:space="preserve">приказом Камского бассейного водного управления Федерального агентства водных ресурсов от 21.11.2022 </w:t>
              <w:br/>
              <w:t xml:space="preserve">№ 239 «Об установлении границ зон затопления </w:t>
              <w:br/>
              <w:t>на территориях, прилегающих к зарегулированной р. Кама (воткинскому водохранилищу) в нижнем бьефе Камского гидроузла в г. Перми Пермского края, затапливаемых при пропуске Камским гидроузлом паводком расчетной обеспеченности 1%, ограничения использования объектов недвижимости в соответствии с частью 3 статьи 67.1 Водного кодекса Российской Федерации);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accent3" w:themeShade="bf" w:val="auto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с </w:t>
            </w:r>
            <w:r>
              <w:rPr>
                <w:color w:val="auto"/>
                <w:sz w:val="24"/>
                <w:szCs w:val="24"/>
                <w:highlight w:val="white"/>
              </w:rPr>
              <w:t>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с приказом Камского бассейного водного управления Федерального агентства водных ресурсов № 164 </w:t>
              <w:br/>
              <w:t>от 07.07.2014 «Об установлении границ водоохранных зон и прибрежных защитных полос Воткинского водохранилища».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 Участке произрастает 111 деревьев: сосна - 24 шт., клен ясенелистный - 56 шт., береза - 31 шт.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Средняя стоимость в ценах 2025 года одного дерева лиственной породы 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>перечне мероприятий по охране окружающей среды от 13.03.2026 № 53.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  <w:highlight w:val="white"/>
              </w:rPr>
              <w:t>у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13.03.2026 № 059-33-01-10/3-152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 </w:t>
              <w:br/>
              <w:t>«Об утверждении муниципальной программы «Дорожная деятельность и благоустройство города Перми»,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</w:t>
            </w:r>
            <w:r>
              <w:rPr>
                <w:color w:val="auto"/>
                <w:sz w:val="24"/>
                <w:szCs w:val="24"/>
              </w:rPr>
              <w:t>ьному ремонту улично-дорожной сети на рассматриваемой терр</w:t>
            </w:r>
            <w:r>
              <w:rPr>
                <w:color w:val="auto"/>
                <w:sz w:val="24"/>
                <w:szCs w:val="24"/>
                <w:highlight w:val="white"/>
              </w:rPr>
              <w:t>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осуществляются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департамента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10.03.2026 № 059-24-01-36/3-640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Источники противопожарного водоснабжения (далее - ИПВ) на указанной территории отсутствует.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 выезда подразделений Пермского местного пожарно - спасательного гарнизона для тушения пожаров и проведения аварийно - 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Сысольская, 16 (ПСЧ-6 </w:t>
              <w:br/>
              <w:t>10-ПСО).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При планировке и размещении объектов на вышеуказанной территории необходимо соблюдать нормы и требования действующего законодательства: федеральных законов от 21 декабря 1994 г. № 69-ФЗ «О пожарной безопасности» и от 22 июля 2008 г. № 123-ФЗ «Технический регламент о требованиях пожарной безопасности», Свода правил 8.13130. «Системы противопожарной защиты. Источники наружного противопожарного водоснабжения. Требования пожарной безопасности», утвержденных приказом МЧС России от 30.03.2020 № 225, Свода правил 4.13130 «Системы противопожарной защиты. Ограничение распространения пожара на объектах защиты. Требования к объемно - планировочным и конструктивным решениям», утвержденных Приказом МЧС России от 24.04.2013 № 288 и иной документации, касающейся норм противопожарной безопасности.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Объекты общественной безопасности, отнесенные </w:t>
              <w:br/>
              <w:t xml:space="preserve">к объектам полиции (участковые пункты полиции), </w:t>
              <w:br/>
              <w:t>в данном микрорайоне расположены по адресу: г. Пермь, ул. Генерала Панфилова, 6/1 (микрорайон Крым, Кировский район). В настоящее время в указанном микрорайоне строительство (приобретение)участковых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В соответствии с информацией, предоставленной Министерством территориальной безопасности Пермского края (письмо от 07.10.2020 № 964-с), данная территория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Территория находится в зоне действия региональной автоматизированной системы централизованного оповещения населения города Перми, установленной по адресу: ул. Генерала Панфилова, 10 – 1500 метров.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val="auto"/>
                <w:sz w:val="24"/>
                <w:szCs w:val="24"/>
                <w:highlight w:val="white"/>
              </w:rPr>
              <w:t xml:space="preserve"> от 10.03.2026 № 059-10-01-27/3-349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sz w:val="24"/>
                <w:szCs w:val="24"/>
              </w:rPr>
              <w:t>На период до 2028 года на территории, где расположен Участок, схемами предусмотрено строительство сетей водоснабжения в мкр. Крым.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sz w:val="24"/>
                <w:szCs w:val="24"/>
                <w:highlight w:val="white"/>
              </w:rPr>
              <w:t xml:space="preserve"> от 11.03.2026 № 059-04-17/3-185-ри).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7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  <w:br/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</w:t>
              <w:br/>
              <w:t xml:space="preserve">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минимальный отступ от границ Участка до места допустимого размещения зданий, строений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</w:rPr>
              <w:t>м</w:t>
            </w:r>
            <w:r>
              <w:rPr>
                <w:color w:val="auto"/>
                <w:sz w:val="24"/>
                <w:highlight w:val="white"/>
              </w:rPr>
              <w:t>аксимальный выступ за красную линию нависающих частей здания наземных уровней, выступающих из плоскости наружной стены фасада здания на высоте</w:t>
              <w:br/>
              <w:t>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предельная высота зданий, строений – согласно документации по планировке территории, утвержденной постановлением администрации города Перми </w:t>
              <w:br/>
              <w:t>от 17.12.2018 № 986, до 10,5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8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Порядок технологического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</w:t>
              <w:br/>
              <w:t>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19" w:tgtFrame="https://">
              <w:r>
                <w:rPr>
                  <w:rStyle w:val="Hyperlink"/>
                  <w:color w:val="auto"/>
                  <w:sz w:val="24"/>
                  <w:szCs w:val="24"/>
                </w:rPr>
                <w:t>https://</w:t>
              </w:r>
            </w:hyperlink>
            <w:r>
              <w:rPr>
                <w:color w:val="auto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 подготовке градостроительного плана земельного участка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филиала </w:t>
            </w:r>
            <w:r>
              <w:rPr>
                <w:b/>
                <w:bCs/>
                <w:color w:val="auto"/>
                <w:sz w:val="24"/>
                <w:szCs w:val="24"/>
                <w:highlight w:val="white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городские электрические сети»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18.03.2026 № ПЭ/ПГЭС/22/8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Возможность технического подключения имеется. Возможные точки присоединения на существующих тепловых сетях: Т-30-28 на М4-02 (разв.) 2Ду200мм. Источник теплоснабжения:ТЭЦ-14. Размер подключаемой нагрузки 0,05 Гкал/ч.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ПАО «Т Плюс»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11.03.2026 № 51030-01-01395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val="auto"/>
                <w:sz w:val="24"/>
                <w:szCs w:val="24"/>
              </w:rPr>
              <w:t>от 13.03.2026 № ПФ-1666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6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возможности подключения Объекта необходимо выполнить мероприятия по ликвидации технологических разрывов по сетям водопровода и канализации, то есть создание водопроводных и/или канализационных сетей </w:t>
              <w:br/>
              <w:t xml:space="preserve">и объектов на них от существующих сетей централизованной системы холодного водоснабжения и/или водоотведения (объектов такой системы) до точек подключения (технологического присоединения) объектов капитального строительства заявителя (п. 13 ст. 18 Федерального закона от 07.12.2011 г. № 416 - ФЗ «О водоснабжении и водоотведении», п. 85 Основ ценообразования в сфере водоснабжения </w:t>
              <w:br/>
              <w:t>и водоотведения, утвержденного постановлением Правительства РФ от 13.05.2013 г. N 406), а именно: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5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1. Запроектировать и построить сеть водопровода </w:t>
              <w:br/>
              <w:t xml:space="preserve">от точки подключения Объекта до сети водопровода </w:t>
              <w:br/>
              <w:t>Д-300 мм по ул. Генерала Панфилова, ориентировочной протяженностью - 500,0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2. Запроектировать и построить сеть водоотведения </w:t>
              <w:br/>
              <w:t>от точки подключения стоков Объекта до сети канализации Д-200 мм по ул. Генерала Панфилова, ориентировочной протяженностью - 570,0 м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Ввиду отсутствия данных о посадке проектируемого объекта, длины технологических разрывов до сетей водоснабжения и водоотведения указаны ориентировочно.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 случае наличия в границах земельного участка существующих сетей водоснабжения и (или) водоотведения размещение объекта предусмотреть строго за пределами охранных зон сетей в соответствии норм CП.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Ввиду отсутствия данных о посадке объекта </w:t>
              <w:br/>
              <w:t xml:space="preserve">и, соответственно, точных длин технологических разрывов до сетей водоснабжения и водоотведения, </w:t>
              <w:br/>
              <w:t xml:space="preserve">а так же информации о технических характеристиках </w:t>
              <w:br/>
              <w:t xml:space="preserve">и параметрах объекта, исходя из  которых  определяются  планируемые  расходы на  нужды наружного </w:t>
              <w:br/>
              <w:t>и внутреннего пожаротушения (класс функциональной пожарной опасности объекта, степень огнестойкости здания, класс конструктивной пожарной опасности, категория зданий и сооружений по взрывопожарной и пожарной опасности, этажность, строительный объем (мЗ) здания, количество пожарных кранов в проектируемом объекте и т.д.), ООО «НОВОГОР -Прикамье» не может определить точные объемы мероприятий для наличия технической возможности подключения объекта.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Подключение земельного участка с кадастровым номером 59:01:1717003:142, площадью 940 кв. м., расположенного по адресу: Российская Федерация, Пермский край, городской округ Пермский, город Пермь, улица Нижнекамская, 24a, с видом разрешенного использования «для индивидуального жилищного строительства», к сетям водоснабжения и водоотведения будет возможно только после выполнения вышеуказанных мероприятий.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Сведениями о наличии сетей 3-x лиц в границах вышеуказанного земельного участка ООО «НОВОГОР-Прикамье» не располагает.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В случае намерения строительства на данном земельном участке, Заявитель (правообладатель земельного участка), в соответствии с Постановлением Правительства РФ от 30.11.2021 N 2130 "Об утверждении Правил подключения (технологического присоединения) объектов капитального строительства </w:t>
              <w:br/>
              <w:t>к централизованным системам горячего водоснабжения, холодного водоснабжения и (или) водоотведения», должен получить технические условия на присоединение к сетям водопровода и канализации в ООО «НОВОГОР -Прикамье». При этом обязательства ООО «НОВОГОР - Прикамье» по обеспечению подключения объекта капитального строительства к сетям водопровода и канализации в соответствии с выданными Заявителю техническими условиями прекращаются в случае, если в течение 12 календарных месяцев (при комплексном развитии территории в течение 36 календарных месяцев) со дня выдачи технических условий, Заявителем не будет подано заявление о подключении. В случае заключения договора о подключении технические условия, являющиеся приложением к такому договору, действуют до окончания срока действия такого договора.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ООО «НОВОГОР - Прикамье» </w:t>
            </w:r>
            <w:r>
              <w:rPr>
                <w:color w:val="auto"/>
                <w:sz w:val="24"/>
                <w:szCs w:val="24"/>
                <w:highlight w:val="white"/>
              </w:rPr>
              <w:t>от 10.03.2026 № 110-3186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Генерала Панфилова, 8В),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В границах Участка сетей связи ПАО «Ростелеком» </w:t>
              <w:br/>
              <w:t>и их охранных зон нет.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Для получения технических условий на подключение</w:t>
              <w:br/>
              <w:t xml:space="preserve">к сетям связи необходимо направить запрос по адресу: </w:t>
              <w:br/>
              <w:t xml:space="preserve">г. Пермь, ул. Крупской, 2, тел.: (342) 235-57-34 или на </w:t>
            </w:r>
            <w:hyperlink r:id="rId20">
              <w:r>
                <w:rPr>
                  <w:rStyle w:val="Hyperlink"/>
                  <w:b w:val="false"/>
                  <w:bCs w:val="false"/>
                  <w:color w:val="auto"/>
                  <w:sz w:val="24"/>
                  <w:szCs w:val="24"/>
                </w:rPr>
                <w:t>perm-mail@ural.rt.ru</w:t>
              </w:r>
            </w:hyperlink>
            <w:r>
              <w:rPr>
                <w:b w:val="false"/>
                <w:bCs w:val="false"/>
                <w:sz w:val="24"/>
                <w:szCs w:val="24"/>
              </w:rPr>
              <w:t>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«Ростелеком»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от 11.03.2026 № 01/05/35349/26</w:t>
            </w:r>
            <w:r>
              <w:rPr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sz w:val="24"/>
                <w:szCs w:val="24"/>
                <w:highlight w:val="white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5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5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161 700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8 085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 xml:space="preserve">в соответствии с законодательством иностранного государства </w:t>
              <w:br/>
              <w:t>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80 850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21.11.2025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5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pacing w:before="0" w:after="0"/>
        <w:ind w:left="0"/>
        <w:contextualSpacing/>
        <w:jc w:val="center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lang w:bidi="ru-RU"/>
        </w:rPr>
        <w:t>Сроки, время подачи заявок, рассмотрения заявок, проведения аукциона</w:t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687" w:left="-567" w:right="0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и время начала срока подачи заявок на участие в аукционе – 02.09.2026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>по местному времени (7:00 МСК).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Дата и время окончания срока подачи заявок на участие в аукционе – 15.09.2026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16.09.2026.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>от участников аукциона) – 17.09</w:t>
      </w:r>
      <w:r>
        <w:rPr>
          <w:rFonts w:eastAsia="Courier New"/>
          <w:b/>
          <w:lang w:bidi="ru-RU"/>
        </w:rPr>
        <w:t>.2026</w:t>
      </w:r>
      <w:r>
        <w:rPr>
          <w:rFonts w:eastAsia="Courier New"/>
          <w:lang w:bidi="ru-RU"/>
        </w:rPr>
        <w:t xml:space="preserve"> в 09:00 по местному времени (07:00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highlight w:val="none"/>
        </w:rPr>
      </w:pPr>
      <w:r>
        <w:rPr>
          <w:b/>
        </w:rPr>
        <w:t>Место подачи (приема) заявок и место проведения аукциона:</w:t>
      </w:r>
      <w:r>
        <w:rPr/>
        <w:t xml:space="preserve"> электронная </w:t>
        <w:br/>
        <w:t>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ind w:firstLine="709" w:left="-567"/>
        <w:jc w:val="center"/>
        <w:rPr>
          <w:b/>
        </w:rPr>
      </w:pPr>
      <w:r>
        <w:rPr>
          <w:b/>
        </w:rPr>
        <w:t>Плата оператору электронной площадки за участие в электронном аукционе</w:t>
      </w:r>
    </w:p>
    <w:p>
      <w:pPr>
        <w:pStyle w:val="Normal"/>
        <w:widowControl w:val="false"/>
        <w:ind w:firstLine="709" w:left="-567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ind w:firstLine="709" w:left="-567"/>
        <w:jc w:val="both"/>
        <w:rPr/>
      </w:pPr>
      <w:r>
        <w:rPr/>
        <w:t xml:space="preserve">В соответствии с постановлением Правительства Российской Федерации от 10 мая 2018 г. </w:t>
      </w:r>
      <w:r>
        <w:rPr/>
        <w:br w:type="textWrapping" w:clear="all"/>
      </w:r>
      <w:r>
        <w:rPr/>
        <w:t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установления ее предельных размеров» оператор электронной площадки вправе взимать плату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в размере 1% начальной цены предмета аукциона, но не более 5 тыс. рублей без учета налога на добавленную стоимость.</w:t>
      </w:r>
    </w:p>
    <w:p>
      <w:pPr>
        <w:pStyle w:val="Normal"/>
        <w:widowControl w:val="false"/>
        <w:ind w:firstLine="709" w:left="-567"/>
        <w:jc w:val="both"/>
        <w:rPr/>
      </w:pPr>
      <w:r>
        <w:rPr/>
        <w:t>По информации оператора электронной площадки АО «Сбербанк-АСТ» в настоящее время взимание платы не установлено.</w:t>
      </w:r>
    </w:p>
    <w:p>
      <w:pPr>
        <w:pStyle w:val="Normal"/>
        <w:widowControl w:val="false"/>
        <w:ind w:firstLine="709" w:left="-567"/>
        <w:jc w:val="both"/>
        <w:rPr/>
      </w:pPr>
      <w:r>
        <w:rPr/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Размер задатка для участия в аукционе, порядок его внесения и возврата, реквизиты счета для перечисления задатка</w:t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 xml:space="preserve">Заявители, зарегистрированные на электронной площадке в установленном порядке, </w:t>
        <w:br/>
        <w:t xml:space="preserve">до подачи заявки на участие в аукционе (далее – заявка), осуществляют перечисление суммы задатка на участие в аукционе на банковские реквизиты Оператора, размещенные в открытой части торговой секции.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 xml:space="preserve">В момент подачи заявки Оператор проверяет наличие денежной суммы в размере задатка </w:t>
      </w:r>
      <w:r>
        <w:rPr>
          <w:bCs/>
          <w:lang w:bidi="ru-RU"/>
        </w:rPr>
        <w:br w:type="textWrapping" w:clear="all"/>
      </w:r>
      <w:r>
        <w:rPr>
          <w:bCs/>
          <w:lang w:bidi="ru-RU"/>
        </w:rPr>
        <w:t>на лицевом счете заявителя и осуществляет блокирование необходимой денежной суммы.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Представление документов, подтверждающих внесение задатка, признается заключением соглашения о задатке (п.2 ст. 39.12 Земельного кодекса Российской Федерации).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Сумма задатка для участия в аукционе определяется в размере 50 процентов от начальной цены предмета аукциона. Размер задатка в извещении о проведении аукциона указан по каждому лоту.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</w:p>
    <w:p>
      <w:pPr>
        <w:pStyle w:val="Normal"/>
        <w:widowControl w:val="false"/>
        <w:ind w:firstLine="567" w:left="-567"/>
        <w:jc w:val="both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>Задаток перечисляется на реквизиты Оператора электронной площадки (</w:t>
      </w:r>
      <w:hyperlink r:id="rId21" w:tgtFrame="http://utp.sberbank-ast.ru/AP/Notice/653/Requisites">
        <w:r>
          <w:rPr>
            <w:rStyle w:val="Hyperlink"/>
            <w:b/>
            <w:bCs/>
            <w:lang w:bidi="ru-RU"/>
          </w:rPr>
          <w:t>http://utp.sberbank-ast.ru/AP/Notice/653/Requisites</w:t>
        </w:r>
      </w:hyperlink>
      <w:r>
        <w:rPr>
          <w:b/>
          <w:bCs/>
          <w:lang w:bidi="ru-RU"/>
        </w:rPr>
        <w:t>).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Получатель: АО «Сбербанк-АСТ»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</w:p>
    <w:p>
      <w:pPr>
        <w:pStyle w:val="Normal"/>
        <w:spacing w:lineRule="exact" w:line="240"/>
        <w:rPr/>
      </w:pPr>
      <w:r>
        <w:rPr>
          <w:rFonts w:eastAsia="Calibri"/>
          <w:bCs/>
          <w:lang w:eastAsia="en-US"/>
        </w:rPr>
        <w:t>Банк получателя: ПАО «СБЕРБАНК РОССИИ» Г. МОСКВА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/>
        <w:t xml:space="preserve">Расчетный счет: </w:t>
      </w:r>
      <w:r>
        <w:rPr>
          <w:rFonts w:eastAsia="Calibri"/>
          <w:bCs/>
          <w:lang w:eastAsia="en-US"/>
        </w:rPr>
        <w:t>40702810300020038047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БИК: 044525225</w:t>
      </w:r>
    </w:p>
    <w:p>
      <w:pPr>
        <w:pStyle w:val="Normal"/>
        <w:spacing w:lineRule="exact" w:line="240"/>
        <w:rPr>
          <w:bCs/>
          <w:lang w:bidi="ru-RU"/>
        </w:rPr>
      </w:pPr>
      <w:r>
        <w:rPr>
          <w:rFonts w:eastAsia="Calibri"/>
          <w:bCs/>
          <w:lang w:eastAsia="en-US"/>
        </w:rPr>
        <w:t>Корреспондентский счет: 30101810400000000225</w:t>
      </w:r>
    </w:p>
    <w:p>
      <w:pPr>
        <w:pStyle w:val="Normal"/>
        <w:widowControl w:val="false"/>
        <w:ind w:firstLine="567" w:left="-567"/>
        <w:jc w:val="both"/>
        <w:rPr>
          <w:b/>
        </w:rPr>
      </w:pPr>
      <w:r>
        <w:rPr>
          <w:bCs/>
          <w:lang w:bidi="ru-RU"/>
        </w:rPr>
        <w:t>В платёжном поручении в части «Назначение платежа» необходимо указать: Задаток по лоту  № ___, ИНН плательщика. НДС не облагается.</w:t>
      </w:r>
    </w:p>
    <w:p>
      <w:pPr>
        <w:pStyle w:val="Normal"/>
        <w:widowControl w:val="false"/>
        <w:ind w:firstLine="567" w:left="-567"/>
        <w:jc w:val="both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 w:val="false"/>
          <w:bCs w:val="false"/>
          <w:lang w:bidi="ru-RU"/>
        </w:rPr>
        <w:t>c 02.09.2026 по 15.09.2026.</w:t>
      </w:r>
    </w:p>
    <w:p>
      <w:pPr>
        <w:pStyle w:val="Normal"/>
        <w:widowControl w:val="false"/>
        <w:ind w:firstLine="709" w:left="-567"/>
        <w:jc w:val="both"/>
        <w:rPr>
          <w:bCs/>
          <w:lang w:bidi="ru-RU"/>
        </w:rPr>
      </w:pPr>
      <w:r>
        <w:rPr>
          <w:bCs/>
          <w:lang w:bidi="ru-RU"/>
        </w:rPr>
      </w:r>
    </w:p>
    <w:p>
      <w:pPr>
        <w:pStyle w:val="Normal"/>
        <w:widowControl w:val="false"/>
        <w:ind w:firstLine="709" w:left="-567"/>
        <w:jc w:val="center"/>
        <w:rPr>
          <w:b/>
          <w:lang w:bidi="ru-RU"/>
        </w:rPr>
      </w:pPr>
      <w:r>
        <w:rPr>
          <w:b/>
          <w:lang w:bidi="ru-RU"/>
        </w:rPr>
        <w:t>Порядок возврата задатка:</w:t>
      </w:r>
    </w:p>
    <w:p>
      <w:pPr>
        <w:pStyle w:val="Normal"/>
        <w:widowControl w:val="false"/>
        <w:ind w:firstLine="709" w:left="-567"/>
        <w:jc w:val="both"/>
        <w:rPr>
          <w:b/>
          <w:lang w:bidi="ru-RU"/>
        </w:rPr>
      </w:pPr>
      <w:r>
        <w:rPr>
          <w:b/>
          <w:lang w:bidi="ru-RU"/>
        </w:rPr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lang w:bidi="ru-RU"/>
        </w:rPr>
      </w:pPr>
      <w:r>
        <w:rPr>
          <w:bCs/>
          <w:lang w:bidi="ru-RU"/>
        </w:rPr>
        <w:t>Задаток возвращается лицам, участвовавшим в аукционе, но не победившим в нем, в течение трех ра</w:t>
      </w:r>
      <w:r>
        <w:rPr>
          <w:bCs/>
          <w:shd w:fill="auto" w:val="clear"/>
          <w:lang w:bidi="ru-RU"/>
        </w:rPr>
        <w:t xml:space="preserve">бочих дней со дня подписания протокола о результатах аукциона, </w:t>
      </w:r>
      <w:r>
        <w:rPr>
          <w:b w:val="false"/>
          <w:bCs/>
          <w:shd w:fill="auto" w:val="clear"/>
          <w:lang w:bidi="ru-RU"/>
        </w:rPr>
        <w:t>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Заявителю, не допущенному к участию в аукционе, внесенный им задаток возвращается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 xml:space="preserve">в течение трех рабочих дней со дня оформления протокола рассмотрения заявок на участие </w:t>
        <w:br/>
        <w:t xml:space="preserve">в аукционе.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Оператор прекращает блокирование в отношении денежных средств участников аукциона, заблокированных в размере задатков на их лицевых счетах на электронной площадке после публикации протокола о результатах аукциона, за исключением единственного заявителя, признанного участником аукциона, победителя аукциона, единственного принявшего участие </w:t>
        <w:br/>
        <w:t xml:space="preserve">в аукционе участника, а также </w:t>
      </w:r>
      <w:r>
        <w:rPr>
          <w:b w:val="false"/>
          <w:shd w:fill="auto" w:val="clear"/>
          <w:lang w:bidi="ru-RU"/>
        </w:rPr>
        <w:t xml:space="preserve">участника аукциона, который сделал предпоследнее предложение </w:t>
        <w:br/>
        <w:t>о цене предмета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Организатор аукциона посредством штатного интерфейса торговой секции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>в установленные сроки формирует поручение Оператору: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- о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пунктами 13, 14, 20 или 25 ст. 39.12 Земельного кодекса Российской Федерации, засчитываются 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 </w:t>
      </w:r>
    </w:p>
    <w:p>
      <w:pPr>
        <w:pStyle w:val="Normal"/>
        <w:widowControl w:val="false"/>
        <w:spacing w:lineRule="auto" w:line="276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Организатор аукциона вправе:</w:t>
      </w:r>
    </w:p>
    <w:p>
      <w:pPr>
        <w:pStyle w:val="Normal"/>
        <w:widowControl w:val="false"/>
        <w:jc w:val="center"/>
        <w:rPr>
          <w:rFonts w:eastAsia="Courier New"/>
          <w:highlight w:val="none"/>
          <w:shd w:fill="auto" w:val="clear"/>
          <w:lang w:bidi="ru-RU"/>
        </w:rPr>
      </w:pPr>
      <w:r>
        <w:rPr>
          <w:rFonts w:eastAsia="Courier New"/>
          <w:shd w:fill="auto" w:val="clear"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Не позднее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Информация о внесении изменений в извещение </w:t>
        <w:br/>
        <w:t xml:space="preserve">о проведении аукциона размещается 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>www.torgi.gov.ru,  www.gorodperm.ru.</w:t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</w:t>
        <w:br/>
        <w:t xml:space="preserve">на участие в аукционе может принять решение о продлении срока подачи заявок в соответствии </w:t>
        <w:br/>
        <w:t>с правилами, предусмотренными п. 22.1  ст. 39.11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/>
      </w:pPr>
      <w:r>
        <w:rPr>
          <w:shd w:fill="auto" w:val="clear"/>
        </w:rPr>
        <w:t xml:space="preserve">В соответствии с п. 4 ст. 448 Гражданского кодекса Российской Федерации отказаться </w:t>
      </w:r>
      <w:r>
        <w:rPr/>
        <w:br w:type="textWrapping" w:clear="all"/>
      </w:r>
      <w:r>
        <w:rPr/>
        <w:t xml:space="preserve">от проведения аукциона в любое время, но не позднее чем за три дня до наступления даты </w:t>
      </w:r>
      <w:r>
        <w:rPr/>
        <w:br w:type="textWrapping" w:clear="all"/>
      </w:r>
      <w:r>
        <w:rPr/>
        <w:t xml:space="preserve">его проведения, указанной в извещении </w:t>
      </w:r>
      <w:r>
        <w:rPr>
          <w:shd w:fill="auto" w:val="clear"/>
        </w:rPr>
        <w:t xml:space="preserve">о проведении аукциона.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Организатор аукциона обязан: 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Извещение об отказе в проведении аукциона размещается организатором аукциона </w:t>
        <w:br/>
        <w:t xml:space="preserve">на официальных сайтах 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 xml:space="preserve">www.torgi.gov.ru,  www.gorodperm.ru </w:t>
      </w:r>
      <w:r>
        <w:rPr>
          <w:shd w:fill="auto" w:val="clear"/>
        </w:rPr>
        <w:t xml:space="preserve"> и на электронной площадке в течение трех дней со дня принятия данного решения.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случае отказа от проведения аукциона организатором (в т. ч. одного или нескольких лотов) Оператор в течение одного часа прекращает блокирование денежных средств участников аукциона </w:t>
        <w:br/>
        <w:t>в размере задатка на их лицевых счетах на электронной площадке.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rFonts w:eastAsia="Courier New"/>
          <w:b/>
          <w:shd w:fill="auto" w:val="clear"/>
          <w:lang w:bidi="ru-RU"/>
        </w:rPr>
        <w:t>Порядок регистрации на электронной площадке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Регистрация на электронной площадке проводится в соответствии с регламентом электронной площадки.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</w:t>
      </w:r>
      <w:r>
        <w:rPr>
          <w:b w:val="false"/>
          <w:bCs w:val="false"/>
          <w:shd w:fill="auto" w:val="clear"/>
          <w:lang w:bidi="ru-RU"/>
        </w:rPr>
        <w:t>c 02.09.2026 по 15.09.2026</w:t>
      </w:r>
      <w:r>
        <w:rPr>
          <w:bCs/>
          <w:shd w:fill="auto" w:val="clear"/>
          <w:lang w:bidi="ru-RU"/>
        </w:rPr>
        <w:t xml:space="preserve"> с 9.00 до 18.00 по местному времени (7:00 – 16:00 МСК). </w:t>
      </w:r>
    </w:p>
    <w:p>
      <w:pPr>
        <w:pStyle w:val="NormalWeb"/>
        <w:jc w:val="center"/>
        <w:rPr>
          <w:highlight w:val="none"/>
        </w:rPr>
      </w:pPr>
      <w:r>
        <w:rPr/>
      </w:r>
    </w:p>
    <w:p>
      <w:pPr>
        <w:pStyle w:val="NormalWeb"/>
        <w:jc w:val="center"/>
        <w:rPr>
          <w:b/>
          <w:bCs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  <w:t>Разъяснение положений извещения о проведении аукциона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 </w:t>
        <w:br/>
        <w:t>не рассматриваются.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</w:p>
    <w:p>
      <w:pPr>
        <w:pStyle w:val="Normal"/>
        <w:widowControl w:val="false"/>
        <w:spacing w:lineRule="auto" w:line="276"/>
        <w:ind w:firstLine="709" w:left="-567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Требования к содержанию и составу заявки на участие в аукционе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 xml:space="preserve">Для участия в аукционе заявители представляют в установленный в извещении </w:t>
      </w:r>
      <w:r>
        <w:rPr>
          <w:rFonts w:eastAsia="Courier New"/>
          <w:shd w:fill="auto" w:val="clear"/>
          <w:lang w:bidi="ru-RU"/>
        </w:rPr>
        <w:br w:type="textWrapping" w:clear="all"/>
      </w:r>
      <w:r>
        <w:rPr>
          <w:rFonts w:eastAsia="Courier New"/>
          <w:shd w:fill="auto" w:val="clear"/>
          <w:lang w:bidi="ru-RU"/>
        </w:rPr>
        <w:t>о проведении аукциона срок следующие документы: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1) копии документов, удостоверяющих личность заявителя (для граждан), всех страниц;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2) надлежащим образом заверенный перевод на русский язык документов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3) документы, подтверждающие внесение задатка.</w:t>
      </w:r>
    </w:p>
    <w:p>
      <w:pPr>
        <w:pStyle w:val="Normal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Инструкция по заполнению и подаче заявки, порядок приема заявки</w:t>
      </w:r>
    </w:p>
    <w:p>
      <w:pPr>
        <w:pStyle w:val="Normal"/>
        <w:ind w:firstLine="708"/>
        <w:jc w:val="center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39.12 Земельного кодекса Российской Федерации (копии </w:t>
      </w:r>
      <w:r>
        <w:rPr>
          <w:b w:val="false"/>
          <w:shd w:fill="auto" w:val="clear"/>
        </w:rPr>
        <w:t xml:space="preserve">документов, удостоверяющих личность заявителя (для граждан); </w:t>
      </w:r>
      <w:r>
        <w:rPr>
          <w:b w:val="false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>
      <w:pPr>
        <w:pStyle w:val="Normal"/>
        <w:ind w:firstLine="567" w:left="-567"/>
        <w:jc w:val="both"/>
        <w:rPr>
          <w:highlight w:val="none"/>
        </w:rPr>
      </w:pPr>
      <w:r>
        <w:rPr>
          <w:sz w:val="24"/>
          <w:szCs w:val="24"/>
        </w:rPr>
        <w:t>На каждый лот представляется отдельный пакет документов.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Заполнение заявки осуществляется в соответствии с порядком, определенным регламентом электронной площадки АО «Сбербанк-АСТ».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 и сведения, связанные с получением регистрации на универсальной торговой платформе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Заявка подается в виде электронного документа, подписанного электронной подписью заявителя (п. 3.2.2.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Заявитель заполняет электронную форму заявки, при</w:t>
      </w:r>
      <w:r>
        <w:rPr>
          <w:shd w:fill="auto" w:val="clear"/>
        </w:rPr>
        <w:t xml:space="preserve">кладывает предусмотренные извещением </w:t>
        <w:br/>
        <w:t xml:space="preserve">о проведении аукциона файлы документов (при необходимости). Документы и сведения </w:t>
        <w:br/>
        <w:t xml:space="preserve">из регистрационных данных заявителя на универсальной торговой платформе, актуальные на дату </w:t>
        <w:br/>
        <w:t>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Подача заявки осуществляется заявителем, зарегистрированным в торговой секции,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из личного кабинета посредством штатного интерфейса отдельно по каждому лоту в сроки, установленные в извещении 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вправе подать заявку в любое время с момента размещения извещения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 до предусмотренных указанным извещением даты и времени окончания срока подачи заявок.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Один заявитель вправе подать только одну заявку на участие в аукционе в отношении каждого лота.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Участие в аукционе возможно при наличии на лицевом счете заявителя денежных средств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размере не менее чем размер задатка на участие в аукционе, предусмотренный извещением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документы, входящие в состав заявки, должны иметь четко читаемый текст.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предоставляется организатору аукциона через Оператора.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Заявка не может быть принята Оператором в случае: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а) отсутствия на лицевом счете заявителя достаточной суммы денежных средств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в размере задатка;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в) подачи заявки по истечении установленного срока подачи заявок;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г) некорректного заполнения формы заявки, в том числе незаполнения полей, являющихся обязательными для заполнения.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Заявителям, признанным участниками аукциона, и заявителям, не допущенным к участию </w:t>
        <w:br/>
        <w:t xml:space="preserve">в аукционе, оператор электронной площадки направляет в электронной форме уведомления 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spacing w:lineRule="auto" w:line="276"/>
        <w:ind w:firstLine="567" w:left="-567"/>
        <w:jc w:val="both"/>
        <w:outlineLvl w:val="0"/>
        <w:rPr>
          <w:bCs/>
          <w:highlight w:val="none"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  <w:lang w:bidi="ru-RU"/>
        </w:rPr>
        <w:t>Порядок и срок изменения, отзыва заявки на участие в аукционе</w:t>
      </w:r>
    </w:p>
    <w:p>
      <w:pPr>
        <w:pStyle w:val="Normal"/>
        <w:widowControl w:val="false"/>
        <w:ind w:left="502"/>
        <w:rPr>
          <w:b/>
          <w:bCs/>
          <w:highlight w:val="none"/>
          <w:shd w:fill="auto" w:val="clear"/>
          <w:lang w:bidi="ru-RU"/>
        </w:rPr>
      </w:pPr>
      <w:r>
        <w:rPr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имеет право отозвать принятую организатором аукциона заявку на участие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аукционе до дня окончания срока приема заявок, путем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соответствующее уведомление. Заявителю внесенный им задаток возвращается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 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Определение участников аукциона</w:t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рассмотрения заявок комиссия принимает решение о допуске заявителей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к участию в аукционе или об отказе в допуске к участию в аукционе.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z w:val="20"/>
          <w:shd w:fill="auto" w:val="clear"/>
        </w:rPr>
        <w:t xml:space="preserve">1) </w:t>
      </w:r>
      <w:r>
        <w:rPr>
          <w:shd w:fill="auto" w:val="clear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2) непоступление задатка на дату рассмотрения заявок на участие в аукционе;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</w:t>
        <w:br/>
        <w:t>в аренду;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день признания заявителей участниками аукциона, указанный в извещении </w:t>
        <w:br/>
        <w:t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приобретает статус участника аукциона с момента подписания протокола рассмотрения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Не позднее следующего рабочего дня после дня подписания протокола рассмотрения заявок, всем заявителям оператором электронной площадки направляется в личные кабинеты уведомления </w:t>
        <w:br/>
        <w:t xml:space="preserve">о признании их участниками аукциона или об отказе в признании участниками аукциона с указанием оснований отказа. </w:t>
      </w:r>
    </w:p>
    <w:p>
      <w:pPr>
        <w:pStyle w:val="BodyText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</w:t>
        <w:br/>
        <w:t xml:space="preserve">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</w:t>
        <w:br/>
        <w:t>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Порядок проведения аукциона</w:t>
      </w:r>
    </w:p>
    <w:p>
      <w:pPr>
        <w:pStyle w:val="Normal"/>
        <w:widowControl w:val="false"/>
        <w:ind w:left="502"/>
        <w:jc w:val="center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5% от начальной цены предмета аукциона</w:t>
      </w:r>
      <w:r>
        <w:rPr>
          <w:rFonts w:eastAsia="Calibri"/>
          <w:shd w:fill="auto" w:val="clear"/>
        </w:rPr>
        <w:t>, и не изменяется в течение всего времени подачи предложений о цене.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цене предмета аукциона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для подачи предложений о цене аукциона определяется в следующем порядке: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Время ожидания предложения участника аукциона о цене предмета аукциона составляет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 xml:space="preserve">10 (десять) минут. При поступлении предложения участника аукциона </w:t>
        <w:br/>
        <w:t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в момент его поступления и соответствующее уведомление участника аукциона, в случаях, если: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предложение о цене аукциона предоставлено до начала или по истечении установленного времени для подачи предложений о цене аукциона;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ниже начальной цены;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равно нулю;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участником аукциона предложение о цене аукциона меньше ранее представленных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Победителем аукциона признается участник аукциона, предложивший наибольшую цену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за земельный участок или наибольший размер ежегодной арендной платы за земельный участок.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</w:p>
    <w:p>
      <w:pPr>
        <w:pStyle w:val="Normal"/>
        <w:ind w:firstLine="567" w:left="-567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и срок заключения договора</w:t>
      </w:r>
      <w:r>
        <w:rPr>
          <w:b/>
          <w:bCs/>
          <w:shd w:fill="auto" w:val="clear"/>
        </w:rPr>
        <w:br w:type="textWrapping" w:clear="all"/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проведения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</w:t>
        <w:br/>
        <w:t>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ли аукцион признан несостоявшимся, либо протокола о результатах аукциона на официальных сайтах www.torgi.gov.ru,  www.gorodperm.ru.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в соответствии</w:t>
        <w:br/>
        <w:t>с пунктами 13, 14, 20 и 25 статьи 39.12 Земельного кодекса Российской Федерации заключается  договор аренды земельного участка, подписанный проект договора  аренды земельного участка.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договор аренды земельного участка заключается</w:t>
        <w:br/>
        <w:t>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>Проекты договоров являются частью извещения и представлены в Приложениях 1, 3, 5</w:t>
        <w:br/>
        <w:t>к настоящему извещению.</w:t>
        <w:tab/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Если договор аренды земельного участка </w:t>
      </w:r>
      <w:r>
        <w:rPr>
          <w:b w:val="false"/>
          <w:bCs/>
          <w:shd w:fill="auto" w:val="clear"/>
        </w:rPr>
        <w:t>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Сведения о победителях аукционов, уклонившихся от заключения договора  аренды земельного участка, являющегося предметом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заключения, включаются в реестр недобросовестных участников аукциона.</w:t>
      </w:r>
    </w:p>
    <w:sectPr>
      <w:headerReference w:type="default" r:id="rId22"/>
      <w:headerReference w:type="first" r:id="rId23"/>
      <w:type w:val="nextPage"/>
      <w:pgSz w:w="11906" w:h="16838"/>
      <w:pgMar w:left="1418" w:right="567" w:gutter="0" w:header="363" w:top="420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Consultant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>35</w:t>
    </w:r>
    <w:r>
      <w:rPr>
        <w:sz w:val="20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u w:val="non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4"/>
        <w:u w:val="none"/>
        <w:szCs w:val="24"/>
        <w:color w:val="000000"/>
        <w:lang w:val="ru-RU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lang w:bidi="ru-RU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lang w:eastAsia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bCs/>
        <w:lang w:eastAsia="en-US" w:bidi="ru-RU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b/>
        <w:bCs/>
        <w:lang w:bidi="ru-RU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Заголовок Знак1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6" w:customStyle="1">
    <w:name w:val="Выделенная цитата Знак"/>
    <w:uiPriority w:val="30"/>
    <w:qFormat/>
    <w:rPr>
      <w:i/>
    </w:rPr>
  </w:style>
  <w:style w:type="character" w:styleId="12" w:customStyle="1">
    <w:name w:val="Верхний колонтитул Знак1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3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sz w:val="16"/>
      <w:szCs w:val="16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/>
  </w:style>
  <w:style w:type="character" w:styleId="Pagenumber">
    <w:name w:val="page number"/>
    <w:basedOn w:val="DefaultParagraphFont"/>
    <w:qFormat/>
    <w:rPr/>
  </w:style>
  <w:style w:type="character" w:styleId="Style11" w:customStyle="1">
    <w:name w:val="Текст Знак"/>
    <w:qFormat/>
    <w:rPr>
      <w:rFonts w:ascii="Courier New" w:hAnsi="Courier New" w:cs="Courier New"/>
    </w:rPr>
  </w:style>
  <w:style w:type="character" w:styleId="Style12" w:customStyle="1">
    <w:name w:val="Верхний колонтитул Знак"/>
    <w:qFormat/>
    <w:rPr>
      <w:sz w:val="16"/>
      <w:lang w:val="ru-RU" w:bidi="ar-SA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563C1"/>
      <w:u w:val="single"/>
    </w:rPr>
  </w:style>
  <w:style w:type="character" w:styleId="Style13" w:customStyle="1">
    <w:name w:val="Абзац списка Знак"/>
    <w:qFormat/>
    <w:rPr>
      <w:sz w:val="24"/>
      <w:szCs w:val="24"/>
    </w:rPr>
  </w:style>
  <w:style w:type="character" w:styleId="6" w:customStyle="1">
    <w:name w:val="Заголовок 6 Знак"/>
    <w:qFormat/>
    <w:rPr>
      <w:b/>
      <w:bCs/>
      <w:sz w:val="22"/>
      <w:szCs w:val="22"/>
    </w:rPr>
  </w:style>
  <w:style w:type="character" w:styleId="Style14" w:customStyle="1">
    <w:name w:val="Название Знак"/>
    <w:qFormat/>
    <w:rPr>
      <w:sz w:val="28"/>
      <w:lang w:val="ru-RU" w:bidi="ar-SA"/>
    </w:rPr>
  </w:style>
  <w:style w:type="character" w:styleId="Style15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Style16" w:customStyle="1">
    <w:name w:val="Нижний колонтитул Знак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17" w:customStyle="1">
    <w:name w:val="Гиперссылка"/>
    <w:qFormat/>
    <w:rPr>
      <w:color w:val="0000FF"/>
      <w:u w:val="single"/>
    </w:rPr>
  </w:style>
  <w:style w:type="character" w:styleId="Style18">
    <w:name w:val="Символ нумерации"/>
    <w:qFormat/>
    <w:rPr/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left="708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2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Consultant" w:hAnsi="Consultant" w:eastAsia="Droid Sans Fallback" w:cs="Consultant"/>
      <w:color w:val="auto"/>
      <w:kern w:val="0"/>
      <w:sz w:val="20"/>
      <w:szCs w:val="20"/>
      <w:lang w:val="ru-RU" w:eastAsia="zh-CN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22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0"/>
      <w:szCs w:val="20"/>
      <w:lang w:val="ru-RU" w:eastAsia="zh-CN" w:bidi="ar-SA"/>
    </w:rPr>
  </w:style>
  <w:style w:type="paragraph" w:styleId="Header">
    <w:name w:val="Header"/>
    <w:pPr>
      <w:widowControl/>
      <w:tabs>
        <w:tab w:val="clear" w:pos="708"/>
        <w:tab w:val="center" w:pos="4153" w:leader="none"/>
        <w:tab w:val="right" w:pos="8306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Droid Sans Fallback" w:cs="Lohit Devanagari"/>
      <w:color w:val="auto"/>
      <w:kern w:val="0"/>
      <w:sz w:val="16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4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TimesNewRoman">
    <w:name w:val="Times New Roman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firstLine="311" w:left="0" w:right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831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2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4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5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36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7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38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5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6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7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8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9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0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1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2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3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4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5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6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7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8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9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60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61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62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63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64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65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66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6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6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7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7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73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7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7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7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7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7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0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7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5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6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7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8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99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0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1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2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3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4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5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6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7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8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9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0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1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2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3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4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5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2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2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2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2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2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2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2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29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3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3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3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3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3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36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37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38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39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0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1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2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43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4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5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6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7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8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9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50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51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52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53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54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55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56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57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gorodperm.ru/" TargetMode="External"/><Relationship Id="rId4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6" Type="http://schemas.openxmlformats.org/officeDocument/2006/relationships/hyperlink" Target="https://utp.sberbank-ast.ru/Main/Notice/988/Reglament" TargetMode="External"/><Relationship Id="rId7" Type="http://schemas.openxmlformats.org/officeDocument/2006/relationships/hyperlink" Target="https://utp.sberbank-ast.ru/AP/Notice/1027/Instructions" TargetMode="External"/><Relationship Id="rId8" Type="http://schemas.openxmlformats.org/officeDocument/2006/relationships/hyperlink" Target="https://utp.sberbank-ast.ru/AP/Notice/652/Instructions" TargetMode="External"/><Relationship Id="rId9" Type="http://schemas.openxmlformats.org/officeDocument/2006/relationships/hyperlink" Target="http://www.gorodperm.ru/" TargetMode="External"/><Relationship Id="rId10" Type="http://schemas.openxmlformats.org/officeDocument/2006/relationships/hyperlink" Target="http://www.gorodperm.ru/" TargetMode="External"/><Relationship Id="rId11" Type="http://schemas.openxmlformats.org/officeDocument/2006/relationships/hyperlink" Target="https://" TargetMode="External"/><Relationship Id="rId12" Type="http://schemas.openxmlformats.org/officeDocument/2006/relationships/hyperlink" Target="mailto:perm-mail@ural.rt.ru" TargetMode="External"/><Relationship Id="rId13" Type="http://schemas.openxmlformats.org/officeDocument/2006/relationships/hyperlink" Target="http://www.gorodperm.ru/" TargetMode="External"/><Relationship Id="rId14" Type="http://schemas.openxmlformats.org/officeDocument/2006/relationships/hyperlink" Target="http://www.gorodperm.ru/" TargetMode="External"/><Relationship Id="rId15" Type="http://schemas.openxmlformats.org/officeDocument/2006/relationships/hyperlink" Target="https://" TargetMode="External"/><Relationship Id="rId16" Type="http://schemas.openxmlformats.org/officeDocument/2006/relationships/hyperlink" Target="http://perm-mail@ural.rt.ru" TargetMode="External"/><Relationship Id="rId17" Type="http://schemas.openxmlformats.org/officeDocument/2006/relationships/hyperlink" Target="http://www.gorodperm.ru/" TargetMode="External"/><Relationship Id="rId18" Type="http://schemas.openxmlformats.org/officeDocument/2006/relationships/hyperlink" Target="http://www.gorodperm.ru/" TargetMode="External"/><Relationship Id="rId19" Type="http://schemas.openxmlformats.org/officeDocument/2006/relationships/hyperlink" Target="https://" TargetMode="External"/><Relationship Id="rId20" Type="http://schemas.openxmlformats.org/officeDocument/2006/relationships/hyperlink" Target="mailto:perm-mail@ural.rt.ru" TargetMode="External"/><Relationship Id="rId21" Type="http://schemas.openxmlformats.org/officeDocument/2006/relationships/hyperlink" Target="http://utp.sberbank-ast.ru/AP/Notice/653/Requisites" TargetMode="External"/><Relationship Id="rId22" Type="http://schemas.openxmlformats.org/officeDocument/2006/relationships/header" Target="header1.xml"/><Relationship Id="rId23" Type="http://schemas.openxmlformats.org/officeDocument/2006/relationships/header" Target="header2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Application>LibreOffice/7.6.7.2$Linux_X86_64 LibreOffice_project/60$Build-2</Application>
  <AppVersion>15.0000</AppVersion>
  <Pages>35</Pages>
  <Words>11054</Words>
  <Characters>78300</Characters>
  <CharactersWithSpaces>89137</CharactersWithSpaces>
  <Paragraphs>502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2023-10-30T09:15:00Z</dcterms:created>
  <dc:creator>Tatyannikova</dc:creator>
  <dc:description/>
  <dc:language>ru-RU</dc:language>
  <cp:lastModifiedBy/>
  <dcterms:modified xsi:type="dcterms:W3CDTF">2026-08-31T09:26:53Z</dcterms:modified>
  <cp:revision>475</cp:revision>
  <dc:subject/>
  <dc:title>Департамент имущественных отношений администрации города Перми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