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9"/>
        <w:ind w:left="1134" w:right="-261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0"/>
        <w:numPr>
          <w:ilvl w:val="0"/>
          <w:numId w:val="0"/>
        </w:numPr>
        <w:ind w:left="0" w:firstLine="5670"/>
        <w:jc w:val="both"/>
        <w:spacing w:line="240" w:lineRule="exact"/>
        <w:tabs>
          <w:tab w:val="clear" w:pos="708" w:leader="none"/>
          <w:tab w:val="left" w:pos="4732" w:leader="none"/>
          <w:tab w:val="left" w:pos="5812" w:leader="none"/>
        </w:tabs>
        <w:rPr>
          <w:sz w:val="28"/>
          <w:szCs w:val="28"/>
        </w:rPr>
        <w:outlineLvl w:val="5"/>
      </w:pPr>
      <w:r>
        <w:rPr>
          <w:bCs/>
          <w:sz w:val="28"/>
          <w:szCs w:val="28"/>
        </w:rPr>
        <w:t xml:space="preserve">Приложение 2</w:t>
      </w:r>
      <w:r>
        <w:rPr>
          <w:sz w:val="28"/>
          <w:szCs w:val="28"/>
        </w:rPr>
      </w:r>
    </w:p>
    <w:p>
      <w:pPr>
        <w:pStyle w:val="660"/>
        <w:ind w:left="5664" w:firstLine="6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приказу начальника департамента имущественных отношений</w:t>
      </w:r>
      <w:r>
        <w:rPr>
          <w:sz w:val="28"/>
          <w:szCs w:val="28"/>
        </w:rPr>
      </w:r>
    </w:p>
    <w:p>
      <w:pPr>
        <w:pStyle w:val="660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</w:p>
    <w:p>
      <w:pPr>
        <w:pStyle w:val="660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03.09.2026 № 059-19-01-11-145</w:t>
      </w:r>
      <w:r>
        <w:rPr>
          <w:sz w:val="28"/>
          <w:szCs w:val="28"/>
        </w:rPr>
      </w:r>
    </w:p>
    <w:p>
      <w:pPr>
        <w:pStyle w:val="660"/>
        <w:ind w:left="283"/>
        <w:jc w:val="center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0"/>
        <w:ind w:left="283"/>
        <w:jc w:val="center"/>
        <w:tabs>
          <w:tab w:val="clear" w:pos="708" w:leader="none"/>
          <w:tab w:val="left" w:pos="473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79"/>
        <w:ind w:left="1134" w:hanging="1134"/>
        <w:jc w:val="center"/>
        <w:spacing w:line="24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Извещение о проведении 24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 xml:space="preserve">.09.2026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электронных аукционов на право заключения договоров аренды земельных участков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77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660"/>
        <w:ind w:left="-567" w:firstLine="567"/>
        <w:jc w:val="both"/>
        <w:widowControl w:val="off"/>
        <w:rPr>
          <w:b/>
          <w:bCs/>
        </w:rPr>
      </w:pPr>
      <w:r>
        <w:rPr>
          <w:shd w:val="clear" w:color="auto" w:fill="ffffff"/>
        </w:rPr>
        <w:t xml:space="preserve">Электронные аукционы на право заключения договоров аренды земельных участков </w:t>
        <w:br/>
        <w:t xml:space="preserve">(далее – аукцион) проводятся в соответствии со статьями 39.11, 39.12, 39.13, 39.18 Земельного кодекса Российской</w:t>
      </w:r>
      <w:r>
        <w:rPr>
          <w:shd w:val="clear" w:color="auto" w:fill="ffffff"/>
        </w:rPr>
        <w:t xml:space="preserve">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</w:t>
        <w:br/>
        <w:t xml:space="preserve">«О комиссии по пров</w:t>
      </w:r>
      <w:r>
        <w:rPr>
          <w:shd w:val="clear" w:color="auto" w:fill="ffffff"/>
        </w:rPr>
        <w:t xml:space="preserve">едению аукционов по продаже земельных участков, находящихся </w:t>
        <w:br/>
        <w:t xml:space="preserve">в муниципальной собственности города Перми, и участков, собственность на которые </w:t>
        <w:br/>
        <w:t xml:space="preserve">не разграничена, объектов незавершенного строительства, расположенных на земельных участках, находящихся в муници</w:t>
      </w:r>
      <w:r>
        <w:rPr>
          <w:shd w:val="clear" w:color="auto" w:fill="ffffff"/>
        </w:rPr>
        <w:t xml:space="preserve">пальной собственности города Перми, и участках, собственность на которые                               не разграничена, или на право заключения договоров аренды земельных участков, находящихся                   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val="clear" w:color="auto" w:fill="ffffff"/>
          <w:lang w:val="ru-RU" w:eastAsia="zh-CN" w:bidi="ar-SA"/>
        </w:rPr>
        <w:t xml:space="preserve">и участков, собственность на которые </w:t>
        <w:br/>
        <w:t xml:space="preserve">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  <w:r>
        <w:rPr>
          <w:b/>
          <w:bCs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b/>
          <w:bCs/>
        </w:rPr>
        <w:outlineLvl w:val="0"/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743"/>
          <w:bCs/>
          <w:sz w:val="24"/>
          <w:szCs w:val="24"/>
          <w:lang w:val="en-US"/>
        </w:rPr>
        <w:t xml:space="preserve">dzo@perm.permkrai.ru.</w:t>
      </w:r>
      <w:r>
        <w:rPr>
          <w:b/>
          <w:bCs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b/>
          <w:bCs/>
          <w:sz w:val="24"/>
          <w:szCs w:val="24"/>
        </w:rPr>
        <w:outlineLvl w:val="0"/>
      </w:pPr>
      <w:r>
        <w:rPr>
          <w:b/>
          <w:bCs/>
        </w:rPr>
        <w:t xml:space="preserve">Организатор аукциона </w:t>
      </w:r>
      <w:r>
        <w:rPr>
          <w:bCs/>
        </w:rPr>
        <w:t xml:space="preserve"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 xml:space="preserve">депар</w:t>
      </w:r>
      <w:r>
        <w:rPr>
          <w:bCs/>
        </w:rPr>
        <w:t xml:space="preserve">тамент имущественных отношений администрации города Перми, местонахождение: 614000, г. Пермь, ул. Сибирская,14, почтовый адрес: 614015,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 xml:space="preserve">dio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perm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permkrai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</w:t>
      </w:r>
      <w:r>
        <w:rPr>
          <w:b w:val="0"/>
          <w:bCs w:val="0"/>
          <w:sz w:val="24"/>
          <w:szCs w:val="24"/>
          <w:lang w:val="en-US"/>
        </w:rPr>
        <w:t xml:space="preserve">u</w:t>
      </w:r>
      <w:r>
        <w:rPr>
          <w:b w:val="0"/>
          <w:bCs w:val="0"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sz w:val="24"/>
          <w:szCs w:val="24"/>
        </w:rPr>
        <w:outlineLvl w:val="0"/>
      </w:pPr>
      <w:r>
        <w:rPr>
          <w:b/>
          <w:bCs/>
        </w:rPr>
        <w:t xml:space="preserve"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</w:t>
      </w:r>
      <w:r>
        <w:rPr>
          <w:bCs/>
          <w:sz w:val="24"/>
          <w:szCs w:val="24"/>
        </w:rPr>
        <w:t xml:space="preserve">от 03.09.2026 № 059-19-01-11-145.</w:t>
      </w:r>
      <w:r>
        <w:rPr>
          <w:sz w:val="24"/>
          <w:szCs w:val="24"/>
        </w:rPr>
      </w:r>
    </w:p>
    <w:p>
      <w:pPr>
        <w:pStyle w:val="789"/>
        <w:numPr>
          <w:ilvl w:val="0"/>
          <w:numId w:val="0"/>
        </w:numPr>
        <w:ind w:left="-567" w:firstLine="567"/>
        <w:jc w:val="both"/>
        <w:spacing w:before="0" w:after="0"/>
        <w:rPr>
          <w:rFonts w:eastAsia="Courier New"/>
          <w:b/>
          <w:color w:val="000000"/>
          <w:lang w:val="ru-RU" w:bidi="ru-RU"/>
        </w:rPr>
        <w:outlineLvl w:val="0"/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11" w:tooltip="http://www.torgi.gov.ru/" w:history="1">
        <w:r>
          <w:rPr>
            <w:rStyle w:val="743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43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43"/>
            <w:color w:val="000000"/>
            <w:sz w:val="24"/>
            <w:szCs w:val="24"/>
            <w:u w:val="none"/>
          </w:rPr>
          <w:t xml:space="preserve">torgi</w:t>
        </w:r>
        <w:r>
          <w:rPr>
            <w:rStyle w:val="743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43"/>
            <w:color w:val="000000"/>
            <w:sz w:val="24"/>
            <w:szCs w:val="24"/>
            <w:u w:val="none"/>
          </w:rPr>
          <w:t xml:space="preserve">gov</w:t>
        </w:r>
        <w:r>
          <w:rPr>
            <w:rStyle w:val="743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43"/>
            <w:color w:val="000000"/>
            <w:sz w:val="24"/>
            <w:szCs w:val="24"/>
            <w:u w:val="none"/>
          </w:rPr>
          <w:t xml:space="preserve"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 xml:space="preserve">(далее – ГИС Торги)</w:t>
      </w:r>
      <w:r>
        <w:rPr>
          <w:b/>
          <w:sz w:val="24"/>
          <w:szCs w:val="24"/>
          <w:lang w:val="ru-RU"/>
        </w:rPr>
        <w:t xml:space="preserve"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12" w:tooltip="http://www.gorodperm.ru/" w:history="1">
        <w:r>
          <w:rPr>
            <w:rStyle w:val="743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43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43"/>
            <w:color w:val="000000"/>
            <w:sz w:val="24"/>
            <w:szCs w:val="24"/>
            <w:u w:val="none"/>
          </w:rPr>
          <w:t xml:space="preserve">gorodperm</w:t>
        </w:r>
        <w:r>
          <w:rPr>
            <w:rStyle w:val="743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43"/>
            <w:color w:val="000000"/>
            <w:sz w:val="24"/>
            <w:szCs w:val="24"/>
            <w:u w:val="none"/>
          </w:rPr>
          <w:t xml:space="preserve"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13" w:tooltip="http://utp.sberbank-ast.ru/" w:history="1">
        <w:r>
          <w:rPr>
            <w:rStyle w:val="743"/>
            <w:sz w:val="24"/>
            <w:szCs w:val="24"/>
          </w:rPr>
          <w:t xml:space="preserve">http</w:t>
        </w:r>
        <w:r>
          <w:rPr>
            <w:rStyle w:val="743"/>
            <w:sz w:val="24"/>
            <w:szCs w:val="24"/>
            <w:lang w:val="ru-RU"/>
          </w:rPr>
          <w:t xml:space="preserve">://</w:t>
        </w:r>
        <w:r>
          <w:rPr>
            <w:rStyle w:val="743"/>
            <w:sz w:val="24"/>
            <w:szCs w:val="24"/>
          </w:rPr>
          <w:t xml:space="preserve">utp</w:t>
        </w:r>
        <w:r>
          <w:rPr>
            <w:rStyle w:val="743"/>
            <w:sz w:val="24"/>
            <w:szCs w:val="24"/>
            <w:lang w:val="ru-RU"/>
          </w:rPr>
          <w:t xml:space="preserve">.</w:t>
        </w:r>
        <w:r>
          <w:rPr>
            <w:rStyle w:val="743"/>
            <w:sz w:val="24"/>
            <w:szCs w:val="24"/>
          </w:rPr>
          <w:t xml:space="preserve">sberbank</w:t>
        </w:r>
        <w:r>
          <w:rPr>
            <w:rStyle w:val="743"/>
            <w:sz w:val="24"/>
            <w:szCs w:val="24"/>
            <w:lang w:val="ru-RU"/>
          </w:rPr>
          <w:t xml:space="preserve">-</w:t>
        </w:r>
        <w:r>
          <w:rPr>
            <w:rStyle w:val="743"/>
            <w:sz w:val="24"/>
            <w:szCs w:val="24"/>
          </w:rPr>
          <w:t xml:space="preserve">ast</w:t>
        </w:r>
        <w:r>
          <w:rPr>
            <w:rStyle w:val="743"/>
            <w:sz w:val="24"/>
            <w:szCs w:val="24"/>
            <w:lang w:val="ru-RU"/>
          </w:rPr>
          <w:t xml:space="preserve">.</w:t>
        </w:r>
        <w:r>
          <w:rPr>
            <w:rStyle w:val="743"/>
            <w:sz w:val="24"/>
            <w:szCs w:val="24"/>
          </w:rPr>
          <w:t xml:space="preserve">ru</w:t>
        </w:r>
      </w:hyperlink>
      <w:r>
        <w:rPr>
          <w:bCs/>
          <w:sz w:val="24"/>
          <w:szCs w:val="24"/>
          <w:lang w:val="ru-RU" w:bidi="ru-RU"/>
        </w:rPr>
        <w:t xml:space="preserve">.</w:t>
      </w:r>
      <w:r>
        <w:rPr>
          <w:rFonts w:eastAsia="Courier New"/>
          <w:b/>
          <w:color w:val="000000"/>
          <w:lang w:val="ru-RU" w:bidi="ru-RU"/>
        </w:rPr>
      </w:r>
    </w:p>
    <w:p>
      <w:pPr>
        <w:pStyle w:val="660"/>
        <w:ind w:left="-567" w:firstLine="567"/>
        <w:jc w:val="both"/>
        <w:widowControl w:val="off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 xml:space="preserve"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 xml:space="preserve">:</w:t>
      </w:r>
      <w:r>
        <w:rPr>
          <w:rFonts w:ascii="Courier New" w:hAnsi="Courier New" w:eastAsia="Courier New" w:cs="Courier New"/>
          <w:color w:val="000000"/>
          <w:lang w:bidi="ru-RU"/>
        </w:rPr>
        <w:t xml:space="preserve"> </w:t>
      </w:r>
      <w:hyperlink r:id="rId14" w:tooltip="http://utp.sberbank-ast.ru/" w:history="1">
        <w:r>
          <w:rPr>
            <w:rStyle w:val="743"/>
          </w:rPr>
          <w:t xml:space="preserve"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  <w:r>
        <w:rPr>
          <w:rFonts w:eastAsia="Courier New"/>
          <w:b/>
          <w:color w:val="000000"/>
          <w:lang w:eastAsia="en-US"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 xml:space="preserve">Владелец электронной площадки</w:t>
      </w:r>
      <w:r>
        <w:rPr>
          <w:rFonts w:eastAsia="Courier New"/>
          <w:color w:val="000000"/>
          <w:lang w:eastAsia="en-US" w:bidi="ru-RU"/>
        </w:rPr>
        <w:t xml:space="preserve"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 xml:space="preserve">.</w:t>
      </w:r>
      <w:r>
        <w:rPr>
          <w:rFonts w:eastAsia="Courier New"/>
          <w:color w:val="000000"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15" w:tooltip="https://utp.sberbank-ast.ru/Main/Notice/988/Reglament" w:history="1">
        <w:r>
          <w:rPr>
            <w:rStyle w:val="743"/>
            <w:rFonts w:eastAsia="Courier New"/>
            <w:lang w:bidi="ru-RU"/>
          </w:rPr>
          <w:t xml:space="preserve">https://utp.sberbank-ast.ru/Main/Notice/988/Reglament</w:t>
        </w:r>
      </w:hyperlink>
      <w:r>
        <w:rPr>
          <w:rFonts w:eastAsia="Courier New"/>
          <w:lang w:bidi="ru-RU"/>
        </w:rPr>
        <w:t xml:space="preserve">.</w:t>
      </w:r>
      <w:r>
        <w:rPr>
          <w:bCs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br w:type="textWrapping" w:clear="all"/>
      </w:r>
      <w:hyperlink r:id="rId16" w:tooltip="https://utp.sberbank-ast.ru/AP/Notice/1027/Instructions" w:history="1">
        <w:r>
          <w:rPr>
            <w:rStyle w:val="743"/>
            <w:rFonts w:eastAsia="Calibri"/>
            <w:lang w:eastAsia="en-US"/>
          </w:rPr>
          <w:t xml:space="preserve">https://utp.sberbank-ast.ru/AP/Notice/1027/Instructions</w:t>
        </w:r>
      </w:hyperlink>
      <w:r>
        <w:rPr>
          <w:rFonts w:eastAsia="Calibri"/>
          <w:lang w:eastAsia="en-US"/>
        </w:rPr>
        <w:t xml:space="preserve">.</w:t>
      </w:r>
      <w:r>
        <w:rPr>
          <w:rFonts w:eastAsia="Courier New"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 xml:space="preserve">размещена по адресу:</w:t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  <w:hyperlink r:id="rId17" w:tooltip="https://utp.sberbank-ast.ru/AP/Notice/652/Instructions" w:history="1">
        <w:r>
          <w:rPr>
            <w:rStyle w:val="743"/>
            <w:bCs/>
            <w:lang w:eastAsia="en-US" w:bidi="ru-RU"/>
          </w:rPr>
          <w:t xml:space="preserve">https://utp.sberbank-ast.ru/AP/Notice/652/Instructions</w:t>
        </w:r>
      </w:hyperlink>
      <w:r>
        <w:rPr>
          <w:bCs/>
          <w:lang w:eastAsia="en-US" w:bidi="ru-RU"/>
        </w:rPr>
        <w:t xml:space="preserve">.</w:t>
      </w:r>
      <w:r>
        <w:rPr>
          <w:b/>
          <w:bCs/>
        </w:rPr>
      </w:r>
    </w:p>
    <w:p>
      <w:pPr>
        <w:pStyle w:val="660"/>
        <w:ind w:left="-567" w:firstLine="567"/>
        <w:jc w:val="both"/>
        <w:widowControl w:val="off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 xml:space="preserve"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743"/>
          <w:bCs/>
          <w:sz w:val="24"/>
          <w:szCs w:val="24"/>
          <w:lang w:val="en-US"/>
        </w:rPr>
        <w:t xml:space="preserve">dzo</w:t>
      </w:r>
      <w:r>
        <w:rPr>
          <w:rStyle w:val="743"/>
          <w:bCs/>
          <w:sz w:val="24"/>
          <w:szCs w:val="24"/>
        </w:rPr>
        <w:t xml:space="preserve">@</w:t>
      </w:r>
      <w:r>
        <w:rPr>
          <w:rStyle w:val="743"/>
          <w:bCs/>
          <w:sz w:val="24"/>
          <w:szCs w:val="24"/>
          <w:lang w:val="en-US"/>
        </w:rPr>
        <w:t xml:space="preserve">perm</w:t>
      </w:r>
      <w:r>
        <w:rPr>
          <w:rStyle w:val="743"/>
          <w:bCs/>
          <w:sz w:val="24"/>
          <w:szCs w:val="24"/>
        </w:rPr>
        <w:t xml:space="preserve">.</w:t>
      </w:r>
      <w:r>
        <w:rPr>
          <w:rStyle w:val="743"/>
          <w:bCs/>
          <w:sz w:val="24"/>
          <w:szCs w:val="24"/>
          <w:lang w:val="en-US"/>
        </w:rPr>
        <w:t xml:space="preserve">permkrai</w:t>
      </w:r>
      <w:r>
        <w:rPr>
          <w:rStyle w:val="743"/>
          <w:bCs/>
          <w:sz w:val="24"/>
          <w:szCs w:val="24"/>
        </w:rPr>
        <w:t xml:space="preserve">.</w:t>
      </w:r>
      <w:r>
        <w:rPr>
          <w:rStyle w:val="743"/>
          <w:bCs/>
          <w:sz w:val="24"/>
          <w:szCs w:val="24"/>
          <w:lang w:val="en-US"/>
        </w:rPr>
        <w:t xml:space="preserve">ru.</w:t>
      </w:r>
      <w:r>
        <w:rPr>
          <w:highlight w:val="none"/>
        </w:rPr>
      </w:r>
    </w:p>
    <w:p>
      <w:pPr>
        <w:pStyle w:val="660"/>
        <w:ind w:left="-567" w:firstLine="567"/>
        <w:jc w:val="both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79"/>
        <w:ind w:left="1134" w:hanging="1134"/>
        <w:jc w:val="center"/>
        <w:spacing w:line="240" w:lineRule="exact"/>
        <w:rPr>
          <w:b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лотах (предметах аукциона)</w:t>
      </w:r>
      <w:r>
        <w:rPr>
          <w:b/>
          <w:lang w:val="ru-RU"/>
        </w:rPr>
      </w:r>
    </w:p>
    <w:p>
      <w:pPr>
        <w:pStyle w:val="660"/>
        <w:ind w:right="-263"/>
        <w:tabs>
          <w:tab w:val="clear" w:pos="708" w:leader="none"/>
          <w:tab w:val="left" w:pos="5103" w:leader="none"/>
        </w:tabs>
        <w:rPr>
          <w:b/>
          <w:bCs/>
        </w:rPr>
      </w:pPr>
      <w:r>
        <w:rPr>
          <w:b/>
          <w:bCs/>
          <w:lang w:val="en-US"/>
        </w:rPr>
        <w:t xml:space="preserve">Лот № 1</w:t>
      </w:r>
      <w:r>
        <w:rPr>
          <w:b/>
          <w:bCs/>
        </w:rPr>
      </w:r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054"/>
        <w:gridCol w:w="6864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решения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города Перми, распоряжение начальника </w:t>
              <w:br/>
              <w:t xml:space="preserve">департамента земельных отношений администрации города Перми от 28 ноября 2024 г. № 21-01-03-10579 «О проведении аукциона на право заключения договора аренды земельного участка  в Орджоникидзевском районе города Перми»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на право заключения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Кизеловская, з/у 9в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1297 кв. м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59:01:3812826:138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 (2.1)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</w:t>
              <w:br/>
              <w:t xml:space="preserve">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-2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определенной территориальной зоне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Ж-4 «Зона индивидуальной жилой застройки городского типа»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3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от 04.08.2026г.                          № КУВИ-001/2026-104775440 (далее – ЕГРН);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от 15.11.2024 № РФ-59-2-03-0-00-2024-2406-0 (далее – ГПЗУ)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(Приложение 2 к настоящему извещению).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Согласно сведениям из ЕГРН в границах земельного участка расположено сооружение с кадастровым номером 59:01:0000000:77564 </w:t>
            </w:r>
            <w:r>
              <w:rPr>
                <w:sz w:val="24"/>
                <w:szCs w:val="24"/>
              </w:rPr>
              <w:t xml:space="preserve">сооружение электроэнергетики (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электросетевой комплекс «Подстанция 110/6кВ «Северная» с линиями электропередачи, трансформаторными подстанциями и распределительными пунктами»).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53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В ходе визуального осмотра террит</w:t>
            </w:r>
            <w:r>
              <w:rPr>
                <w:color w:val="000000"/>
                <w:sz w:val="24"/>
              </w:rPr>
              <w:t xml:space="preserve">ории установлено, что участок ничем не огорожен, доступ не ограничен, состояние рельефа земельного участка ровное. На земельном участке возведено два одноэтажных строения с пристроями, на части участка размещен строительный материал, навален бытовой мусор.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 xml:space="preserve">Орджоникидзевским районным судом города Перми вынесены заочные решения о признании объектов недвижимости самовольной постройкой (гражданское дело </w:t>
              <w:br/>
              <w:t xml:space="preserve"> № 2-4688/2023 от 26.12.2023 и № 2-4429/2023 от 19.12.2023).</w:t>
            </w:r>
            <w:r>
              <w:rPr>
                <w:highlight w:val="whit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Согласно сведениям, предоставленным отделением надзорной деятельности и профилактической работы г. Перми по Орджоникидзевскому району 1 ОНПР по городу Перми УНПР Главного управления МЧС России по Пермскому краю, близлежащие пожарные гидранты расп</w:t>
            </w:r>
            <w:r>
              <w:rPr>
                <w:color w:val="000000"/>
                <w:sz w:val="24"/>
              </w:rPr>
              <w:t xml:space="preserve">оложены по адресу: Пермский край, г. Пермь, Орджоникидзевский район,</w:t>
              <w:br/>
              <w:t xml:space="preserve">ул. Александра Пархоменко, 21, 25, 31, ул. Чапаева, 6; пожарные водоемы расположены по адресу: Пермский край, г. Пермь, Орджоникидзевский район, ул. Новогодняя, 11,</w:t>
              <w:br/>
              <w:t xml:space="preserve">ул. 2-я Планерная, 19.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администрации Орджоникидзевского района города Перми</w:t>
            </w:r>
            <w:r>
              <w:rPr>
                <w:color w:val="000000"/>
                <w:sz w:val="24"/>
              </w:rPr>
              <w:br/>
              <w:t xml:space="preserve">от 26.05.2026 № 059-37-01-32/3-2922, в акте обследования</w:t>
              <w:br/>
              <w:t xml:space="preserve">от 22.05.2026 № 50).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 xml:space="preserve">Проектирование и строительство необходимо вести </w:t>
              <w:br/>
              <w:t xml:space="preserve">в соответствии с постановлением Правительства Российской Федерации от 24.02.2009 № 160 «О порядке установления охранных зон объектов элек</w:t>
            </w:r>
            <w:r>
              <w:rPr>
                <w:sz w:val="24"/>
                <w:szCs w:val="24"/>
              </w:rPr>
              <w:t xml:space="preserve">тросетевого хозяйства и особых условий использования земельных участков, расположенных в границах таких зон».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Согласно сведениям, содержащимся в ГПЗУ, ЕГРН </w:t>
              <w:br/>
              <w:t xml:space="preserve">и справке по градостроительным условиям от 04.08.2026 689088, Участок расположен в границах зоны с особыми условиями использования территории: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полностью в Приаэродромной территории аэродрома аэропорта Большое Савино, реестровый номер границы 59:32-6.553. Проек</w:t>
            </w:r>
            <w:r>
              <w:rPr>
                <w:sz w:val="24"/>
                <w:szCs w:val="24"/>
                <w:highlight w:val="white"/>
              </w:rPr>
              <w:t xml:space="preserve">тирование и строительство вести </w:t>
              <w:br/>
              <w:t xml:space="preserve">в соответствии с постановлением Правительства Российской Федерации от 11.03.2010 № 138 </w:t>
              <w:br/>
              <w:t xml:space="preserve">«Об утверждении Федеральных правил использования воздушного пространства Российской Федерации»: «Запрещается размещать в полосах воздуш</w:t>
            </w:r>
            <w:r>
              <w:rPr>
                <w:sz w:val="24"/>
                <w:szCs w:val="24"/>
                <w:highlight w:val="white"/>
              </w:rPr>
              <w:t xml:space="preserve">ных </w:t>
              <w:br/>
              <w:t xml:space="preserve">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  <w:r>
              <w:rPr>
                <w:highlight w:val="white"/>
              </w:rPr>
            </w:r>
          </w:p>
          <w:p>
            <w:pPr>
              <w:pStyle w:val="753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pacing w:val="-4"/>
                <w:sz w:val="24"/>
                <w:highlight w:val="white"/>
              </w:rPr>
              <w:t xml:space="preserve">На земельном участке произрастает 100 деревьев пород «береза», «тополь», клен ясенелистный»</w:t>
            </w:r>
            <w:r>
              <w:rPr>
                <w:sz w:val="24"/>
                <w:highlight w:val="white"/>
              </w:rPr>
              <w:t xml:space="preserve">. На прилегающей территории расположены городские леса и лесопарковый зеленый пояс г. Перми. Необходимо учесть их границы.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60"/>
              <w:ind w:firstLine="340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Восстановительная стоимость сносимых зелены</w:t>
            </w:r>
            <w:r>
              <w:rPr>
                <w:sz w:val="24"/>
                <w:szCs w:val="24"/>
              </w:rPr>
              <w:t xml:space="preserve">х насаждений в ценах 2026 года: одного лиственного дерева от 40 тыс. руб., хвойной – от 50 тыс. руб.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highlight w:val="white"/>
              </w:rPr>
              <w:t xml:space="preserve">Победителю аукциона необходимо: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</w:pPr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- учесть границы городских лесов, лесопаркового зеленого пояса г. Перми, расположенных на прилегающей территории;</w:t>
            </w:r>
            <w:r/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-</w:t>
            </w:r>
            <w:r>
              <w:rPr>
                <w:rFonts w:eastAsia="Times New Roman" w:cs="Times New Roman"/>
                <w:color w:val="000000" w:themeColor="text1"/>
                <w:sz w:val="24"/>
                <w:highlight w:val="white"/>
              </w:rPr>
              <w:t xml:space="preserve"> соблюдать условия строительства, перечисленные </w:t>
              <w:br/>
              <w:t xml:space="preserve">в перечне мероприятий по охране окружающей среды </w:t>
              <w:br/>
              <w:t xml:space="preserve">от 20.07.2026 № 157.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sz w:val="24"/>
                <w:highlight w:val="white"/>
              </w:rPr>
              <w:t xml:space="preserve">20.07.2026 </w:t>
            </w:r>
            <w:r>
              <w:rPr>
                <w:spacing w:val="-4"/>
                <w:sz w:val="24"/>
                <w:highlight w:val="white"/>
              </w:rPr>
              <w:t xml:space="preserve">№ 059-33-01-10/3-406</w:t>
            </w:r>
            <w:r>
              <w:rPr>
                <w:color w:val="000000"/>
                <w:sz w:val="24"/>
              </w:rP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sz w:val="24"/>
              </w:rPr>
              <w:t xml:space="preserve">На территории, где расположен Участок, схемами водоснабжения и водоотведения города Перми, утвержденными постановлением а</w:t>
            </w:r>
            <w:r>
              <w:rPr>
                <w:sz w:val="24"/>
              </w:rPr>
              <w:t xml:space="preserve">дминистрации города Перми от 28.12.2018 № 1085, на период до 2028 года Муниципальной программой «Развитие системы жилищно – коммунального хозяйства в городе Перми» от 18.10.2024 № 964 на 2026-2027гг. предусмотрено финансирование на реализацию мероприятия </w:t>
              <w:br/>
            </w:r>
            <w:r>
              <w:rPr>
                <w:spacing w:val="-6"/>
                <w:sz w:val="24"/>
              </w:rPr>
              <w:t xml:space="preserve">по строительству сетей водоснабжения в мкр. Чапаевский.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/>
                <w:sz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sz w:val="24"/>
              </w:rPr>
              <w:t xml:space="preserve">06.07.2026 № 059-04-17/3-547-ри</w:t>
            </w:r>
            <w:r>
              <w:rPr>
                <w:color w:val="000000"/>
                <w:sz w:val="24"/>
              </w:rP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  <w:highlight w:val="white"/>
              </w:rPr>
              <w:t xml:space="preserve">Муниципальной программой «Дорож</w:t>
            </w:r>
            <w:r>
              <w:rPr>
                <w:sz w:val="24"/>
              </w:rPr>
              <w:t xml:space="preserve">ная деятельность и благоустрой</w:t>
            </w:r>
            <w:r>
              <w:rPr>
                <w:sz w:val="24"/>
              </w:rPr>
              <w:t xml:space="preserve">ство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на рассматриваемых территориях не предусмотрены.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Программой комплексного развития транспо</w:t>
            </w:r>
            <w:r>
              <w:rPr>
                <w:sz w:val="24"/>
              </w:rPr>
              <w:t xml:space="preserve">ртной инфраструктуры города Перми на 2025-2043 годы, утвержденной Решением Пермской городской Думы </w:t>
              <w:br/>
              <w:t xml:space="preserve">от 16.12.2025 № 238, мероприятия по строительству, реконструкции, капитальному ремонту улично-дорожной сети на рассматриваемых территориях не предусмотрены.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Для примыкания Участка к улично-дорожной сети города Перми необходимо выполнить условия, указанные в письме.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</w:t>
              <w:br/>
              <w:t xml:space="preserve">от 15.12.2020 № 277, при строительстве объектов недвижимости.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соответствии с Федеральным законом от 08.11.2007 № 257, расходы на строительство, реконструкцию, капитальный ремонт, ремонт пересечений и примыканий, в том числе расходы на выполнение дополнительных работ связанных с обеспечен</w:t>
            </w:r>
            <w:r>
              <w:rPr>
                <w:sz w:val="24"/>
                <w:szCs w:val="24"/>
                <w:highlight w:val="white"/>
              </w:rPr>
              <w:t xml:space="preserve">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</w:t>
              <w:br/>
              <w:t xml:space="preserve">или примыканий.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д</w:t>
            </w:r>
            <w:r>
              <w:rPr>
                <w:b/>
                <w:color w:val="000000"/>
                <w:sz w:val="24"/>
              </w:rPr>
              <w:t xml:space="preserve">епартамента дорог и благоустройства администрации города Перми</w:t>
            </w:r>
            <w:r>
              <w:rPr>
                <w:color w:val="000000"/>
                <w:sz w:val="24"/>
              </w:rPr>
              <w:br/>
              <w:t xml:space="preserve">от </w:t>
            </w:r>
            <w:r>
              <w:rPr>
                <w:sz w:val="24"/>
                <w:highlight w:val="white"/>
              </w:rPr>
              <w:t xml:space="preserve">07.07.2026 № 059-24-01-36/3-2225</w:t>
            </w:r>
            <w:r>
              <w:rPr>
                <w:color w:val="000000"/>
                <w:sz w:val="24"/>
              </w:rP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Источники противопожарного водоснабжения </w:t>
              <w:br/>
              <w:t xml:space="preserve">по 8 земельным участкам отсутствуют. Ближайший пожарный водоем расположен на земельном участке с кадастровым номером: 59:3810193:170, напротив дома по ул. Токарная, 39.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</w:t>
            </w:r>
            <w:r>
              <w:rPr>
                <w:sz w:val="24"/>
              </w:rPr>
              <w:t xml:space="preserve">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Подразделение пожарной охраны расположено </w:t>
              <w:br/>
              <w:t xml:space="preserve">по адресу: ул. Волховская, 37 (ПСЧ-57 10-ПСО).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Помещения для аварийно-спасательных служб </w:t>
              <w:br/>
              <w:t xml:space="preserve">и (или) аварийно-спасательных формирований на указанных территориях отсутствуют.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Близлежащий объект общественной безопасно</w:t>
            </w:r>
            <w:r>
              <w:rPr>
                <w:sz w:val="24"/>
              </w:rPr>
              <w:t xml:space="preserve">сти, отнесенный к объектам полиции (участковый пункт полиции), расположен по адресу: г. Пермь, Талицкий переулок, 8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 информации, предоставленной письмом Министерства территориальной безопасности Пермского края от 07.10.2020 № 964с, рассматриваемые территории попадают в зону возможного химического заражения в особый период.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Указанные территории находится в зоне действия региональной системы оповещения населения города Перми, установленной по адресу: Еловский переулок, </w:t>
              <w:br/>
              <w:t xml:space="preserve">д. 22 – 600 метров.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Иная информация в части полномочий департамента общественной безопасности администрации города Перми отсутствует.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/>
                <w:sz w:val="24"/>
              </w:rPr>
              <w:t xml:space="preserve"> от </w:t>
            </w:r>
            <w:r>
              <w:rPr>
                <w:sz w:val="24"/>
              </w:rPr>
              <w:t xml:space="preserve">02.07.2026 № 059-10-01-27/3-969</w:t>
            </w:r>
            <w:r>
              <w:rPr>
                <w:color w:val="000000"/>
                <w:sz w:val="24"/>
              </w:rP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3"/>
              </w:numPr>
              <w:ind w:left="120" w:right="-263" w:firstLine="22"/>
              <w:tabs>
                <w:tab w:val="left" w:pos="36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обязательства по сносу здания, сооружения, </w:t>
              <w:br/>
              <w:t xml:space="preserve">объекта незавершенного строительства, которые расположены на земельном участке и в отношении которых принято решение </w:t>
              <w:br/>
              <w:t xml:space="preserve">о сносе самовольной постройки, в срок, </w:t>
              <w:br/>
              <w:t xml:space="preserve">не превышающий двенадцати месяцев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Заочным решением Орджоникидзевского районного суда</w:t>
              <w:br/>
              <w:t xml:space="preserve">г. Перми </w:t>
            </w:r>
            <w:r>
              <w:rPr>
                <w:color w:val="000000"/>
                <w:sz w:val="24"/>
              </w:rPr>
              <w:t xml:space="preserve">от 19.12.2023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по делу № 2-4429/2023, вступившим</w:t>
              <w:br/>
              <w:t xml:space="preserve">в законную силу 30.03.2024, признан самовольной постройкой </w:t>
            </w:r>
            <w:r>
              <w:rPr>
                <w:color w:val="000000"/>
                <w:sz w:val="24"/>
              </w:rPr>
              <w:t xml:space="preserve">объект недвижимости представляющий собой одноэтажное деревянное жилое строение, площадью около 50 кв.м, расположенное: Пермский край, г. Пермь, Орджоникидзевский район, мкр. Чапаева, юго-западнее земельного участка </w:t>
              <w:br/>
              <w:t xml:space="preserve">с кадастровым номером 59:01:3812826:134.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На Ян</w:t>
            </w:r>
            <w:r>
              <w:rPr>
                <w:color w:val="000000"/>
                <w:sz w:val="24"/>
              </w:rPr>
              <w:t xml:space="preserve">чи К.М. возложена обязанность в течении 1 (одного) месяца с момента вступления  решения суда в законную силу за свой счет освободить самовольно занятый земельный участок путем сноса самовольной постройки и вывозом строительного мусора с земельного участка.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Заочным решением Орджоникидзевского районного суда</w:t>
              <w:br/>
              <w:t xml:space="preserve">города Перми </w:t>
            </w:r>
            <w:r>
              <w:rPr>
                <w:color w:val="000000"/>
                <w:sz w:val="24"/>
              </w:rPr>
              <w:t xml:space="preserve">от 26.12.2023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по делу № 2-4688-2023, вступившим в законную силу 09.04.2024, признан самовольной постройкой объект недвижимост</w:t>
            </w:r>
            <w:r>
              <w:rPr>
                <w:color w:val="000000"/>
                <w:sz w:val="24"/>
              </w:rPr>
              <w:t xml:space="preserve">и представляющий собой одноэтажное деревянное жилое строение, площадью</w:t>
              <w:br/>
              <w:t xml:space="preserve">около 35 кв.м, расположенное: Пермский край, г. Пермь, Орджоникидзевский район, мкр. Чапаева, юго-западнее земельного участка с кадастровым номером 59:01:3812826:135 по ул. Кизеловская.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На Жукова В.В. возложена обязанность</w:t>
              <w:br/>
              <w:t xml:space="preserve">в течении 1 месяца с момента вступления  решения суда</w:t>
              <w:br/>
              <w:t xml:space="preserve">в законную силу за свой счет освободить самовольно занятый земельный участок путем сноса самовольной постройки </w:t>
              <w:br/>
              <w:t xml:space="preserve">и вывозом строительного мусора с земельного участка.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На основании части 8 ста</w:t>
            </w:r>
            <w:r>
              <w:rPr>
                <w:b w:val="0"/>
                <w:bCs w:val="0"/>
                <w:sz w:val="24"/>
                <w:szCs w:val="24"/>
              </w:rPr>
              <w:t xml:space="preserve">тьи 55.32 Градостроительного кодекса Российской Федерации победителю аукциона, иному лицу, с которым заключается договор, переходит обязательство </w:t>
              <w:br/>
              <w:t xml:space="preserve">за свой счет и (или) с привлечением средств других лиц по сносу самовольных построек в срок, не  превышающий </w:t>
            </w:r>
            <w:r>
              <w:rPr>
                <w:sz w:val="24"/>
                <w:szCs w:val="24"/>
              </w:rPr>
              <w:t xml:space="preserve">двенадцати месяцев.</w:t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120" w:right="113" w:firstLine="107"/>
              <w:jc w:val="left"/>
              <w:spacing w:before="0" w:after="0"/>
              <w:widowControl/>
              <w:tabs>
                <w:tab w:val="left" w:pos="36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допустимые параметры разрешенного строительства</w:t>
              <w:br/>
              <w:t xml:space="preserve">объекта капитального строительства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</w:t>
            </w:r>
            <w:r>
              <w:rPr>
                <w:sz w:val="24"/>
                <w:szCs w:val="24"/>
                <w:lang w:val="en-US"/>
              </w:rPr>
              <w:t xml:space="preserve"> </w:t>
              <w:br/>
              <w:t xml:space="preserve"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 </w:t>
            </w:r>
            <w:r>
              <w:rPr>
                <w:sz w:val="24"/>
                <w:szCs w:val="24"/>
              </w:rPr>
              <w:t xml:space="preserve">(ред. от 17.05.2023):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  <w:lang w:val="en-US"/>
              </w:rPr>
              <w:t xml:space="preserve">ом должен</w:t>
            </w:r>
            <w:r>
              <w:rPr>
                <w:sz w:val="24"/>
                <w:szCs w:val="24"/>
                <w:lang w:val="en-US"/>
              </w:rPr>
              <w:t xml:space="preserve">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 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 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 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 2,2 м.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 xml:space="preserve">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информации, содержащейся в градостроительн</w:t>
            </w:r>
            <w:r>
              <w:rPr>
                <w:sz w:val="24"/>
                <w:szCs w:val="24"/>
              </w:rPr>
              <w:t xml:space="preserve">ом плане земельного участка от 15.11.2024 № РФ-59-2-03-0-00-2024-2406-0 (далее – ГПЗУ), предельная высота зданий, строений не более 10,5 м (документация по планировке территории, утвержденная постановлением администрации города Перми от 23.12.2015 № 1102).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отступ от границ земельного участка до места допустимого размещения зданий, строений, сооружений (за исключе</w:t>
            </w:r>
            <w:r>
              <w:rPr>
                <w:sz w:val="24"/>
                <w:szCs w:val="24"/>
              </w:rPr>
              <w:t xml:space="preserve">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</w:t>
            </w:r>
            <w:r>
              <w:rPr>
                <w:sz w:val="24"/>
                <w:szCs w:val="24"/>
              </w:rPr>
              <w:t xml:space="preserve">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Максимальный процент застройки в границах </w:t>
              <w:br/>
              <w:t xml:space="preserve">Участка – 30%.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sz w:val="24"/>
                <w:szCs w:val="24"/>
              </w:rPr>
              <w:t xml:space="preserve"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53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120" w:right="23" w:firstLine="6"/>
              <w:tabs>
                <w:tab w:val="left" w:pos="36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25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60"/>
              <w:ind w:firstLine="25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ooltip="http://www.gorodperm.ru/" w:history="1">
              <w:r>
                <w:rPr>
                  <w:rStyle w:val="743"/>
                  <w:color w:val="000000" w:themeColor="text1"/>
                  <w:sz w:val="24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 w:val="24"/>
                <w:szCs w:val="24"/>
                <w:u w:val="none"/>
              </w:rPr>
              <w:t xml:space="preserve">.</w:t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60"/>
              <w:ind w:firstLine="25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753"/>
              <w:ind w:firstLine="25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О наличии технической возможности технологического присоединения энергопринимающего устройства объекта </w:t>
              <w:br/>
              <w:t xml:space="preserve">с предполагаемым электоропотреблением 15 кВт, сообщается следующее.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В соо</w:t>
            </w:r>
            <w:r>
              <w:rPr>
                <w:color w:val="000000"/>
                <w:sz w:val="24"/>
              </w:rPr>
              <w:t xml:space="preserve">тветствии с «Правилами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</w:t>
            </w:r>
            <w:r>
              <w:rPr>
                <w:color w:val="000000"/>
                <w:sz w:val="24"/>
              </w:rPr>
              <w:t xml:space="preserve">м, к электрическим сетям», утвержденными постановлением Правительства Российской Федерации от 27.12.2004 № 861 (далее – Правила), конкретные технические условия на энергосбережение объекта разрабатываются в составе договора о технологическом присоединении.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Плата за технологическое присоединение энергопринимающих устройств устанавливает</w:t>
            </w:r>
            <w:r>
              <w:rPr>
                <w:color w:val="000000"/>
                <w:sz w:val="24"/>
              </w:rPr>
              <w:t xml:space="preserve">ся исходя из стоимости мероприятий по технологическому присоединению, размер платы определяется по утвержденным тарифам согласно постановлению Министерства тарифного регулирования </w:t>
              <w:br/>
              <w:t xml:space="preserve">и энергетики Пермского края от 23.11.2023 № 121-тп </w:t>
              <w:br/>
              <w:t xml:space="preserve">(в последней редакции).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bCs w:val="0"/>
                <w:color w:val="000000"/>
                <w:sz w:val="24"/>
                <w:szCs w:val="24"/>
              </w:rPr>
              <w:t xml:space="preserve">Филиала ПАО «Россети Урал» - «Пермэнерго»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от 20.11.2024 </w:t>
              <w:br/>
              <w:t xml:space="preserve">№ ПЭ/ПГЭС/01/22/12814</w:t>
            </w:r>
            <w:r>
              <w:rPr>
                <w:color w:val="000000"/>
                <w:sz w:val="24"/>
              </w:rPr>
              <w:t xml:space="preserve">).</w:t>
            </w:r>
            <w:r/>
          </w:p>
          <w:p>
            <w:pPr>
              <w:pStyle w:val="753"/>
              <w:ind w:left="113" w:right="113" w:firstLine="283"/>
              <w:jc w:val="both"/>
              <w:spacing w:before="0" w:after="0"/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pStyle w:val="753"/>
              <w:ind w:left="113" w:right="227" w:firstLine="283"/>
              <w:jc w:val="both"/>
              <w:spacing w:before="0" w:after="0"/>
              <w:widowControl/>
            </w:pPr>
            <w:r>
              <w:rPr>
                <w:color w:val="000000"/>
                <w:sz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(часовым расходом газа) 8м3/час к существующим сетям газораспределения имеется.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АО «Газпром газораспределение Пермь» </w:t>
            </w:r>
            <w:r>
              <w:rPr>
                <w:color w:val="000000"/>
                <w:sz w:val="24"/>
              </w:rPr>
              <w:t xml:space="preserve">от 05.11.2024 № ПФ-7256).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– 1,0 м3/сут. к централизованным системам водоснабжения </w:t>
              <w:br/>
              <w:t xml:space="preserve">и водоотведения сообщается следующее.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Ближайшей точкой подключения к сетям водоснабжения, эксплуатируемой ООО «НОВОГОР-Прикамье», является водовод Д-1000 мм по ул. Чапаева, внутри квартала.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Ближайшей точкой подключения к сетям водоотведения, эксплуатируемой ООО «НОВОГОР-Прикамье», является сеть канализации Д-200 мм по ул. Липовая.</w:t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Дополнительно сообщается, что в границах Участка отсутствуют сети водопровода и канализации, эксплуатируемые ООО «НОВОГОР-Прикамье». Размещение объекта </w:t>
            </w:r>
            <w:r>
              <w:rPr>
                <w:color w:val="000000"/>
                <w:sz w:val="24"/>
              </w:rPr>
              <w:t xml:space="preserve">необходимо предусмотреть строго за пределами охранных зон сетей водопровода и канализации в соответствии с нормами СП, в том числе в соответствии с таблицей 12.5 СП 42.13330.2016 «Градостроительство. Планировка и застройка городских </w:t>
              <w:br/>
              <w:t xml:space="preserve">и сельских поселений».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</w:rPr>
              <w:t xml:space="preserve">ООО «НОВОГОР-Прикамье» </w:t>
            </w:r>
            <w:r>
              <w:rPr>
                <w:color w:val="000000"/>
                <w:sz w:val="24"/>
              </w:rPr>
              <w:t xml:space="preserve">от 05.11.2024 № 110-18130).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О возможности технологического присоединения к системе теплоснабжения объекта сообщается, что Участок находится вне зоны теплоснабжения ПАО «Т плюс».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Филиала «Пермский ПАО «Т Плюс»</w:t>
            </w:r>
            <w:r>
              <w:rPr>
                <w:color w:val="000000"/>
                <w:sz w:val="24"/>
              </w:rPr>
              <w:t xml:space="preserve"> от 01.11.2024 № 51000-32-03832).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газ, дрова, пеллеты.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д</w:t>
            </w:r>
            <w:r>
              <w:rPr>
                <w:b/>
                <w:color w:val="000000"/>
                <w:sz w:val="24"/>
              </w:rPr>
              <w:t xml:space="preserve">епартамента жилищно-коммунального хозяйства администрации города Перми </w:t>
            </w:r>
            <w:r>
              <w:rPr>
                <w:color w:val="000000"/>
                <w:sz w:val="24"/>
              </w:rPr>
              <w:t xml:space="preserve">от 13.11.2024 № 059-04-25/3-134-ри 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Технологическое присоединение к сетям связи </w:t>
              <w:br/>
            </w:r>
            <w:r>
              <w:rPr>
                <w:b/>
                <w:color w:val="000000"/>
                <w:sz w:val="24"/>
              </w:rPr>
              <w:t xml:space="preserve">ПАО «Ростелеком»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может быть</w:t>
            </w:r>
            <w:r>
              <w:rPr>
                <w:color w:val="000000"/>
                <w:sz w:val="24"/>
              </w:rPr>
              <w:t xml:space="preserve"> произведено в точке подключения узел ВОЛС (г. Пермь, ул. Кронита, 8), максимальную нагрузку в точке подключения (технологического присоединения) определить на стадии проектирования. В границах Участка линии и сооружения связи ПАО «Ростелеком» отсутствуют.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от 05.11.2024 № 01/05/168152/24</w:t>
            </w:r>
            <w:r>
              <w:rPr>
                <w:color w:val="000000"/>
                <w:sz w:val="24"/>
                <w:szCs w:val="24"/>
              </w:rPr>
              <w:t xml:space="preserve">).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</w:pPr>
            <w:r>
              <w:rPr>
                <w:b w:val="0"/>
                <w:bCs w:val="0"/>
                <w:sz w:val="24"/>
                <w:szCs w:val="24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1 к настоящему извещению), победитель аукциона, иное лицо, с которым договор заключается в соответствии </w:t>
            </w:r>
            <w:r>
              <w:rPr>
                <w:b w:val="0"/>
                <w:bCs w:val="0"/>
                <w:sz w:val="24"/>
                <w:szCs w:val="24"/>
              </w:rPr>
              <w:t xml:space="preserve">с п.13, п.14, п. 20 или п. 25  ст. 39.12 Земельного Кодекса Российской Федерации (далее – ЗК РФ), обязан до подписания договора уплатить ежегодный размер арендной платы, указанный в п. 4.2 договора </w:t>
              <w:br/>
              <w:t xml:space="preserve">(за вычетом задатка, внесенного для участия </w:t>
              <w:br/>
              <w:t xml:space="preserve">в аукционе) </w:t>
            </w:r>
            <w:r>
              <w:rPr>
                <w:b/>
                <w:bCs/>
                <w:sz w:val="24"/>
                <w:szCs w:val="24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</w:rPr>
              <w:t xml:space="preserve">на счет департамента земельных отношений администрации города Перми, 614015, </w:t>
              <w:br/>
              <w:t xml:space="preserve">ул. Сибирская,15, </w:t>
              <w:br/>
              <w:t xml:space="preserve">тел. 212-61-90 (отдел договоров),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реквизиты которого указаны в проекте договора аренды земельного участка (Приложение 1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352 000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17 600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едерации (копии документов, удостоверяющих личность заявителя (для граждан); надлежащим образом заверенный перевод на русский язык документов</w:t>
              <w:br/>
              <w:t xml:space="preserve">о государственной регистрации юридического лица</w:t>
              <w:br/>
              <w:t xml:space="preserve">в соответствии с законодательством иностранного государства в</w:t>
              <w:br/>
              <w:t xml:space="preserve">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3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auto"/>
                <w14:ligatures w14:val="none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Решение о проведении аукциона принято в соответствии </w:t>
              <w:br/>
              <w:t xml:space="preserve">со статьей 39.11 Земельного кодекса Российской Федерации, аукцион является открытым по составу участников.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  <w14:ligatures w14:val="none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176 000 руб.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 xml:space="preserve">на местности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60"/>
        <w:ind w:right="-263"/>
        <w:tabs>
          <w:tab w:val="clear" w:pos="708" w:leader="none"/>
          <w:tab w:val="left" w:pos="5103" w:leader="none"/>
        </w:tabs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highlight w:val="none"/>
          <w:lang w:bidi="ru-RU"/>
        </w:rPr>
      </w:r>
    </w:p>
    <w:p>
      <w:pPr>
        <w:pStyle w:val="660"/>
        <w:ind w:right="-263"/>
        <w:tabs>
          <w:tab w:val="clear" w:pos="708" w:leader="none"/>
          <w:tab w:val="left" w:pos="5103" w:leader="none"/>
        </w:tabs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bCs/>
          <w:lang w:bidi="ru-RU"/>
        </w:rPr>
        <w:t xml:space="preserve">Лот № 2</w:t>
      </w:r>
      <w:r>
        <w:rPr>
          <w:rFonts w:eastAsia="Courier New"/>
          <w:b/>
          <w:bCs/>
          <w:highlight w:val="none"/>
          <w:lang w:bidi="ru-RU"/>
        </w:rPr>
      </w:r>
    </w:p>
    <w:p>
      <w:pPr>
        <w:pStyle w:val="660"/>
        <w:ind w:right="-263"/>
        <w:tabs>
          <w:tab w:val="clear" w:pos="708" w:leader="none"/>
          <w:tab w:val="left" w:pos="5103" w:leader="none"/>
        </w:tabs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highlight w:val="none"/>
          <w:lang w:bidi="ru-RU"/>
        </w:rPr>
      </w:r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054"/>
        <w:gridCol w:w="6864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решения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города Перми, распоряжение начальника </w:t>
              <w:br/>
              <w:t xml:space="preserve">департамента земельных отношений администрации города Перми от 20 февраля 2025 г. № 21-01-03-1394 «О проведении аукциона на право заключения договора аренды земельного участка  в Орджоникидзевском районе города Перми»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на право заключения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1-я Логовая, з/у 1в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597 кв. м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59:01:3812839:180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8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 (2.1)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6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-2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определенной территориальной зоне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Ж-4 «Зона индивидуальной жилой застройки городского типа»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3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311"/>
              <w:jc w:val="both"/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/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от 10.08.2026г. </w:t>
              <w:br/>
              <w:t xml:space="preserve">№ КУВИ-001/2026-107159255 </w:t>
            </w:r>
            <w:r>
              <w:rPr>
                <w:color w:val="auto"/>
                <w:sz w:val="24"/>
                <w:szCs w:val="24"/>
              </w:rPr>
              <w:t xml:space="preserve">(далее – ЕГРН)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от 19</w:t>
            </w:r>
            <w:r>
              <w:rPr>
                <w:color w:val="auto"/>
                <w:sz w:val="24"/>
                <w:szCs w:val="24"/>
              </w:rPr>
              <w:t xml:space="preserve">.01.2024 № РФ-59-2-03-0-00-2024-0074-0 (далее – ГПЗУ)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(Приложение 4 к настоящему извещению).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753"/>
              <w:ind w:firstLine="3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сведениям, содержащимся в ЕГРН, в границах земельного участка объекты капитального строительства отсутствуют.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По данным геодезической съемки в границах земельного участка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расположен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жилое строение, а также часть жилого строения, находящегося на смежном участке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 на земельный участок не ограничен, состояние рельефа ровное. На земельном участке возведены одноэтажное строение и деревянная постройка (предположительно сарай), строительный мусор из дерева.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lang w:val="en-US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сведениям, предоставленным отделением надзорной деятельности и профилактической работы </w:t>
              <w:br/>
              <w:t xml:space="preserve">г. Перми по Орджоникидзевскому району 1 ОНПР </w:t>
              <w:br/>
              <w:t xml:space="preserve">по городу Перми УНПР Главного управления МЧС России по Пермскому краю, близлежащие пожарные гидранты распол</w:t>
            </w:r>
            <w:r>
              <w:rPr>
                <w:sz w:val="24"/>
                <w:szCs w:val="24"/>
                <w:lang w:val="en-US"/>
              </w:rPr>
              <w:t xml:space="preserve">ожены по адресу: Пермский край, </w:t>
              <w:br/>
              <w:t xml:space="preserve">г. Пермь, Орджоникидзевский район, ул. Александра Пархоменко, 21, 25, 31, ул. Чапаева, 6; пожарные водоемы расположены по адресу: Пермский край, </w:t>
              <w:br/>
              <w:t xml:space="preserve">г. Пермь, Орджоникидзевский район, ул. Новогодняя, 11, ул. 2-я Планерная, 19.</w:t>
            </w:r>
            <w:r>
              <w:rPr>
                <w:rFonts w:ascii="Times New Roman" w:hAnsi="Times New Roman"/>
                <w:lang w:val="en-US"/>
                <w14:ligatures w14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</w:rPr>
              <w:t xml:space="preserve">администрации Орджоникидзевского района города Перми</w:t>
            </w:r>
            <w:r>
              <w:rPr>
                <w:color w:val="000000"/>
                <w:sz w:val="24"/>
                <w:szCs w:val="24"/>
              </w:rPr>
              <w:br/>
              <w:t xml:space="preserve">от </w:t>
            </w:r>
            <w:r>
              <w:rPr>
                <w:sz w:val="24"/>
                <w:szCs w:val="24"/>
              </w:rPr>
              <w:t xml:space="preserve">07.08.2026 № 059-37-01-32/3-4688</w:t>
            </w:r>
            <w:r>
              <w:rPr>
                <w:color w:val="000000"/>
                <w:sz w:val="24"/>
                <w:szCs w:val="24"/>
              </w:rPr>
              <w:t xml:space="preserve">, в акте обследования</w:t>
              <w:br/>
              <w:t xml:space="preserve">от </w:t>
            </w:r>
            <w:r>
              <w:rPr>
                <w:sz w:val="24"/>
                <w:szCs w:val="24"/>
              </w:rPr>
              <w:t xml:space="preserve">06.08.2026 № 71</w:t>
            </w:r>
            <w:r>
              <w:rPr>
                <w:color w:val="000000"/>
                <w:sz w:val="24"/>
              </w:rPr>
              <w:t xml:space="preserve">).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сведениям, содержащимся в ГПЗУ, ЕГРН </w:t>
              <w:br/>
              <w:t xml:space="preserve">и </w:t>
            </w:r>
            <w:r>
              <w:rPr>
                <w:sz w:val="24"/>
                <w:szCs w:val="24"/>
                <w:highlight w:val="white"/>
              </w:rPr>
              <w:t xml:space="preserve">справке по градостроительным условиям от 10.08.2026 </w:t>
              <w:br/>
              <w:t xml:space="preserve">№ 689791, Участок расположен в границах зон с особыми услов</w:t>
            </w:r>
            <w:r>
              <w:rPr>
                <w:sz w:val="24"/>
                <w:szCs w:val="24"/>
              </w:rPr>
              <w:t xml:space="preserve">иями использования территории: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частично в охранной зоне РЕКОНСТРУКЦИИ ВЛ-6 КВ ФИДЕРА КИСЛОТНЫЕ ДАЧИ-2 ОТ ПОДСТАНЦИИ «СЕВЕРНАЯ» ДО ТП-4377. Реестровый номер границы 59:01-6.4045, площадь пересечения – 35 кв. м.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частично в охранной зоне газопровода города Перми, п. Чапаевский, Орджоникидзевского района, инвентарный № 0600002657. Реестровый номер границы 59:01-6.6616, площадь пересечения – 0,1 кв. м.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полностью в приаэродромной территории аэродрома аэропорта Большое Савино, реестровый номер границы 59:32-6.553.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и строительство вести </w:t>
              <w:br/>
              <w:t xml:space="preserve">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участков, расположенных в границах таких зон»;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Правительства Российской Федерации от 20.11.2000 № 878 «Об утверждении правил охраны газораспределительных сетей»;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земельном участке произрастает 6 деревьев породы – береза 5 шт., сосна 1 шт.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Победителю аукциона необходимо соблюдать условия строительства, перечисленные в перечне мероприятий по охране окружающей среды от 20.07.2026 № 159.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sz w:val="24"/>
                <w:szCs w:val="24"/>
              </w:rPr>
              <w:t xml:space="preserve"> от 20.07.2026 № 059-33-01-10/3-406).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территории, где расположен Участок, схемами водоснабжения и водоотведения города Перми, утвержденными постановлением администрации города Перми </w:t>
              <w:br/>
              <w:t xml:space="preserve">от 28.12.2018 № 1085, на период до 2028</w:t>
            </w:r>
            <w:r>
              <w:rPr>
                <w:sz w:val="24"/>
                <w:szCs w:val="24"/>
              </w:rPr>
              <w:t xml:space="preserve"> года, в рамках Муниципальной программой «Развитие системы жилищно – коммунального хозяйства в городе Перми» от 18.10.2024 № 964 на 2026-2027гг. предусмотрено финансирование на реализацию мероприятия по строительству сетей водоснабжения </w:t>
              <w:br/>
              <w:t xml:space="preserve">в мкр. Чапаевский.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д</w:t>
            </w:r>
            <w:r>
              <w:rPr>
                <w:b/>
                <w:bCs/>
                <w:sz w:val="24"/>
                <w:szCs w:val="24"/>
              </w:rPr>
              <w:t xml:space="preserve">епартамента жилищно-коммунального хозяйства администрации города Перми </w:t>
            </w:r>
            <w:r>
              <w:rPr>
                <w:sz w:val="24"/>
                <w:szCs w:val="24"/>
              </w:rPr>
              <w:t xml:space="preserve">06.07.2026 № 059-04-17/3-547-ри).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Муниципальной программой «Дорожная деятельность и благоустройс</w:t>
            </w:r>
            <w:r>
              <w:rPr>
                <w:sz w:val="24"/>
              </w:rPr>
              <w:t xml:space="preserve">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</w:t>
              <w:br/>
              <w:t xml:space="preserve">на рассматриваемых территориях не предусмотрены.</w:t>
            </w:r>
            <w:r/>
          </w:p>
          <w:p>
            <w:pPr>
              <w:pStyle w:val="660"/>
              <w:ind w:firstLine="317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Программой комплексного развития транспо</w:t>
            </w:r>
            <w:r>
              <w:rPr>
                <w:sz w:val="24"/>
              </w:rPr>
              <w:t xml:space="preserve">ртной инфраструктуры города Перми на 2025-2043 годы, утвержденной Решением Пермской городской Думы </w:t>
              <w:br/>
              <w:t xml:space="preserve">от 16.12.2025 № 238, мероприятия по строительству, реконструкции, капитальному ремонту улично-дорожной сети на рассматриваемых территориях не предусмотрены.</w:t>
            </w:r>
            <w:r/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примыкания Участка к улично-дорожной сети города Перми необходимо выполнить условия, указанные в указанном письме.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Также </w:t>
            </w:r>
            <w:r>
              <w:rPr>
                <w:sz w:val="24"/>
                <w:szCs w:val="24"/>
              </w:rPr>
              <w:t xml:space="preserve">направляется информация о необходимости соблюдения Правил благоустройства территории города Перми, утвержденных решением Пермской городской Думы от 15.12.2020 № 277, при строительстве объектов недвижимости </w:t>
              <w:br/>
              <w:t xml:space="preserve">на земельных участках, предоставленных на торгах.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В соответствии с Федеральным законом </w:t>
              <w:br/>
              <w:t xml:space="preserve">от 08.11.2007 № 257 «Об автомобильных дорогах </w:t>
              <w:br/>
              <w:t xml:space="preserve">и о дорожной деятельности в Российской Феде</w:t>
            </w:r>
            <w:r>
              <w:rPr>
                <w:sz w:val="24"/>
                <w:szCs w:val="24"/>
              </w:rPr>
              <w:t xml:space="preserve">рации </w:t>
              <w:br/>
              <w:t xml:space="preserve">и о внесении изменений в отдельные законодательные акты Российской Федерации»,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</w:t>
            </w:r>
            <w:r>
              <w:rPr>
                <w:sz w:val="24"/>
                <w:szCs w:val="24"/>
              </w:rPr>
              <w:t xml:space="preserve">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</w:t>
              <w:br/>
              <w:t xml:space="preserve">или примыканий.</w:t>
            </w:r>
            <w:r/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sz w:val="24"/>
                <w:szCs w:val="24"/>
              </w:rPr>
              <w:t xml:space="preserve">  </w:t>
              <w:br/>
              <w:t xml:space="preserve">от 07.07.2026 № 059-24-01-36/3-2225).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Источники противопожарного водоснабжения </w:t>
              <w:br/>
              <w:t xml:space="preserve">по 8 земельным участкам отсутствуют. Ближайший пожарный водоем расположен на земельном участке </w:t>
              <w:br/>
              <w:t xml:space="preserve">с кадастровым номером: 59:3810193:170, напротив дома по ул. Токарная, 39.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</w:t>
            </w:r>
            <w:r>
              <w:rPr>
                <w:sz w:val="24"/>
              </w:rPr>
              <w:t xml:space="preserve">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Подразделение пожарной охраны расположено </w:t>
              <w:br/>
              <w:t xml:space="preserve">по адресу: ул. Волховская, 37 (ПСЧ-57 10-ПСО).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Помещения для аварийно-спасательных служб и (или) аварийно-спасательных формирований на указанных территориях отсутствуют.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Близлежащий объект общественной безопасно</w:t>
            </w:r>
            <w:r>
              <w:rPr>
                <w:sz w:val="24"/>
              </w:rPr>
              <w:t xml:space="preserve">сти, отнесенный к объектам полиции (участковый пункт полиции), расположен по адресу: г. Пермь, Талицкий переулок, 8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 информации, предоставленной письмом Министерства территориальной безопасности Пермского края от 07.10.2020 № 964с, рассматриваемые территории попадают в зону возможного химического заражения в особый период.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Указанные территории находится в зоне действия региональной системы оповещения населения города Перми, установленной по адресу: Еловский переулок, </w:t>
              <w:br/>
              <w:t xml:space="preserve">д. 22 – 600 метров.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Иная информация в части полномочий департамента общественной безопасности администрации города Перми отсутствует.</w:t>
            </w:r>
            <w:r/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color w:val="000000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 xml:space="preserve">02.07.2026 № 059-10-01-27/3-969</w:t>
            </w:r>
            <w:r>
              <w:rPr>
                <w:color w:val="000000"/>
                <w:sz w:val="24"/>
                <w:szCs w:val="24"/>
              </w:rPr>
              <w:t xml:space="preserve">).</w:t>
            </w:r>
            <w:r>
              <w:rPr>
                <w:color w:val="000000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120" w:right="-263" w:firstLine="22"/>
              <w:tabs>
                <w:tab w:val="left" w:pos="36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t xml:space="preserve">обязательства по сносу здания, сооружения, </w:t>
              <w:br/>
              <w:t xml:space="preserve">объекта незавершенного строительства, которые расположены на земельном участке и в отношении которых принято решение </w:t>
              <w:br/>
              <w:t xml:space="preserve">о сносе самовольной постройки, в срок, </w:t>
              <w:br/>
              <w:t xml:space="preserve">не превышающий двенадцати месяцев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numPr>
                <w:ilvl w:val="0"/>
                <w:numId w:val="0"/>
              </w:numPr>
              <w:ind w:left="120" w:right="-263" w:firstLine="0"/>
              <w:tabs>
                <w:tab w:val="left" w:pos="360" w:leader="none"/>
                <w:tab w:val="clear" w:pos="708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Заочным решением Орджоникидзевского районного суда</w:t>
              <w:br/>
              <w:t xml:space="preserve">города Перми </w:t>
            </w:r>
            <w:r>
              <w:rPr>
                <w:color w:val="000000"/>
                <w:sz w:val="24"/>
              </w:rPr>
              <w:t xml:space="preserve">от 21.03.2024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по делу № 2-1064/2024, вступившим в законную силу </w:t>
            </w:r>
            <w:r>
              <w:rPr>
                <w:color w:val="000000"/>
                <w:sz w:val="24"/>
              </w:rPr>
              <w:t xml:space="preserve">25</w:t>
            </w:r>
            <w:r>
              <w:rPr>
                <w:color w:val="000000"/>
                <w:sz w:val="24"/>
              </w:rPr>
              <w:t xml:space="preserve">.0</w:t>
            </w:r>
            <w:r>
              <w:rPr>
                <w:color w:val="000000"/>
                <w:sz w:val="24"/>
              </w:rPr>
              <w:t xml:space="preserve">5</w:t>
            </w:r>
            <w:r>
              <w:rPr>
                <w:color w:val="000000"/>
                <w:sz w:val="24"/>
              </w:rPr>
              <w:t xml:space="preserve">.2024, признан самовольной постройкой объект </w:t>
            </w:r>
            <w:r>
              <w:rPr>
                <w:color w:val="000000"/>
                <w:sz w:val="24"/>
              </w:rPr>
              <w:t xml:space="preserve">недвижимости представляющий собой одноэтажное деревянное жилое строение, площадью</w:t>
              <w:br/>
              <w:t xml:space="preserve">около 64 кв.м, расположенное: Пермский край, г. Пермь, Орджоникидзевский район, мкр. Чапаева, на земельном участке с кадастровым номером 59:01:3812839:180 по ул. 1-я Логовая.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На Буцо В.Г. возложена обязанность</w:t>
              <w:br/>
              <w:t xml:space="preserve">в течении 1 месяца с момента вступления  решения суда</w:t>
              <w:br/>
              <w:t xml:space="preserve">в законную силу за свой счет освободить самовольно занятый земельный участок путем сноса самовольной постройки </w:t>
              <w:br/>
              <w:t xml:space="preserve">и вывозом строительного мусора с земельного участка.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1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 xml:space="preserve">На основании части 8 ста</w:t>
            </w:r>
            <w:r>
              <w:rPr>
                <w:b w:val="0"/>
                <w:bCs w:val="0"/>
              </w:rPr>
              <w:t xml:space="preserve">тьи 55.32 Градостроительного кодекса Российской Федерации победителю аукциона, иному лицу, с которым заключается договор, переходит обязательство </w:t>
              <w:br/>
              <w:t xml:space="preserve">за свой счет и (или) с привлечением средств других лиц по сносу самовольных построек в срок, не  превышающий </w:t>
            </w:r>
            <w:r>
              <w:t xml:space="preserve">двенадцати месяцев.</w:t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108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120" w:right="113" w:firstLine="107"/>
              <w:jc w:val="left"/>
              <w:spacing w:before="0" w:after="0"/>
              <w:widowControl/>
              <w:tabs>
                <w:tab w:val="left" w:pos="48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допустимые параметры разрешенного строительства</w:t>
              <w:br/>
              <w:t xml:space="preserve">объекта капитального строительства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62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</w:t>
            </w:r>
            <w:r>
              <w:rPr>
                <w:sz w:val="24"/>
                <w:szCs w:val="24"/>
                <w:lang w:val="en-US"/>
              </w:rPr>
              <w:t xml:space="preserve">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</w:t>
              <w:br/>
              <w:t xml:space="preserve">от 20.10.2016 № 725/пр</w:t>
            </w:r>
            <w:r>
              <w:rPr>
                <w:sz w:val="24"/>
                <w:szCs w:val="24"/>
              </w:rPr>
              <w:t xml:space="preserve"> (ред. от 17.05.2023):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  <w:lang w:val="en-US"/>
              </w:rPr>
              <w:t xml:space="preserve">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в климатических районах строительства IА, IБ, IГ, IД, определяемых по СП 131.13330, должна быть не менее 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2,7 м, а в других климатических районах строительства -</w:t>
            </w:r>
            <w:r>
              <w:rPr>
                <w:sz w:val="24"/>
                <w:szCs w:val="24"/>
                <w:lang w:val="en-US"/>
              </w:rPr>
              <w:t xml:space="preserve"> не менее 2,5 м. Высота внутридомовых коридоров, холлов, передних, антресолей должна составлять не менее 2,1 м,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высота пути эвакуации -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 xml:space="preserve">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Согласно информации, содержащейся в градостроительно</w:t>
            </w:r>
            <w:r>
              <w:rPr>
                <w:sz w:val="24"/>
              </w:rPr>
              <w:t xml:space="preserve">м плане земельного участка от 19.01.2024 № РФ-59-2-03-0-00-2024-0074-0 (далее – ГПЗУ), предельная высота зданий, строений  не более 10,5 м (документация по планировке территории, утвержденная постановлением администрации города Перми от 23.12.2015 № 1102).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Минимальный отступ от границ земельного участка до места допустимого размещения зданий, строений, сооружений (за исключе</w:t>
            </w:r>
            <w:r>
              <w:rPr>
                <w:sz w:val="24"/>
              </w:rPr>
              <w:t xml:space="preserve">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</w:t>
            </w:r>
            <w:r>
              <w:rPr>
                <w:sz w:val="24"/>
              </w:rPr>
              <w:t xml:space="preserve">я на высоте не менее 4,5 м над территорией общего пользования, составляет не более 1,2 м </w:t>
              <w:br/>
              <w:t xml:space="preserve"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Максимальный процент застройки в границах Участка – 30%.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color w:val="ff0000" w:themeColor="text1"/>
                <w:sz w:val="24"/>
              </w:rPr>
            </w:pPr>
            <w:r>
              <w:rPr>
                <w:sz w:val="24"/>
              </w:rPr>
              <w:t xml:space="preserve"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  <w:r>
              <w:rPr>
                <w:rFonts w:ascii="Times New Roman" w:hAnsi="Times New Roman"/>
                <w:color w:val="ff0000" w:themeColor="text1"/>
                <w:sz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2"/>
              </w:numPr>
              <w:ind w:left="120" w:right="23" w:firstLine="6"/>
              <w:tabs>
                <w:tab w:val="left" w:pos="48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ind w:firstLine="252"/>
              <w:jc w:val="both"/>
              <w:rPr>
                <w:color w:val="000000" w:themeColor="text1"/>
                <w:highlight w:val="none"/>
                <w:u w:val="none"/>
              </w:rPr>
            </w:pPr>
            <w:r>
              <w:rPr>
                <w:color w:val="000000" w:themeColor="text1"/>
                <w:u w:val="none"/>
              </w:rPr>
            </w:r>
            <w:r>
              <w:rPr>
                <w:color w:val="000000" w:themeColor="text1"/>
                <w:highlight w:val="none"/>
                <w:u w:val="none"/>
              </w:rPr>
            </w:r>
          </w:p>
          <w:p>
            <w:pPr>
              <w:pStyle w:val="660"/>
              <w:ind w:firstLine="252"/>
              <w:jc w:val="both"/>
              <w:rPr>
                <w:color w:val="000000" w:themeColor="text1"/>
                <w:highlight w:val="none"/>
                <w:u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9" w:tooltip="http://www.gorodperm.ru/" w:history="1">
              <w:r>
                <w:rPr>
                  <w:rStyle w:val="743"/>
                  <w:color w:val="000000" w:themeColor="text1"/>
                  <w:sz w:val="24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 w:val="24"/>
                <w:szCs w:val="24"/>
                <w:u w:val="none"/>
              </w:rPr>
              <w:t xml:space="preserve">.</w:t>
            </w:r>
            <w:r>
              <w:rPr>
                <w:color w:val="000000" w:themeColor="text1"/>
                <w:highlight w:val="none"/>
                <w:u w:val="none"/>
              </w:rPr>
            </w:r>
          </w:p>
          <w:p>
            <w:pPr>
              <w:pStyle w:val="660"/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Оналичии технической возможности технологического присоединения энергопринимающего устройства объекта </w:t>
              <w:br/>
              <w:t xml:space="preserve">с предполагаемым электоропотреблением 15 кВт, сообщается следующее.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В соотв</w:t>
            </w:r>
            <w:r>
              <w:rPr>
                <w:sz w:val="24"/>
                <w:szCs w:val="20"/>
              </w:rPr>
              <w:t xml:space="preserve">етствии с «Правилами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</w:t>
            </w:r>
            <w:r>
              <w:rPr>
                <w:sz w:val="24"/>
                <w:szCs w:val="20"/>
              </w:rPr>
              <w:t xml:space="preserve"> к электрическим сетям», утвержденными постановлением Правительства Российской Федерации </w:t>
              <w:br/>
              <w:t xml:space="preserve">от 27.12.2004 № 861 (далее – Правила), конкретные технические условия на энергосбережение объекта разрабатываются </w:t>
              <w:br/>
              <w:t xml:space="preserve">в составе договора о технологическом присоединении.</w:t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Плата за технологическое присоединение энергопринимающих устройств устанавливает</w:t>
            </w:r>
            <w:r>
              <w:rPr>
                <w:sz w:val="24"/>
                <w:szCs w:val="20"/>
              </w:rPr>
              <w:t xml:space="preserve">ся исходя </w:t>
              <w:br/>
              <w:t xml:space="preserve">из стоимости мероприятий по технологическому присоединению, размер платы определяется по утвержденным тарифам согласно постановлению Министерства тарифного регулирования и энергетики Пермского края от 23.11.2023 </w:t>
              <w:br/>
              <w:t xml:space="preserve">№ 121-тп (в последней редакции).</w:t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Электроснабжение объекта возможно будет осуществить при условии строительства питающей линии электропередачи </w:t>
              <w:br/>
              <w:t xml:space="preserve">0,4 кВ на основании договора об осуществлении технологического присоединения объекта к электрическим сетям филиала «Пермэнерго».</w:t>
            </w:r>
            <w:r>
              <w:rPr>
                <w:rFonts w:ascii="Times New Roman" w:hAnsi="Times New Roman"/>
                <w:sz w:val="24"/>
                <w:szCs w:val="20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bCs/>
                <w:sz w:val="24"/>
                <w:szCs w:val="24"/>
              </w:rPr>
              <w:t xml:space="preserve">ф</w:t>
            </w:r>
            <w:r>
              <w:rPr>
                <w:b/>
                <w:sz w:val="24"/>
                <w:szCs w:val="24"/>
              </w:rPr>
              <w:t xml:space="preserve">илиала ПАО «Россети Урал» - «Пермэнерго» </w:t>
            </w:r>
            <w:r>
              <w:rPr>
                <w:sz w:val="24"/>
                <w:szCs w:val="24"/>
              </w:rPr>
              <w:t xml:space="preserve">(ранее – ОАО «МРСК Урала – филиал Пермэнерго») от 25.12.2023 </w:t>
              <w:br/>
              <w:t xml:space="preserve">№ ПЭ/ПГЭС/22/639).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sz w:val="24"/>
              </w:rPr>
              <w:t xml:space="preserve">/час к существующим сетям газораспределения имеется.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АО «Газпром газораспределение Пермь»</w:t>
            </w:r>
            <w:r>
              <w:rPr>
                <w:sz w:val="24"/>
                <w:szCs w:val="24"/>
              </w:rPr>
              <w:t xml:space="preserve"> от 29.12.2023 № ПФ-8779).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наличии технической возможности подключения объекта капитального строительства с планируемой величиной подключаемой нагрузки по водоснабжению </w:t>
              <w:br/>
              <w:t xml:space="preserve">и водоотведению – 1,0 м3/сут. к централизованным системам водоснабжения и водоотведения сообщается следующее.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районе Участка отсутствуют централизованные сети водопровода и канализации, эксплуатируемые </w:t>
              <w:br/>
              <w:t xml:space="preserve">ООО «НОВОГОР-Прикамье».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Альтернативным методом</w:t>
            </w:r>
            <w:r>
              <w:rPr>
                <w:sz w:val="24"/>
                <w:szCs w:val="24"/>
              </w:rPr>
              <w:t xml:space="preserve"> снабжения водой может быть скважина, отвод стоков возможен на локальные очистные сооружения, либо в выгребную яму с последующим вывозом стоков спец. машинами, при этом состав стоков должен соответствовать всем нормативным требованиям Российской Федерации.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тем, что ООО «НОВОГОР-Прикамье» эксплуатир</w:t>
            </w:r>
            <w:r>
              <w:rPr>
                <w:sz w:val="24"/>
                <w:szCs w:val="24"/>
              </w:rPr>
              <w:t xml:space="preserve">ует только централизованные системы водоснабжения и водоотведения, по вопросу возможности обеспечения жилого дома холодным водоснабжением </w:t>
              <w:br/>
              <w:t xml:space="preserve">от скважины и отвод канализационных локально, предлагаем вам обратиться в организации, регулирующие недропользование.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  <w:br/>
            </w:r>
            <w:r>
              <w:rPr>
                <w:b/>
                <w:sz w:val="24"/>
                <w:szCs w:val="24"/>
              </w:rPr>
              <w:t xml:space="preserve">ООО «НОВОГОР-Прикамье» </w:t>
            </w:r>
            <w:r>
              <w:rPr>
                <w:sz w:val="24"/>
                <w:szCs w:val="24"/>
              </w:rPr>
              <w:t xml:space="preserve">от 10.01.2024 № 110-0083).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Участок расположен вне зоны теплоснабжения </w:t>
              <w:br/>
              <w:t xml:space="preserve">ПАО «Т Плюс».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</w:rPr>
              <w:t xml:space="preserve">ф</w:t>
            </w:r>
            <w:r>
              <w:rPr>
                <w:b/>
                <w:sz w:val="24"/>
                <w:szCs w:val="24"/>
              </w:rPr>
              <w:t xml:space="preserve">илиала «Пермский ПАО «Т Плюс»</w:t>
            </w:r>
            <w:r>
              <w:rPr>
                <w:sz w:val="24"/>
                <w:szCs w:val="24"/>
              </w:rPr>
              <w:t xml:space="preserve"> от 09.01.2024 № 51000-32-00009).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– газ.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sz w:val="24"/>
                <w:szCs w:val="24"/>
              </w:rPr>
              <w:t xml:space="preserve"> от 26.01.2024 № 059-04-25/3-10-ри).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Ближайший источник теплоснабжения по ул. Чапаева, 6 </w:t>
              <w:br/>
              <w:t xml:space="preserve">и сети теплоснабжения находятся на обслуживании </w:t>
              <w:br/>
              <w:t xml:space="preserve">ПАО «Т Плюс» (г. Пермь, Комсомольский проспект, 48, телефон 243-61-58).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sz w:val="24"/>
                <w:szCs w:val="24"/>
              </w:rPr>
              <w:t xml:space="preserve">администрации Орджоникидзевского района города Перми</w:t>
            </w:r>
            <w:r>
              <w:rPr>
                <w:sz w:val="24"/>
                <w:szCs w:val="24"/>
              </w:rPr>
              <w:t xml:space="preserve"> от 05.02.2024 № 059-37-01-32/3-414).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присоединен</w:t>
            </w:r>
            <w:r>
              <w:rPr>
                <w:sz w:val="24"/>
                <w:szCs w:val="24"/>
              </w:rPr>
              <w:t xml:space="preserve">ие планируемых к строительству объектов в границах Участка может быть произведено в точке подключения – узел ВОЛС (г. Пермь, ул. Кронита, д. 8), максимальную нагрузку в точке подключения (технологического присоединения) определить на стадии проектирования.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Для подключения (технологического присоединения) вы</w:t>
            </w:r>
            <w:r>
              <w:rPr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шеуказанных объектов к сетям электросвязи </w:t>
              <w:br/>
              <w:t xml:space="preserve">ПАО «Ростелеком» необходим запрос правообладателя земельного участка на выдачу технических условий подключения или заявки о заключении договора </w:t>
              <w:br/>
              <w:t xml:space="preserve">о подключении в порядке, определенном действующим законодательством.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(Аналогичная информация отражена в письме  </w:t>
              <w:br/>
            </w:r>
            <w:r>
              <w:rPr>
                <w:b/>
                <w:bCs w:val="0"/>
                <w:color w:val="000000"/>
                <w:sz w:val="24"/>
                <w:szCs w:val="24"/>
                <w:u w:val="none"/>
              </w:rPr>
              <w:t xml:space="preserve">ПАО «Ростелеком»</w:t>
            </w:r>
            <w:r>
              <w:rPr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 от 21.03.2024 № 01/05/38703/24).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</w:pPr>
            <w:r>
              <w:rPr>
                <w:b w:val="0"/>
                <w:bCs w:val="0"/>
                <w:sz w:val="24"/>
                <w:szCs w:val="24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3 к настоящему извещению), победитель аукциона, иное лицо, с которым договор заключается в соответствии </w:t>
            </w:r>
            <w:r>
              <w:rPr>
                <w:b w:val="0"/>
                <w:bCs w:val="0"/>
                <w:sz w:val="24"/>
                <w:szCs w:val="24"/>
              </w:rPr>
              <w:t xml:space="preserve">с п.13, п.14, п. 20 или п. 25  ст. 39.12 Земельного Кодекса Российской Федерации (далее – ЗК РФ), обязан до подписания договора уплатить ежегодный размер арендной платы, указанный в п. 4.2 договора </w:t>
              <w:br/>
              <w:t xml:space="preserve">(за вычетом задатка, внесенного для участия </w:t>
              <w:br/>
              <w:t xml:space="preserve">в аукционе) </w:t>
            </w:r>
            <w:r>
              <w:rPr>
                <w:b/>
                <w:bCs/>
                <w:sz w:val="24"/>
                <w:szCs w:val="24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</w:rPr>
              <w:t xml:space="preserve">на счет департамента земельных отношений администрации города Перми, 614015, </w:t>
              <w:br/>
              <w:t xml:space="preserve">ул. Сибирская,15, </w:t>
              <w:br/>
              <w:t xml:space="preserve">тел. 212-61-90 (отдел договоров),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реквизиты которого указаны в проекте договора аренды земельного участка (Приложение 3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112 200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5 610</w:t>
            </w:r>
            <w:r>
              <w:rPr>
                <w:sz w:val="24"/>
                <w:szCs w:val="24"/>
              </w:rPr>
              <w:t xml:space="preserve">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едерации (копии документов, удостоверяющих личность заявителя (для граждан); надлежащим образом заверенный перевод на русский язык документов</w:t>
              <w:br/>
              <w:t xml:space="preserve">о государственной регистрации юридического лица</w:t>
              <w:br/>
              <w:t xml:space="preserve">в соответствии с законодательством иностранного государства </w:t>
              <w:br/>
              <w:t xml:space="preserve">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3"/>
              <w:jc w:val="both"/>
              <w:rPr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  <w14:ligatures w14:val="none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Решение о проведении аукциона принято в соответствии </w:t>
              <w:br/>
              <w:t xml:space="preserve">со статьей 39.18 Земельного кодекса Российской Федерации, участниками аукциона могут являться только граждане.</w:t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  <w14:ligatures w14:val="none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56 100 р</w:t>
            </w:r>
            <w:r>
              <w:rPr>
                <w:sz w:val="24"/>
                <w:szCs w:val="24"/>
              </w:rPr>
              <w:t xml:space="preserve">уб.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left="113" w:right="113" w:firstLine="0"/>
              <w:jc w:val="left"/>
              <w:spacing w:before="0" w:after="0"/>
              <w:widowControl/>
              <w:rPr>
                <w:b w:val="0"/>
                <w:bCs w:val="0"/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</w:t>
            </w:r>
            <w:r>
              <w:rPr>
                <w:b w:val="0"/>
                <w:bCs w:val="0"/>
                <w:shd w:val="clear" w:color="auto" w:fill="auto"/>
              </w:rPr>
            </w:r>
          </w:p>
          <w:p>
            <w:pPr>
              <w:pStyle w:val="660"/>
              <w:ind w:left="113" w:right="113" w:firstLine="0"/>
              <w:jc w:val="left"/>
              <w:spacing w:before="0" w:after="0"/>
              <w:widowControl/>
              <w:rPr>
                <w:rStyle w:val="750"/>
                <w:b w:val="0"/>
                <w:bCs w:val="0"/>
                <w:color w:val="000000" w:themeColor="text1"/>
                <w:highlight w:val="none"/>
              </w:rPr>
            </w:pPr>
            <w:r>
              <w:rPr>
                <w:b w:val="0"/>
                <w:shd w:val="clear" w:color="auto" w:fill="auto"/>
              </w:rPr>
              <w:t xml:space="preserve">Федерации на  </w:t>
            </w:r>
            <w:r>
              <w:rPr>
                <w:b w:val="0"/>
                <w:shd w:val="clear" w:color="auto" w:fill="auto"/>
                <w:lang w:val="en-US" w:eastAsia="en-US"/>
              </w:rPr>
              <w:t xml:space="preserve">сайтах www.torgi.gov.ru, </w:t>
            </w:r>
            <w:hyperlink r:id="rId20" w:tooltip="http://www.gorodperm.ru/" w:history="1">
              <w:r>
                <w:rPr>
                  <w:b w:val="0"/>
                  <w:color w:val="000000" w:themeColor="text1"/>
                  <w:u w:val="none"/>
                  <w:shd w:val="clear" w:color="auto" w:fill="auto"/>
                  <w:lang w:val="en-US" w:eastAsia="en-US"/>
                </w:rPr>
                <w:t xml:space="preserve">www.gorodperm.ru</w:t>
              </w:r>
            </w:hyperlink>
            <w:r/>
            <w:r>
              <w:rPr>
                <w:rStyle w:val="750"/>
                <w:b w:val="0"/>
                <w:bCs w:val="0"/>
                <w:color w:val="000000" w:themeColor="text1"/>
                <w:highlight w:val="none"/>
              </w:rPr>
            </w:r>
          </w:p>
          <w:p>
            <w:pPr>
              <w:pStyle w:val="660"/>
              <w:ind w:left="113" w:right="113" w:firstLine="0"/>
              <w:jc w:val="left"/>
              <w:spacing w:before="0" w:after="0"/>
              <w:widowControl/>
              <w:rPr>
                <w:highlight w:val="none"/>
                <w:lang w:val="en-US" w:eastAsia="en-US"/>
              </w:rPr>
            </w:pPr>
            <w:r>
              <w:rPr>
                <w:lang w:val="en-US" w:eastAsia="en-US"/>
              </w:rPr>
            </w:r>
            <w:r>
              <w:rPr>
                <w:highlight w:val="none"/>
                <w:lang w:val="en-US"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26.12.2023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на местности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60"/>
        <w:ind w:right="-263"/>
        <w:tabs>
          <w:tab w:val="clear" w:pos="708" w:leader="none"/>
          <w:tab w:val="left" w:pos="5103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60"/>
        <w:ind w:right="-263"/>
        <w:tabs>
          <w:tab w:val="clear" w:pos="708" w:leader="none"/>
          <w:tab w:val="left" w:pos="5103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60"/>
        <w:ind w:right="-263"/>
        <w:tabs>
          <w:tab w:val="clear" w:pos="708" w:leader="none"/>
          <w:tab w:val="left" w:pos="5103" w:leader="none"/>
        </w:tabs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bCs/>
          <w:lang w:bidi="ru-RU"/>
        </w:rPr>
        <w:t xml:space="preserve">Лот № 3</w:t>
      </w:r>
      <w:r>
        <w:rPr>
          <w:rFonts w:eastAsia="Courier New"/>
          <w:b/>
          <w:bCs/>
          <w:highlight w:val="none"/>
          <w:lang w:bidi="ru-RU"/>
        </w:rPr>
      </w:r>
    </w:p>
    <w:tbl>
      <w:tblPr>
        <w:tblW w:w="10485" w:type="dxa"/>
        <w:tblInd w:w="-48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6"/>
        <w:gridCol w:w="3114"/>
        <w:gridCol w:w="6815"/>
      </w:tblGrid>
      <w:tr>
        <w:tblPrEx/>
        <w:trPr>
          <w:trHeight w:val="4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решения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</w:t>
            </w:r>
            <w:r>
              <w:rPr>
                <w:sz w:val="24"/>
                <w:szCs w:val="24"/>
              </w:rPr>
              <w:t xml:space="preserve"> города Перми, распоряжение начальника департамента земельных отношений администрации города Перми от 21 августа 2024 г. № 21-01-03-7667 «О проведении аукциона на право заключения договора аренды земельного участка  в Орджоникидзевском районе города Перми»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на право заключения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restart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край Пермский, г.о. Пермский,                    г. Пермь, ул. Белорусская, зу 1ф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612 кв. м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59:01:3812839:168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9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 (2.1)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7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-2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определенной территориальной зоне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Ж-4 «Зона индивидуальной жилой застройки городского типа»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5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от </w:t>
            </w:r>
            <w:r>
              <w:rPr>
                <w:sz w:val="24"/>
                <w:szCs w:val="24"/>
                <w:highlight w:val="white"/>
              </w:rPr>
              <w:t xml:space="preserve">04.08.2026г. </w:t>
              <w:br/>
              <w:t xml:space="preserve">№ КУВИ-001/2026-104806253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от 26.07.2024 № РФ-59-2-03-0-00-2024-1569-0 (далее – ГПЗУ)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(Приложение</w:t>
            </w:r>
            <w:r>
              <w:rPr>
                <w:sz w:val="24"/>
                <w:szCs w:val="24"/>
                <w:highlight w:val="white"/>
              </w:rPr>
              <w:t xml:space="preserve"> 6 </w:t>
            </w:r>
            <w:r>
              <w:rPr>
                <w:sz w:val="24"/>
                <w:szCs w:val="24"/>
              </w:rPr>
              <w:t xml:space="preserve">к настоящему извещению).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3"/>
              <w:ind w:firstLine="312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Согласно сведениям, содержащимся в ЕГРН, в границах Участка объекты капитального строительства отсутствуют.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По данным копии городского планшета М 1:500 </w:t>
              <w:br/>
              <w:t xml:space="preserve">от 27.07.2024 (требуется корректура топографической съемки) в границах Участка расположены: некапитальное строение, частично забор, грунтовая насыпь.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В ходе визуального осмотра территории установлено, что участок ничем не огорожен, доступ не ограничен, состояние рельефа земельного участка ровное. Объекты капитального/некапитального строительства отсутствуют.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По ч</w:t>
            </w:r>
            <w:r>
              <w:rPr>
                <w:color w:val="000000"/>
                <w:sz w:val="24"/>
              </w:rPr>
              <w:t xml:space="preserve">асти обследуемого земельного участка проходит накатанная дорога, являющаяся подъездным путем                                 к земельному участку с кадастровым номером 59:01:3812839:170. Над обследуемым участком происходит нависание электрических проводов.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Согласно сведениям, предоставленным отделением надзорной деятельности и профилактической работы г. Перми по Орджоникидзевскому району 1 ОНПР по городу Перми УНПР Главного управления МЧС России по Пермскому краю, близлежащие пожарные гидранты расп</w:t>
            </w:r>
            <w:r>
              <w:rPr>
                <w:color w:val="000000"/>
                <w:sz w:val="24"/>
              </w:rPr>
              <w:t xml:space="preserve">оложены по адресу: Пермский край, г. Пермь, Орджоникидзевский район,</w:t>
              <w:br/>
              <w:t xml:space="preserve">ул. Александра Пархоменко, 21, 25, 31, ул. Чапаева, 6; пожарные водоемы расположены по адресу: Пермский край, г. Пермь, Орджоникидзевский район, ул. Новогодняя, 11,</w:t>
              <w:br/>
              <w:t xml:space="preserve">ул. 2-я Планерная, 19.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(</w:t>
            </w:r>
            <w:r>
              <w:rPr>
                <w:color w:val="000000"/>
                <w:sz w:val="24"/>
                <w:szCs w:val="24"/>
              </w:rPr>
              <w:t xml:space="preserve">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</w:rPr>
              <w:t xml:space="preserve">администрации Орджоникидзевского района города Перми</w:t>
            </w:r>
            <w:r>
              <w:rPr>
                <w:color w:val="000000"/>
                <w:sz w:val="24"/>
                <w:szCs w:val="24"/>
              </w:rPr>
              <w:br/>
              <w:t xml:space="preserve">от 26.05.2026 № 059-37-01-32/3-2922, в акте обследования</w:t>
              <w:br/>
              <w:t xml:space="preserve">от 22.05.2026 № 50</w:t>
            </w:r>
            <w:r>
              <w:rPr>
                <w:color w:val="000000"/>
                <w:sz w:val="24"/>
              </w:rPr>
              <w:t xml:space="preserve">).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информации, содержащейся в ГПЗУ, ЕГРН </w:t>
              <w:br/>
            </w:r>
            <w:r>
              <w:rPr>
                <w:sz w:val="24"/>
                <w:szCs w:val="24"/>
              </w:rPr>
              <w:t xml:space="preserve">и справке по градостроительным условиям от 14.11.2025 </w:t>
              <w:br/>
              <w:t xml:space="preserve">№ 654337, Участок полностью расположен в границах зоны </w:t>
              <w:br/>
              <w:t xml:space="preserve">с особыми условиями использования территории: Приаэродромная территория аэродрома аэропорта Большое Савино, реестровый номер границы 59:32-6.553.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</w:t>
            </w:r>
            <w:r>
              <w:rPr>
                <w:sz w:val="24"/>
                <w:szCs w:val="24"/>
              </w:rPr>
              <w:t xml:space="preserve">тирование и строительство вести в соответствии </w:t>
              <w:br/>
              <w:t xml:space="preserve">с 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</w:t>
            </w:r>
            <w:r>
              <w:rPr>
                <w:sz w:val="24"/>
                <w:szCs w:val="24"/>
              </w:rPr>
              <w:t xml:space="preserve">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</w:t>
              <w:br/>
              <w:t xml:space="preserve">и массовому скоплению птиц».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660"/>
              <w:ind w:firstLine="452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 земельном участке произрастает 7 деревьев породы береза, а также 8 кустарников лиственных пород</w:t>
            </w:r>
            <w: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Средняя стоимость в ценах 2026 года одного дерева лиственной породы от 40 тыс. руб., а хвойной – от 50 тыс. руб.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60"/>
              <w:ind w:left="0" w:right="0" w:firstLine="425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 w:themeColor="text1"/>
                <w:spacing w:val="0"/>
                <w:sz w:val="24"/>
                <w:highlight w:val="white"/>
              </w:rPr>
              <w:t xml:space="preserve">Победителю аукциона необходимо соблюсти условия строительства, перечисленные в </w:t>
            </w:r>
            <w:r>
              <w:rPr>
                <w:rFonts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</w:rPr>
              <w:t xml:space="preserve">перечне мероприятий по охране окружающей среды от 20.07.2026 № 156</w:t>
            </w:r>
            <w:r>
              <w:rPr>
                <w:rFonts w:eastAsia="Times New Roman" w:cs="Times New Roman"/>
                <w:color w:val="000000" w:themeColor="text1"/>
                <w:spacing w:val="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6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</w:t>
            </w:r>
            <w:r>
              <w:rPr>
                <w:sz w:val="24"/>
              </w:rPr>
              <w:t xml:space="preserve">20.07.2026 № 059-33-01-10/3-406</w:t>
            </w:r>
            <w:r>
              <w:rPr>
                <w:sz w:val="24"/>
                <w:szCs w:val="24"/>
              </w:rPr>
              <w:t xml:space="preserve">).</w:t>
            </w:r>
            <w:r>
              <w:rPr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660"/>
              <w:ind w:firstLine="452"/>
              <w:jc w:val="both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Муниципальной программой «Дорожная деятельность </w:t>
              <w:br/>
              <w:t xml:space="preserve">и благоустройс</w:t>
            </w:r>
            <w:r>
              <w:rPr>
                <w:sz w:val="24"/>
                <w:szCs w:val="24"/>
              </w:rPr>
              <w:t xml:space="preserve">тво города Перми», утвержденной постановлением администрации города Перми от 18.10.2024 </w:t>
              <w:br/>
              <w:t xml:space="preserve">№ 966, на период 2025-2029 годы мероприятия по строительству, реконструкции, капитальному ремонту улично-дорожной сети на рассматриваемых территориях не предусмотрены.</w:t>
            </w:r>
            <w:r/>
          </w:p>
          <w:p>
            <w:pPr>
              <w:pStyle w:val="660"/>
              <w:ind w:firstLine="452"/>
              <w:jc w:val="both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Программой комплексного развития транспо</w:t>
            </w:r>
            <w:r>
              <w:rPr>
                <w:sz w:val="24"/>
                <w:szCs w:val="24"/>
              </w:rPr>
              <w:t xml:space="preserve">ртной инфраструктуры города Перми на 2025-2043 годы, утвержденной Решением Пермской городской Думы </w:t>
              <w:br/>
              <w:t xml:space="preserve">от 16.12.2025 № 238, мероприятия по строительству, реконструкции, капитальному ремонту улично-дорожной сети на рассматриваемых территориях не предусмотрены.</w:t>
            </w:r>
            <w:r/>
          </w:p>
          <w:p>
            <w:pPr>
              <w:pStyle w:val="660"/>
              <w:ind w:firstLine="452"/>
              <w:jc w:val="both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В отношении территории в границах которой расположен Участок постановлением администрации города Перми от 23.12.2015 № 110</w:t>
            </w:r>
            <w:r>
              <w:rPr>
                <w:sz w:val="24"/>
                <w:szCs w:val="24"/>
              </w:rPr>
              <w:t xml:space="preserve">2 утверждена документация по планировке территории. Проектом планировки территории установлены красные линии, обозначающие территории общего пользования (улицы, проезды), для обеспечения доступа к ЗУ168. По информации, имеющейся в департаменте дорог </w:t>
              <w:br/>
              <w:t xml:space="preserve">и бла</w:t>
            </w:r>
            <w:r>
              <w:rPr>
                <w:sz w:val="24"/>
                <w:szCs w:val="24"/>
              </w:rPr>
              <w:t xml:space="preserve">гоустройства администрации города Перми, улично-дорожная сеть для обеспечения доступа к Участку отсутствует. Примыкание Участка к улично-дорожной сети города Перми возможно при строительстве улично-дорожной сети, обеспечивающей доступ к указанным участкам.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000000"/>
                <w:sz w:val="24"/>
              </w:rPr>
              <w:t xml:space="preserve"> от </w:t>
            </w:r>
            <w:r>
              <w:rPr>
                <w:sz w:val="24"/>
                <w:szCs w:val="24"/>
              </w:rPr>
              <w:t xml:space="preserve">07.07.2026 № 059-24-01-36/3-2225</w:t>
            </w:r>
            <w:r>
              <w:rPr>
                <w:color w:val="000000"/>
                <w:sz w:val="24"/>
              </w:rP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Источники противопожарного водоснабжения </w:t>
              <w:br/>
              <w:t xml:space="preserve">по 8 земельным участкам отсутствуют. Ближайший пожарный водоем расположен на земельном участке с кадастровым номером: 59:3810193:170, напротив дома по ул. Токарная, 39.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</w:t>
            </w:r>
            <w:r>
              <w:rPr>
                <w:sz w:val="24"/>
              </w:rPr>
              <w:t xml:space="preserve">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Подразделение пожарной охраны расположено </w:t>
              <w:br/>
              <w:t xml:space="preserve">по адресу: ул. Волховская, 37 (ПСЧ-57 10-ПСО).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Помещения для аварийно-спасательных служб и (или) аварийно-спасательных формирований на указанных территориях отсутствуют.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Близлежащий объект общественной безопасно</w:t>
            </w:r>
            <w:r>
              <w:rPr>
                <w:sz w:val="24"/>
              </w:rPr>
              <w:t xml:space="preserve">сти, отнесенный к объектам полиции (участковый пункт полиции), расположен по адресу: г. Пермь, Талицкий переулок, 8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По информации, предоставленной письмом Министерства территориальной безопасности Пермского края от 07.10.2020 № 964с, рассматриваемые территории попадают в зону возможного химического заражения в особый период.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Указанные территории находится в зоне действия региональной системы оповещения населения города Перми, установленной по адресу: Еловский переулок, </w:t>
              <w:br/>
              <w:t xml:space="preserve">д. 22 – 600 метров.</w:t>
            </w:r>
            <w:r/>
          </w:p>
          <w:p>
            <w:pPr>
              <w:pStyle w:val="660"/>
              <w:ind w:firstLine="311"/>
              <w:jc w:val="both"/>
              <w:spacing w:before="0" w:after="0" w:line="240" w:lineRule="auto"/>
            </w:pPr>
            <w:r>
              <w:rPr>
                <w:sz w:val="24"/>
              </w:rPr>
              <w:t xml:space="preserve">Иная информация в части полномочий департамента общественной безопасности администрации города Перми отсутствует.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 </w:t>
            </w:r>
            <w:r>
              <w:rPr>
                <w:b/>
                <w:color w:val="000000"/>
                <w:sz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sz w:val="24"/>
              </w:rPr>
              <w:t xml:space="preserve">02.07.2026 № 059-10-01-27/3-969</w:t>
            </w:r>
            <w:r>
              <w:rPr>
                <w:color w:val="000000"/>
                <w:sz w:val="24"/>
              </w:rPr>
              <w:t xml:space="preserve">).</w:t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0"/>
              <w:jc w:val="both"/>
              <w:spacing w:before="0" w:after="0"/>
            </w:pPr>
            <w:r/>
            <w:r/>
          </w:p>
        </w:tc>
      </w:tr>
      <w:tr>
        <w:tblPrEx/>
        <w:trPr>
          <w:trHeight w:val="10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120" w:right="113" w:firstLine="0"/>
              <w:jc w:val="left"/>
              <w:spacing w:before="0" w:after="0"/>
              <w:widowControl/>
              <w:tabs>
                <w:tab w:val="left" w:pos="36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допустимые параметры разрешенного строительства </w:t>
              <w:br/>
              <w:t xml:space="preserve">объекта капитального строительства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60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</w:t>
            </w:r>
            <w:r>
              <w:rPr>
                <w:sz w:val="24"/>
                <w:szCs w:val="24"/>
                <w:lang w:val="en-US"/>
              </w:rPr>
              <w:t xml:space="preserve">и </w:t>
              <w:br/>
              <w:t xml:space="preserve"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</w:t>
            </w:r>
            <w:r>
              <w:rPr>
                <w:sz w:val="24"/>
                <w:szCs w:val="24"/>
              </w:rPr>
              <w:t xml:space="preserve"> (ред. от 17.05.2023):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  <w:lang w:val="en-US"/>
              </w:rPr>
              <w:t xml:space="preserve">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 Согласно пункту 6.1 СП 55.13330.2016 площади помещений строящихся и реконструируемых жилых домов должны быть </w:t>
              <w:br/>
              <w:t xml:space="preserve">не менее: общей комнаты в однокомнатном доме - </w:t>
              <w:br/>
              <w:t xml:space="preserve">14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, общей комнаты в доме с числом комнат две </w:t>
              <w:br/>
              <w:t xml:space="preserve">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  <w:br/>
            </w:r>
            <w:r>
              <w:rPr>
                <w:sz w:val="24"/>
                <w:szCs w:val="24"/>
                <w:lang w:val="en-US"/>
              </w:rPr>
              <w:t xml:space="preserve"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</w:t>
              <w:br/>
              <w:t xml:space="preserve">16 м</w:t>
            </w:r>
            <w:r>
              <w:rPr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 xml:space="preserve">в климатических </w:t>
            </w:r>
            <w:r>
              <w:rPr>
                <w:sz w:val="24"/>
                <w:szCs w:val="24"/>
                <w:lang w:val="en-US"/>
              </w:rPr>
              <w:t xml:space="preserve">районах строительства IА, IБ, IГ, IД, определяемых по СП 131.13330, должна быть </w:t>
              <w:br/>
              <w:t xml:space="preserve">не менее 2,7 м, а в других климатических районах строительства - не менее 2,5 м. Высота внутридомовых коридоров, холлов, передних, антресолей должна составлять не менее 2,1 м,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высота пути эвакуации - </w:t>
              <w:br/>
              <w:t xml:space="preserve">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 xml:space="preserve">в этажах с наклонными ограждающими конструкциями или в мансардном этаже, допускается уменьшение высоты помещений (от поладо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Согласно информации, содержащейся в градостроительно</w:t>
            </w:r>
            <w:r>
              <w:rPr>
                <w:sz w:val="24"/>
              </w:rPr>
              <w:t xml:space="preserve">м плане земельного участка от 26.07.2024 № РФ-59-2-03-0-00-2024-1569-0 (далее – ГПЗУ), предельная высота зданий, строений не более 10,5 м (документация по планировке территории, утвержденная постановлением администрации города Перми от 23.12.2015 № 1102) 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Минимальный отступ от границ земельного участка до места допустимого размещения зданий, строений, сооружений (за исключе</w:t>
            </w:r>
            <w:r>
              <w:rPr>
                <w:sz w:val="24"/>
              </w:rPr>
              <w:t xml:space="preserve">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</w:t>
            </w:r>
            <w:r>
              <w:rPr>
                <w:sz w:val="24"/>
              </w:rPr>
              <w:t xml:space="preserve">я на высоте не менее 4,5 м над территорией общего пользования, составляет не более 1,2 м </w:t>
              <w:br/>
              <w:t xml:space="preserve"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Максимальный процент застройки в границах Участка – 30%.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660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53"/>
              <w:ind w:left="0" w:right="0" w:firstLine="0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vMerge w:val="continue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numPr>
                <w:ilvl w:val="0"/>
                <w:numId w:val="4"/>
              </w:numPr>
              <w:ind w:left="120" w:right="23" w:firstLine="6"/>
              <w:tabs>
                <w:tab w:val="left" w:pos="480" w:leader="none"/>
                <w:tab w:val="clear" w:pos="708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ind w:firstLine="252"/>
              <w:jc w:val="both"/>
              <w:rPr>
                <w:highlight w:val="none"/>
              </w:rPr>
            </w:pPr>
            <w:r/>
            <w:r>
              <w:rPr>
                <w:highlight w:val="none"/>
              </w:rPr>
            </w:r>
          </w:p>
          <w:p>
            <w:pPr>
              <w:pStyle w:val="660"/>
              <w:ind w:firstLine="252"/>
              <w:jc w:val="both"/>
              <w:rPr>
                <w:color w:val="000000" w:themeColor="text1"/>
                <w:highlight w:val="none"/>
                <w:u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1" w:tooltip="http://www.gorodperm.ru/" w:history="1">
              <w:r>
                <w:rPr>
                  <w:rStyle w:val="743"/>
                  <w:color w:val="000000" w:themeColor="text1"/>
                  <w:sz w:val="24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 w:val="24"/>
                <w:szCs w:val="24"/>
                <w:u w:val="none"/>
              </w:rPr>
              <w:t xml:space="preserve">.</w:t>
            </w:r>
            <w:r>
              <w:rPr>
                <w:color w:val="000000" w:themeColor="text1"/>
                <w:highlight w:val="none"/>
                <w:u w:val="none"/>
              </w:rPr>
            </w:r>
          </w:p>
          <w:p>
            <w:pPr>
              <w:pStyle w:val="660"/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В соответствии с «Правилами технологического присоединения энергопринимающих устройств потребителей электриче</w:t>
            </w:r>
            <w:r>
              <w:rPr>
                <w:color w:val="000000"/>
                <w:sz w:val="24"/>
              </w:rPr>
              <w:t xml:space="preserve">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Российской Федерации от 27.12.2004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  <w:sz w:val="24"/>
              </w:rPr>
              <w:t xml:space="preserve">861, конкретные технические условия на энергосбережение объекта разрабатываются в составе договора о технологическом присоединении.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Плата за технологическое присоеди</w:t>
            </w:r>
            <w:r>
              <w:rPr>
                <w:color w:val="000000"/>
                <w:sz w:val="24"/>
              </w:rPr>
              <w:t xml:space="preserve">нение энергопринимающих устройств устанавливается исходя из стоимости мероприятий по технологическому присоединению, размер платы определяется по утвержденным тарифам согласно постановлению РСТ Пермского края от 23.11.2023 </w:t>
              <w:br/>
              <w:t xml:space="preserve">№ 121-тп (в последней редакции).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Электроснабжение объекта возможно будет осуществить при условии строительства питающей линии электропередачи 0,4 кВ на основании договора об осуществлении технологического присоединения объекта к электрическим сетям филиала «Пермэнерго».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Подать заявку на технологическое присоединение возможно через единый федеральный портал электросетевых услуг группы компаний «Россети» на сайте: </w:t>
            </w:r>
            <w:r>
              <w:rPr>
                <w:color w:val="000000"/>
                <w:sz w:val="24"/>
                <w:u w:val="single"/>
              </w:rPr>
              <w:t xml:space="preserve">https://портал-тп.рф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или через Мобильное приложение ПАО «Россети».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</w:rPr>
              <w:t xml:space="preserve">Филиала ПАО «Россети Урал» - «Пермэнерго» </w:t>
            </w:r>
            <w:r>
              <w:rPr>
                <w:color w:val="000000"/>
                <w:sz w:val="24"/>
                <w:szCs w:val="24"/>
              </w:rPr>
              <w:t xml:space="preserve">от 17.07.2024 </w:t>
              <w:br/>
              <w:t xml:space="preserve">№ ПЭ/ПГЭС/01/22/7357</w:t>
            </w:r>
            <w: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(часовым расходом газа) 8м3/час к существующим сетям газораспределения имеется.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Для рассмотрения вопроса о предоставлении технических условий на подключ</w:t>
            </w:r>
            <w:r>
              <w:rPr>
                <w:color w:val="000000"/>
                <w:sz w:val="24"/>
              </w:rPr>
              <w:t xml:space="preserve">ение (технологическое присоединение) необходимо направить запрос по типовой форме </w:t>
              <w:br/>
              <w:t xml:space="preserve">с приложением необходимых документов и сведений, указанных в пунктах 11 и 16 постановления Правительства Российской Федерации от 13.09.2021 № 1547 «Об утверждении Правил под</w:t>
            </w:r>
            <w:r>
              <w:rPr>
                <w:color w:val="000000"/>
                <w:sz w:val="24"/>
              </w:rPr>
              <w:t xml:space="preserve">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</w:t>
            </w:r>
            <w:r>
              <w:rPr>
                <w:color w:val="000000"/>
                <w:sz w:val="24"/>
              </w:rPr>
              <w:t xml:space="preserve"> либо почтовым отправлением по адресу: г. Пермь, ул. Уральская, 104, через Единый центр предоставления услуг по адресу: </w:t>
              <w:br/>
              <w:t xml:space="preserve">г. Пермь, ул. Уральская, д. 104, Петропавловская, 43, через личный кабинет на сайте ugaz.ru, на портале единого оператора газификации: </w:t>
            </w:r>
            <w:hyperlink r:id="rId22" w:tooltip="https://connectgas.ru./" w:history="1">
              <w:r>
                <w:rPr>
                  <w:rStyle w:val="743"/>
                  <w:color w:val="000000" w:themeColor="text1"/>
                  <w:sz w:val="24"/>
                </w:rPr>
                <w:t xml:space="preserve">https://connectgas.ru.</w:t>
              </w:r>
            </w:hyperlink>
            <w:r/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</w:t>
            </w:r>
            <w:r>
              <w:t xml:space="preserve"> </w:t>
              <w:br/>
            </w:r>
            <w:r>
              <w:rPr>
                <w:b/>
                <w:color w:val="000000"/>
                <w:sz w:val="24"/>
              </w:rPr>
              <w:t xml:space="preserve">АО «Газпром газораспределение Пермь»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от 17.07.2024 </w:t>
              <w:br/>
              <w:t xml:space="preserve">№ ПФ-4382</w:t>
            </w:r>
            <w:r>
              <w:t xml:space="preserve">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В районе Участка отсутствуют централизованные сети водопровода и канализации, эксплуатируемые </w:t>
              <w:br/>
              <w:t xml:space="preserve">ООО «НОВОГОР-Прикамье».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Альтернативным методом </w:t>
            </w:r>
            <w:r>
              <w:rPr>
                <w:color w:val="000000"/>
                <w:sz w:val="24"/>
              </w:rPr>
              <w:t xml:space="preserve">снабжения водой может быть скважина, отвод стоков возможен на локальные очистные сооружения, либо в выгребную яму с последующим вывозом стоков спец. машинами,  при этом состав стоков должен соответствовать всем нормативным требованиям Российской Федерации.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В связи с тем, что ООО «НОВОГОР-Прикамье» эксплуатир</w:t>
            </w:r>
            <w:r>
              <w:rPr>
                <w:color w:val="000000"/>
                <w:sz w:val="24"/>
              </w:rPr>
              <w:t xml:space="preserve">ует только централизованные системы водоснабжения и водоотведения, по вопросу возможности обеспечения жилого дома холодным водоснабжением </w:t>
              <w:br/>
              <w:t xml:space="preserve">от скважины и отвод канализационных локально, предлагаем вам обратиться в организации, регулирующие недропользование.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</w:t>
              <w:br/>
            </w:r>
            <w:r>
              <w:rPr>
                <w:b/>
                <w:color w:val="000000"/>
                <w:sz w:val="24"/>
              </w:rPr>
              <w:t xml:space="preserve">ООО «НОВОГОР-Прикамье» </w:t>
            </w:r>
            <w:r>
              <w:rPr>
                <w:color w:val="000000"/>
                <w:sz w:val="24"/>
              </w:rPr>
              <w:t xml:space="preserve">от 17.07.2024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  <w:sz w:val="24"/>
              </w:rPr>
              <w:t xml:space="preserve">110-11739).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Участок расположен вне зоны теплоснабжения</w:t>
              <w:br/>
              <w:t xml:space="preserve">ПАО «Т Плюс».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Филиала «Пермский ПАО «Т Плюс»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от 18.07.2024 № 51000-32-02328).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газ.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/>
                <w:sz w:val="24"/>
              </w:rPr>
              <w:t xml:space="preserve">(далее – ДЖКХ) письмом от 08.08.2024 № 059-04-17/3-771-ри).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Технологическое присоединение к сетям связи</w:t>
              <w:br/>
            </w:r>
            <w:r>
              <w:rPr>
                <w:b/>
                <w:color w:val="000000"/>
                <w:sz w:val="24"/>
              </w:rPr>
              <w:t xml:space="preserve">ПАО «Ростелеком» </w:t>
            </w:r>
            <w:r>
              <w:rPr>
                <w:color w:val="000000"/>
                <w:sz w:val="24"/>
              </w:rPr>
              <w:t xml:space="preserve">может быть произведено в точке подключения узел ВОЛС (г. Пермь, ул. Кронита, 8), максимальную нагрузку в точке подключения (технологического присоединения) возможно определить</w:t>
              <w:br/>
              <w:t xml:space="preserve">на стадии проектирования. В границах участка сети</w:t>
              <w:br/>
              <w:t xml:space="preserve">ПАО «Ростелеком» отсутствуют.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Срок действия технических условий составляет 3 года </w:t>
              <w:br/>
              <w:t xml:space="preserve">со дня выдачи. В случае, если в течении 1 года со дня выдачи технических условий заявителем не будет подана заявк</w:t>
            </w:r>
            <w:r>
              <w:rPr>
                <w:color w:val="000000"/>
                <w:sz w:val="24"/>
              </w:rPr>
              <w:t xml:space="preserve">а </w:t>
              <w:br/>
              <w:t xml:space="preserve">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Российской Федерации от 01.07.2022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  <w:sz w:val="24"/>
              </w:rPr>
              <w:t xml:space="preserve">1196).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Для подключения (технологического присоединения) </w:t>
              <w:br/>
              <w:t xml:space="preserve">к сетям электросвязи ПАО «Ростелеком» необходимо обратиться по адресу: г. Пермь, ул. Крупской, 2, тел.: +7 (342) 235-57-34 или направить запрос </w:t>
            </w:r>
            <w:r>
              <w:rPr>
                <w:color w:val="000000" w:themeColor="text1"/>
                <w:sz w:val="24"/>
              </w:rPr>
              <w:t xml:space="preserve">на </w:t>
            </w:r>
            <w:hyperlink r:id="rId23" w:tooltip="mailto:perm-mail@ural.rt.ru." w:history="1">
              <w:r>
                <w:rPr>
                  <w:rStyle w:val="743"/>
                  <w:color w:val="000000" w:themeColor="text1"/>
                  <w:sz w:val="24"/>
                </w:rPr>
                <w:t xml:space="preserve">perm-mail@ural.rt.ru.</w:t>
              </w:r>
            </w:hyperlink>
            <w:r/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</w:rPr>
              <w:t xml:space="preserve">ПАО «Ростелеком»</w:t>
            </w:r>
            <w:r>
              <w:t xml:space="preserve"> </w:t>
            </w:r>
            <w:r>
              <w:rPr>
                <w:color w:val="000000"/>
                <w:sz w:val="24"/>
              </w:rPr>
              <w:t xml:space="preserve">от 22.07.2024 № 01/05/105333/24).</w:t>
            </w:r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/>
            <w:r/>
          </w:p>
          <w:p>
            <w:pPr>
              <w:pStyle w:val="753"/>
              <w:ind w:left="0" w:right="0" w:firstLine="311"/>
              <w:jc w:val="both"/>
              <w:spacing w:before="0" w:after="0"/>
            </w:pPr>
            <w:r>
              <w:rPr>
                <w:sz w:val="24"/>
                <w:szCs w:val="24"/>
              </w:rPr>
              <w:t xml:space="preserve">На территории, где расположен земельный участок, схемами водоснабжения и водоотведения города Перми, утвержденными постановлением администрации города Перми от 28.12.2018 № 1085, в рамках муниц</w:t>
            </w:r>
            <w:r>
              <w:rPr>
                <w:sz w:val="24"/>
                <w:szCs w:val="24"/>
              </w:rPr>
              <w:t xml:space="preserve">ипальной программой «Развитие системы жилищно – коммунального хозяйства в городе Перми» от 18.10.2024 № 964 на 2026-2027гг. предусмотрено финансирование на реализацию мероприятия </w:t>
              <w:br/>
              <w:t xml:space="preserve">по строительству (площадь 1227 кв. м) сетей водоснабжения в мкр. Чапаевский.</w:t>
            </w:r>
            <w:r/>
          </w:p>
          <w:p>
            <w:pPr>
              <w:pStyle w:val="660"/>
              <w:ind w:firstLine="25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департамента жилищно-коммунального хозяйства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06.07.2026 № 059-04-17/3-547-ри).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</w:pPr>
            <w:r>
              <w:rPr>
                <w:b w:val="0"/>
                <w:bCs w:val="0"/>
                <w:sz w:val="24"/>
                <w:szCs w:val="24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5 к </w:t>
            </w:r>
            <w:r>
              <w:rPr>
                <w:b w:val="0"/>
                <w:bCs w:val="0"/>
                <w:sz w:val="24"/>
                <w:szCs w:val="24"/>
              </w:rPr>
              <w:t xml:space="preserve">настоящему извещению), победитель аукциона, иное лицо, </w:t>
              <w:br/>
              <w:t xml:space="preserve">с которым договор заключается в соответствии </w:t>
            </w:r>
            <w:r>
              <w:rPr>
                <w:b w:val="0"/>
                <w:bCs w:val="0"/>
                <w:sz w:val="24"/>
                <w:szCs w:val="24"/>
              </w:rPr>
              <w:t xml:space="preserve">с п.13, п.14, п. 20 или п. 25  ст. 39.12 Земельного Кодекса Российской Федерации (далее – ЗК РФ), обязан до подписания договора уплатить ежегодный размер арендной платы, указанный в п. 4.2 договора </w:t>
              <w:br/>
              <w:t xml:space="preserve">(за вычетом задатка, внесенного для участия </w:t>
              <w:br/>
              <w:t xml:space="preserve">в аукционе) </w:t>
            </w:r>
            <w:r>
              <w:rPr>
                <w:b/>
                <w:bCs/>
                <w:sz w:val="24"/>
                <w:szCs w:val="24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</w:rPr>
              <w:t xml:space="preserve">на счет департамента земельных отношений администрации города Перми, 614015, </w:t>
              <w:br/>
              <w:t xml:space="preserve">ул. Сибирская,15, </w:t>
              <w:br/>
              <w:t xml:space="preserve">тел. 212-61-90 (отдел договоров),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реквизиты которого указаны в проекте договора аренды земельного участка (Приложение 5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106 700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5 335 руб.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</w:t>
              <w:br/>
              <w:t xml:space="preserve">в подпунктах 2-4 пункта 1, пункте 1.1 статьи 39.12 Земельного кодекса Российской Ф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едерации (копии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  <w:br/>
              <w:t xml:space="preserve">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left="0" w:right="0" w:firstLine="0"/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Решение о проведении аукциона принято в соответствии </w:t>
              <w:br/>
              <w:t xml:space="preserve">со статьей 39.11 Земельного кодекса Российской Федерации, </w:t>
            </w:r>
            <w:r>
              <w:rPr>
                <w:b/>
                <w:color w:val="000000"/>
                <w:sz w:val="24"/>
                <w:szCs w:val="24"/>
              </w:rPr>
              <w:t xml:space="preserve">аукцион является открытым по составу участников.</w:t>
            </w:r>
            <w:r>
              <w:rPr>
                <w:b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цены)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53 350 руб.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6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60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5 к настоящему извещению и размещен </w:t>
              <w:br/>
              <w:t xml:space="preserve">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" w:type="dxa"/>
            <w:textDirection w:val="lrTb"/>
            <w:noWrap w:val="false"/>
          </w:tcPr>
          <w:p>
            <w:pPr>
              <w:pStyle w:val="6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660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 xml:space="preserve">на местности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15" w:type="dxa"/>
            <w:textDirection w:val="lrTb"/>
            <w:noWrap w:val="false"/>
          </w:tcPr>
          <w:p>
            <w:pPr>
              <w:pStyle w:val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60"/>
        <w:ind w:right="-263"/>
        <w:tabs>
          <w:tab w:val="clear" w:pos="708" w:leader="none"/>
          <w:tab w:val="left" w:pos="5103" w:leader="none"/>
        </w:tabs>
        <w:rPr>
          <w:b/>
          <w:bCs/>
          <w:lang w:val="en-US"/>
        </w:rPr>
      </w:pPr>
      <w:r>
        <w:rPr>
          <w:b/>
          <w:bCs/>
          <w:lang w:val="en-US"/>
        </w:rPr>
      </w:r>
      <w:r>
        <w:rPr>
          <w:b/>
          <w:bCs/>
          <w:lang w:val="en-US"/>
        </w:rPr>
      </w:r>
    </w:p>
    <w:p>
      <w:pPr>
        <w:pStyle w:val="660"/>
        <w:contextualSpacing/>
        <w:ind w:left="0"/>
        <w:jc w:val="center"/>
        <w:spacing w:before="0" w:after="0"/>
        <w:widowControl w:val="off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 xml:space="preserve">Сроки, время подачи заявок, рассмотрения заявок, проведения аукциона</w:t>
      </w:r>
      <w:r>
        <w:rPr>
          <w:rFonts w:eastAsia="Courier New"/>
          <w:b/>
          <w:bCs/>
          <w:highlight w:val="none"/>
          <w:lang w:bidi="ru-RU"/>
        </w:rPr>
      </w:r>
    </w:p>
    <w:p>
      <w:pPr>
        <w:pStyle w:val="660"/>
        <w:contextualSpacing/>
        <w:ind w:left="567"/>
        <w:jc w:val="center"/>
        <w:spacing w:before="0" w:after="0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Дата и время начала срока подачи заявок на участие в аукционе – 05.09.2026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по местному времени (7:00 МСК).</w:t>
      </w:r>
      <w:r>
        <w:rPr>
          <w:rFonts w:eastAsia="Courier New"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 xml:space="preserve">Дата и время окончания срока подачи заявок на участие в аукционе – 22.09.2026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  <w:r>
        <w:rPr>
          <w:rFonts w:eastAsia="Courier New"/>
          <w:b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23.09.2026. </w:t>
      </w:r>
      <w:r>
        <w:rPr>
          <w:rFonts w:eastAsia="Courier New"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от участников аукциона) – 24.09</w:t>
      </w:r>
      <w:r>
        <w:rPr>
          <w:rFonts w:eastAsia="Courier New"/>
          <w:b/>
          <w:lang w:bidi="ru-RU"/>
        </w:rPr>
        <w:t xml:space="preserve">.2026</w:t>
      </w:r>
      <w:r>
        <w:rPr>
          <w:rFonts w:eastAsia="Courier New"/>
          <w:lang w:bidi="ru-RU"/>
        </w:rPr>
        <w:t xml:space="preserve"> в 09:00 по местному времени (07:00 МСК). </w:t>
      </w:r>
      <w:r>
        <w:rPr>
          <w:rFonts w:eastAsia="Courier New"/>
          <w:b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highlight w:val="none"/>
        </w:rPr>
      </w:pPr>
      <w:r>
        <w:rPr>
          <w:b/>
        </w:rPr>
        <w:t xml:space="preserve">Место подачи (приема) заявок и место проведения аукциона:</w:t>
      </w:r>
      <w: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highlight w:val="none"/>
        </w:rPr>
      </w:r>
    </w:p>
    <w:p>
      <w:pPr>
        <w:pStyle w:val="660"/>
        <w:jc w:val="both"/>
        <w:widowControl w:val="off"/>
      </w:pPr>
      <w:r/>
      <w:r/>
    </w:p>
    <w:p>
      <w:pPr>
        <w:pStyle w:val="660"/>
        <w:ind w:left="-567" w:firstLine="709"/>
        <w:jc w:val="center"/>
        <w:widowControl w:val="off"/>
        <w:rPr>
          <w:b/>
        </w:rPr>
      </w:pPr>
      <w:r>
        <w:rPr>
          <w:b/>
        </w:rPr>
        <w:t xml:space="preserve">Плата оператору электронной площадки за участие в электронном аукционе</w:t>
      </w:r>
      <w:r>
        <w:rPr>
          <w:b/>
        </w:rPr>
      </w:r>
    </w:p>
    <w:p>
      <w:pPr>
        <w:pStyle w:val="660"/>
        <w:ind w:left="-567" w:firstLine="709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60"/>
        <w:ind w:left="-567" w:firstLine="709"/>
        <w:jc w:val="both"/>
        <w:widowControl w:val="off"/>
      </w:pPr>
      <w:r>
        <w:t xml:space="preserve">В соответствии с постановлением Правительства Российской Федерации от 10 мая 2018 г.</w:t>
      </w:r>
      <w:r>
        <w:br w:type="textWrapping" w:clear="all"/>
      </w:r>
      <w:r>
        <w:t xml:space="preserve"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</w:t>
      </w:r>
      <w:r>
        <w:t xml:space="preserve">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</w:t>
      </w:r>
      <w:r>
        <w:t xml:space="preserve">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  <w:r/>
    </w:p>
    <w:p>
      <w:pPr>
        <w:pStyle w:val="660"/>
        <w:ind w:left="-567" w:firstLine="709"/>
        <w:jc w:val="both"/>
        <w:widowControl w:val="off"/>
      </w:pPr>
      <w:r>
        <w:t xml:space="preserve">По информации оператора электронной площадки АО «Сбербанк-АСТ» в настоящее время взимание платы не установлено.</w:t>
      </w:r>
      <w:r/>
    </w:p>
    <w:p>
      <w:pPr>
        <w:pStyle w:val="660"/>
        <w:ind w:left="-567" w:firstLine="709"/>
        <w:jc w:val="both"/>
        <w:widowControl w:val="off"/>
      </w:pPr>
      <w:r/>
      <w:r/>
    </w:p>
    <w:p>
      <w:pPr>
        <w:pStyle w:val="660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60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  <w:t xml:space="preserve">Размер задатка для участия в аукционе, порядок его внесения и возврата, реквизиты счета для перечисления задатка</w:t>
      </w:r>
      <w:r>
        <w:rPr>
          <w:b/>
          <w:bCs/>
          <w:lang w:bidi="ru-RU"/>
        </w:rPr>
      </w:r>
    </w:p>
    <w:p>
      <w:pPr>
        <w:pStyle w:val="660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</w:t>
      </w:r>
      <w:r>
        <w:rPr>
          <w:bCs/>
          <w:lang w:bidi="ru-RU"/>
        </w:rPr>
        <w:t xml:space="preserve">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  <w:r>
        <w:rPr>
          <w:bCs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 xml:space="preserve">на лицевом счете заявителя и осуществляет блокирование необходимой денежной суммы.</w:t>
      </w:r>
      <w:r>
        <w:rPr>
          <w:bCs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  <w:r>
        <w:rPr>
          <w:bCs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  <w:r>
        <w:rPr>
          <w:bCs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  <w:r>
        <w:rPr>
          <w:b/>
          <w:bCs/>
          <w:lang w:bidi="ru-RU"/>
        </w:rPr>
      </w:r>
    </w:p>
    <w:p>
      <w:pPr>
        <w:pStyle w:val="660"/>
        <w:ind w:left="-567" w:firstLine="567"/>
        <w:jc w:val="both"/>
        <w:widowControl w:val="off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 xml:space="preserve">Задаток перечисляется на реквизиты Оператора электронной площадки (</w:t>
      </w:r>
      <w:hyperlink r:id="rId24" w:tooltip="http://utp.sberbank-ast.ru/AP/Notice/653/Requisites" w:history="1">
        <w:r>
          <w:rPr>
            <w:rStyle w:val="743"/>
            <w:b/>
            <w:bCs/>
            <w:lang w:bidi="ru-RU"/>
          </w:rPr>
          <w:t xml:space="preserve">http://utp.sberbank-ast.ru/AP/Notice/653/Requisites</w:t>
        </w:r>
      </w:hyperlink>
      <w:r>
        <w:rPr>
          <w:b/>
          <w:bCs/>
          <w:lang w:bidi="ru-RU"/>
        </w:rPr>
        <w:t xml:space="preserve">).</w:t>
      </w:r>
      <w:r>
        <w:rPr>
          <w:rFonts w:eastAsia="Calibri"/>
          <w:bCs/>
          <w:lang w:eastAsia="en-US"/>
        </w:rPr>
      </w:r>
    </w:p>
    <w:p>
      <w:pPr>
        <w:pStyle w:val="660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Получатель: АО «Сбербанк-АСТ»</w:t>
      </w:r>
      <w:r>
        <w:rPr>
          <w:rFonts w:eastAsia="Calibri"/>
          <w:bCs/>
          <w:lang w:eastAsia="en-US"/>
        </w:rPr>
      </w:r>
    </w:p>
    <w:p>
      <w:pPr>
        <w:pStyle w:val="660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  <w:r>
        <w:rPr>
          <w:rFonts w:eastAsia="Calibri"/>
          <w:bCs/>
          <w:lang w:eastAsia="en-US"/>
        </w:rPr>
      </w:r>
    </w:p>
    <w:p>
      <w:pPr>
        <w:pStyle w:val="660"/>
        <w:spacing w:line="240" w:lineRule="exact"/>
      </w:pPr>
      <w:r>
        <w:rPr>
          <w:rFonts w:eastAsia="Calibri"/>
          <w:bCs/>
          <w:lang w:eastAsia="en-US"/>
        </w:rPr>
        <w:t xml:space="preserve">Банк получателя: ПАО «СБЕРБАНК РОССИИ» Г. МОСКВА</w:t>
      </w:r>
      <w:r/>
    </w:p>
    <w:p>
      <w:pPr>
        <w:pStyle w:val="660"/>
        <w:spacing w:line="240" w:lineRule="exact"/>
        <w:rPr>
          <w:rFonts w:eastAsia="Calibri"/>
          <w:bCs/>
          <w:lang w:eastAsia="en-US"/>
        </w:rPr>
      </w:pPr>
      <w:r>
        <w:t xml:space="preserve">Расчетный счет: </w:t>
      </w:r>
      <w:r>
        <w:rPr>
          <w:rFonts w:eastAsia="Calibri"/>
          <w:bCs/>
          <w:lang w:eastAsia="en-US"/>
        </w:rPr>
        <w:t xml:space="preserve">40702810300020038047</w:t>
      </w:r>
      <w:r>
        <w:rPr>
          <w:rFonts w:eastAsia="Calibri"/>
          <w:bCs/>
          <w:lang w:eastAsia="en-US"/>
        </w:rPr>
      </w:r>
    </w:p>
    <w:p>
      <w:pPr>
        <w:pStyle w:val="660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БИК: 044525225</w:t>
      </w:r>
      <w:r>
        <w:rPr>
          <w:rFonts w:eastAsia="Calibri"/>
          <w:bCs/>
          <w:lang w:eastAsia="en-US"/>
        </w:rPr>
      </w:r>
    </w:p>
    <w:p>
      <w:pPr>
        <w:pStyle w:val="660"/>
        <w:spacing w:line="240" w:lineRule="exact"/>
        <w:rPr>
          <w:bCs/>
          <w:lang w:bidi="ru-RU"/>
        </w:rPr>
      </w:pPr>
      <w:r>
        <w:rPr>
          <w:rFonts w:eastAsia="Calibri"/>
          <w:bCs/>
          <w:lang w:eastAsia="en-US"/>
        </w:rPr>
        <w:t xml:space="preserve">Корреспондентский счет: 30101810400000000225</w:t>
      </w:r>
      <w:r>
        <w:rPr>
          <w:bCs/>
          <w:lang w:bidi="ru-RU"/>
        </w:rPr>
      </w:r>
    </w:p>
    <w:p>
      <w:pPr>
        <w:pStyle w:val="660"/>
        <w:ind w:left="-567" w:firstLine="567"/>
        <w:jc w:val="both"/>
        <w:widowControl w:val="off"/>
        <w:rPr>
          <w:b/>
        </w:rPr>
      </w:pPr>
      <w:r>
        <w:rPr>
          <w:bCs/>
          <w:lang w:bidi="ru-RU"/>
        </w:rPr>
        <w:t xml:space="preserve">В платёжном поручении в части «Назначение платежа» необходимо указать: Задаток по лоту  № ___, ИНН плательщика. НДС не облагается.</w:t>
      </w:r>
      <w:r>
        <w:rPr>
          <w:b/>
        </w:rPr>
      </w:r>
    </w:p>
    <w:p>
      <w:pPr>
        <w:pStyle w:val="660"/>
        <w:ind w:left="-567" w:firstLine="567"/>
        <w:jc w:val="both"/>
        <w:widowControl w:val="off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 xml:space="preserve"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 xml:space="preserve">c 05.09.2026 по 22.09.2026.</w:t>
      </w:r>
      <w:r>
        <w:rPr>
          <w:bCs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60"/>
        <w:ind w:left="-567" w:firstLine="709"/>
        <w:jc w:val="center"/>
        <w:widowControl w:val="off"/>
        <w:rPr>
          <w:b/>
          <w:lang w:bidi="ru-RU"/>
        </w:rPr>
      </w:pPr>
      <w:r>
        <w:rPr>
          <w:b/>
          <w:lang w:bidi="ru-RU"/>
        </w:rPr>
        <w:t xml:space="preserve">Порядок возврата задатка:</w:t>
      </w:r>
      <w:r>
        <w:rPr>
          <w:b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b/>
          <w:lang w:bidi="ru-RU"/>
        </w:rPr>
      </w:pPr>
      <w:r>
        <w:rPr>
          <w:b/>
          <w:lang w:bidi="ru-RU"/>
        </w:rPr>
      </w:r>
      <w:r>
        <w:rPr>
          <w:b/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lang w:bidi="ru-RU"/>
        </w:rPr>
      </w:pPr>
      <w:r>
        <w:rPr>
          <w:bCs/>
          <w:lang w:bidi="ru-RU"/>
        </w:rPr>
        <w:t xml:space="preserve">Задаток возвращается лицам, участвовавшим в аукционе, но не победившим в нем, в течение трех ра</w:t>
      </w:r>
      <w:r>
        <w:rPr>
          <w:bCs/>
          <w:shd w:val="clear" w:color="auto" w:fill="auto"/>
          <w:lang w:bidi="ru-RU"/>
        </w:rPr>
        <w:t xml:space="preserve">бочих дней со дня подписания протокола о результатах аукциона, </w:t>
      </w:r>
      <w:r>
        <w:rPr>
          <w:b w:val="0"/>
          <w:bCs/>
          <w:shd w:val="clear" w:color="auto" w:fill="auto"/>
          <w:lang w:bidi="ru-RU"/>
        </w:rPr>
        <w:t xml:space="preserve"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  <w:r>
        <w:rPr>
          <w:lang w:bidi="ru-RU"/>
        </w:rPr>
      </w:r>
    </w:p>
    <w:p>
      <w:pPr>
        <w:pStyle w:val="660"/>
        <w:contextualSpacing/>
        <w:ind w:left="-567" w:firstLine="567"/>
        <w:jc w:val="both"/>
        <w:spacing w:before="0" w:after="0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течение трех рабочих дней со дня оформления протокола рассмотрения заявок на участие в аукционе. 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</w:t>
      </w:r>
      <w:r>
        <w:rPr>
          <w:shd w:val="clear" w:color="auto" w:fill="auto"/>
          <w:lang w:bidi="ru-RU"/>
        </w:rPr>
        <w:t xml:space="preserve">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0"/>
          <w:shd w:val="clear" w:color="auto" w:fill="auto"/>
          <w:lang w:bidi="ru-RU"/>
        </w:rPr>
        <w:t xml:space="preserve">участника аукциона, который сделал предпоследнее предложение о цене предмета аукциона.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установленные сроки формирует поручение Оператору: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- о</w:t>
      </w:r>
      <w:r>
        <w:rPr>
          <w:shd w:val="clear" w:color="auto" w:fill="auto"/>
          <w:lang w:bidi="ru-RU"/>
        </w:rPr>
        <w:t xml:space="preserve">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</w:t>
      </w:r>
      <w:r>
        <w:rPr>
          <w:bCs/>
          <w:shd w:val="clear" w:color="auto" w:fill="auto"/>
          <w:lang w:bidi="ru-RU"/>
        </w:rPr>
        <w:t xml:space="preserve">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  <w:r>
        <w:rPr>
          <w:highlight w:val="none"/>
          <w:shd w:val="clear" w:color="auto" w:fill="auto"/>
        </w:rPr>
      </w:r>
    </w:p>
    <w:p>
      <w:pPr>
        <w:pStyle w:val="660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60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вправе:</w:t>
      </w:r>
      <w:r>
        <w:rPr>
          <w:highlight w:val="none"/>
          <w:shd w:val="clear" w:color="auto" w:fill="auto"/>
        </w:rPr>
      </w:r>
    </w:p>
    <w:p>
      <w:pPr>
        <w:pStyle w:val="660"/>
        <w:jc w:val="center"/>
        <w:widowControl w:val="off"/>
        <w:rPr>
          <w:rFonts w:eastAsia="Courier New"/>
          <w:highlight w:val="none"/>
          <w:shd w:val="clear" w:color="auto" w:fill="auto"/>
          <w:lang w:bidi="ru-RU"/>
        </w:rPr>
      </w:pPr>
      <w:r>
        <w:rPr>
          <w:rFonts w:eastAsia="Courier New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</w:p>
    <w:p>
      <w:pPr>
        <w:pStyle w:val="753"/>
        <w:ind w:left="-567" w:firstLine="709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Не позднее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Информация о внесении изменений в извещение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www.gorodperm.ru.</w:t>
      </w:r>
      <w:r>
        <w:rPr>
          <w:highlight w:val="none"/>
          <w:shd w:val="clear" w:color="auto" w:fill="auto"/>
        </w:rPr>
      </w:r>
    </w:p>
    <w:p>
      <w:pPr>
        <w:pStyle w:val="753"/>
        <w:ind w:left="-567" w:firstLine="709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 xml:space="preserve">с правилами, предусмотренными п. 22.1  ст. 39.11 Земельного кодекса Российской Федерации.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соответствии с п. 4 ст. 448 Гражданского кодекса Российской Федерации отказаться </w:t>
      </w:r>
      <w:r>
        <w:br w:type="textWrapping" w:clear="all"/>
      </w:r>
      <w:r>
        <w:t xml:space="preserve">от проведения аукциона в любое время, но не позднее чем за три дня до наступления даты </w:t>
      </w:r>
      <w:r>
        <w:br w:type="textWrapping" w:clear="all"/>
      </w:r>
      <w:r>
        <w:t xml:space="preserve">его проведения, указанной в извещении </w:t>
      </w:r>
      <w:r>
        <w:rPr>
          <w:shd w:val="clear" w:color="auto" w:fill="auto"/>
        </w:rPr>
        <w:t xml:space="preserve">о проведении аукциона. </w:t>
      </w:r>
      <w:r/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0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обязан:  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Извещение об отказе в проведении аукциона размещается организатором аукциона на официальных сайтах 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 </w:t>
      </w:r>
      <w:r>
        <w:rPr>
          <w:shd w:val="clear" w:color="auto" w:fill="auto"/>
        </w:rPr>
        <w:t xml:space="preserve"> и на электронной площадке в течение трех дней со дня принятия данного решения.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в размере задатка на их лицевых счетах на электронной площадке.</w:t>
      </w:r>
      <w:r>
        <w:rPr>
          <w:highlight w:val="none"/>
          <w:shd w:val="clear" w:color="auto" w:fill="auto"/>
        </w:rPr>
      </w:r>
    </w:p>
    <w:p>
      <w:pPr>
        <w:pStyle w:val="660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60"/>
        <w:ind w:left="502"/>
        <w:jc w:val="center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shd w:val="clear" w:color="auto" w:fill="auto"/>
          <w:lang w:bidi="ru-RU"/>
        </w:rPr>
        <w:t xml:space="preserve">Порядок регистрации на электронной площадке</w:t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60"/>
        <w:ind w:left="-567" w:firstLine="709"/>
        <w:jc w:val="both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Регистрация на электронной площадке проводится в соответствии с регламентом электронной площадки.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05</w:t>
      </w:r>
      <w:r>
        <w:rPr>
          <w:bCs/>
          <w:lang w:bidi="ru-RU"/>
        </w:rPr>
        <w:t xml:space="preserve">.09.2026 по 22.09.2026</w:t>
      </w:r>
      <w:r>
        <w:rPr>
          <w:bCs/>
          <w:shd w:val="clear" w:color="auto" w:fill="auto"/>
          <w:lang w:bidi="ru-RU"/>
        </w:rPr>
        <w:t xml:space="preserve"> с 9.00 до 18.00 по местному времени (7:00 – 16:00 МСК). </w:t>
      </w:r>
      <w:r>
        <w:rPr>
          <w:highlight w:val="none"/>
          <w:shd w:val="clear" w:color="auto" w:fill="auto"/>
        </w:rPr>
      </w:r>
    </w:p>
    <w:p>
      <w:pPr>
        <w:pStyle w:val="790"/>
        <w:jc w:val="center"/>
        <w:rPr>
          <w:highlight w:val="none"/>
          <w:shd w:val="clear" w:color="auto" w:fill="auto"/>
        </w:rPr>
      </w:pPr>
      <w:r>
        <w:rPr>
          <w:b/>
          <w:color w:val="000000"/>
          <w:shd w:val="clear" w:color="auto" w:fill="auto"/>
        </w:rPr>
        <w:t xml:space="preserve">Разъяснение положений извещения о проведении аукциона</w:t>
      </w:r>
      <w:r>
        <w:rPr>
          <w:highlight w:val="none"/>
          <w:shd w:val="clear" w:color="auto" w:fill="auto"/>
        </w:rPr>
      </w:r>
    </w:p>
    <w:p>
      <w:pPr>
        <w:pStyle w:val="75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</w:t>
      </w:r>
      <w:r>
        <w:rPr>
          <w:bCs/>
          <w:shd w:val="clear" w:color="auto" w:fill="auto"/>
          <w:lang w:bidi="ru-RU"/>
        </w:rPr>
        <w:t xml:space="preserve">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</w:t>
        <w:br/>
        <w:t xml:space="preserve">не рассматриваются.</w:t>
      </w:r>
      <w:r>
        <w:rPr>
          <w:highlight w:val="none"/>
          <w:shd w:val="clear" w:color="auto" w:fill="auto"/>
        </w:rPr>
      </w:r>
    </w:p>
    <w:p>
      <w:pPr>
        <w:pStyle w:val="757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709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60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Требования к содержанию и составу заявки на участие в аукционе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b/>
          <w:bCs/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</w:pPr>
      <w:r>
        <w:rPr>
          <w:rFonts w:eastAsia="Courier New"/>
          <w:shd w:val="clear" w:color="auto" w:fill="auto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val="clear" w:color="auto" w:fill="auto"/>
          <w:lang w:bidi="ru-RU"/>
        </w:rPr>
        <w:br w:type="textWrapping" w:clear="all"/>
      </w:r>
      <w:r>
        <w:rPr>
          <w:rFonts w:eastAsia="Courier New"/>
          <w:shd w:val="clear" w:color="auto" w:fill="auto"/>
          <w:lang w:bidi="ru-RU"/>
        </w:rPr>
        <w:t xml:space="preserve">о проведении аукциона срок следующие документы:</w:t>
      </w:r>
      <w:r/>
    </w:p>
    <w:p>
      <w:pPr>
        <w:pStyle w:val="660"/>
        <w:jc w:val="both"/>
      </w:pPr>
      <w:r>
        <w:rPr>
          <w:rFonts w:eastAsia="Calibri"/>
          <w:shd w:val="clear" w:color="auto" w:fill="auto"/>
        </w:rPr>
        <w:t xml:space="preserve">1) копии документов, удостоверяющих личность заявителя (для граждан), всех страниц;</w:t>
      </w:r>
      <w:r/>
    </w:p>
    <w:p>
      <w:pPr>
        <w:pStyle w:val="660"/>
        <w:ind w:left="-567" w:firstLine="567"/>
        <w:jc w:val="both"/>
      </w:pPr>
      <w:r>
        <w:rPr>
          <w:rFonts w:eastAsia="Calibri"/>
          <w:shd w:val="clear" w:color="auto" w:fill="auto"/>
        </w:rPr>
        <w:t xml:space="preserve">2) надлежащим образом заверенный перевод на русский язык документов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/>
    </w:p>
    <w:p>
      <w:pPr>
        <w:pStyle w:val="660"/>
        <w:jc w:val="both"/>
      </w:pPr>
      <w:r>
        <w:rPr>
          <w:rFonts w:eastAsia="Calibri"/>
          <w:shd w:val="clear" w:color="auto" w:fill="auto"/>
        </w:rPr>
        <w:t xml:space="preserve">3) документы, подтверждающие внесение задатка.</w:t>
      </w:r>
      <w:r/>
    </w:p>
    <w:p>
      <w:pPr>
        <w:pStyle w:val="660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60"/>
        <w:ind w:firstLine="708"/>
        <w:jc w:val="center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Инструкция по заполнению и подаче заявки, порядок приема заявки</w:t>
      </w:r>
      <w:r>
        <w:rPr>
          <w:highlight w:val="none"/>
          <w:shd w:val="clear" w:color="auto" w:fill="auto"/>
        </w:rPr>
      </w:r>
    </w:p>
    <w:p>
      <w:pPr>
        <w:pStyle w:val="660"/>
        <w:ind w:firstLine="708"/>
        <w:jc w:val="center"/>
        <w:rPr>
          <w:b/>
          <w:highlight w:val="none"/>
          <w:shd w:val="clear" w:color="auto" w:fill="auto"/>
        </w:rPr>
      </w:pPr>
      <w:r>
        <w:rPr>
          <w:b/>
          <w:shd w:val="clear" w:color="auto" w:fill="auto"/>
        </w:rPr>
      </w:r>
      <w:r>
        <w:rPr>
          <w:b/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 с указанием банко</w:t>
      </w:r>
      <w:r>
        <w:rPr>
          <w:shd w:val="clear" w:color="auto" w:fill="auto"/>
        </w:rPr>
        <w:t xml:space="preserve">вских реквизитов счета для возврата задатка направляется оператору электронной площадки в форме электронного документа </w:t>
        <w:br/>
        <w:t xml:space="preserve">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0"/>
          <w:shd w:val="clear" w:color="auto" w:fill="auto"/>
        </w:rPr>
        <w:t xml:space="preserve">документов, удостоверяющих личность заявителя (для граждан); </w:t>
      </w:r>
      <w:r>
        <w:rPr>
          <w:b w:val="0"/>
        </w:rPr>
        <w:t xml:space="preserve">надлежащим образом заверенн</w:t>
      </w:r>
      <w:r>
        <w:rPr>
          <w:b w:val="0"/>
        </w:rPr>
        <w:t xml:space="preserve">ый перевод на русский язык документов</w:t>
        <w:br/>
        <w:t xml:space="preserve"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</w:rPr>
      </w:pPr>
      <w:r>
        <w:rPr>
          <w:sz w:val="24"/>
          <w:szCs w:val="24"/>
        </w:rPr>
        <w:t xml:space="preserve">На каждый лот представляется отдельный пакет документов.</w:t>
      </w:r>
      <w:r>
        <w:rPr>
          <w:highlight w:val="none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Заполнение заявки осуществляется в соответствии с порядком, определенным регламентом электронной площадки АО «Сбербанк-АСТ».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 и сведения, связанные с получением регистрации на универсальной торговой пла</w:t>
      </w:r>
      <w:r>
        <w:rPr>
          <w:shd w:val="clear" w:color="auto" w:fill="auto"/>
        </w:rPr>
        <w:t xml:space="preserve">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Регламента Универсальной торговой платформы).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подается в виде электронного документа, подписанного электронной подписью заявителя (п. 3.2.2. Регламента торговой секции).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Заявитель заполняет электронную форму заявки, при</w:t>
      </w:r>
      <w:r>
        <w:rPr>
          <w:shd w:val="clear" w:color="auto" w:fill="auto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</w:t>
        <w:br/>
        <w:t xml:space="preserve">из регистрационных дан</w:t>
      </w:r>
      <w:r>
        <w:rPr>
          <w:shd w:val="clear" w:color="auto" w:fill="auto"/>
        </w:rPr>
        <w:t xml:space="preserve">ных заявителя на универсальной торговой платформе, актуальные на дату</w:t>
        <w:br/>
        <w:t xml:space="preserve"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Подача заявки осуществляется заявителем, зарегистрированным в торговой секции,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из личного кабинета посредством штатного интерфейса отдельно по каждому лоту в сроки, установленные в извещении о проведении аукциона.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вправе подать заявку в любое время с момента размещения извещения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 до предусмотренных указанным извещением даты и времени окончания срока подачи заявок.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Один заявитель вправе подать только одну заявку на участие в аукционе в отношении каждого лота.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Участие в аукционе возможно при наличии на лицевом счете заявителя денежных средств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размере не менее чем размер задатка на участие в аукционе, предусмотренный извещением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документы, входящие в состав заявки, должны иметь четко читаемый текст.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предоставляется организатору аукциона через Оператора.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Заявка не может быть принята Оператором в случае: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а) отсутствия на лицевом счете заявителя достаточной суммы денежных средств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в размере задатка;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в) подачи заявки по истечении установленного срока подачи заявок;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г) некорректного заполнения формы заявки, в том числе незаполнения полей, являющихся обязательными для заполнения.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enter" w:pos="284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Заявителям, признанным участниками аукциона, и з</w:t>
      </w:r>
      <w:r>
        <w:rPr>
          <w:bCs/>
          <w:shd w:val="clear" w:color="auto" w:fill="auto"/>
        </w:rPr>
        <w:t xml:space="preserve">аявителям, не допущенным к участию</w:t>
        <w:br/>
        <w:t xml:space="preserve">в аукционе, оператор электронной площадки направляет в электронной форме уведомления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spacing w:line="276" w:lineRule="auto"/>
        <w:tabs>
          <w:tab w:val="center" w:pos="284" w:leader="none"/>
          <w:tab w:val="clear" w:pos="708" w:leader="none"/>
        </w:tabs>
        <w:rPr>
          <w:bCs/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</w:r>
      <w:r>
        <w:rPr>
          <w:bCs/>
          <w:highlight w:val="none"/>
          <w:shd w:val="clear" w:color="auto" w:fill="auto"/>
        </w:rPr>
      </w:r>
    </w:p>
    <w:p>
      <w:pPr>
        <w:pStyle w:val="660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  <w:lang w:bidi="ru-RU"/>
        </w:rPr>
        <w:t xml:space="preserve">Порядок и срок изменения, отзыва заявки на участие в аукционе</w:t>
      </w:r>
      <w:r>
        <w:rPr>
          <w:highlight w:val="none"/>
          <w:shd w:val="clear" w:color="auto" w:fill="auto"/>
        </w:rPr>
      </w:r>
    </w:p>
    <w:p>
      <w:pPr>
        <w:pStyle w:val="660"/>
        <w:ind w:left="502"/>
        <w:widowControl w:val="off"/>
        <w:rPr>
          <w:b/>
          <w:bCs/>
          <w:highlight w:val="none"/>
          <w:shd w:val="clear" w:color="auto" w:fill="auto"/>
          <w:lang w:bidi="ru-RU"/>
        </w:rPr>
      </w:pPr>
      <w:r>
        <w:rPr>
          <w:b/>
          <w:bCs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имеет право отозвать принятую организатором аукциона заявку на участие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аукционе до дня окончания срока приема заявок, путем направлен</w:t>
      </w:r>
      <w:r>
        <w:rPr>
          <w:shd w:val="clear" w:color="auto" w:fill="auto"/>
        </w:rPr>
        <w:t xml:space="preserve">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</w:t>
      </w:r>
      <w:r>
        <w:rPr>
          <w:shd w:val="clear" w:color="auto" w:fill="auto"/>
        </w:rPr>
        <w:t xml:space="preserve">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  <w:r>
        <w:rPr>
          <w:highlight w:val="none"/>
          <w:shd w:val="clear" w:color="auto" w:fill="auto"/>
        </w:rPr>
      </w:r>
    </w:p>
    <w:p>
      <w:pPr>
        <w:pStyle w:val="660"/>
        <w:jc w:val="center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Определение участников аукциона</w:t>
      </w:r>
      <w:r>
        <w:rPr>
          <w:highlight w:val="none"/>
          <w:shd w:val="clear" w:color="auto" w:fill="auto"/>
        </w:rPr>
      </w:r>
    </w:p>
    <w:p>
      <w:pPr>
        <w:pStyle w:val="660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к участию в аукционе или об отказе в допуске к участию в аукционе.</w:t>
      </w:r>
      <w:r>
        <w:rPr>
          <w:highlight w:val="none"/>
          <w:shd w:val="clear" w:color="auto" w:fill="auto"/>
        </w:rPr>
      </w:r>
    </w:p>
    <w:p>
      <w:pPr>
        <w:pStyle w:val="660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не допускается к участию в аукционе в следующих случаях: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z w:val="20"/>
          <w:shd w:val="clear" w:color="auto" w:fill="auto"/>
        </w:rPr>
        <w:t xml:space="preserve">1) </w:t>
      </w:r>
      <w:r>
        <w:rPr>
          <w:shd w:val="clear" w:color="auto" w:fill="auto"/>
        </w:rPr>
        <w:t xml:space="preserve">непредставление необходимых для участия в аукционе документов или представление недостоверных сведений;</w:t>
      </w:r>
      <w:r>
        <w:rPr>
          <w:highlight w:val="none"/>
          <w:shd w:val="clear" w:color="auto" w:fill="auto"/>
        </w:rPr>
      </w:r>
    </w:p>
    <w:p>
      <w:pPr>
        <w:pStyle w:val="660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2) непоступление задатка на дату рассмотрения заявок на участие в аукционе;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3) подача зая</w:t>
      </w:r>
      <w:r>
        <w:rPr>
          <w:shd w:val="clear" w:color="auto" w:fill="auto"/>
        </w:rPr>
        <w:t xml:space="preserve">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</w:t>
        <w:br/>
        <w:t xml:space="preserve">в аренду;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4) наличие свед</w:t>
      </w:r>
      <w:r>
        <w:rPr>
          <w:shd w:val="clear" w:color="auto" w:fill="auto"/>
        </w:rPr>
        <w:t xml:space="preserve">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день при</w:t>
      </w:r>
      <w:r>
        <w:rPr>
          <w:shd w:val="clear" w:color="auto" w:fill="auto"/>
        </w:rPr>
        <w:t xml:space="preserve">знания заявителей участниками аукциона, указанный в извещении </w:t>
        <w:br/>
        <w:t xml:space="preserve"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приобретает статус участника аукциона с момента подписания протокола рассмотрения заявок.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Не позднее следующего рабочего дня п</w:t>
      </w:r>
      <w:r>
        <w:rPr>
          <w:shd w:val="clear" w:color="auto" w:fill="auto"/>
        </w:rPr>
        <w:t xml:space="preserve">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  <w:r>
        <w:rPr>
          <w:highlight w:val="none"/>
          <w:shd w:val="clear" w:color="auto" w:fill="auto"/>
        </w:rPr>
      </w:r>
    </w:p>
    <w:p>
      <w:pPr>
        <w:pStyle w:val="753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 xml:space="preserve"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r>
    </w:p>
    <w:p>
      <w:pPr>
        <w:pStyle w:val="660"/>
        <w:jc w:val="center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Порядок проведения аукциона</w:t>
      </w:r>
      <w:r>
        <w:rPr>
          <w:highlight w:val="none"/>
          <w:shd w:val="clear" w:color="auto" w:fill="auto"/>
        </w:rPr>
      </w:r>
    </w:p>
    <w:p>
      <w:pPr>
        <w:pStyle w:val="660"/>
        <w:ind w:left="502"/>
        <w:jc w:val="center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5% от начальной цены предмета аукциона</w:t>
      </w:r>
      <w:r>
        <w:rPr>
          <w:rFonts w:eastAsia="Calibri"/>
          <w:shd w:val="clear" w:color="auto" w:fill="auto"/>
        </w:rPr>
        <w:t xml:space="preserve">, и не изменяется в течение всего времени подачи предложений о цене.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цене предмета аукциона на величину «шага аукциона»;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для подачи предложений о цене аукциона определяется в следующем порядке: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ожидания предложения участника аукциона о цене предмета аукциона составляет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10 (десять) минут. При поступлении предложения участ</w:t>
      </w:r>
      <w:r>
        <w:rPr>
          <w:rFonts w:eastAsia="Calibri"/>
          <w:shd w:val="clear" w:color="auto" w:fill="auto"/>
        </w:rPr>
        <w:t xml:space="preserve">ника аукциона</w:t>
        <w:br/>
        <w:t xml:space="preserve"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</w:t>
      </w:r>
      <w:r>
        <w:rPr>
          <w:rFonts w:eastAsia="Calibri"/>
          <w:shd w:val="clear" w:color="auto" w:fill="auto"/>
        </w:rPr>
        <w:t xml:space="preserve">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в момент его поступления и соответствующее уведомление участника аукциона, в случаях, если: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предложение о цене аукциона предоставлено до начала или по истечении установленного времени для подачи предложений о цене аукциона;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ниже начальной цены;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равно нулю;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не соответствует увеличению текущей цены на величину «шага аукциона»;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предыдущее представленное данным участником аукциона предложение о цене аукциона является лучшим текущим предложением о цене;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участником аукциона предложение о цене аукциона меньше ранее представленных предложений.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Победителем аукциона признается участник аукциона, предложивший наибольшую цену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за земельный участок или наибольший размер ежегодной арендной платы за земельный участок.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Порядок и срок заключения договора</w:t>
      </w:r>
      <w:r>
        <w:rPr>
          <w:b/>
          <w:bCs/>
          <w:shd w:val="clear" w:color="auto" w:fill="auto"/>
        </w:rPr>
        <w:br w:type="textWrapping" w:clear="all"/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</w:t>
        <w:br/>
        <w:t xml:space="preserve"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ли аукцион признан несостоявшимся, либо протокола о результатах аукциона на официальных сайтах www.torgi.gov.ru,  www.gorodperm.ru.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</w:t>
      </w:r>
      <w:r>
        <w:rPr>
          <w:bCs/>
          <w:shd w:val="clear" w:color="auto" w:fill="auto"/>
        </w:rPr>
        <w:t xml:space="preserve"> направить победителю аукциона или иным лицам, с которыми в соответствии</w:t>
        <w:br/>
        <w:t xml:space="preserve"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проведения аукциона договор аренды земельного участка заключается</w:t>
        <w:br/>
        <w:t xml:space="preserve">в электронной форме и подписывается усиленной квалифицированной электронной подписью сторон такого договора.</w:t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Проекты договоров является частью извещения и представлены в Приложениях 1, 3, 5 к настоящему извещению.</w:t>
        <w:tab/>
      </w:r>
      <w:r>
        <w:rPr>
          <w:highlight w:val="none"/>
          <w:shd w:val="clear" w:color="auto" w:fill="auto"/>
        </w:rPr>
      </w:r>
    </w:p>
    <w:p>
      <w:pPr>
        <w:pStyle w:val="660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Если договор аренды земельного участка </w:t>
      </w:r>
      <w:r>
        <w:rPr>
          <w:b w:val="0"/>
          <w:bCs/>
          <w:shd w:val="clear" w:color="auto" w:fill="auto"/>
        </w:rPr>
        <w:t xml:space="preserve"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</w:t>
      </w:r>
      <w:r>
        <w:rPr>
          <w:b w:val="0"/>
          <w:bCs/>
          <w:shd w:val="clear" w:color="auto" w:fill="auto"/>
        </w:rPr>
        <w:t xml:space="preserve">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r>
        <w:rPr>
          <w:highlight w:val="none"/>
          <w:shd w:val="clear" w:color="auto" w:fill="auto"/>
        </w:rPr>
      </w:r>
    </w:p>
    <w:p>
      <w:pPr>
        <w:pStyle w:val="660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rFonts w:eastAsia="Courier New"/>
          <w:shd w:val="clear" w:color="auto" w:fill="auto"/>
          <w:lang w:bidi="ru-RU"/>
        </w:rPr>
        <w:t xml:space="preserve">Сведения о победителях аукционов, уклонившихся от заключения договора  аренды земельного участка, являющегося предмето</w:t>
      </w:r>
      <w:r>
        <w:rPr>
          <w:rFonts w:eastAsia="Courier New"/>
          <w:shd w:val="clear" w:color="auto" w:fill="auto"/>
          <w:lang w:bidi="ru-RU"/>
        </w:rPr>
        <w:t xml:space="preserve">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  <w:r>
        <w:rPr>
          <w:highlight w:val="none"/>
          <w:shd w:val="clear" w:color="auto" w:fill="auto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420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Open Sans">
    <w:panose1 w:val="020B0606030504020204"/>
  </w:font>
  <w:font w:name="Calibri Light">
    <w:panose1 w:val="020F0502020204030204"/>
  </w:font>
  <w:font w:name="Symbol">
    <w:panose1 w:val="05010000000000000000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Consultant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 xml:space="preserve">33</w:t>
    </w:r>
    <w:r>
      <w:rPr>
        <w:sz w:val="20"/>
        <w:szCs w:val="28"/>
      </w:rPr>
      <w:fldChar w:fldCharType="end"/>
    </w:r>
    <w:r>
      <w:rPr>
        <w:sz w:val="20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66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000000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  <w:color w:val="000000"/>
        <w:sz w:val="24"/>
        <w:szCs w:val="24"/>
        <w:u w:val="none"/>
        <w:lang w:val="ru-RU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  <w:sz w:val="24"/>
        <w:szCs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  <w:sz w:val="24"/>
        <w:szCs w:val="24"/>
        <w:lang w:val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  <w:lang w:bidi="ru-RU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  <w:lang w:eastAsia="en-U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  <w:bCs/>
        <w:lang w:eastAsia="en-US" w:bidi="ru-RU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  <w:b/>
        <w:bCs/>
        <w:lang w:bidi="ru-RU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zh-CN" w:bidi="ar-SA"/>
    </w:rPr>
  </w:style>
  <w:style w:type="paragraph" w:styleId="661">
    <w:name w:val="Heading 1"/>
    <w:basedOn w:val="660"/>
    <w:qFormat/>
    <w:pPr>
      <w:numPr>
        <w:ilvl w:val="0"/>
        <w:numId w:val="1"/>
      </w:numPr>
      <w:jc w:val="center"/>
      <w:keepNext/>
      <w:outlineLvl w:val="0"/>
    </w:pPr>
    <w:rPr>
      <w:b/>
      <w:sz w:val="28"/>
      <w:szCs w:val="20"/>
    </w:rPr>
  </w:style>
  <w:style w:type="paragraph" w:styleId="662">
    <w:name w:val="Heading 2"/>
    <w:basedOn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3">
    <w:name w:val="Heading 3"/>
    <w:basedOn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6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6">
    <w:name w:val="Heading 6"/>
    <w:basedOn w:val="660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667">
    <w:name w:val="Heading 7"/>
    <w:basedOn w:val="6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6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6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1 Char"/>
    <w:basedOn w:val="687"/>
    <w:uiPriority w:val="9"/>
    <w:qFormat/>
    <w:rPr>
      <w:rFonts w:ascii="Arial" w:hAnsi="Arial" w:eastAsia="Arial" w:cs="Arial"/>
      <w:sz w:val="40"/>
      <w:szCs w:val="40"/>
    </w:rPr>
  </w:style>
  <w:style w:type="character" w:styleId="671">
    <w:name w:val="Heading 2 Char"/>
    <w:basedOn w:val="687"/>
    <w:uiPriority w:val="9"/>
    <w:qFormat/>
    <w:rPr>
      <w:rFonts w:ascii="Arial" w:hAnsi="Arial" w:eastAsia="Arial" w:cs="Arial"/>
      <w:sz w:val="34"/>
    </w:rPr>
  </w:style>
  <w:style w:type="character" w:styleId="672">
    <w:name w:val="Heading 3 Char"/>
    <w:basedOn w:val="687"/>
    <w:uiPriority w:val="9"/>
    <w:qFormat/>
    <w:rPr>
      <w:rFonts w:ascii="Arial" w:hAnsi="Arial" w:eastAsia="Arial" w:cs="Arial"/>
      <w:sz w:val="30"/>
      <w:szCs w:val="30"/>
    </w:rPr>
  </w:style>
  <w:style w:type="character" w:styleId="673">
    <w:name w:val="Heading 4 Char"/>
    <w:basedOn w:val="68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4">
    <w:name w:val="Heading 5 Char"/>
    <w:basedOn w:val="68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5">
    <w:name w:val="Heading 6 Char"/>
    <w:basedOn w:val="68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6">
    <w:name w:val="Heading 7 Char"/>
    <w:basedOn w:val="68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8 Char"/>
    <w:basedOn w:val="68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8">
    <w:name w:val="Heading 9 Char"/>
    <w:basedOn w:val="68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9">
    <w:name w:val="Title Char"/>
    <w:basedOn w:val="687"/>
    <w:uiPriority w:val="10"/>
    <w:qFormat/>
    <w:rPr>
      <w:sz w:val="48"/>
      <w:szCs w:val="48"/>
    </w:rPr>
  </w:style>
  <w:style w:type="character" w:styleId="680">
    <w:name w:val="Subtitle Char"/>
    <w:basedOn w:val="687"/>
    <w:uiPriority w:val="11"/>
    <w:qFormat/>
    <w:rPr>
      <w:sz w:val="24"/>
      <w:szCs w:val="24"/>
    </w:rPr>
  </w:style>
  <w:style w:type="character" w:styleId="681">
    <w:name w:val="Quote Char"/>
    <w:uiPriority w:val="29"/>
    <w:qFormat/>
    <w:rPr>
      <w:i/>
    </w:rPr>
  </w:style>
  <w:style w:type="character" w:styleId="682">
    <w:name w:val="Intense Quote Char"/>
    <w:uiPriority w:val="30"/>
    <w:qFormat/>
    <w:rPr>
      <w:i/>
    </w:rPr>
  </w:style>
  <w:style w:type="character" w:styleId="683">
    <w:name w:val="Header Char"/>
    <w:basedOn w:val="687"/>
    <w:uiPriority w:val="99"/>
    <w:qFormat/>
  </w:style>
  <w:style w:type="character" w:styleId="684">
    <w:name w:val="Caption Char"/>
    <w:uiPriority w:val="99"/>
    <w:qFormat/>
  </w:style>
  <w:style w:type="character" w:styleId="685">
    <w:name w:val="Footnote Text Char"/>
    <w:uiPriority w:val="99"/>
    <w:qFormat/>
    <w:rPr>
      <w:sz w:val="18"/>
    </w:rPr>
  </w:style>
  <w:style w:type="character" w:styleId="686">
    <w:name w:val="Endnote Text Char"/>
    <w:uiPriority w:val="99"/>
    <w:qFormat/>
    <w:rPr>
      <w:sz w:val="20"/>
    </w:rPr>
  </w:style>
  <w:style w:type="character" w:styleId="687" w:default="1">
    <w:name w:val="Default Paragraph Font"/>
    <w:uiPriority w:val="1"/>
    <w:semiHidden/>
    <w:unhideWhenUsed/>
    <w:qFormat/>
  </w:style>
  <w:style w:type="character" w:styleId="688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689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690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691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97" w:customStyle="1">
    <w:name w:val="Заголовок Знак1"/>
    <w:uiPriority w:val="10"/>
    <w:qFormat/>
    <w:rPr>
      <w:sz w:val="48"/>
      <w:szCs w:val="48"/>
    </w:rPr>
  </w:style>
  <w:style w:type="character" w:styleId="698" w:customStyle="1">
    <w:name w:val="Подзаголовок Знак"/>
    <w:uiPriority w:val="11"/>
    <w:qFormat/>
    <w:rPr>
      <w:sz w:val="24"/>
      <w:szCs w:val="24"/>
    </w:rPr>
  </w:style>
  <w:style w:type="character" w:styleId="699" w:customStyle="1">
    <w:name w:val="Цитата 2 Знак"/>
    <w:uiPriority w:val="29"/>
    <w:qFormat/>
    <w:rPr>
      <w:i/>
    </w:rPr>
  </w:style>
  <w:style w:type="character" w:styleId="700" w:customStyle="1">
    <w:name w:val="Выделенная цитата Знак"/>
    <w:uiPriority w:val="30"/>
    <w:qFormat/>
    <w:rPr>
      <w:i/>
    </w:rPr>
  </w:style>
  <w:style w:type="character" w:styleId="701" w:customStyle="1">
    <w:name w:val="Верхний колонтитул Знак1"/>
    <w:uiPriority w:val="99"/>
    <w:qFormat/>
  </w:style>
  <w:style w:type="character" w:styleId="702" w:customStyle="1">
    <w:name w:val="Footer Char"/>
    <w:uiPriority w:val="99"/>
    <w:qFormat/>
  </w:style>
  <w:style w:type="character" w:styleId="703" w:customStyle="1">
    <w:name w:val="Нижний колонтитул Знак1"/>
    <w:uiPriority w:val="99"/>
    <w:qFormat/>
  </w:style>
  <w:style w:type="character" w:styleId="704" w:customStyle="1">
    <w:name w:val="Текст сноски Знак"/>
    <w:uiPriority w:val="99"/>
    <w:qFormat/>
    <w:rPr>
      <w:sz w:val="18"/>
    </w:rPr>
  </w:style>
  <w:style w:type="character" w:styleId="705">
    <w:name w:val="Символ сноски"/>
    <w:uiPriority w:val="99"/>
    <w:unhideWhenUsed/>
    <w:qFormat/>
    <w:rPr>
      <w:vertAlign w:val="superscript"/>
    </w:rPr>
  </w:style>
  <w:style w:type="character" w:styleId="706">
    <w:name w:val="footnote reference"/>
    <w:rPr>
      <w:vertAlign w:val="superscript"/>
    </w:rPr>
  </w:style>
  <w:style w:type="character" w:styleId="707" w:customStyle="1">
    <w:name w:val="Текст концевой сноски Знак"/>
    <w:uiPriority w:val="99"/>
    <w:qFormat/>
    <w:rPr>
      <w:sz w:val="20"/>
    </w:rPr>
  </w:style>
  <w:style w:type="character" w:styleId="70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09">
    <w:name w:val="endnote reference"/>
    <w:rPr>
      <w:vertAlign w:val="superscript"/>
    </w:rPr>
  </w:style>
  <w:style w:type="character" w:styleId="710" w:customStyle="1">
    <w:name w:val="WW8Num2z0"/>
    <w:qFormat/>
    <w:rPr>
      <w:rFonts w:ascii="Symbol" w:hAnsi="Symbol" w:cs="Symbol"/>
    </w:rPr>
  </w:style>
  <w:style w:type="character" w:styleId="711" w:customStyle="1">
    <w:name w:val="WW8Num3z0"/>
    <w:qFormat/>
  </w:style>
  <w:style w:type="character" w:styleId="712" w:customStyle="1">
    <w:name w:val="WW8Num4z0"/>
    <w:qFormat/>
  </w:style>
  <w:style w:type="character" w:styleId="713" w:customStyle="1">
    <w:name w:val="WW8Num5z0"/>
    <w:qFormat/>
    <w:rPr>
      <w:sz w:val="16"/>
      <w:szCs w:val="16"/>
    </w:rPr>
  </w:style>
  <w:style w:type="character" w:styleId="714" w:customStyle="1">
    <w:name w:val="WW8Num6z0"/>
    <w:qFormat/>
  </w:style>
  <w:style w:type="character" w:styleId="715" w:customStyle="1">
    <w:name w:val="WW8Num7z0"/>
    <w:qFormat/>
  </w:style>
  <w:style w:type="character" w:styleId="716" w:customStyle="1">
    <w:name w:val="WW8Num8z0"/>
    <w:qFormat/>
  </w:style>
  <w:style w:type="character" w:styleId="717" w:customStyle="1">
    <w:name w:val="WW8Num9z0"/>
    <w:qFormat/>
  </w:style>
  <w:style w:type="character" w:styleId="718" w:customStyle="1">
    <w:name w:val="WW8Num10z0"/>
    <w:qFormat/>
  </w:style>
  <w:style w:type="character" w:styleId="719" w:customStyle="1">
    <w:name w:val="WW8Num11z0"/>
    <w:qFormat/>
  </w:style>
  <w:style w:type="character" w:styleId="720" w:customStyle="1">
    <w:name w:val="WW8Num12z0"/>
    <w:qFormat/>
  </w:style>
  <w:style w:type="character" w:styleId="721" w:customStyle="1">
    <w:name w:val="WW8Num13z0"/>
    <w:qFormat/>
  </w:style>
  <w:style w:type="character" w:styleId="722" w:customStyle="1">
    <w:name w:val="WW8Num14z0"/>
    <w:qFormat/>
  </w:style>
  <w:style w:type="character" w:styleId="723" w:customStyle="1">
    <w:name w:val="WW8Num15z0"/>
    <w:qFormat/>
  </w:style>
  <w:style w:type="character" w:styleId="724" w:customStyle="1">
    <w:name w:val="WW8Num18z0"/>
    <w:qFormat/>
  </w:style>
  <w:style w:type="character" w:styleId="725" w:customStyle="1">
    <w:name w:val="WW8Num19z0"/>
    <w:qFormat/>
  </w:style>
  <w:style w:type="character" w:styleId="726" w:customStyle="1">
    <w:name w:val="WW8Num20z0"/>
    <w:qFormat/>
  </w:style>
  <w:style w:type="character" w:styleId="727" w:customStyle="1">
    <w:name w:val="WW8Num21z0"/>
    <w:qFormat/>
  </w:style>
  <w:style w:type="character" w:styleId="728" w:customStyle="1">
    <w:name w:val="WW8Num22z0"/>
    <w:qFormat/>
  </w:style>
  <w:style w:type="character" w:styleId="729" w:customStyle="1">
    <w:name w:val="WW8Num23z0"/>
    <w:qFormat/>
  </w:style>
  <w:style w:type="character" w:styleId="730" w:customStyle="1">
    <w:name w:val="WW8Num25z0"/>
    <w:qFormat/>
  </w:style>
  <w:style w:type="character" w:styleId="731" w:customStyle="1">
    <w:name w:val="WW8Num26z0"/>
    <w:qFormat/>
  </w:style>
  <w:style w:type="character" w:styleId="732" w:customStyle="1">
    <w:name w:val="WW8Num27z0"/>
    <w:qFormat/>
  </w:style>
  <w:style w:type="character" w:styleId="733" w:customStyle="1">
    <w:name w:val="WW8Num29z0"/>
    <w:qFormat/>
    <w:rPr>
      <w:rFonts w:ascii="Symbol" w:hAnsi="Symbol" w:cs="Symbol"/>
    </w:rPr>
  </w:style>
  <w:style w:type="character" w:styleId="734" w:customStyle="1">
    <w:name w:val="WW8Num30z0"/>
    <w:qFormat/>
  </w:style>
  <w:style w:type="character" w:styleId="735" w:customStyle="1">
    <w:name w:val="WW8Num31z0"/>
    <w:qFormat/>
  </w:style>
  <w:style w:type="character" w:styleId="736" w:customStyle="1">
    <w:name w:val="WW8Num32z0"/>
    <w:qFormat/>
  </w:style>
  <w:style w:type="character" w:styleId="737" w:customStyle="1">
    <w:name w:val="WW8Num33z0"/>
    <w:qFormat/>
  </w:style>
  <w:style w:type="character" w:styleId="738" w:customStyle="1">
    <w:name w:val="WW8Num34z0"/>
    <w:qFormat/>
  </w:style>
  <w:style w:type="character" w:styleId="739">
    <w:name w:val="page number"/>
    <w:basedOn w:val="687"/>
    <w:qFormat/>
  </w:style>
  <w:style w:type="character" w:styleId="740" w:customStyle="1">
    <w:name w:val="Текст Знак"/>
    <w:qFormat/>
    <w:rPr>
      <w:rFonts w:ascii="Courier New" w:hAnsi="Courier New" w:cs="Courier New"/>
    </w:rPr>
  </w:style>
  <w:style w:type="character" w:styleId="741" w:customStyle="1">
    <w:name w:val="Верхний колонтитул Знак"/>
    <w:qFormat/>
    <w:rPr>
      <w:sz w:val="16"/>
      <w:lang w:val="ru-RU" w:bidi="ar-SA"/>
    </w:rPr>
  </w:style>
  <w:style w:type="character" w:styleId="742" w:customStyle="1">
    <w:name w:val="Основной текст с отступом 3 Знак"/>
    <w:qFormat/>
    <w:rPr>
      <w:sz w:val="16"/>
      <w:szCs w:val="16"/>
    </w:rPr>
  </w:style>
  <w:style w:type="character" w:styleId="743">
    <w:name w:val="Hyperlink"/>
    <w:rPr>
      <w:color w:val="0563c1"/>
      <w:u w:val="single"/>
    </w:rPr>
  </w:style>
  <w:style w:type="character" w:styleId="744" w:customStyle="1">
    <w:name w:val="Абзац списка Знак"/>
    <w:qFormat/>
    <w:rPr>
      <w:sz w:val="24"/>
      <w:szCs w:val="24"/>
    </w:rPr>
  </w:style>
  <w:style w:type="character" w:styleId="745" w:customStyle="1">
    <w:name w:val="Заголовок 6 Знак"/>
    <w:qFormat/>
    <w:rPr>
      <w:b/>
      <w:bCs/>
      <w:sz w:val="22"/>
      <w:szCs w:val="22"/>
    </w:rPr>
  </w:style>
  <w:style w:type="character" w:styleId="746" w:customStyle="1">
    <w:name w:val="Название Знак"/>
    <w:qFormat/>
    <w:rPr>
      <w:sz w:val="28"/>
      <w:lang w:val="ru-RU" w:bidi="ar-SA"/>
    </w:rPr>
  </w:style>
  <w:style w:type="character" w:styleId="747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748" w:customStyle="1">
    <w:name w:val="Нижний колонтитул Знак"/>
    <w:qFormat/>
  </w:style>
  <w:style w:type="character" w:styleId="749">
    <w:name w:val="FollowedHyperlink"/>
    <w:rPr>
      <w:color w:val="954f72"/>
      <w:u w:val="single"/>
    </w:rPr>
  </w:style>
  <w:style w:type="character" w:styleId="750" w:customStyle="1">
    <w:name w:val="Гиперссылка"/>
    <w:qFormat/>
    <w:rPr>
      <w:color w:val="0000ff"/>
      <w:u w:val="single"/>
    </w:rPr>
  </w:style>
  <w:style w:type="character" w:styleId="751">
    <w:name w:val="Символ нумерации"/>
    <w:qFormat/>
  </w:style>
  <w:style w:type="paragraph" w:styleId="752">
    <w:name w:val="Заголовок"/>
    <w:basedOn w:val="660"/>
    <w:next w:val="753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53">
    <w:name w:val="Body Text"/>
    <w:basedOn w:val="660"/>
    <w:pPr>
      <w:jc w:val="right"/>
    </w:pPr>
    <w:rPr>
      <w:sz w:val="28"/>
    </w:rPr>
  </w:style>
  <w:style w:type="paragraph" w:styleId="754">
    <w:name w:val="List"/>
    <w:basedOn w:val="753"/>
    <w:rPr>
      <w:rFonts w:cs="Lohit Devanagari"/>
    </w:rPr>
  </w:style>
  <w:style w:type="paragraph" w:styleId="755">
    <w:name w:val="Caption"/>
    <w:basedOn w:val="660"/>
    <w:link w:val="684"/>
    <w:qFormat/>
    <w:pPr>
      <w:spacing w:before="120" w:after="120"/>
      <w:suppressLineNumbers/>
    </w:pPr>
    <w:rPr>
      <w:rFonts w:cs="Lohit Devanagari"/>
      <w:i/>
      <w:iCs/>
    </w:rPr>
  </w:style>
  <w:style w:type="paragraph" w:styleId="756">
    <w:name w:val="Указатель"/>
    <w:basedOn w:val="660"/>
    <w:qFormat/>
    <w:pPr>
      <w:suppressLineNumbers/>
    </w:pPr>
    <w:rPr>
      <w:rFonts w:cs="Lohit Devanagari"/>
    </w:rPr>
  </w:style>
  <w:style w:type="paragraph" w:styleId="757">
    <w:name w:val="List Paragraph"/>
    <w:basedOn w:val="660"/>
    <w:qFormat/>
    <w:pPr>
      <w:ind w:left="708"/>
    </w:pPr>
  </w:style>
  <w:style w:type="paragraph" w:styleId="758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59">
    <w:name w:val="Title"/>
    <w:basedOn w:val="660"/>
    <w:qFormat/>
    <w:pPr>
      <w:jc w:val="center"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760">
    <w:name w:val="Subtitle"/>
    <w:basedOn w:val="660"/>
    <w:uiPriority w:val="11"/>
    <w:qFormat/>
    <w:pPr>
      <w:spacing w:before="200" w:after="200"/>
    </w:pPr>
  </w:style>
  <w:style w:type="paragraph" w:styleId="761">
    <w:name w:val="Quote"/>
    <w:basedOn w:val="660"/>
    <w:uiPriority w:val="29"/>
    <w:qFormat/>
    <w:pPr>
      <w:ind w:left="720" w:right="720"/>
    </w:pPr>
    <w:rPr>
      <w:i/>
    </w:rPr>
  </w:style>
  <w:style w:type="paragraph" w:styleId="762">
    <w:name w:val="Intense Quote"/>
    <w:basedOn w:val="6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3">
    <w:name w:val="footnote text"/>
    <w:basedOn w:val="660"/>
    <w:uiPriority w:val="99"/>
    <w:semiHidden/>
    <w:unhideWhenUsed/>
    <w:pPr>
      <w:spacing w:before="0" w:after="40"/>
    </w:pPr>
    <w:rPr>
      <w:sz w:val="18"/>
    </w:rPr>
  </w:style>
  <w:style w:type="paragraph" w:styleId="764">
    <w:name w:val="endnote text"/>
    <w:basedOn w:val="660"/>
    <w:uiPriority w:val="99"/>
    <w:semiHidden/>
    <w:unhideWhenUsed/>
    <w:rPr>
      <w:sz w:val="20"/>
    </w:rPr>
  </w:style>
  <w:style w:type="paragraph" w:styleId="765">
    <w:name w:val="toc 1"/>
    <w:basedOn w:val="660"/>
    <w:uiPriority w:val="39"/>
    <w:unhideWhenUsed/>
    <w:pPr>
      <w:spacing w:before="0" w:after="57"/>
    </w:pPr>
  </w:style>
  <w:style w:type="paragraph" w:styleId="766">
    <w:name w:val="toc 2"/>
    <w:basedOn w:val="660"/>
    <w:uiPriority w:val="39"/>
    <w:unhideWhenUsed/>
    <w:pPr>
      <w:ind w:left="283"/>
      <w:spacing w:before="0" w:after="57"/>
    </w:pPr>
  </w:style>
  <w:style w:type="paragraph" w:styleId="767">
    <w:name w:val="toc 3"/>
    <w:basedOn w:val="660"/>
    <w:uiPriority w:val="39"/>
    <w:unhideWhenUsed/>
    <w:pPr>
      <w:ind w:left="567"/>
      <w:spacing w:before="0" w:after="57"/>
    </w:pPr>
  </w:style>
  <w:style w:type="paragraph" w:styleId="768">
    <w:name w:val="toc 4"/>
    <w:basedOn w:val="660"/>
    <w:uiPriority w:val="39"/>
    <w:unhideWhenUsed/>
    <w:pPr>
      <w:ind w:left="850"/>
      <w:spacing w:before="0" w:after="57"/>
    </w:pPr>
  </w:style>
  <w:style w:type="paragraph" w:styleId="769">
    <w:name w:val="toc 5"/>
    <w:basedOn w:val="660"/>
    <w:uiPriority w:val="39"/>
    <w:unhideWhenUsed/>
    <w:pPr>
      <w:ind w:left="1134"/>
      <w:spacing w:before="0" w:after="57"/>
    </w:pPr>
  </w:style>
  <w:style w:type="paragraph" w:styleId="770">
    <w:name w:val="toc 6"/>
    <w:basedOn w:val="660"/>
    <w:uiPriority w:val="39"/>
    <w:unhideWhenUsed/>
    <w:pPr>
      <w:ind w:left="1417"/>
      <w:spacing w:before="0" w:after="57"/>
    </w:pPr>
  </w:style>
  <w:style w:type="paragraph" w:styleId="771">
    <w:name w:val="toc 7"/>
    <w:basedOn w:val="660"/>
    <w:uiPriority w:val="39"/>
    <w:unhideWhenUsed/>
    <w:pPr>
      <w:ind w:left="1701"/>
      <w:spacing w:before="0" w:after="57"/>
    </w:pPr>
  </w:style>
  <w:style w:type="paragraph" w:styleId="772">
    <w:name w:val="toc 8"/>
    <w:basedOn w:val="660"/>
    <w:uiPriority w:val="39"/>
    <w:unhideWhenUsed/>
    <w:pPr>
      <w:ind w:left="1984"/>
      <w:spacing w:before="0" w:after="57"/>
    </w:pPr>
  </w:style>
  <w:style w:type="paragraph" w:styleId="773">
    <w:name w:val="toc 9"/>
    <w:basedOn w:val="660"/>
    <w:uiPriority w:val="39"/>
    <w:unhideWhenUsed/>
    <w:pPr>
      <w:ind w:left="2268"/>
      <w:spacing w:before="0" w:after="57"/>
    </w:pPr>
  </w:style>
  <w:style w:type="paragraph" w:styleId="774">
    <w:name w:val="Index Heading"/>
    <w:basedOn w:val="752"/>
  </w:style>
  <w:style w:type="paragraph" w:styleId="775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76">
    <w:name w:val="table of figures"/>
    <w:basedOn w:val="660"/>
    <w:uiPriority w:val="99"/>
    <w:unhideWhenUsed/>
  </w:style>
  <w:style w:type="paragraph" w:styleId="777">
    <w:name w:val="index heading1"/>
    <w:basedOn w:val="660"/>
    <w:qFormat/>
    <w:pPr>
      <w:suppressLineNumbers/>
    </w:pPr>
    <w:rPr>
      <w:rFonts w:cs="Lohit Devanagari"/>
    </w:rPr>
  </w:style>
  <w:style w:type="paragraph" w:styleId="778" w:customStyle="1">
    <w:name w:val="Caption1"/>
    <w:basedOn w:val="660"/>
    <w:qFormat/>
    <w:pPr>
      <w:spacing w:before="120" w:after="120"/>
      <w:suppressLineNumbers/>
    </w:pPr>
    <w:rPr>
      <w:rFonts w:cs="Lohit Devanagari"/>
      <w:i/>
      <w:iCs/>
    </w:rPr>
  </w:style>
  <w:style w:type="paragraph" w:styleId="779">
    <w:name w:val="Plain Text"/>
    <w:basedOn w:val="660"/>
    <w:qFormat/>
    <w:rPr>
      <w:rFonts w:ascii="Courier New" w:hAnsi="Courier New" w:cs="Courier New"/>
      <w:sz w:val="20"/>
      <w:szCs w:val="20"/>
      <w:lang w:val="en-US"/>
    </w:rPr>
  </w:style>
  <w:style w:type="paragraph" w:styleId="780" w:customStyle="1">
    <w:name w:val="ConsNormal"/>
    <w:qFormat/>
    <w:pPr>
      <w:ind w:firstLine="720"/>
      <w:jc w:val="left"/>
      <w:spacing w:before="0" w:after="0"/>
      <w:widowControl/>
    </w:pPr>
    <w:rPr>
      <w:rFonts w:ascii="Consultant" w:hAnsi="Consultant" w:eastAsia="Droid Sans Fallback" w:cs="Consultant"/>
      <w:color w:val="auto"/>
      <w:sz w:val="20"/>
      <w:szCs w:val="20"/>
      <w:lang w:val="ru-RU" w:eastAsia="zh-CN" w:bidi="ar-SA"/>
    </w:rPr>
  </w:style>
  <w:style w:type="paragraph" w:styleId="781">
    <w:name w:val="Body Text 2"/>
    <w:basedOn w:val="660"/>
    <w:qFormat/>
    <w:pPr>
      <w:spacing w:before="0" w:after="120" w:line="480" w:lineRule="auto"/>
    </w:pPr>
  </w:style>
  <w:style w:type="paragraph" w:styleId="782">
    <w:name w:val="Body Text 3"/>
    <w:basedOn w:val="660"/>
    <w:qFormat/>
    <w:pPr>
      <w:spacing w:before="0" w:after="120"/>
    </w:pPr>
    <w:rPr>
      <w:sz w:val="16"/>
      <w:szCs w:val="16"/>
    </w:rPr>
  </w:style>
  <w:style w:type="paragraph" w:styleId="783" w:customStyle="1">
    <w:name w:val="Колонтитул"/>
    <w:basedOn w:val="66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84">
    <w:name w:val="Footer"/>
    <w:basedOn w:val="660"/>
    <w:pPr>
      <w:tabs>
        <w:tab w:val="clear" w:pos="708" w:leader="none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785">
    <w:name w:val="Balloon Text"/>
    <w:basedOn w:val="660"/>
    <w:qFormat/>
    <w:rPr>
      <w:rFonts w:ascii="Tahoma" w:hAnsi="Tahoma" w:cs="Tahoma"/>
      <w:sz w:val="16"/>
      <w:szCs w:val="16"/>
    </w:rPr>
  </w:style>
  <w:style w:type="paragraph" w:styleId="786" w:customStyle="1">
    <w:name w:val="Знак Знак Знак Знак Знак Знак Знак Знак Знак Знак Знак Знак"/>
    <w:basedOn w:val="660"/>
    <w:qFormat/>
    <w:rPr>
      <w:rFonts w:ascii="Verdana" w:hAnsi="Verdana" w:cs="Verdana"/>
      <w:sz w:val="20"/>
      <w:szCs w:val="20"/>
      <w:lang w:val="en-US"/>
    </w:rPr>
  </w:style>
  <w:style w:type="paragraph" w:styleId="787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Calibri" w:cs="Lohit Devanagari"/>
      <w:color w:val="auto"/>
      <w:sz w:val="20"/>
      <w:szCs w:val="20"/>
      <w:lang w:val="ru-RU" w:eastAsia="zh-CN" w:bidi="ar-SA"/>
    </w:rPr>
  </w:style>
  <w:style w:type="paragraph" w:styleId="788">
    <w:name w:val="Header"/>
    <w:pPr>
      <w:jc w:val="center"/>
      <w:spacing w:before="0" w:after="0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Droid Sans Fallback" w:cs="Lohit Devanagari"/>
      <w:color w:val="auto"/>
      <w:sz w:val="16"/>
      <w:szCs w:val="20"/>
      <w:lang w:val="ru-RU" w:eastAsia="zh-CN" w:bidi="ar-SA"/>
    </w:rPr>
  </w:style>
  <w:style w:type="paragraph" w:styleId="789">
    <w:name w:val="Body Text Indent 3"/>
    <w:basedOn w:val="660"/>
    <w:qFormat/>
    <w:pPr>
      <w:ind w:left="283"/>
      <w:spacing w:before="0" w:after="120"/>
    </w:pPr>
    <w:rPr>
      <w:sz w:val="16"/>
      <w:szCs w:val="16"/>
      <w:lang w:val="en-US"/>
    </w:rPr>
  </w:style>
  <w:style w:type="paragraph" w:styleId="790">
    <w:name w:val="Normal (Web)"/>
    <w:basedOn w:val="660"/>
    <w:qFormat/>
    <w:pPr>
      <w:spacing w:before="280" w:after="280"/>
    </w:pPr>
  </w:style>
  <w:style w:type="paragraph" w:styleId="791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000000"/>
      <w:sz w:val="24"/>
      <w:szCs w:val="24"/>
      <w:lang w:val="ru-RU" w:eastAsia="zh-CN" w:bidi="ar-SA"/>
    </w:rPr>
  </w:style>
  <w:style w:type="paragraph" w:styleId="792" w:customStyle="1">
    <w:name w:val="Содержимое таблицы"/>
    <w:basedOn w:val="660"/>
    <w:qFormat/>
    <w:pPr>
      <w:widowControl w:val="off"/>
      <w:suppressLineNumbers/>
    </w:pPr>
  </w:style>
  <w:style w:type="paragraph" w:styleId="793" w:customStyle="1">
    <w:name w:val="Заголовок таблицы"/>
    <w:basedOn w:val="792"/>
    <w:qFormat/>
    <w:pPr>
      <w:jc w:val="center"/>
    </w:pPr>
    <w:rPr>
      <w:b/>
      <w:bCs/>
    </w:rPr>
  </w:style>
  <w:style w:type="paragraph" w:styleId="794">
    <w:name w:val="Times New Roman"/>
    <w:qFormat/>
    <w:pPr>
      <w:ind w:left="0" w:right="0" w:firstLine="31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795" w:default="1">
    <w:name w:val="No List"/>
    <w:uiPriority w:val="99"/>
    <w:semiHidden/>
    <w:unhideWhenUsed/>
    <w:qFormat/>
  </w:style>
  <w:style w:type="table" w:styleId="79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9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0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0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0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2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2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2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2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3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3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3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3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3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4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4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4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4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4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4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6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6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6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6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6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6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6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8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9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9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9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9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9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9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9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9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9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0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01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02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03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04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05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06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07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08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09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10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11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12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13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14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1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1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1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1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2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2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2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www.torgi.gov.ru/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utp.sberbank-ast.ru/" TargetMode="External"/><Relationship Id="rId14" Type="http://schemas.openxmlformats.org/officeDocument/2006/relationships/hyperlink" Target="http://utp.sberbank-ast.ru/" TargetMode="External"/><Relationship Id="rId15" Type="http://schemas.openxmlformats.org/officeDocument/2006/relationships/hyperlink" Target="https://utp.sberbank-ast.ru/Main/Notice/988/Reglament" TargetMode="External"/><Relationship Id="rId16" Type="http://schemas.openxmlformats.org/officeDocument/2006/relationships/hyperlink" Target="https://utp.sberbank-ast.ru/AP/Notice/1027/Instructions" TargetMode="External"/><Relationship Id="rId17" Type="http://schemas.openxmlformats.org/officeDocument/2006/relationships/hyperlink" Target="https://utp.sberbank-ast.ru/AP/Notice/652/Instructions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://www.gorodperm.ru/" TargetMode="External"/><Relationship Id="rId20" Type="http://schemas.openxmlformats.org/officeDocument/2006/relationships/hyperlink" Target="http://www.gorodperm.ru/" TargetMode="External"/><Relationship Id="rId21" Type="http://schemas.openxmlformats.org/officeDocument/2006/relationships/hyperlink" Target="http://www.gorodperm.ru/" TargetMode="External"/><Relationship Id="rId22" Type="http://schemas.openxmlformats.org/officeDocument/2006/relationships/hyperlink" Target="https://connectgas.ru./" TargetMode="External"/><Relationship Id="rId23" Type="http://schemas.openxmlformats.org/officeDocument/2006/relationships/hyperlink" Target="mailto:perm-mail@ural.rt.ru." TargetMode="External"/><Relationship Id="rId24" Type="http://schemas.openxmlformats.org/officeDocument/2006/relationships/hyperlink" Target="http://utp.sberbank-ast.ru/AP/Notice/653/Requisite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subject/>
  <dc:creator>Tatyannikova</dc:creator>
  <dc:description/>
  <dc:language>ru-RU</dc:language>
  <cp:lastModifiedBy>chetina-yui</cp:lastModifiedBy>
  <cp:revision>340</cp:revision>
  <dcterms:created xsi:type="dcterms:W3CDTF">2023-10-30T09:15:00Z</dcterms:created>
  <dcterms:modified xsi:type="dcterms:W3CDTF">2026-09-03T11:31:53Z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