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</w:r>
    </w:p>
    <w:p>
      <w:pPr>
        <w:pStyle w:val="PlainText"/>
        <w:ind w:hanging="1134" w:left="1134" w:right="-2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4732" w:leader="none"/>
          <w:tab w:val="left" w:pos="5812" w:leader="none"/>
        </w:tabs>
        <w:spacing w:lineRule="exact" w:line="240"/>
        <w:ind w:firstLine="5670" w:left="0"/>
        <w:jc w:val="both"/>
        <w:outlineLvl w:val="5"/>
        <w:rPr>
          <w:sz w:val="28"/>
          <w:szCs w:val="28"/>
        </w:rPr>
      </w:pPr>
      <w:r>
        <w:rPr>
          <w:bCs/>
          <w:sz w:val="28"/>
          <w:szCs w:val="28"/>
        </w:rPr>
        <w:t>Приложение 2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6" w:left="5664"/>
        <w:rPr>
          <w:sz w:val="28"/>
          <w:szCs w:val="28"/>
        </w:rPr>
      </w:pPr>
      <w:r>
        <w:rPr>
          <w:sz w:val="28"/>
          <w:szCs w:val="28"/>
        </w:rPr>
        <w:t>к приказу начальника департамента имущественных отношений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>администрации города Перми</w:t>
      </w:r>
    </w:p>
    <w:p>
      <w:pPr>
        <w:pStyle w:val="Normal"/>
        <w:tabs>
          <w:tab w:val="clear" w:pos="708"/>
          <w:tab w:val="left" w:pos="4732" w:leader="none"/>
        </w:tabs>
        <w:spacing w:lineRule="exact" w:line="240"/>
        <w:ind w:firstLine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16.09.2026 № 059-19-01-11-151</w:t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4732" w:leader="none"/>
        </w:tabs>
        <w:ind w:left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Извещение о проведении 15.10.2026 электронных аукционов на право </w:t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заключения договоров аренды земельных участков</w:t>
      </w:r>
    </w:p>
    <w:p>
      <w:pPr>
        <w:pStyle w:val="PlainText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shd w:fill="FFFFFF" w:val="clear"/>
        </w:rPr>
        <w:t xml:space="preserve">Электронные аукционы на право заключения договоров аренды земельных участков </w:t>
        <w:br/>
        <w:t xml:space="preserve">(далее – аукцион) проводятся в соответствии со статьями 39.11, 39.12, 39.13 Земельного кодекса Российской Федерации, Положением о департаменте имущественных отношений администрации города Перми, утвержденным решением Пермской городской Думы от 12 сентября 2006 г. № 210, постановлением администрации города Перми от 20 ноября 2008 г. № 1089 «О комиссии по проведению аукционов по продаже земельных участков, находящихся в муниципальной собственности города Перми, и участков, собственность на которые не разграничена, объектов незавершенного строительства, расположенных на земельных участках, находящихся в муниципальной собственности города Перми, и участках, собственность на которые                           не разграничена, или на право заключения договоров аренды земельных участков, находящихся                    в муниципальной собственности города Перми, </w:t>
      </w:r>
      <w:r>
        <w:rPr>
          <w:rFonts w:eastAsia="Droid Sans Fallback" w:cs="Lohit Devanagari"/>
          <w:color w:val="000000"/>
          <w:sz w:val="24"/>
          <w:szCs w:val="24"/>
          <w:shd w:fill="FFFFFF" w:val="clear"/>
          <w:lang w:val="ru-RU" w:eastAsia="zh-CN" w:bidi="ar-SA"/>
        </w:rPr>
        <w:t>и участков, собственность на которые                               не разграничена» (далее – комиссия), регламентом работы электронной площадки АО «Сбербанк-АСТ», регламентом работы торговой секции АО «Сбербанк-АСТ».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</w:rPr>
      </w:pPr>
      <w:r>
        <w:rPr>
          <w:b/>
          <w:bCs/>
        </w:rPr>
        <w:t xml:space="preserve">Орган, принявший решение о проведении аукциона: </w:t>
      </w:r>
      <w:r>
        <w:rPr>
          <w:bCs/>
        </w:rPr>
        <w:t xml:space="preserve"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212-33-48 (аналитический отдел), адрес электронной почты: </w:t>
      </w:r>
      <w:r>
        <w:rPr>
          <w:rStyle w:val="Hyperlink"/>
          <w:bCs/>
          <w:sz w:val="24"/>
          <w:szCs w:val="24"/>
          <w:lang w:val="en-US"/>
        </w:rPr>
        <w:t>dzo@perm.permkrai.ru.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b/>
          <w:bCs/>
          <w:sz w:val="24"/>
          <w:szCs w:val="24"/>
        </w:rPr>
      </w:pPr>
      <w:r>
        <w:rPr>
          <w:b/>
          <w:bCs/>
        </w:rPr>
        <w:t xml:space="preserve">Организатор аукциона </w:t>
      </w:r>
      <w:r>
        <w:rPr>
          <w:bCs/>
        </w:rPr>
        <w:t>(далее – Организатор аукциона)</w:t>
      </w:r>
      <w:r>
        <w:rPr>
          <w:b/>
          <w:bCs/>
        </w:rPr>
        <w:t xml:space="preserve">: </w:t>
      </w:r>
      <w:r>
        <w:rPr>
          <w:bCs/>
        </w:rPr>
        <w:t>департамент имущественных отношений администрации города Перми, местонахождение: 614000, г. Пермь, ул. Сибирская,14, почтовый адрес: 614000, г. Пермь, ул. Сибирская,14, телефон 212-77-24 (отдел по распоряжению муниципальным имуществом), адрес электронной почты:</w:t>
      </w:r>
      <w:r>
        <w:rPr>
          <w:b/>
          <w:bCs/>
        </w:rPr>
        <w:t xml:space="preserve"> </w:t>
      </w:r>
      <w:r>
        <w:rPr>
          <w:sz w:val="24"/>
          <w:szCs w:val="24"/>
          <w:lang w:val="en-US"/>
        </w:rPr>
        <w:t>dio</w:t>
      </w:r>
      <w:r>
        <w:rPr>
          <w:sz w:val="24"/>
          <w:szCs w:val="24"/>
        </w:rPr>
        <w:t>@</w:t>
      </w:r>
      <w:r>
        <w:rPr>
          <w:sz w:val="24"/>
          <w:szCs w:val="24"/>
          <w:lang w:val="en-US"/>
        </w:rPr>
        <w:t>perm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permkrai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ru</w:t>
      </w:r>
      <w:r>
        <w:rPr>
          <w:b/>
          <w:bCs/>
          <w:sz w:val="24"/>
          <w:szCs w:val="24"/>
        </w:rPr>
        <w:t>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355" w:leader="none"/>
        </w:tabs>
        <w:ind w:firstLine="567" w:left="-567"/>
        <w:jc w:val="both"/>
        <w:outlineLvl w:val="0"/>
        <w:rPr>
          <w:sz w:val="24"/>
          <w:szCs w:val="24"/>
        </w:rPr>
      </w:pPr>
      <w:r>
        <w:rPr>
          <w:b/>
          <w:bCs/>
        </w:rPr>
        <w:t>Реквизиты приказа об организации проведения аукциона:</w:t>
      </w:r>
      <w:r>
        <w:rPr>
          <w:bCs/>
        </w:rPr>
        <w:t xml:space="preserve"> приказ начальника департамента имущественных отношений администрации города Перми от</w:t>
      </w:r>
      <w:r>
        <w:rPr>
          <w:bCs/>
          <w:sz w:val="20"/>
          <w:szCs w:val="24"/>
        </w:rPr>
        <w:t xml:space="preserve"> </w:t>
      </w:r>
      <w:r>
        <w:rPr>
          <w:bCs/>
          <w:sz w:val="24"/>
          <w:szCs w:val="28"/>
        </w:rPr>
        <w:t>16.09.2026 № 059-19-01-11-151.</w:t>
      </w:r>
    </w:p>
    <w:p>
      <w:pPr>
        <w:pStyle w:val="BodyTextIndent3"/>
        <w:numPr>
          <w:ilvl w:val="0"/>
          <w:numId w:val="0"/>
        </w:numPr>
        <w:spacing w:before="0" w:after="0"/>
        <w:ind w:firstLine="567" w:left="-567"/>
        <w:jc w:val="both"/>
        <w:outlineLvl w:val="0"/>
        <w:rPr>
          <w:rFonts w:eastAsia="Courier New"/>
          <w:b/>
          <w:color w:val="000000"/>
          <w:lang w:val="ru-RU" w:bidi="ru-RU"/>
        </w:rPr>
      </w:pPr>
      <w:r>
        <w:rPr>
          <w:sz w:val="24"/>
          <w:szCs w:val="24"/>
          <w:lang w:val="ru-RU"/>
        </w:rPr>
        <w:t xml:space="preserve">Извещение о проведение электронных аукционов размещается на официальном сайте Российской Федерации для размещения информации о проведении торгов </w:t>
      </w:r>
      <w:hyperlink r:id="rId2" w:tgtFrame="http://www.torgi.gov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torgi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gov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color w:val="000000"/>
          <w:sz w:val="24"/>
          <w:szCs w:val="24"/>
          <w:u w:val="none"/>
        </w:rPr>
        <w:t xml:space="preserve"> (далее – ГИС Торги)</w:t>
      </w:r>
      <w:r>
        <w:rPr>
          <w:b/>
          <w:sz w:val="24"/>
          <w:szCs w:val="24"/>
          <w:lang w:val="ru-RU"/>
        </w:rPr>
        <w:t>,</w:t>
      </w:r>
      <w:r>
        <w:rPr>
          <w:b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официальном сайте муниципального образования город Пермь в информационно-телекоммуникационной сети «Интернет» </w:t>
      </w:r>
      <w:hyperlink r:id="rId3" w:tgtFrame="http://www.gorodperm.ru/">
        <w:r>
          <w:rPr>
            <w:rStyle w:val="Hyperlink"/>
            <w:color w:val="000000"/>
            <w:sz w:val="24"/>
            <w:szCs w:val="24"/>
            <w:u w:val="none"/>
          </w:rPr>
          <w:t>www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gorodperm</w:t>
        </w:r>
        <w:r>
          <w:rPr>
            <w:rStyle w:val="Hyperlink"/>
            <w:color w:val="000000"/>
            <w:sz w:val="24"/>
            <w:szCs w:val="24"/>
            <w:u w:val="none"/>
            <w:lang w:val="ru-RU"/>
          </w:rPr>
          <w:t>.</w:t>
        </w:r>
        <w:r>
          <w:rPr>
            <w:rStyle w:val="Hyperlink"/>
            <w:color w:val="000000"/>
            <w:sz w:val="24"/>
            <w:szCs w:val="24"/>
            <w:u w:val="none"/>
          </w:rPr>
          <w:t>ru</w:t>
        </w:r>
      </w:hyperlink>
      <w:r>
        <w:rPr>
          <w:sz w:val="24"/>
          <w:szCs w:val="24"/>
          <w:lang w:val="ru-RU"/>
        </w:rPr>
        <w:t xml:space="preserve"> и на электронной </w:t>
      </w:r>
      <w:r>
        <w:rPr>
          <w:bCs/>
          <w:sz w:val="24"/>
          <w:szCs w:val="24"/>
          <w:lang w:val="ru-RU" w:bidi="ru-RU"/>
        </w:rPr>
        <w:t xml:space="preserve">площадке </w:t>
      </w:r>
      <w:hyperlink r:id="rId4" w:tgtFrame="http://utp.sberbank-ast.ru/">
        <w:r>
          <w:rPr>
            <w:rStyle w:val="Hyperlink"/>
            <w:sz w:val="24"/>
            <w:szCs w:val="24"/>
          </w:rPr>
          <w:t>http</w:t>
        </w:r>
        <w:r>
          <w:rPr>
            <w:rStyle w:val="Hyperlink"/>
            <w:sz w:val="24"/>
            <w:szCs w:val="24"/>
            <w:lang w:val="ru-RU"/>
          </w:rPr>
          <w:t>://</w:t>
        </w:r>
        <w:r>
          <w:rPr>
            <w:rStyle w:val="Hyperlink"/>
            <w:sz w:val="24"/>
            <w:szCs w:val="24"/>
          </w:rPr>
          <w:t>utp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sberbank</w:t>
        </w:r>
        <w:r>
          <w:rPr>
            <w:rStyle w:val="Hyperlink"/>
            <w:sz w:val="24"/>
            <w:szCs w:val="24"/>
            <w:lang w:val="ru-RU"/>
          </w:rPr>
          <w:t>-</w:t>
        </w:r>
        <w:r>
          <w:rPr>
            <w:rStyle w:val="Hyperlink"/>
            <w:sz w:val="24"/>
            <w:szCs w:val="24"/>
          </w:rPr>
          <w:t>ast</w:t>
        </w:r>
        <w:r>
          <w:rPr>
            <w:rStyle w:val="Hyperlink"/>
            <w:sz w:val="24"/>
            <w:szCs w:val="24"/>
            <w:lang w:val="ru-RU"/>
          </w:rPr>
          <w:t>.</w:t>
        </w:r>
        <w:r>
          <w:rPr>
            <w:rStyle w:val="Hyperlink"/>
            <w:sz w:val="24"/>
            <w:szCs w:val="24"/>
          </w:rPr>
          <w:t>ru</w:t>
        </w:r>
      </w:hyperlink>
      <w:r>
        <w:rPr>
          <w:bCs/>
          <w:sz w:val="24"/>
          <w:szCs w:val="24"/>
          <w:lang w:val="ru-RU" w:bidi="ru-RU"/>
        </w:rPr>
        <w:t>.</w:t>
      </w:r>
    </w:p>
    <w:p>
      <w:pPr>
        <w:pStyle w:val="Normal"/>
        <w:widowControl w:val="false"/>
        <w:ind w:firstLine="567" w:left="-567"/>
        <w:jc w:val="both"/>
        <w:rPr>
          <w:rFonts w:eastAsia="Courier New"/>
          <w:b/>
          <w:color w:val="000000"/>
          <w:lang w:eastAsia="en-US" w:bidi="ru-RU"/>
        </w:rPr>
      </w:pPr>
      <w:r>
        <w:rPr>
          <w:rFonts w:eastAsia="Courier New"/>
          <w:b/>
          <w:color w:val="000000"/>
          <w:lang w:bidi="ru-RU"/>
        </w:rPr>
        <w:t>Адрес электронной площадки в информационно-телекоммуникационной сети «Интернет», на которой будет проводиться аукцион</w:t>
      </w:r>
      <w:r>
        <w:rPr>
          <w:rFonts w:eastAsia="Courier New"/>
          <w:color w:val="000000"/>
          <w:lang w:bidi="ru-RU"/>
        </w:rPr>
        <w:t>:</w:t>
      </w:r>
      <w:r>
        <w:rPr>
          <w:rFonts w:eastAsia="Courier New" w:cs="Courier New" w:ascii="Courier New" w:hAnsi="Courier New"/>
          <w:color w:val="000000"/>
          <w:lang w:bidi="ru-RU"/>
        </w:rPr>
        <w:t xml:space="preserve"> </w:t>
      </w:r>
      <w:hyperlink r:id="rId5" w:tgtFrame="http://utp.sberbank-ast.ru/">
        <w:r>
          <w:rPr>
            <w:rStyle w:val="Hyperlink"/>
          </w:rPr>
          <w:t>http://utp.sberbank-ast.ru</w:t>
        </w:r>
      </w:hyperlink>
      <w:r>
        <w:rPr>
          <w:rFonts w:eastAsia="Courier New"/>
          <w:lang w:bidi="ru-RU"/>
        </w:rPr>
        <w:t xml:space="preserve"> </w:t>
        <w:br/>
      </w:r>
      <w:r>
        <w:rPr>
          <w:rFonts w:eastAsia="Courier New"/>
          <w:color w:val="000000"/>
          <w:lang w:bidi="ru-RU"/>
        </w:rPr>
        <w:t xml:space="preserve">(далее – электронная площадка), торговая секция «Приватизация, аренда и продажа прав» (далее – торговая секция).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b/>
          <w:color w:val="000000"/>
          <w:lang w:eastAsia="en-US" w:bidi="ru-RU"/>
        </w:rPr>
        <w:t>Владелец электронной площадки</w:t>
      </w:r>
      <w:r>
        <w:rPr>
          <w:rFonts w:eastAsia="Courier New"/>
          <w:color w:val="000000"/>
          <w:lang w:eastAsia="en-US" w:bidi="ru-RU"/>
        </w:rPr>
        <w:t>:</w:t>
      </w:r>
      <w:r>
        <w:rPr>
          <w:rFonts w:eastAsia="Calibri"/>
          <w:lang w:eastAsia="en-US"/>
        </w:rPr>
        <w:t xml:space="preserve"> АО «Сбербанк-АСТ» (далее – Оператор)</w:t>
      </w:r>
      <w:r>
        <w:rPr>
          <w:rFonts w:eastAsia="Courier New"/>
          <w:color w:val="000000"/>
          <w:lang w:eastAsia="en-US"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rFonts w:eastAsia="Courier New"/>
          <w:color w:val="000000"/>
          <w:lang w:bidi="ru-RU"/>
        </w:rPr>
        <w:t xml:space="preserve">Регламент работы электронной площадки размещён по </w:t>
      </w:r>
      <w:r>
        <w:rPr>
          <w:rFonts w:eastAsia="Courier New"/>
          <w:lang w:bidi="ru-RU"/>
        </w:rPr>
        <w:t xml:space="preserve">адресу: </w:t>
      </w:r>
      <w:hyperlink r:id="rId6" w:tgtFrame="https://utp.sberbank-ast.ru/Main/Notice/988/Reglament">
        <w:r>
          <w:rPr>
            <w:rStyle w:val="Hyperlink"/>
            <w:rFonts w:eastAsia="Courier New"/>
            <w:lang w:bidi="ru-RU"/>
          </w:rPr>
          <w:t>https://utp.sberbank-ast.ru/Main/Notice/988/Reglament</w:t>
        </w:r>
      </w:hyperlink>
      <w:r>
        <w:rPr>
          <w:rFonts w:eastAsia="Courier New"/>
          <w:lang w:bidi="ru-RU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rFonts w:eastAsia="Courier New"/>
          <w:lang w:bidi="ru-RU"/>
        </w:rPr>
      </w:pPr>
      <w:r>
        <w:rPr>
          <w:bCs/>
          <w:lang w:bidi="ru-RU"/>
        </w:rPr>
        <w:t xml:space="preserve">Регламент работы </w:t>
      </w:r>
      <w:r>
        <w:rPr>
          <w:rFonts w:eastAsia="Courier New"/>
          <w:lang w:bidi="ru-RU"/>
        </w:rPr>
        <w:t xml:space="preserve">торговой секции </w:t>
      </w:r>
      <w:r>
        <w:rPr>
          <w:bCs/>
          <w:lang w:eastAsia="en-US" w:bidi="ru-RU"/>
        </w:rPr>
        <w:t xml:space="preserve">размещен по адресу: </w:t>
      </w:r>
      <w:r>
        <w:rPr>
          <w:rFonts w:eastAsia="Calibri"/>
          <w:lang w:eastAsia="en-US"/>
        </w:rPr>
        <w:t xml:space="preserve"> </w:t>
      </w:r>
      <w:r>
        <w:rPr/>
        <w:br w:type="textWrapping" w:clear="all"/>
      </w:r>
      <w:hyperlink r:id="rId7" w:tgtFrame="https://utp.sberbank-ast.ru/AP/Notice/1027/Instructions">
        <w:r>
          <w:rPr>
            <w:rStyle w:val="Hyperlink"/>
            <w:rFonts w:eastAsia="Calibri"/>
            <w:lang w:eastAsia="en-US"/>
          </w:rPr>
          <w:t>https://utp.sberbank-ast.ru/AP/Notice/1027/Instructions</w:t>
        </w:r>
      </w:hyperlink>
      <w:r>
        <w:rPr>
          <w:rFonts w:eastAsia="Calibri"/>
          <w:lang w:eastAsia="en-US"/>
        </w:rPr>
        <w:t>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</w:rPr>
      </w:pPr>
      <w:r>
        <w:rPr>
          <w:rFonts w:eastAsia="Courier New"/>
          <w:lang w:bidi="ru-RU"/>
        </w:rPr>
        <w:t xml:space="preserve">Инструкция по работе в торговой секции электронной площадки  </w:t>
      </w:r>
      <w:r>
        <w:rPr/>
        <w:br w:type="textWrapping" w:clear="all"/>
      </w:r>
      <w:r>
        <w:rPr>
          <w:bCs/>
          <w:lang w:eastAsia="en-US" w:bidi="ru-RU"/>
        </w:rPr>
        <w:t>размещена по адресу:</w:t>
      </w:r>
      <w:r>
        <w:rPr>
          <w:rFonts w:eastAsia="Calibri" w:cs="Calibri" w:ascii="Calibri" w:hAnsi="Calibri"/>
          <w:sz w:val="22"/>
          <w:szCs w:val="22"/>
          <w:lang w:eastAsia="en-US"/>
        </w:rPr>
        <w:t xml:space="preserve"> </w:t>
      </w:r>
      <w:hyperlink r:id="rId8" w:tgtFrame="https://utp.sberbank-ast.ru/AP/Notice/652/Instructions">
        <w:r>
          <w:rPr>
            <w:rStyle w:val="Hyperlink"/>
            <w:bCs/>
            <w:lang w:eastAsia="en-US" w:bidi="ru-RU"/>
          </w:rPr>
          <w:t>https://utp.sberbank-ast.ru/AP/Notice/652/Instructions</w:t>
        </w:r>
      </w:hyperlink>
      <w:r>
        <w:rPr>
          <w:bCs/>
          <w:lang w:eastAsia="en-US" w:bidi="ru-RU"/>
        </w:rPr>
        <w:t>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b/>
          <w:bCs/>
        </w:rPr>
        <w:t xml:space="preserve">Орган, уполномоченный на право заключение договора аренды земельного участка: </w:t>
      </w:r>
      <w:r>
        <w:rPr>
          <w:bCs/>
        </w:rPr>
        <w:t>департамент земельных отношений администрации города Перми, местонахождение: 614000, г. Пермь, ул. Сибирская,15, почтовый адрес: 614000, г. Пермь, ул. Сибирская,15, телефон 212-61-90 (отдел договоров), адрес электронной почты:</w:t>
      </w:r>
      <w:r>
        <w:rPr>
          <w:bCs/>
          <w:sz w:val="24"/>
          <w:szCs w:val="24"/>
        </w:rPr>
        <w:t xml:space="preserve"> </w:t>
      </w:r>
      <w:r>
        <w:rPr>
          <w:rStyle w:val="Hyperlink"/>
          <w:bCs/>
          <w:sz w:val="24"/>
          <w:szCs w:val="24"/>
          <w:lang w:val="en-US"/>
        </w:rPr>
        <w:t>dzo</w:t>
      </w:r>
      <w:r>
        <w:rPr>
          <w:rStyle w:val="Hyperlink"/>
          <w:bCs/>
          <w:sz w:val="24"/>
          <w:szCs w:val="24"/>
        </w:rPr>
        <w:t>@</w:t>
      </w:r>
      <w:r>
        <w:rPr>
          <w:rStyle w:val="Hyperlink"/>
          <w:bCs/>
          <w:sz w:val="24"/>
          <w:szCs w:val="24"/>
          <w:lang w:val="en-US"/>
        </w:rPr>
        <w:t>perm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permkrai</w:t>
      </w:r>
      <w:r>
        <w:rPr>
          <w:rStyle w:val="Hyperlink"/>
          <w:bCs/>
          <w:sz w:val="24"/>
          <w:szCs w:val="24"/>
        </w:rPr>
        <w:t>.</w:t>
      </w:r>
      <w:r>
        <w:rPr>
          <w:rStyle w:val="Hyperlink"/>
          <w:bCs/>
          <w:sz w:val="24"/>
          <w:szCs w:val="24"/>
          <w:lang w:val="en-US"/>
        </w:rPr>
        <w:t>ru.</w:t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widowControl w:val="false"/>
        <w:ind w:firstLine="567" w:left="-567"/>
        <w:jc w:val="both"/>
        <w:rPr>
          <w:b/>
          <w:bCs/>
        </w:rPr>
      </w:pPr>
      <w:r>
        <w:rPr>
          <w:b/>
          <w:bCs/>
        </w:rPr>
      </w:r>
    </w:p>
    <w:p>
      <w:pPr>
        <w:pStyle w:val="PlainText"/>
        <w:spacing w:lineRule="exact" w:line="240"/>
        <w:ind w:hanging="1134" w:left="113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Сведения о лотах (предметах аукциона)</w:t>
      </w:r>
    </w:p>
    <w:p>
      <w:pPr>
        <w:pStyle w:val="PlainText"/>
        <w:spacing w:lineRule="exact" w:line="240"/>
        <w:ind w:hanging="1134" w:left="1134"/>
        <w:jc w:val="lef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1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от 21 ноября 2025 г. № 21-01-03-8989 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60г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7840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59:01:1717124:339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КУВИ-001/2026-106433117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14.11.2025 № РФ-59-2-03-0-00-2025-2773-0 (далее – ГПЗУ) (приложение 2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сети электроснабжения, рассолопроводы.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</w:t>
              <w:br/>
              <w:t>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15.12.2025 </w:t>
              <w:br/>
              <w:t>№ 658709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частично охранная зона ВЛ 35 КВ ТЭЦ-5-ВЫШКА </w:t>
              <w:br/>
              <w:t>№ 1,2 С ОТПАЙКОЙ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НА ПС НАСОСНАЯ ОТ Ц.1,2,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защитных зонах предприятий: частично ПЕРМХИМ ООО, </w:t>
              <w:br/>
              <w:t>ООО «Пермскаяхимическая компания», Пермский филиал ФГУП «Российский научный центр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п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потребителей и благополучия человека </w:t>
              <w:br/>
              <w:t>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защитной зоны для </w:t>
              <w:br/>
              <w:t xml:space="preserve">ООО «Пермская химическая компания» от 20.01.2023 </w:t>
              <w:br/>
              <w:t>№ 11 -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 потребителей и благополучия человека Об установлении санитарно-защитной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 xml:space="preserve">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13 деревьев пород – береза 8 шт., ива 1 шт., осина 4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358.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 благоустройства администрации города Перми, </w:t>
              <w:br/>
              <w:t>в настоящее время отсутствует улично-дорожная сеть для примыкания земельных участков. Рассмотрение данного вопроса возможно после принятия решения 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>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9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ГПЗУ):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класс опасности (в соответствии 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архитектурным решениям объектов капитального строительства, расположенным в границах территории исторического поселения федерального </w:t>
              <w:br/>
              <w:t>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В соответствии копией планшета М 1:500, требующего корректуры, в границах земельного участка с кадастровым номером 59:01:1717124:337 расположены сети электроснабжения 6 кВ.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</w:t>
              <w:br/>
              <w:t>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(при наибольшем их отклонении) должно быть не менее 2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7982 кв. м (3326*2,4).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в границах Участка сети и зоны с особыми условиями использования территории, информация о которых 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975 кв. м </w:t>
              <w:br/>
              <w:t>для одноэтажных объектов капитального строительства, 1472 кв. м для многоэтажных объектов капитального строительства (если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Колерный паспорт подлежит согласованию 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0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1693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Информация о наличии объема свободной 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0,11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1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12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сведения сообщаем, в связи с тем, </w:t>
              <w:br/>
              <w:t>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Кроме того, ООО «НОВОГОР - Прикамье» </w:t>
              <w:br/>
              <w:t xml:space="preserve">не располагает сведениями о наличии сетей 3-х лиц </w:t>
              <w:br/>
              <w:t xml:space="preserve"> границах вышеуказанных земельных участков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785 804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39 290,2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392 902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2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от 25 ноября 2025 г. № 21-01-03-9094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60д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5169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59:01:1717124:343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КУВИ-001/2026-106433150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12.11.2025 № РФ-59-2-03-0-00-2025-2780-0 (далее – ГПЗУ) (приложение 4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капитальные/некапитальные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15.12.2025 </w:t>
              <w:br/>
              <w:t>№ 658729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защитных зонах предприятий: частично ПЕРМХИМ ООО, частично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ООО «Пермская химическая компания», частично Пермский филиал ФГУП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«Российский научный центр 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17 деревьев пород – береза 9 шт., ива 3 шт., осина 5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359.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 xml:space="preserve">о строительстве улично-дорожной сети </w:t>
              <w:br/>
              <w:t>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дорог и благоустройства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>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3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из плоскости наружной стены фасада здания на высоте </w:t>
              <w:br/>
              <w:t xml:space="preserve">не менее 4,5 м над территорией общего пользования, составляет не более 1,2 м от красной линии. В случаях когда линия регулирования застройки отличается </w:t>
              <w:br/>
              <w:t>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таблицей Б.1 «Показатели плотности застройки участков территориальных зон» </w:t>
              <w:br/>
              <w:t xml:space="preserve">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</w:t>
              <w:br/>
              <w:t>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12405 кв. м (5169*2,4).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 xml:space="preserve"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1515 кв. м для одноэтажных объектов капитального строительства, 2289 кв. м для многоэтажных объектов капитального строительства (если на земельном участке </w:t>
              <w:br/>
              <w:t>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4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1116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для технологического присоединения потребителей трансформаторной мощности по подстанциям </w:t>
              <w:br/>
              <w:t>и распределительным пунктам с дифференциацией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</w:t>
              <w:br/>
              <w:t>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>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0,07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5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16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Кроме того, ООО «НОВОГОР-Прикамье» </w:t>
              <w:br/>
              <w:t xml:space="preserve">не располагает сведениями о наличии сетей 3-х лиц </w:t>
              <w:br/>
              <w:t>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не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</w:rPr>
              <w:t>от 07.10.2025 № 059-04-17/3-959-ри).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3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579 758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28 987,9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289 879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3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от 25 ноября 2025 г. № 21-01-03-9105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60е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7686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59:01:1717124:337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КУВИ-001/2026-106433073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10.11.2025 № РФ-59-2-03-0-00-2025-2731-0 (далее – ГПЗУ) (приложение 6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копией планшета М 1:500 (требующей корректуры), в границах Участка капитальные/некапитальные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15.12.2025 </w:t>
              <w:br/>
              <w:t>№ 658764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защитных зонах предприятий: частично ПЕРМХИМ ООО, частично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ООО «Пермская химическая компания», частично Пермский филиал ФГУП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«Российский научный центр 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</w:t>
              <w:br/>
              <w:t>№ 239 «Об установлении границ зон затопления 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18 деревьев пород – береза 11 шт., сосна 1 шт., осина 6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356.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</w:t>
              <w:br/>
              <w:t xml:space="preserve">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 xml:space="preserve">о строительстве улично-дорожной сети </w:t>
              <w:br/>
              <w:t>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</w:t>
              <w:br/>
              <w:t>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7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Таким образом, предельные параметры разрешенного строительства на земельном участке составляют </w:t>
              <w:br/>
              <w:t>12405 кв. м (5169*2,4).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1515 кв. м для одноэтажных объектов капитального строительства, 2289 кв. м для многоэтажных объектов капитального строительства (если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</w:t>
              <w:br/>
              <w:t>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18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1660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Информация о наличии объема свободной 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Следовательно, технические условия </w:t>
              <w:br/>
              <w:t xml:space="preserve">для технологического присоединения предоставляются заявителю сетевой организацией вместе с договором </w:t>
              <w:br/>
              <w:t>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0,11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27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19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0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Кроме того, ООО «НОВОГОР-Прикамье» </w:t>
              <w:br/>
              <w:t xml:space="preserve">не располагает сведениями о наличии сетей 3-х лиц </w:t>
              <w:br/>
              <w:t>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5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774 506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38 725,3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387 253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5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4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от 25 ноября 2025 г. № 21-01-03-9100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60и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5481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59:01:1717124:338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КУВИ-001/2026-106433096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10.11.2025 № РФ-59-2-03-0-00-2025-2732-0 (далее – ГПЗУ) (приложение 8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 с КН 59:01:1717124:330,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sz w:val="26"/>
                <w:szCs w:val="26"/>
              </w:rPr>
              <w:t>В ходе проведения осмотра</w:t>
            </w:r>
            <w:r>
              <w:rPr>
                <w:color w:val="auto"/>
                <w:sz w:val="24"/>
                <w:szCs w:val="24"/>
              </w:rPr>
              <w:t xml:space="preserve"> земельного участка с кадастровым номером 5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>9:01:1717124:338 установлено, что доступ к земельному участку не ограничен, земельный участок не огорожен. В границах земельного участка расположены элементы бетонных конструкций, столбы сетей электроснабжения, произрастает древесно-кустарниковая растительность. Водные объекты в границах земельного участка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б/н)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В соответствии с копией планшета М 1:500 (требующей корректуры), в границах Участка расположены сети электроснабжения.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16.12.2025 </w:t>
              <w:br/>
              <w:t>№ 658872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частично зона затопления территорий, прилегающих </w:t>
              <w:br/>
              <w:t>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защитных зонах предприятий: частично ПЕРМХИМ ООО, ООО «Пермская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химическая компания», Пермский филиал ФГУП «Российский научный центр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«Прикладная химия», частично ПЕРМХИМ ЗАО.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ешением Федеральной службы по надзору в сфере защиты прав потребителей и благополучия человека </w:t>
              <w:br/>
              <w:t>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РС33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№ 239 «Об установлении границ зон затопления </w:t>
              <w:br/>
              <w:t>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56 деревьев пород – осина 9 шт., береза 42 шт., ива 5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354.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>По информации, имеющейся в департаменте дорог и благоустройства администрации города Перми, в настоящее время отсутствует улично-дорожная сеть для примыкания земельных участков. Рассмотрение данного вопроса возможно после принятия решения 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с обеспечением безопасности дорожного движения, водоотведения и исполнением других установленных техническими регламентами требований, несут лица, 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При планировке и размещении объектов 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Информация о подразделениях пожарной охраны 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Объект общественной безопасности, отнесенный к объектам полиции (участковые пункты полиции), 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1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выступ за красную линию нависающих частей здания наземных уровней, выступающих </w:t>
              <w:br/>
              <w:t xml:space="preserve">из плоскости наружной стены фасада здания на высоте </w:t>
              <w:br/>
              <w:t>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В соответствии копией планшета М 1:500, требующего корректуры, в границах земельного участка с кадастровым номером 59:01:1717124:338 расположена сеть электроснабжения 6 кВ.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(при наибольшем их отклонении) должно быть не менее 2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8316 кв. м (3465*2,4).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 xml:space="preserve"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1016 кв. м для одноэтажных объектов капитального строительства, 1534 кв. м для многоэтажных объектов капитального строительства (если на земельном участке </w:t>
              <w:br/>
              <w:t>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при проектировании и строительстве объекта капитального строительства необходимо соблюдать требования </w:t>
              <w:br/>
              <w:t>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 xml:space="preserve"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</w:t>
              <w:br/>
              <w:t>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2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1183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Процедура технологического присоединения осуществляется в соответствии с нормами действующего законодательства: Федеральным законом от 26.03.2003 </w:t>
              <w:br/>
              <w:t>№ 35-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Размер платы, объем мероприятий и сроки исполнения данных мероприятий будут определены договором 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0,08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19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о заключении договора о подключении (технологическом присоединении) по типовой форме с пакетом документов в соответствии с п.11,16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>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подключения (технологического присоединения) вышеуказанных объектов к сетям электросвязи ПАО «Ростелеком» необходим запрос правообладателя земельного участка на выдачу технических условий подключения или заявки о заключении договора 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1 года (при комплексном развитии территории – 3 лет) 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23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4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от 09.10.2025 № 01/05/149268/25 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сведения сообщаем, в связи с тем, что 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7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605 105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30 255,25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302 552,5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7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5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>от 25 ноября 2025 г. № 21-01-03-9107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60к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4924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59:01:1717124:335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КУВИ-001/2026-106432870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24.10.2025 № РФ-59-2-03-0-00-2025-2608-0 (далее – ГПЗУ) (приложение 10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 и акту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6"/>
                <w:szCs w:val="26"/>
              </w:rPr>
              <w:t>В ход</w:t>
            </w:r>
            <w:r>
              <w:rPr>
                <w:sz w:val="24"/>
                <w:szCs w:val="24"/>
              </w:rPr>
              <w:t>е проведения осмотра земельного участка с кадастровым номером 59:01:1717124:335 установлено, что доступ к земельному участку не ограничен, земельный участок не огорожен. В границах земельного участка произрастают сельскохозяйственные культуры, древесно-кустарниковая растительность, водные, капитальные/некапитальные объекты,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16.12.2025 </w:t>
              <w:br/>
              <w:t>№ 658918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частично охранная зона ВЛ-110 КВ ТЭЦ-14 - «КРЫМ» Ц.1, 2,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частично зона публичного сервитута для эксплуатации объекта электросетевого хозяйства ВЛ-110 кВ ТЭЦ-14 - Крым ц.1, 2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зона затопления территорий,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защитных зонах предприятий: частично ООО «Пермская химическая компания», Пермский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филиал ФГУП «Российский научный центр «Прикладная химия».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17 деревьев пород – береза 17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 xml:space="preserve">перечне мероприятий </w:t>
              <w:br/>
              <w:t>по охране окружающей среды от 14.10.2025 № 355.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>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</w:t>
              <w:br/>
              <w:t xml:space="preserve">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</w:t>
              <w:br/>
              <w:t>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Помещения для аварийно-спасательных служб </w:t>
              <w:br/>
              <w:t>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 xml:space="preserve">Согласно протоколу заседания координационного совещания по обеспечению правопорядка в Пермском крае от 16.03.2022 №74-гс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5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10843 кв. м (4518*2,4).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1324 кв. м </w:t>
              <w:br/>
              <w:t>для одноэтажных объектов капитального строительства, 2000 кв. м для многоэтажных объектов капитального строительства (если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6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</w:t>
              <w:br/>
              <w:t>с предполагаемой максимальной мощностью 1103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Процедура технологического присоединения осуществляется в соответствии с нормами действующего законодательства: Федеральным законом от 26.03.2003 </w:t>
              <w:br/>
              <w:t>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Информация о наличии объема свободной </w:t>
              <w:br/>
              <w:t xml:space="preserve">для технологического присоединения потребителей трансформаторной мощности по подстанциям </w:t>
              <w:br/>
              <w:t xml:space="preserve">и распределительным пунктам с дифференциацией </w:t>
              <w:br/>
              <w:t>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>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0,07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</w:t>
              <w:br/>
              <w:t>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27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28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проектировании может быть применен альтернативный способ водоснабжения без подключения к централизованной системе водоснабжения </w:t>
              <w:br/>
              <w:t>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Кроме того, ООО «НОВОГОР-Прикамье» </w:t>
              <w:br/>
              <w:t xml:space="preserve">не располагает сведениями о наличии сетей 3-х лиц </w:t>
              <w:br/>
              <w:t>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</w:rPr>
              <w:t xml:space="preserve"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</w:t>
              <w:br/>
              <w:t>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</w:rPr>
              <w:t>от 07.10.2025 № 059-04-17/3-959-ри).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9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559 570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27 978,5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 xml:space="preserve">Решение о проведении аукциона принято </w:t>
              <w:br/>
              <w:t>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279 785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лет 4 месяца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9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ru-RU"/>
        </w:rPr>
        <w:t>Лот № 6</w:t>
      </w:r>
    </w:p>
    <w:tbl>
      <w:tblPr>
        <w:tblW w:w="10485" w:type="dxa"/>
        <w:jc w:val="left"/>
        <w:tblInd w:w="-5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органа местного самоуправления, принявшего решение 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указанного 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департамента земельных отношений администрации города Перми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shd w:fill="FFFFFF" w:val="clear"/>
                <w:lang w:val="ru-RU" w:eastAsia="ru-RU" w:bidi="ar-SA"/>
              </w:rPr>
              <w:t xml:space="preserve"> от 24 ноября 2025 г. № 21-01-03-9054 «О проведении аукциона на право заключения договора аренды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 аукциона на право заключения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60м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5107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59:01:1717124:331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 от 07.08.2026г. No КУВИ-001/2026-106432951 (далее -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16.10.2025 № РФ-59-2-03-0-00-2025-2531-0 (далее – ГПЗУ) (приложение 12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Близлежащий источник противопожарного водоснабжения относительно земельного участка, расположен по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 администрации Кировского района города Перми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 и акту обследования </w:t>
            </w:r>
            <w:r>
              <w:rPr>
                <w:color w:val="000000"/>
                <w:sz w:val="24"/>
                <w:szCs w:val="24"/>
                <w:shd w:fill="FFFFFF" w:val="clear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sz w:val="26"/>
                <w:szCs w:val="26"/>
              </w:rPr>
              <w:t>В ход</w:t>
            </w:r>
            <w:r>
              <w:rPr>
                <w:sz w:val="24"/>
                <w:szCs w:val="24"/>
              </w:rPr>
              <w:t>е проведения осмотра земельного участка с кадастровым номером 59:01:1717124:331 установлено, что доступ к земельному участку не ограничен, земельный участок не огорожен. В границах земельного участка расположена сеть электроснабжения, произрастают сельскохозяйственные культуры, древесно-кустарниковая растительность, водные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Согласно сведениям Единого государственного реестра недвижимости в границах земельного участка расположен объект недвижимости с кадастровым номером 59:01:0000000:48186 – линейное сооружение (Электросетевой комплекс (ЭСК) «Транзит 110-5»).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themeColor="accent3" w:themeShade="bf"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 постановления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16.12.2025 </w:t>
              <w:br/>
              <w:t>№ 658939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частично охранная зона ВЛ-110 КВ ТЭЦ-14 - «КРЫМ» Ц.1, 2,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частично зона публичного сервитута для эксплуатации объекта электросетевого хозяйства ВЛ-110 кВ ТЭЦ-14 - Крым ц.1, 2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зона затопления территорий,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000000"/>
                <w:sz w:val="24"/>
                <w:szCs w:val="24"/>
                <w:shd w:fill="FFFFFF" w:val="clear"/>
              </w:rPr>
              <w:t>Земельный участок расположен в санитарно-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защитных зонах предприятий: частично ООО «Пермская химическая компания», Пермский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филиал ФГУП «Российский научный центр «Прикладная химия».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>Проектирование и строительство вести в соответствии: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постановлением Правительства Российской Федерации 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shd w:fill="FFFFFF" w:val="clear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 </w:t>
            </w:r>
            <w:r>
              <w:rPr>
                <w:color w:val="auto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000000"/>
                <w:sz w:val="24"/>
                <w:szCs w:val="24"/>
                <w:shd w:fill="FFFFFF" w:val="clear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 р</w:t>
            </w:r>
            <w:r>
              <w:rPr>
                <w:color w:val="000000"/>
                <w:sz w:val="24"/>
                <w:szCs w:val="24"/>
                <w:shd w:fill="FFFFFF" w:val="clear"/>
              </w:rPr>
              <w:t>ешением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</w:rPr>
            </w:pPr>
            <w:r>
              <w:rPr>
                <w:b w:val="false"/>
                <w:bCs w:val="false"/>
                <w:color w:val="auto"/>
              </w:rPr>
              <w:t xml:space="preserve">приказом Камского бассейнового водного управления Федерального агентства водных ресурсов от 21.11.2022 № 239 «Об установлении границ зон затопления </w:t>
              <w:br/>
              <w:t xml:space="preserve">на территориях, прилегающих к зарегулированной </w:t>
              <w:br/>
              <w:t>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9 деревьев пород – осина 3 шт., береза 6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</w:rPr>
              <w:t xml:space="preserve">Средняя стоимость в ценах 2025 года одного дерева лиственной породы от 25 тыс. руб., а хвойной – </w:t>
              <w:br/>
              <w:t>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353.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Муниципальной программой «Дорожная деятельность 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 xml:space="preserve">на вышеуказанной территории необходимо соблюдать нормы и требования действующего законодательства: Федеральных законов от 21 декабря 1994 г. № 69-ФЗ </w:t>
              <w:br/>
              <w:t xml:space="preserve">«О пожарной безопасности» и от 22 июля 2008 г. </w:t>
              <w:br/>
              <w:t xml:space="preserve">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</w:t>
              <w:br/>
              <w:t>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 xml:space="preserve"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</w:t>
              <w:br/>
              <w:t>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Помещения для аварийно-спасательных служб 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к объектам полиции (участковые пункты полиции), 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</w:t>
              <w:br/>
              <w:t>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auto"/>
              </w:rPr>
              <w:t>Согласно протоколу заседания координационного совещания по обеспечению правопорядка в Пермском крае от 16.03.2022 №74-гс</w:t>
            </w:r>
            <w:r>
              <w:rPr>
                <w:rFonts w:eastAsia="Times New Roman" w:cs="Times New Roman"/>
                <w:color w:val="auto"/>
              </w:rPr>
              <w:t xml:space="preserve"> 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 и (или) минимально допустимые параметры разрешенного строительства</w:t>
              <w:br/>
              <w:t>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29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7982 кв. м (3326*2,4).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</w:t>
              <w:br/>
              <w:t xml:space="preserve">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975 кв. м для одноэтажных объектов капитального строительства, 1473 кв. м для многоэтажных объектов капитального строительства (если на земельном участке </w:t>
              <w:br/>
              <w:t>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/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2820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firstLine="312"/>
              <w:jc w:val="both"/>
              <w:rPr/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  <w:shd w:fill="FFFFFF" w:val="clear"/>
              </w:rPr>
              <w:t xml:space="preserve">документации по земельному участку, размещенной с извещением о проведении аукциона в ГИС Торги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0" w:tgtFrame="http://www.gorodperm.ru/">
              <w:r>
                <w:rPr>
                  <w:rStyle w:val="Hyperlink"/>
                  <w:sz w:val="24"/>
                  <w:szCs w:val="24"/>
                </w:rPr>
                <w:t>www.gorodperm.ru</w:t>
              </w:r>
            </w:hyperlink>
            <w:r>
              <w:rPr>
                <w:sz w:val="24"/>
                <w:szCs w:val="24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1103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Информация о наличии объема свободной 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</w:t>
              <w:br/>
              <w:t>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Согласно пунктам 15, 25, 25.1 Правил ТП технические условия являются неотъемлемым приложением </w:t>
              <w:br/>
              <w:t>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</w:t>
              <w:br/>
              <w:t xml:space="preserve">на технологическое присоединение с указанием сведений </w:t>
              <w:br/>
              <w:t>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Размер платы, объем мероприятий и сроки исполнения данных мероприятий будут определены договором </w:t>
              <w:br/>
              <w:t xml:space="preserve">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</w:t>
              <w:br/>
              <w:t>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ПАО «Россети Урал» - «Пермэнерго» Пермские городские электрические сети»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 xml:space="preserve">  от </w:t>
            </w:r>
            <w:r>
              <w:rPr>
                <w:color w:val="auto"/>
                <w:sz w:val="24"/>
                <w:szCs w:val="24"/>
              </w:rPr>
              <w:t>30.10.2025 № ПЭ/22/1562).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0,07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18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п.11,16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</w:t>
              <w:br/>
              <w:t xml:space="preserve">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31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32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сведения сообщаем, в связи с тем, </w:t>
              <w:br/>
              <w:t xml:space="preserve">что ООО «НОВОГОР-Прикамье» эксплуатирует только централизованные системы водоснабжения </w:t>
              <w:br/>
              <w:t>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</w:t>
              <w:br/>
              <w:t>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 xml:space="preserve">департамента жилищно-коммунального хозяйства администрации города Перми 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>от 07.10.2025 № 059-04-17/3-959-ри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jc w:val="left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11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договоров),  реквизиты которого указаны в проекте договора аренды земельного участка (Приложение 11 к настоящему извещению)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574 673 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28 733,65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kern w:val="0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b/>
                <w:color w:val="000000"/>
                <w:sz w:val="24"/>
                <w:szCs w:val="24"/>
                <w:shd w:fill="auto" w:val="clear"/>
              </w:rPr>
            </w:pPr>
            <w:r>
              <w:rPr>
                <w:b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Федерации. Аукцион является открытым по составу участников.</w:t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287 336,5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 является Приложением 11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5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Осмотр земельного участка производится заявителем 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1134" w:left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</w:r>
    </w:p>
    <w:p>
      <w:pPr>
        <w:pStyle w:val="PlainText"/>
        <w:spacing w:lineRule="exact" w:line="240"/>
        <w:ind w:hanging="1134" w:left="1134"/>
        <w:jc w:val="left"/>
        <w:rPr/>
      </w:pPr>
      <w:r>
        <w:rPr>
          <w:rFonts w:cs="Times New Roman" w:ascii="Times New Roman" w:hAnsi="Times New Roman"/>
          <w:b/>
          <w:sz w:val="24"/>
          <w:szCs w:val="28"/>
          <w:lang w:val="ru-RU"/>
        </w:rPr>
        <w:t>Лот № 7</w:t>
      </w:r>
    </w:p>
    <w:tbl>
      <w:tblPr>
        <w:tblW w:w="10485" w:type="dxa"/>
        <w:jc w:val="left"/>
        <w:tblInd w:w="-4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567"/>
        <w:gridCol w:w="3054"/>
        <w:gridCol w:w="6864"/>
      </w:tblGrid>
      <w:tr>
        <w:trPr>
          <w:trHeight w:val="87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органа местного самоуправления, принявшего решение </w:t>
              <w:br/>
              <w:t>о проведении аукциона,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указанного </w:t>
              <w:br/>
              <w:t>решения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города Перми, распоряжение начальника </w:t>
              <w:br/>
              <w:t>департамента земельных отношений администрации город</w:t>
            </w: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 xml:space="preserve">а Перми </w:t>
            </w:r>
            <w:r>
              <w:rPr>
                <w:rFonts w:eastAsia="Droid Sans Fallback" w:cs="Lohit Devanagari"/>
                <w:color w:val="000000"/>
                <w:sz w:val="24"/>
                <w:szCs w:val="28"/>
                <w:shd w:fill="auto" w:val="clear"/>
                <w:lang w:val="ru-RU" w:eastAsia="zh-CN" w:bidi="ar-SA"/>
              </w:rPr>
              <w:t>от 23 декабря 2025 г. № 21-01-03-10041 «О проведении аукциона по продаже земельного участка в Кировском районе города Перми», от 14 января 2026 г. № 21-01-03-233                      «О внесении изменений в наименование распоряжения начальника департамента земельных отношений администрации города Перми от 23 декабря 2025 г. № 21-01-03-10041                     «О проведении аукциона по продаже земельного участка в Кировском районе города Перми»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Предмет аукциона </w:t>
              <w:br/>
              <w:t xml:space="preserve">на право заключения </w:t>
              <w:br/>
              <w:t>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93" w:hRule="atLeast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825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Пермский край, городской округ Пермский, город Пермь, улица Воронежская, з/у 60л</w:t>
            </w:r>
          </w:p>
        </w:tc>
      </w:tr>
      <w:tr>
        <w:trPr>
          <w:trHeight w:val="148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4372 кв. м</w:t>
            </w:r>
          </w:p>
        </w:tc>
      </w:tr>
      <w:tr>
        <w:trPr>
          <w:trHeight w:val="155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59:01:1717124:336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 на земельный участок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государственная собственность не разграничена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77" w:left="419"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вид разрешенного использования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легкая промышленность, склады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принадлежность к определенной  </w:t>
              <w:br/>
              <w:t>категории земель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земли населенных пунктов</w:t>
            </w:r>
          </w:p>
        </w:tc>
      </w:tr>
      <w:tr>
        <w:trPr>
          <w:trHeight w:val="576" w:hRule="atLeast"/>
        </w:trPr>
        <w:tc>
          <w:tcPr>
            <w:tcW w:w="5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9" w:right="-263"/>
              <w:rPr>
                <w:sz w:val="24"/>
                <w:szCs w:val="24"/>
              </w:rPr>
            </w:pPr>
            <w:r>
              <w:rPr/>
              <w:t>принадлежность к определенной территориальной зоне</w:t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 «Зона производственно-коммунальных</w:t>
            </w:r>
          </w:p>
          <w:p>
            <w:pPr>
              <w:pStyle w:val="Normal"/>
              <w:ind w:right="-26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объектов V класса вредности».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ind w:hanging="277"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ограничение прав</w:t>
            </w:r>
          </w:p>
          <w:p>
            <w:pPr>
              <w:pStyle w:val="Normal"/>
              <w:ind w:left="419"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Ограничения прав подробно описаны: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выписке из Единого государственного реестра недвижимости об объекте недвижимости от 07.08.2026г. No КУВИ-001/2026-106433079 (далее – ЕГРН);</w:t>
            </w:r>
          </w:p>
          <w:p>
            <w:pPr>
              <w:pStyle w:val="Normal"/>
              <w:ind w:firstLine="3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градостроительном плане земельного участка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08</w:t>
            </w:r>
            <w:r>
              <w:rPr>
                <w:color w:val="000000"/>
                <w:sz w:val="24"/>
                <w:szCs w:val="24"/>
              </w:rPr>
              <w:t>.12.2025 № РФ-59-2-03-0-00-2025-2984-0</w:t>
            </w:r>
            <w:r>
              <w:rPr>
                <w:color w:val="000000"/>
                <w:sz w:val="24"/>
                <w:szCs w:val="24"/>
                <w:shd w:fill="FFFFFF" w:val="clear"/>
              </w:rPr>
              <w:t> </w:t>
            </w:r>
            <w:r>
              <w:rPr>
                <w:sz w:val="24"/>
                <w:szCs w:val="24"/>
              </w:rPr>
              <w:t>(далее – ГПЗУ) (приложение 14 к настоящему извещению).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Территория не огорожена, незаконно установленные объекты отсутствуют,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капитальных/некапитальных объектов не выявлено, на территории произрастают кустарники, деревья.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Близлежащий источник противопожарного водоснабжения относительно земельного участка, расположен по                             ул. Воронежская, 56 (пожарный гидрант).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администрации Кировского района города Перми                      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07.1</w:t>
            </w:r>
            <w:r>
              <w:rPr>
                <w:color w:val="auto"/>
                <w:sz w:val="24"/>
                <w:szCs w:val="24"/>
              </w:rPr>
              <w:t xml:space="preserve">0.2025 № 059-23-01-25/3-459, в акте обследования                    </w:t>
            </w:r>
            <w:r>
              <w:rPr>
                <w:color w:val="auto"/>
                <w:sz w:val="24"/>
                <w:szCs w:val="24"/>
                <w:highlight w:val="white"/>
              </w:rPr>
              <w:t>от 03.10.2025 №</w:t>
            </w:r>
            <w:r>
              <w:rPr>
                <w:color w:val="auto"/>
                <w:sz w:val="24"/>
                <w:szCs w:val="24"/>
              </w:rPr>
              <w:t xml:space="preserve"> б/н).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В ходе проведения осмотра земельного участка с кадастровым ном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ером 59:01:1717124:336 установлено, что доступ к земельному участку не ограничен, земельный участок не огорожен. В границах земельного участка расположены скважины (сведения о правообладателях в Едином государственном реестре недвижимости отсутствуют), столбы сетей электричества, произрастает древесно-кустарниковая растительность. В границах земельного участка водные объекты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>акте обследования департамента земельных отношений администрации города Перми от 18.11.2025 № б/н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В соответствии с копией планшета М 1:500 (требующей корректуры), в границах Участка расположены скважины, сети электроснабжения, рассолопровод.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Согласно сведениям ЕГРН, ГПЗУ и справке </w:t>
              <w:br/>
              <w:t xml:space="preserve">по градостроительным условиям участка от 12.01.2026 </w:t>
              <w:br/>
              <w:t>№ 661192 Участок расположен в границах зон с особыми условиями использования территории: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частично зона затопления территорий,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расчетной обеспеченности 1%,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приаэродромная территория аэродрома аэропорта Большое Савино</w:t>
            </w:r>
            <w:r>
              <w:rPr>
                <w:color w:val="auto"/>
                <w:sz w:val="24"/>
                <w:szCs w:val="24"/>
                <w14:ligatures w14:val="none"/>
              </w:rPr>
              <w:t>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Земельный участок расположен в санитарно-защитных зонах предприятий: ООО «Пермская химическая компания», Пермский филиал ФГУП «Российский научный центр «Прикладная химия», частично ПЕРМХИМ ООО.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sz w:val="24"/>
                <w:szCs w:val="24"/>
              </w:rPr>
              <w:t>Размещение объекта капитального строительства необходимо предусматривать строго за пределами охранных зон сетей электроснабжения, теплоснабжения, водоснабжения, водоотведения в соответствии с нормами СП 42.13330.2016 «Градостроительство планировка и застройка городских и сельских поселений», в том числе в соответствии с таблицей 12.5 СП 42.13330.2016 «Градостроительство планировка и застройка городских и сельских поселений»; учитывать нормы: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sz w:val="24"/>
                <w:szCs w:val="24"/>
              </w:rPr>
              <w:t>постановления Правительства РФ от 24.02.2009 № 160 «О порядке установления охранных зон объектов электросетевого хозяйства и особых услови</w:t>
            </w:r>
            <w:r>
              <w:rPr>
                <w:color w:val="auto"/>
                <w:sz w:val="24"/>
                <w:szCs w:val="24"/>
                <w:highlight w:val="white"/>
              </w:rPr>
              <w:t>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 xml:space="preserve">постановления Правительства Российской Федерации </w:t>
              <w:br/>
              <w:t>от 11.03.2010 № 138 «Об утверждении Федеральных правил использования воздушного пространства Российской Федерации»: «Запрещается размещать в полосах воздушных подходов на удалении до 30 км, а вне полос воздушных подходов – до 15 км от контрольной точки аэродрома объекты выбросов (размещения) отходов, животноводческие фермы, скотобойни и другие объекты, способствующие привлечению и массовому скоплению птиц»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решения Федеральной службы по надзору в сфере защиты прав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потребителей и благополучия человека Об установлении санитарно 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>защитной зоны для ООО «Пермская химическая компания» от 20.01.2023 № 11-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РС33 </w:t>
            </w:r>
            <w:r>
              <w:rPr>
                <w:color w:val="auto"/>
                <w:sz w:val="24"/>
                <w:szCs w:val="24"/>
              </w:rPr>
              <w:t>, реестровый номер 59:01-6.</w:t>
            </w:r>
            <w:r>
              <w:rPr>
                <w:color w:val="auto"/>
                <w:sz w:val="24"/>
                <w:szCs w:val="24"/>
                <w:highlight w:val="white"/>
              </w:rPr>
              <w:t>9608;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решения Федеральной службы по надзору в сфере защиты прав потребителей и благополучия человека Об установлении санитарно- защитной зоны для Пермского филиала ФГУП «Российский научный центр «Прикладная химия» г. Пермь, ул. Во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>ронежская, 41 от 19.04.2019 № 46-РСЗЗ</w:t>
            </w: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постановления администрации города Перми «Об утверждении перечней и проектов границ общих и индивидуальных санитарно-защитных зон промышленных предприятий и объектов, расположенных на территории города Перми» от 22.11.2005 № 2735,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  <w:t>приказа Камского бассейнового водного управления Федерального агентства водных ресурсов от 21.11.2022 № 239 «Об установлении границ зон затопления на территориях, прилегающих к зарегулированной р. Кама (Воткинскому водохранилищу) в нижнем бьефе Камского гидроузла в г. Перми Пермского края, затапливаемых при пропуске Камским гидроузлом паводков расчетной обеспеченности 1%»; Ограничения использования объектов недвижимости в соответствии с частью 3 статьи 67.1 Водного кодекса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b w:val="false"/>
                <w:bCs w:val="false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b w:val="false"/>
                <w:bCs w:val="false"/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испрашиваемом земельном участке произрастает 59 деревьев пород – осина 9 шт., береза 31 шт., ива 16 шт., клен ясенелистный 3 шт.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Средняя стоимость в ценах 2025 года одного дерева лиственной породы от 25 тыс. руб., а хвойной – от 30 тыс. руб.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</w:rPr>
              <w:t xml:space="preserve">Победителю аукциона необходимо соблюдать условия строительства, перечисленные в </w:t>
            </w: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  <w:t>перечне мероприятий по охране окружающей среды от 14.10.2025 № 352.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Управления по экологии и природопользованию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14.10.2025 № 059-33-01-10/3-70).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spacing w:val="0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spacing w:val="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Муниципальной программой «Дорожная деятельность </w:t>
              <w:br/>
              <w:t>и благоустройство города Перми», утвержденной постановлением администрации города Перми от 18.10.2024 № 966 «Об утверждении муниципальной программы «Дорожная деятельность и благоустройство города Перми»,</w:t>
            </w:r>
            <w:r>
              <w:rPr>
                <w:color w:val="auto"/>
                <w:sz w:val="24"/>
                <w:szCs w:val="24"/>
                <w:highlight w:val="white"/>
              </w:rPr>
              <w:t xml:space="preserve"> бюджетом города Перми на период 2025-2029 годы мероприятия по строительству, реконструкции, капитальному ремонту улично-дорожной сети на рассматриваемой территории не предусмотрены.</w:t>
            </w:r>
          </w:p>
          <w:p>
            <w:pPr>
              <w:pStyle w:val="Normal"/>
              <w:spacing w:lineRule="auto" w:line="240" w:beforeAutospacing="0" w:before="0" w:afterAutospacing="0" w:after="0"/>
              <w:ind w:firstLine="283" w:left="0" w:right="0"/>
              <w:jc w:val="both"/>
              <w:rPr>
                <w:b/>
                <w:bCs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</w:rPr>
              <w:t xml:space="preserve">По информации, имеющейся в департаменте дорог и благоустройства администрации города Перми, </w:t>
              <w:br/>
              <w:t xml:space="preserve">в настоящее время отсутствует улично-дорожная сеть для примыкания земельных участков. Рассмотрение данного вопроса возможно после принятия решения </w:t>
              <w:br/>
              <w:t>о строительстве улично-дорожной сети для обеспечения доступа к земельным участкам.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color w:val="auto"/>
                <w:sz w:val="24"/>
                <w:szCs w:val="24"/>
              </w:rPr>
              <w:t xml:space="preserve">В соответствии с Федеральным Законом от 08.11.2007 </w:t>
              <w:br/>
      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расходы на строительство, реконструкцию, капитальный ремонт, ремонт пересечений и примыканий, в том числе расходы </w:t>
              <w:br/>
              <w:t xml:space="preserve">на выполнение дополнительных работ, связанных </w:t>
              <w:br/>
              <w:t xml:space="preserve">с обеспечением безопасности дорожного движения, водоотведения и исполнением других установленных техническими регламентами требований, несут лица, </w:t>
              <w:br/>
              <w:t>в интересах которых осуществляются строительство, реконструкция, капитальный ремонт, ремонт пересечений или примыканий.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Департамента дорог и благоустройства администрации города Перми</w:t>
            </w:r>
            <w:r>
              <w:rPr>
                <w:color w:val="auto"/>
                <w:sz w:val="24"/>
                <w:szCs w:val="24"/>
              </w:rPr>
              <w:t xml:space="preserve"> от 07.10.2025 № 059-24-01-36/3-3670).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Источники противопожарного водоснабжения (пожарные водоемы и пожарные гидранты на сети водоснабжения) на указанных территориях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При планировке и размещении объектов </w:t>
              <w:br/>
              <w:t>на вышеуказанной территории необходимо соблюдать нормы и требования действующего законодательства: Федеральных законов от 21 декабря 1994 г. № 69-ФЗ «О пожарной безопасности» и от 22 июля 2008 г. № 123-ФЗ «Технический регламент о требованиях пожарной безопасности», Региональных нормативов градостроительного проектирования «Расчетные показатели обеспеченности населения Пермского края объектами пожарной охраны», утвержденных приказом Министерства по управлению имуществом и градостроительной деятельности Пермского края от 25.02.2021 № 31-02-1-4-248, а также Свода правил 8.13130 «Системы противопожарной защиты. Источники наружного противопожарного водоснабжения. Требования пожарной безопасности», утвержденных приказом МЧС России от 30.03.2020 № 225, Свода правил 4.13130 «Системы противопожарной защиты. Ограничение распространения пожара на объектах защиты. Требования к объемно-планировочным и конструктивным решениям», утвержденных Приказом МЧС России от 24.04.2013 № 288 и иной документации, касающейся норм противопожарной безопасности.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Информация о подразделениях пожарной охраны </w:t>
              <w:br/>
              <w:t>и времени их прибытия содержится в «Расписании выезда подразделений Пермского местного пожарно-спасательного гарнизона для тушения пожаров и проведения аварийно-спасательных работ на территории Пермского городского округа, Пермского муниципального района», утвержденном Главой города Перми 26.04.2024. Подразделение пожарной охраны расположено по адресу: ул. Сысольская, 16 (ПСЧ-6 10-ПСО).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color w:val="auto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Помещения для аварийно-спасательных служб </w:t>
              <w:br/>
              <w:t>и (или) аварийно-спасательных формирований на указанной территории отсутствуют.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Объект общественной безопасности, отнесенный </w:t>
              <w:br/>
              <w:t xml:space="preserve">к объектам полиции (участковые пункты полиции), </w:t>
              <w:br/>
              <w:t xml:space="preserve">в данном микрорайоне расположен по адресу: г. Пермь, ул. Генерала Панфилова, 6/1 (микрорайон Крым, Кировский район). В настоящее время в указанном микрорайоне строительство (приобретение) участковых пунктов полиции не планируется. По информации, предоставленной Министерством территориальной безопасности Пермского края (письмо от 07.10.2020 </w:t>
              <w:br/>
              <w:t>№ 964с), рассматриваемые земельные участки попадают в зону возможного химического заражения в особый период.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  <w:t>Указанные земельные участки находятся в зоне действия системы оповещения населения города Перми, установленной по ул. Генерала Панфилова, 10 – 1500 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rFonts w:eastAsia="Times New Roman" w:cs="Times New Roman"/>
                <w:b/>
                <w:color w:val="auto"/>
                <w:sz w:val="24"/>
                <w:szCs w:val="24"/>
              </w:rPr>
              <w:t>департамента общественной безопасности администрации города Перми</w:t>
            </w:r>
            <w:r>
              <w:rPr>
                <w:rFonts w:eastAsia="Times New Roman" w:cs="Times New Roman"/>
                <w:color w:val="auto"/>
                <w:sz w:val="24"/>
                <w:szCs w:val="24"/>
              </w:rPr>
              <w:t xml:space="preserve"> от 06.10.2025 № 059-10-01-27/3-2189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auto"/>
                <w:sz w:val="24"/>
                <w:szCs w:val="24"/>
              </w:rPr>
              <w:t xml:space="preserve">Согласно протоколу заседания координационного совещания по обеспечению правопорядка в Пермском крае от 16.03.2022 №74-гс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sz w:val="24"/>
                <w:szCs w:val="24"/>
              </w:rPr>
              <w:t>для строительства объектов городской инфраструктуры (парков, скверов, торгово-развлекательных комплексов, иных зданий и сооружений) обязательным является условие по установке камер видеонаблюдения.</w:t>
            </w:r>
          </w:p>
        </w:tc>
      </w:tr>
      <w:tr>
        <w:trPr>
          <w:trHeight w:val="1087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2"/>
              </w:numPr>
              <w:spacing w:before="0" w:after="0"/>
              <w:ind w:hanging="283" w:left="510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 и (или) минимально </w:t>
              <w:br/>
              <w:t>допустимые параметры разрешенного строительства объекта капитального строительства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color w:themeColor="text1" w:val="000000"/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color w:themeColor="text1" w:val="000000"/>
                <w:sz w:val="24"/>
                <w:szCs w:val="24"/>
                <w:highlight w:val="none"/>
                <w:u w:val="none"/>
              </w:rPr>
            </w:pPr>
            <w:r>
              <w:rPr>
                <w:szCs w:val="24"/>
              </w:rPr>
              <w:t xml:space="preserve">В </w:t>
            </w:r>
            <w:r>
              <w:rPr>
                <w:szCs w:val="24"/>
                <w:shd w:fill="FFFFFF" w:val="clear"/>
              </w:rPr>
              <w:t>документации по земельному участку, размещенной</w:t>
              <w:br/>
              <w:t xml:space="preserve">с извещением о проведении аукциона в ГИС Торги </w:t>
            </w:r>
            <w:r>
              <w:rPr>
                <w:szCs w:val="24"/>
                <w:lang w:val="en-US"/>
              </w:rPr>
              <w:t>www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torgi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gov</w:t>
            </w:r>
            <w:r>
              <w:rPr>
                <w:szCs w:val="24"/>
              </w:rPr>
              <w:t>.</w:t>
            </w:r>
            <w:r>
              <w:rPr>
                <w:szCs w:val="24"/>
                <w:lang w:val="en-US"/>
              </w:rPr>
              <w:t>ru</w:t>
            </w:r>
            <w:r>
              <w:rPr>
                <w:szCs w:val="24"/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3" w:tgtFrame="http://www.gorodperm.ru/">
              <w:r>
                <w:rPr>
                  <w:rStyle w:val="Hyperlink"/>
                  <w:color w:themeColor="text1" w:val="000000"/>
                  <w:szCs w:val="24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szCs w:val="24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участок, указаны в </w:t>
            </w:r>
            <w:r>
              <w:rPr>
                <w:sz w:val="24"/>
                <w:szCs w:val="24"/>
              </w:rPr>
              <w:t>ГПЗУ</w:t>
            </w:r>
            <w:r>
              <w:rPr>
                <w:sz w:val="24"/>
                <w:szCs w:val="24"/>
                <w:lang w:val="en-US"/>
              </w:rPr>
              <w:t xml:space="preserve"> (пункт 3 статьи 57.3 Градостроительного кодекса Российской Федерации).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Согласно ГПЗУ: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максимальный выступ за красную линию нависающих частей здания наземных уровней, выступающих из плоскости наружной стены фасада здания на высоте не менее 4,5 м над территорией общего пользования, составляет не более 1,2 м от красной линии. В случаях когда линия регулирования застройки отличается от красной линии, указанный выступ может быть произведен за линию регулирования застройки;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 xml:space="preserve">максимальный класс опасности (в соответствии </w:t>
              <w:br/>
              <w:t>с санитарно- эпидемиологическими правилами) объектов капитального строительства, размещаемых на земельных участках – V;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минимальный отступ от границ Участка до места допустимого размещения зданий, строений – 0 м;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Предельное количество этажей и (или) предельная высота зданий, строений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отношений суммарной площади земельного участка, которая может быть застроена, ко всей площади земельного участка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архитектурным решениям объектов капитального строительства, расположенным в границах территории исторического поселения федерального или регионального значения – без ограничений.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>В соответствии с таблицей Б.1 «Показатели плотности застройки участков территориальных зон» СП 42.13330.2016. Свод правил. Градостроительство. Планировка и застройка городских и сельских поселений. Актуализированная редакция СНиП 2.07.01-89* коэффициент плотности застройки земельного участка в производственной промышленной зоне составляет 2,4.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В соответствии копией планшета М 1:500, требующего корректуры, в границах земельного участка с кадастровым номером 59:01:1717124:336 расположена сеть электроснабжения 6 кВ.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(вместе с «Правилами установления охранных зон объектов электросетевого хозяйства и особых условий использования земельных участков, расположенных в границах таких зон») установлено, что расстояние по горизонтали от элементов зданий и сооружений до проводов воздушных линий электропередачи напряжением свыше 1 кВ до 20 кВ (при наибольшем их отклонении) должно быть не менее 2 метров.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4"/>
                <w:szCs w:val="24"/>
              </w:rPr>
              <w:t>Таким образом, предельные параметры разрешенного строительства на земельном участке составляют 8517 кв. м (3549*2,4).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val="en-US"/>
              </w:rPr>
              <w:t xml:space="preserve">Учитывая конфигурацию Участка, расположенные </w:t>
              <w:br/>
              <w:t xml:space="preserve">в границах Участка сети и зоны с особыми условиями использования территории, информация о которых не содержится в ЕГРН, в соответствии с приложением Г «Площадь и размеры земельных участков складов» СП 42.13330.2016. Свод правил. Градостроительство. Планировка и застройка городских и сельских поселений. Актуализированная редакция СНиП 2.07.01-89* минимальная площадь склада на Участке для складов непродовольственных товаров составляет: 2497 кв. м </w:t>
              <w:br/>
              <w:t>для одноэтажных объектов капитального строительства, 3771 кв. м для многоэтажных объектов капитального строительства. (если</w:t>
            </w:r>
            <w:r>
              <w:rPr>
                <w:color w:val="000000"/>
                <w:sz w:val="24"/>
                <w:szCs w:val="24"/>
                <w:shd w:fill="FFFFFF" w:val="clear"/>
                <w:lang w:val="en-US"/>
                <w14:ligatures w14:val="none"/>
              </w:rPr>
              <w:t xml:space="preserve"> на земельном участке не планируется строительство объектов согласно установленному виду разрешенного использования «легкая промышленность (6.3)).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пунктом 2.1.34. Решения Пермской городской Думы от 15.12.2020 № 277 «Об утверждении Правил благоустройства территории города Перми» </w:t>
              <w:br/>
              <w:t>при проектировании и строительстве объекта капитального строительства необходимо соблюдать требования по разработке паспорта внешнего облика объекта капитального строительства (далее –  колерный паспорт, Правила).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Колерный паспорт – документ, разрабатываемый </w:t>
              <w:br/>
              <w:t>в случаях, предусмотренных действующим законодательством, Правилами, для фасада здания, строения, сооружения при планируемом строительстве, реконструкции, капитальном ремонте, реставрации, приспособлении объекта культурного наследия для современного использования, а также при изменении внешнего вида здания, строения, сооружения, который устанавливает внешний облик (вид) фасада здания, строения, сооружения, включая требования в отношении материалов, способов отделки и цветов фасадов, ограждающих конструкций (крыш (кровельного покрытия), ограждений балконов, лоджий), мест для размещения средств размещения информации (вывесок, указателей с наименованиями улиц и номерами домов (зданий)), рекламных конструкций, а также мест для размещения, вида, цветового решения архитектурно-художественной подсветки.</w:t>
            </w:r>
          </w:p>
          <w:p>
            <w:pPr>
              <w:pStyle w:val="Normal"/>
              <w:spacing w:lineRule="auto" w:line="240" w:before="0" w:after="0"/>
              <w:ind w:firstLine="31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FFFFFF" w:val="clear"/>
                <w:lang w:val="en-US"/>
                <w14:ligatures w14:val="none"/>
              </w:rPr>
              <w:t xml:space="preserve">Колерный паспорт подлежит согласованию </w:t>
              <w:br/>
              <w:t>с функциональным органом администрации города Перми, осуществляющим функции управления в сфере градостроительства.</w:t>
            </w:r>
          </w:p>
        </w:tc>
      </w:tr>
      <w:tr>
        <w:trPr>
          <w:trHeight w:val="144" w:hRule="atLeast"/>
        </w:trPr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ind w:hanging="284" w:left="410"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>
                <w:sz w:val="24"/>
                <w:szCs w:val="24"/>
                <w:u w:val="none"/>
              </w:rPr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  <w:u w:val="none"/>
              </w:rPr>
            </w:pPr>
            <w:r>
              <w:rPr/>
              <w:t xml:space="preserve">В </w:t>
            </w:r>
            <w:r>
              <w:rPr>
                <w:shd w:fill="FFFFFF" w:val="clear"/>
              </w:rPr>
              <w:t xml:space="preserve">документации по земельному участку, размещенной </w:t>
              <w:br/>
              <w:t xml:space="preserve">с извещением о проведении аукциона в ГИС Торги </w:t>
            </w:r>
            <w:r>
              <w:rPr>
                <w:lang w:val="en-US"/>
              </w:rPr>
              <w:t>www</w:t>
            </w:r>
            <w:r>
              <w:rPr/>
              <w:t>.</w:t>
            </w:r>
            <w:r>
              <w:rPr>
                <w:lang w:val="en-US"/>
              </w:rPr>
              <w:t>torgi</w:t>
            </w:r>
            <w:r>
              <w:rPr/>
              <w:t>.</w:t>
            </w:r>
            <w:r>
              <w:rPr>
                <w:lang w:val="en-US"/>
              </w:rPr>
              <w:t>gov</w:t>
            </w:r>
            <w:r>
              <w:rPr/>
              <w:t>.</w:t>
            </w:r>
            <w:r>
              <w:rPr>
                <w:lang w:val="en-US"/>
              </w:rPr>
              <w:t>ru</w:t>
            </w:r>
            <w:r>
              <w:rPr>
                <w:shd w:fill="FFFFFF" w:val="clear"/>
              </w:rPr>
              <w:t xml:space="preserve">, на официальном сайте муниципального образования город Пермь в информационно-телекоммуникационной сети Интернет </w:t>
            </w:r>
            <w:hyperlink r:id="rId34" w:tgtFrame="http://www.gorodperm.ru/">
              <w:r>
                <w:rPr>
                  <w:rStyle w:val="Hyperlink"/>
                  <w:color w:themeColor="text1" w:val="000000"/>
                  <w:u w:val="none"/>
                </w:rPr>
                <w:t>www.gorodperm.ru</w:t>
              </w:r>
            </w:hyperlink>
            <w:r>
              <w:rPr>
                <w:color w:themeColor="text1" w:val="000000"/>
                <w:u w:val="none"/>
              </w:rPr>
              <w:t>.</w:t>
            </w:r>
          </w:p>
          <w:p>
            <w:pPr>
              <w:pStyle w:val="Normal"/>
              <w:ind w:firstLine="312"/>
              <w:jc w:val="both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color w:val="auto"/>
                <w:sz w:val="24"/>
                <w:szCs w:val="24"/>
                <w:highlight w:val="white"/>
              </w:rPr>
              <w:t>О наличии технической возможности технологического присоединения к электросетям филиала энергопринимающего устройства объекта капитального строительства с предполагаемой максимальной мощностью 944 кВт сообщает следующее.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Процедура технологического присоединения осуществляется в соответствии с нормами действующего законодательства: Федеральным законом от 26.03.2003 № 35 - ФЗ «Об электроэнергетике»,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 (далее - Правила ТП), утвержденными постановлением Правительства РФ от 27.12.2004 № 861.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Сетевая организация обязана соблюдать единые стандарты качества обслуживания сетевыми организациями потребителей услуг сетевых организаций, утверждаемые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топливно-энергетического комплекса, в отношении лица, обратившегося к ней с целью осуществления технологического присоединения энергопринимающих устройств.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Информация о наличии объема свободной для технологического присоединения потребителей трансформаторной мощности по подстанциям и распределительным пунктам с дифференциацией по всем уровням напряжения в соответствии с абз. 7-8 подп. «г» п. 19 Стандартов раскрытия информации субъектами оптового и розничных рынков электрической энергии, утвержденных постановлением Правительства РФ от 21.01.2004 № 24, размещена на официальном сайте ПАО «Россети Урал» по адресу: https: //rosseti- ural.ru/disclosure/monopoly/characteristic/bandwidth/.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K земельному участку ближайшим центром питания ПАО «Россети Урал» является ПС 35/6 Вышка, резерв электрической мощности на которой составляет 2,27 МВт на 25.09.2025.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Ввиду отсутствия резерва необходимой электрической мощности осуществление технологического присоединения энергопринимающих устройств возможно в рамках заключения договора по индивидуальному проекту, в порядке, установленном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пункту 3 Правил ТП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ТП и наличии технической возможности технологического присоединения.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В силу пункта 6 Правил ТП технологическое присоединение осуществляется на основании договора, заключаемого между сетевой организацией и юридическим или физическим лицом. Перечень мероприятий по технологическому присоединению определяется в технических условиях.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Согласно пунктам 15, 25, 25.1 Правил ТП технические условия являются неотъемлемым приложением к соответствующему договору технологического присоединения и представляют собой техническое решение присоединения конкретного энергопринимающего устройства к сетям электросетевой организации, которое предусматривает точки присоединения, требования к усилению существующей сети, иные технические требования.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Следовательно, технические условия для технологического присоединения предоставляются заявителю сетевой организацией вместе с договором о технологическом присоединении.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При этом Правилами ТП не предусмотрена подготовка и выдача сетевой организацией частным лицам либо органам государственной власти (местного самоуправления) каких-либо предварительных технических условий на подключение к электрическим сетям без подачи заявки на технологическое присоединение.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На основании вышеизложенного, для получения технических условий и заключения договора на технологическое присоединение необходимо направить в адрес филиала ПАО «Россети Урал» - «Пермэнерго» соответствующую заявку на технологическое присоединение с указанием сведений и приложением необходимых документов в соответствии с Правилами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Размер платы, объем мероприятий и сроки исполнения данных мероприятий будут определены договором об осуществлении технологического присоединения, подготовленном на основании заявки на технологическое присоединение, отвечающей требованиям, изложенным в пунктах 9, 10 Правил ТП.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>Заявку на технологическое присоединение можно подать через единый федеральный портал электросетевых услуг группы компаний «Россети» - ПОРТАЛ - ТП. РФ.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  <w:highlight w:val="white"/>
              </w:rPr>
              <w:t xml:space="preserve">ПАО «Россети Урал» - «Пермэнерго» Пермские городские электрические сети» </w:t>
            </w:r>
            <w:r>
              <w:rPr>
                <w:b w:val="false"/>
                <w:bCs w:val="false"/>
                <w:color w:val="auto"/>
                <w:sz w:val="24"/>
                <w:szCs w:val="24"/>
                <w:highlight w:val="white"/>
              </w:rPr>
              <w:t xml:space="preserve">от </w:t>
            </w:r>
            <w:r>
              <w:rPr>
                <w:color w:val="auto"/>
                <w:sz w:val="24"/>
                <w:szCs w:val="24"/>
                <w:highlight w:val="white"/>
              </w:rPr>
              <w:t>30.10.2025 № ПЭ/22/1562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к сетям теплоснабжения с присоединяемой нагрузкой 0,06 Гккал/час возможность имеется. Возможные точки присоединения на существующих тепловых сетях: T-30-22 на М4-02 (разв.) 2Ду200мм. Источник теплоснабжения: ТЭЦ-14. Сведения о размере подключаемой тепловой нагрузки: 1,54 Гкал/ч.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</w:rPr>
              <w:t>Уточнение объема и перечня необходимых мероприятий для подключения объекта к системе теплоснабжения возможно после подачи заявки и предоставления полного пакета документов для заключения договора о подключении (технологическом присоединении).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>ПАО «Т Плюс»</w:t>
            </w:r>
            <w:r>
              <w:rPr>
                <w:color w:val="auto"/>
                <w:sz w:val="24"/>
                <w:szCs w:val="24"/>
              </w:rPr>
              <w:t xml:space="preserve"> от 10.10.2025 № 51030-01-06295).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>Техническая возможность подключения объекта капитального строительства с предполагаемой максимальной нагрузкой 16 куб.м/час к существующим сетям газораспределения имеется.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>Для определения месторасположения газораспределительных сетей на интересуемом земельном участке необходимо направить в адрес Филиала в г. Пермь АО «Газпром газораспределение Пермь» инженерно-топографический план на бумажном носителе, выполненный в масштабе 1:500, в координатах г. Перми, на котором отображены рельеф местности, объекты ситуации и границы интересующей территории.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Для рассмотрения вопроса о предоставлении технических условий на подключение (технологическое присоединение) Заявителю, намеревающемуся осуществить подключение к газораспределительным сетям объектов капитального строительства необходимо направить в адрес Пермского филиала АО «Газпром газораспределение Пермь» (на электронную почту post@pf.ugaz.ru ; почтой России по адресу: 614107, Пермский край, г. Пермь, ул. Уральская, д. 104; через Единый центр предоставления услуг по адресу: г. Пермь, ул. Уральская, д. 104, каб. 101, график работы: пн-ср </w:t>
              <w:br/>
              <w:t>с 8:00 до 17:00, чт с 11:00 до 20:00, пт с 8:00 до 16:00, вторая суббота месяца с 08:00 до 16:00)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14:ligatures w14:val="none"/>
              </w:rPr>
              <w:t xml:space="preserve">Заявку о заключении договора о подключении (технологическом присоединении) по типовой форме </w:t>
              <w:br/>
              <w:t xml:space="preserve">с пакетом документов в соответствии с п. 11, 16 Постановления Правительства Российской федерации № 1547 от 13.09.2021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</w:t>
              <w:br/>
              <w:t>и о признании утратившими силу некоторых актов Правительства Российской Федерации».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>АО «Газпром газораспределение Пермь»</w:t>
            </w:r>
            <w:r>
              <w:rPr>
                <w:color w:val="auto"/>
                <w:sz w:val="24"/>
                <w:szCs w:val="24"/>
              </w:rPr>
              <w:t xml:space="preserve"> от 09.10.2025 № ПФ-7372).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14:ligatures w14:val="none"/>
              </w:rPr>
            </w:pPr>
            <w:r>
              <w:rPr>
                <w:color w:val="auto"/>
                <w:sz w:val="24"/>
                <w:szCs w:val="24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b w:val="false"/>
                <w:bCs w:val="false"/>
                <w:color w:val="auto"/>
                <w:sz w:val="24"/>
                <w:szCs w:val="24"/>
              </w:rPr>
              <w:t>Технологическое присоединение к сетям связи ПАО «Ростелеком» может быть произведено в точке подключения узел ВОЛС (г. Пермь, ул. Генерала Панфилова, 8В), максимальную нагрузку в точке подключения (технологического присоединения) определить на стадии проектирования.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Для подключения (технологического присоединения) вышеуказанных объектов к сетям электросвязи </w:t>
              <w:br/>
              <w:t xml:space="preserve">ПАО «Ростелеком» необходим запрос правообладателя земельного участка на выдачу технических условий подключения или заявки о заключении договора </w:t>
              <w:br/>
              <w:t>о подключении в порядке, определенном действующим законодательством.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Срок действия технических условий составляет 3 года (при комплексном развитии территории 5 лет) со дня выдачи технических условий. В случае, если в течение </w:t>
              <w:br/>
              <w:t xml:space="preserve">1 года (при комплексном развитии территории – 3 лет) </w:t>
              <w:br/>
              <w:t>со дня выдачи технических условий заявителем не будет подана заявка о подключении, срок действия технических условий прекращается («Правила подключения (технологического присоединения) объектов капитального строительства к сетям электросвязи», утвержденные постановлением Правительства РФ от 01.07.2022 № 1196).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  <w14:ligatures w14:val="none"/>
              </w:rPr>
            </w:pPr>
            <w:r>
              <w:rPr>
                <w:color w:val="auto"/>
                <w:sz w:val="24"/>
                <w:szCs w:val="24"/>
              </w:rPr>
              <w:t xml:space="preserve">Для получения ТУ на подключение к сетям связи ПАО «Ростелеком» необходимо обратиться в Отдел продаж и обслуживания по адресу: г. Пермь, ул. Крупской, 2, тел.: +7 (342) 235-57-34 или направить запрос на </w:t>
            </w:r>
            <w:hyperlink r:id="rId35">
              <w:r>
                <w:rPr>
                  <w:rStyle w:val="Hyperlink"/>
                  <w:color w:val="auto"/>
                  <w:sz w:val="24"/>
                  <w:szCs w:val="24"/>
                </w:rPr>
                <w:t>perm-mail@ural.rt.ru</w:t>
              </w:r>
            </w:hyperlink>
            <w:hyperlink r:id="rId36" w:tgtFrame="mailto:perm-mail@ural.rt.ru.">
              <w:r>
                <w:rPr>
                  <w:rStyle w:val="ListLabel37"/>
                  <w:color w:val="auto"/>
                  <w:sz w:val="24"/>
                  <w:szCs w:val="24"/>
                </w:rPr>
                <w:t>.</w:t>
              </w:r>
            </w:hyperlink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ПАО «Ростелеком» </w:t>
            </w:r>
            <w:r>
              <w:rPr>
                <w:b w:val="false"/>
                <w:bCs w:val="false"/>
                <w:color w:val="auto"/>
                <w:sz w:val="24"/>
                <w:szCs w:val="24"/>
              </w:rPr>
              <w:t>от 09.10.2025 № 01/05/149268/25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О возможности подключения планируемого к строительству объекта на Участке сообщается, что в районе вышеуказанных земельных участков, расположенных по ул. Воронежская отсутствуют централизованные сети водоснабжения и водоотведения, эксплуатируемые ООО «Новогор-Прикамье».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Ближайшие сети водоснабжения, эксплуатируемые ООО «НОВОГОР-Прикамье», располагаются в районе здания по ул. Воронежская, 39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Ближайшие сети водоотведения, эксплуатируемые ООО «НОВОГОР- Прикамье», располагаются в районе здания по ул. Воронежская, 37 ориентировочно на расстоянии - 2 км от выше 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Виду отсутствия данных о посадке проектируемых объектов, длины технологических разрывов до сетей водоснабжения и водоотведения указаны ориентировочно.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>При проектировании может быть применен альтернативный способ водоснабжения без подключения к централизованной системе водоснабжения (от скважины) и альтернативный способ канализования, без подключения к централизованной системе канализации г. Перми (отвод стоков на локальные очистные сооружения), при этом состав канализационных стоков должен соответствовать всем нормативным требованиям Российской Федерации.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 xml:space="preserve">Для сведения сообщаем, в связи с тем, что </w:t>
              <w:br/>
              <w:t xml:space="preserve">ООО «НОВОГОР-Прикамье» эксплуатирует только централизованные системы водоснабжения и водоотведения, по вопросу возможности обеспечения индивидуального жилого дома холодным водоснабжением от скважины и отвода канализационных стоков локально, предлагаем вам обратиться </w:t>
              <w:br/>
              <w:t>в соответствующие организации, регулирующие недропользование.</w:t>
            </w:r>
          </w:p>
          <w:p>
            <w:pPr>
              <w:pStyle w:val="Normal"/>
              <w:spacing w:lineRule="auto" w:line="240" w:before="0" w:after="0"/>
              <w:ind w:firstLine="452"/>
              <w:jc w:val="both"/>
              <w:rPr/>
            </w:pPr>
            <w:r>
              <w:rPr>
                <w:sz w:val="24"/>
                <w:szCs w:val="24"/>
              </w:rPr>
              <w:t>Кроме того, ООО «НОВОГОР-Прикамье» не располагает сведениями о наличии сетей 3-х лиц в границах вышеуказанных земельных участков.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</w:rPr>
              <w:t xml:space="preserve">ООО «Новогор-Прикамье» </w:t>
            </w:r>
            <w:r>
              <w:rPr>
                <w:color w:val="auto"/>
                <w:sz w:val="24"/>
                <w:szCs w:val="24"/>
              </w:rPr>
              <w:t>от 07.10.2025 № 110-15615).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  <w:highlight w:val="white"/>
              </w:rPr>
              <w:t>На период до 2028 года на территории, где расположен Участок, схемами водоснабжения и водоотведения города Перми, утвержденными постановлением администрации города Перми от 28.12.2018 № 1085, предусмотрено строительство сетей водоснабжения и водоотведения в мкр. Крым поселок.</w:t>
            </w:r>
          </w:p>
          <w:p>
            <w:pPr>
              <w:pStyle w:val="Normal"/>
              <w:spacing w:lineRule="auto" w:line="240" w:before="0" w:after="0"/>
              <w:ind w:firstLine="283" w:left="0" w:right="0"/>
              <w:jc w:val="both"/>
              <w:rPr/>
            </w:pPr>
            <w:r>
              <w:rPr>
                <w:color w:val="auto"/>
                <w:sz w:val="24"/>
                <w:szCs w:val="24"/>
              </w:rPr>
              <w:t xml:space="preserve">(Аналогичная информация отражена в письме </w:t>
            </w:r>
            <w:r>
              <w:rPr>
                <w:b/>
                <w:color w:val="auto"/>
                <w:sz w:val="24"/>
                <w:szCs w:val="24"/>
                <w:highlight w:val="white"/>
              </w:rPr>
              <w:t xml:space="preserve">епартамента жилищно-коммунального хозяйства администрации города Перми </w:t>
            </w:r>
            <w:r>
              <w:rPr>
                <w:color w:val="auto"/>
                <w:sz w:val="24"/>
                <w:szCs w:val="24"/>
                <w:highlight w:val="white"/>
              </w:rPr>
              <w:t>от 07.10.2025 № 059-04-17/3-959-ри</w:t>
            </w:r>
            <w:r>
              <w:rPr>
                <w:color w:val="auto"/>
                <w:sz w:val="24"/>
                <w:szCs w:val="24"/>
              </w:rPr>
              <w:t>).</w:t>
            </w:r>
          </w:p>
          <w:p>
            <w:pPr>
              <w:pStyle w:val="Normal"/>
              <w:spacing w:lineRule="auto" w:line="240" w:before="0" w:after="0"/>
              <w:ind w:hanging="0" w:left="0" w:right="0"/>
              <w:jc w:val="both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предмета аукциона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(размер ежегодной арендной платы)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ind w:right="0"/>
              <w:rPr/>
            </w:pP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 xml:space="preserve">По условиям пункта 4.3 проекта договора аренды земельного участка, приобретаемого на торгах в форме аукциона, для строительства (Приложение 13 к настоящему извещению), победитель аукциона, иное лицо, с которым договор заключается в соответствии с п.13, п.14, п. 20 или п. 25  ст. 39.12 Земельного Кодекса Российской Федерации </w:t>
              <w:br/>
              <w:t xml:space="preserve">(далее – ЗК РФ), обязан до подписания договора уплатить ежегодный размер арендной платы, указанный в п. 4.2 договора (за вычетом задатка, внесенного для участия в аукционе) </w:t>
            </w:r>
            <w:r>
              <w:rPr>
                <w:b/>
                <w:bCs w:val="false"/>
                <w:color w:val="000000"/>
                <w:sz w:val="24"/>
                <w:szCs w:val="24"/>
                <w:shd w:fill="auto" w:val="clear"/>
              </w:rPr>
              <w:t xml:space="preserve">однократно за первые 3 года </w:t>
            </w:r>
            <w:r>
              <w:rPr>
                <w:b w:val="false"/>
                <w:bCs w:val="false"/>
                <w:sz w:val="24"/>
                <w:szCs w:val="24"/>
                <w:shd w:fill="auto" w:val="clear"/>
              </w:rPr>
              <w:t>на счет департамента земельных отношений администрации города Перми, 614000, ул. Сибирская,15, тел. 212-61-90 (отдел договоров).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 xml:space="preserve">513 050 </w:t>
            </w:r>
            <w:r>
              <w:rPr>
                <w:sz w:val="24"/>
                <w:szCs w:val="24"/>
              </w:rPr>
              <w:t>руб.</w:t>
            </w:r>
          </w:p>
        </w:tc>
      </w:tr>
      <w:tr>
        <w:trPr>
          <w:trHeight w:val="225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аукциона» (5%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shd w:fill="auto" w:val="clear"/>
                <w:lang w:val="ru-RU" w:eastAsia="ru-RU" w:bidi="ar-SA"/>
              </w:rPr>
              <w:t>25 652,5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>
        <w:trPr>
          <w:trHeight w:val="41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hanging="0" w:left="113" w:right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заявки на участие в аукционе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</w:pPr>
            <w:r>
              <w:rPr>
                <w:rFonts w:eastAsia="Droid Sans Fallback" w:cs="Lohit Devanagari"/>
                <w:color w:val="auto"/>
                <w:sz w:val="24"/>
                <w:szCs w:val="24"/>
                <w:lang w:val="ru-RU" w:eastAsia="zh-CN" w:bidi="ar-SA"/>
              </w:rPr>
              <w:t>Заявка на участие в электронном аукционе с указанием</w:t>
              <w:br/>
              <w:t>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2-4 пункта 1, пункте 1.1 статьи 39.12 Земельного кодекса Российской Федерации (копии документов, удостоверяющих личность заявителя (для граждан); надлежащим образом заверенный перевод на русский язык документов</w:t>
              <w:br/>
              <w:t>о государственной регистрации юридического лица</w:t>
              <w:br/>
              <w:t>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каждый лот представляется отдельный пакет документов.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Решение о проведении аукциона принято в соответствии со статьей 39.11 Земельного кодекса Российской Федерации, аукцион является открытым по составу участников.</w:t>
            </w:r>
          </w:p>
          <w:p>
            <w:pPr>
              <w:pStyle w:val="BodyText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задатка (50% от начальной цены </w:t>
            </w:r>
            <w:r>
              <w:rPr>
                <w:sz w:val="24"/>
                <w:szCs w:val="24"/>
                <w:shd w:fill="auto" w:val="clear"/>
              </w:rPr>
              <w:t>предмета аукциона)</w:t>
            </w:r>
          </w:p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256 525</w:t>
            </w:r>
            <w:r>
              <w:rPr>
                <w:sz w:val="24"/>
                <w:szCs w:val="24"/>
              </w:rPr>
              <w:t xml:space="preserve"> руб.</w:t>
            </w:r>
          </w:p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6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 земельного участка</w:t>
            </w:r>
          </w:p>
          <w:p>
            <w:pPr>
              <w:pStyle w:val="Normal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лет 6 месяцев</w:t>
            </w:r>
          </w:p>
        </w:tc>
      </w:tr>
      <w:tr>
        <w:trPr>
          <w:trHeight w:val="188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right="-2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договора аренды земельного участка, приобретаемого на торгах в форме аукциона, для строительства, является Приложением 13 к настоящему извещению и размещен на сайтах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torgi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gov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gorodperm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  <w:r>
              <w:rPr>
                <w:sz w:val="24"/>
                <w:szCs w:val="24"/>
              </w:rPr>
              <w:t xml:space="preserve"> (раздел Деятельность/ муниципальная собственность/ Торговая площадка/Вид торгов Продажа и аренда земельных участков).</w:t>
            </w:r>
          </w:p>
        </w:tc>
      </w:tr>
      <w:tr>
        <w:trPr>
          <w:trHeight w:val="144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0" w:right="-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осмотра земельного участка </w:t>
              <w:br/>
              <w:t>на местности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Осмотр земельного участка производится заявителем </w:t>
              <w:br/>
              <w:t>самостоятельно в любое время с даты опубликования настоящего извещения.</w:t>
            </w:r>
          </w:p>
        </w:tc>
      </w:tr>
    </w:tbl>
    <w:p>
      <w:pPr>
        <w:pStyle w:val="Normal"/>
        <w:spacing w:lineRule="exact" w:line="240"/>
        <w:ind w:hanging="0" w:left="1134"/>
        <w:jc w:val="left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PlainText"/>
        <w:spacing w:lineRule="exact" w:line="240"/>
        <w:ind w:hanging="1134" w:left="1134"/>
        <w:jc w:val="left"/>
        <w:rPr>
          <w:rFonts w:ascii="Times New Roman" w:hAnsi="Times New Roman" w:cs="Times New Roman"/>
          <w:b/>
          <w:sz w:val="24"/>
          <w:szCs w:val="28"/>
          <w:lang w:val="ru-RU"/>
        </w:rPr>
      </w:pPr>
      <w:r>
        <w:rPr>
          <w:rFonts w:cs="Times New Roman" w:ascii="Times New Roman" w:hAnsi="Times New Roman"/>
          <w:b/>
          <w:sz w:val="24"/>
          <w:szCs w:val="28"/>
          <w:lang w:val="ru-RU"/>
        </w:rPr>
      </w:r>
    </w:p>
    <w:p>
      <w:pPr>
        <w:pStyle w:val="Normal"/>
        <w:widowControl w:val="false"/>
        <w:spacing w:before="0" w:after="0"/>
        <w:ind w:left="0"/>
        <w:contextualSpacing/>
        <w:jc w:val="center"/>
        <w:rPr>
          <w:rFonts w:eastAsia="Courier New"/>
          <w:b/>
          <w:bCs/>
          <w:lang w:bidi="ru-RU"/>
        </w:rPr>
      </w:pPr>
      <w:r>
        <w:rPr>
          <w:rFonts w:eastAsia="Courier New"/>
          <w:b/>
          <w:lang w:bidi="ru-RU"/>
        </w:rPr>
        <w:t>Сроки, время подачи заявок, рассмотрения заявок, проведения аукциона</w:t>
      </w:r>
    </w:p>
    <w:p>
      <w:pPr>
        <w:pStyle w:val="Normal"/>
        <w:widowControl w:val="false"/>
        <w:spacing w:before="0" w:after="0"/>
        <w:ind w:left="567"/>
        <w:contextualSpacing/>
        <w:jc w:val="center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и время начала срока подачи заявок на участие в аукционе – 19.09.2026</w:t>
      </w:r>
      <w:r>
        <w:rPr>
          <w:rFonts w:eastAsia="Courier New"/>
          <w:lang w:bidi="ru-RU"/>
        </w:rPr>
        <w:t xml:space="preserve"> в 9:00 </w:t>
      </w:r>
      <w:r>
        <w:rPr/>
        <w:br w:type="textWrapping" w:clear="all"/>
      </w:r>
      <w:r>
        <w:rPr>
          <w:rFonts w:eastAsia="Courier New"/>
          <w:lang w:bidi="ru-RU"/>
        </w:rPr>
        <w:t>по местному времени (7:00 МСК).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  <w:t>Дата и время окончания срока подачи заявок на участие в аукционе – 13.10.2026</w:t>
      </w:r>
      <w:r>
        <w:rPr>
          <w:rFonts w:eastAsia="Courier New"/>
          <w:lang w:bidi="ru-RU"/>
        </w:rPr>
        <w:t xml:space="preserve"> </w:t>
      </w:r>
      <w:r>
        <w:rPr/>
        <w:br w:type="textWrapping" w:clear="all"/>
      </w:r>
      <w:r>
        <w:rPr>
          <w:rFonts w:eastAsia="Courier New"/>
          <w:lang w:bidi="ru-RU"/>
        </w:rPr>
        <w:t xml:space="preserve">в 18:00 по местному времени (16:00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lang w:bidi="ru-RU"/>
        </w:rPr>
      </w:pPr>
      <w:r>
        <w:rPr>
          <w:rFonts w:eastAsia="Courier New"/>
          <w:b/>
          <w:lang w:bidi="ru-RU"/>
        </w:rPr>
        <w:t>Дата окончания срока рассмотрения заявок на участие в аукционе (определение участников аукциона)</w:t>
      </w:r>
      <w:r>
        <w:rPr>
          <w:rFonts w:eastAsia="Courier New"/>
          <w:lang w:bidi="ru-RU"/>
        </w:rPr>
        <w:t xml:space="preserve"> –</w:t>
      </w:r>
      <w:r>
        <w:rPr>
          <w:rFonts w:eastAsia="Courier New"/>
          <w:b/>
          <w:bCs/>
          <w:lang w:bidi="ru-RU"/>
        </w:rPr>
        <w:t xml:space="preserve"> 14.10.2026.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lang w:bidi="ru-RU"/>
        </w:rPr>
      </w:pPr>
      <w:r>
        <w:rPr>
          <w:rFonts w:eastAsia="Courier New"/>
          <w:b/>
          <w:bCs/>
          <w:lang w:bidi="ru-RU"/>
        </w:rPr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bCs/>
          <w:lang w:bidi="ru-RU"/>
        </w:rPr>
        <w:t xml:space="preserve">Дата проведения аукциона (дата и время начала приема предложений </w:t>
      </w:r>
      <w:r>
        <w:rPr/>
        <w:br w:type="textWrapping" w:clear="all"/>
      </w:r>
      <w:r>
        <w:rPr>
          <w:rFonts w:eastAsia="Courier New"/>
          <w:b/>
          <w:bCs/>
          <w:lang w:bidi="ru-RU"/>
        </w:rPr>
        <w:t>от участников аукциона) – 15.10</w:t>
      </w:r>
      <w:r>
        <w:rPr>
          <w:rFonts w:eastAsia="Courier New"/>
          <w:b/>
          <w:lang w:bidi="ru-RU"/>
        </w:rPr>
        <w:t>.2026</w:t>
      </w:r>
      <w:r>
        <w:rPr>
          <w:rFonts w:eastAsia="Courier New"/>
          <w:lang w:bidi="ru-RU"/>
        </w:rPr>
        <w:t xml:space="preserve"> в 09:00 по местному времени (07:00 МСК). 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lang w:bidi="ru-RU"/>
        </w:rPr>
      </w:pPr>
      <w:r>
        <w:rPr>
          <w:rFonts w:eastAsia="Courier New"/>
          <w:b/>
          <w:lang w:bidi="ru-RU"/>
        </w:rPr>
      </w:r>
    </w:p>
    <w:p>
      <w:pPr>
        <w:pStyle w:val="Normal"/>
        <w:widowControl w:val="false"/>
        <w:ind w:firstLine="709" w:left="-567"/>
        <w:jc w:val="both"/>
        <w:rPr/>
      </w:pPr>
      <w:r>
        <w:rPr>
          <w:b/>
        </w:rPr>
        <w:t>Место подачи (приема) заявок и место проведения аукциона:</w:t>
      </w:r>
      <w:r>
        <w:rPr/>
        <w:t xml:space="preserve"> электронная площадка – универсальная торговая платформа АО «Сбербанк-АСТ», размещенная на сайте http://utp.sberbank-ast.ru в сети Интернет (торговая секция «Приватизация, аренда и продажа прав»).</w:t>
      </w:r>
    </w:p>
    <w:p>
      <w:pPr>
        <w:pStyle w:val="Normal"/>
        <w:widowControl w:val="false"/>
        <w:jc w:val="both"/>
        <w:rPr/>
      </w:pPr>
      <w:r>
        <w:rPr/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  <w:t>Плата оператору электронной площадки за участие в электронном аукционе</w:t>
      </w:r>
    </w:p>
    <w:p>
      <w:pPr>
        <w:pStyle w:val="Normal"/>
        <w:widowControl w:val="false"/>
        <w:ind w:firstLine="709" w:left="-567"/>
        <w:jc w:val="center"/>
        <w:rPr>
          <w:b/>
        </w:rPr>
      </w:pPr>
      <w:r>
        <w:rPr>
          <w:b/>
        </w:rPr>
      </w:r>
    </w:p>
    <w:p>
      <w:pPr>
        <w:pStyle w:val="Normal"/>
        <w:widowControl w:val="false"/>
        <w:ind w:firstLine="709" w:left="-567"/>
        <w:jc w:val="both"/>
        <w:rPr/>
      </w:pPr>
      <w:r>
        <w:rPr/>
        <w:t xml:space="preserve">В соответствии с постановлением Правительства Российской Федерации от 10 мая 2018 г. </w:t>
      </w:r>
      <w:r>
        <w:rPr/>
        <w:br w:type="textWrapping" w:clear="all"/>
      </w:r>
      <w:r>
        <w:rPr/>
        <w:t>№ 564 «О взимании 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установления ее предельных размеров» оператор электронной площадки вправе взимать плату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в размере 1% начальной цены предмета аукциона, но не более 5 тыс. рублей без учета налога на добавленную стоимость.</w:t>
      </w:r>
    </w:p>
    <w:p>
      <w:pPr>
        <w:pStyle w:val="Normal"/>
        <w:widowControl w:val="false"/>
        <w:ind w:firstLine="709" w:left="-567"/>
        <w:jc w:val="both"/>
        <w:rPr/>
      </w:pPr>
      <w:r>
        <w:rPr/>
        <w:t>По информации оператора электронной площадки АО «Сбербанк-АСТ» в настоящее время взимание платы не установлено.</w:t>
      </w:r>
    </w:p>
    <w:p>
      <w:pPr>
        <w:pStyle w:val="Normal"/>
        <w:widowControl w:val="false"/>
        <w:ind w:firstLine="709" w:left="-567"/>
        <w:jc w:val="both"/>
        <w:rPr/>
      </w:pPr>
      <w:r>
        <w:rPr/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  <w:t>Размер задатка для участия в аукционе, порядок его внесения и возврата, реквизиты счета для перечисления задатка</w:t>
      </w:r>
    </w:p>
    <w:p>
      <w:pPr>
        <w:pStyle w:val="Normal"/>
        <w:widowControl w:val="false"/>
        <w:spacing w:before="0" w:after="0"/>
        <w:ind w:left="502"/>
        <w:contextualSpacing/>
        <w:jc w:val="center"/>
        <w:rPr>
          <w:b/>
          <w:bCs/>
          <w:lang w:bidi="ru-RU"/>
        </w:rPr>
      </w:pPr>
      <w:r>
        <w:rPr>
          <w:b/>
          <w:bCs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Заявители, зарегистрированные на электронной площадке в установленном порядке, </w:t>
        <w:br/>
        <w:t xml:space="preserve">до подачи заявки на участие в аукционе (далее – заявка), осуществляют перечисление суммы задатка на участие в аукционе на банковские реквизиты Оператора, размещенные в открытой части торговой секции. 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 xml:space="preserve">В момент подачи заявки Оператор проверяет наличие денежной суммы в размере задатка </w:t>
      </w:r>
      <w:r>
        <w:rPr/>
        <w:br w:type="textWrapping" w:clear="all"/>
      </w:r>
      <w:r>
        <w:rPr>
          <w:bCs/>
          <w:lang w:bidi="ru-RU"/>
        </w:rPr>
        <w:t>на лицевом счете заявителя и осуществляет блокирование необходимой денежной суммы.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Представление документов, подтверждающих внесение задатка, признается заключением соглашения о задатке (п.2 ст. 39.12 Земельного кодекса Российской Федерации).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Cs/>
          <w:lang w:bidi="ru-RU"/>
        </w:rPr>
      </w:pPr>
      <w:r>
        <w:rPr>
          <w:bCs/>
          <w:lang w:bidi="ru-RU"/>
        </w:rPr>
        <w:t>Сумма задатка для участия в аукционе определяется в размере 50 процентов от начальной цены предмета аукциона. Размер задатка в извещении о проведении аукциона указан по каждому лоту.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b/>
          <w:bCs/>
          <w:lang w:bidi="ru-RU"/>
        </w:rPr>
      </w:pPr>
      <w:r>
        <w:rPr>
          <w:bCs/>
          <w:lang w:bidi="ru-RU"/>
        </w:rPr>
        <w:t xml:space="preserve">Перечисление задатка для участия в аукционе и возврат задатка осуществляются с учетом особенностей, установленных регламентом электронной площадки. </w:t>
      </w:r>
    </w:p>
    <w:p>
      <w:pPr>
        <w:pStyle w:val="Normal"/>
        <w:widowControl w:val="false"/>
        <w:ind w:firstLine="567" w:left="-567"/>
        <w:jc w:val="both"/>
        <w:rPr>
          <w:rFonts w:eastAsia="Calibri"/>
          <w:bCs/>
          <w:lang w:eastAsia="en-US"/>
        </w:rPr>
      </w:pPr>
      <w:r>
        <w:rPr>
          <w:b/>
          <w:bCs/>
          <w:lang w:bidi="ru-RU"/>
        </w:rPr>
        <w:t>Задаток перечисляется на реквизиты Оператора электронной площадки (</w:t>
      </w:r>
      <w:hyperlink r:id="rId37" w:tgtFrame="http://utp.sberbank-ast.ru/AP/Notice/653/Requisites">
        <w:r>
          <w:rPr>
            <w:rStyle w:val="Hyperlink"/>
            <w:b/>
            <w:bCs/>
            <w:lang w:bidi="ru-RU"/>
          </w:rPr>
          <w:t>http://utp.sberbank-ast.ru/AP/Notice/653/Requisites</w:t>
        </w:r>
      </w:hyperlink>
      <w:r>
        <w:rPr>
          <w:b/>
          <w:bCs/>
          <w:lang w:bidi="ru-RU"/>
        </w:rPr>
        <w:t>).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Получатель: АО «Сбербанк-АСТ»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ИНН: 7707308480, КПП: 770401001, 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Банк получателя: ПАО «СБЕРБАНК РОССИИ» Г. МОСКВА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/>
        <w:t xml:space="preserve">Расчетный счет: </w:t>
      </w:r>
      <w:r>
        <w:rPr>
          <w:rFonts w:eastAsia="Calibri"/>
          <w:bCs/>
          <w:lang w:eastAsia="en-US"/>
        </w:rPr>
        <w:t>40702810300020038047</w:t>
      </w:r>
    </w:p>
    <w:p>
      <w:pPr>
        <w:pStyle w:val="Normal"/>
        <w:spacing w:lineRule="exact" w:line="240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БИК: 044525225</w:t>
      </w:r>
    </w:p>
    <w:p>
      <w:pPr>
        <w:pStyle w:val="Normal"/>
        <w:spacing w:lineRule="exact" w:line="240"/>
        <w:rPr>
          <w:bCs/>
          <w:lang w:bidi="ru-RU"/>
        </w:rPr>
      </w:pPr>
      <w:r>
        <w:rPr>
          <w:rFonts w:eastAsia="Calibri"/>
          <w:bCs/>
          <w:lang w:eastAsia="en-US"/>
        </w:rPr>
        <w:t>Корреспондентский счет: 30101810400000000225</w:t>
      </w:r>
    </w:p>
    <w:p>
      <w:pPr>
        <w:pStyle w:val="Normal"/>
        <w:widowControl w:val="false"/>
        <w:ind w:firstLine="567" w:left="-567"/>
        <w:jc w:val="both"/>
        <w:rPr>
          <w:b/>
        </w:rPr>
      </w:pPr>
      <w:r>
        <w:rPr>
          <w:bCs/>
          <w:lang w:bidi="ru-RU"/>
        </w:rPr>
        <w:t>В платёжном поручении в части «Назначение платежа» необходимо указать: Задаток по лоту  № ___, ИНН плательщика. НДС не облагается.</w:t>
      </w:r>
    </w:p>
    <w:p>
      <w:pPr>
        <w:pStyle w:val="Normal"/>
        <w:widowControl w:val="false"/>
        <w:ind w:firstLine="567" w:left="-567"/>
        <w:jc w:val="both"/>
        <w:rPr>
          <w:bCs/>
          <w:lang w:bidi="ru-RU"/>
        </w:rPr>
      </w:pPr>
      <w:r>
        <w:rPr>
          <w:b/>
        </w:rPr>
        <w:t xml:space="preserve">Срок внесения задатка, т.е. поступления суммы задатка на счет </w:t>
      </w:r>
      <w:r>
        <w:rPr>
          <w:rFonts w:eastAsia="Calibri"/>
          <w:b/>
        </w:rPr>
        <w:t>Оператора</w:t>
      </w:r>
      <w:r>
        <w:rPr>
          <w:b/>
        </w:rPr>
        <w:t xml:space="preserve">: </w:t>
      </w:r>
      <w:r>
        <w:rPr/>
        <w:br w:type="textWrapping" w:clear="all"/>
      </w:r>
      <w:r>
        <w:rPr>
          <w:bCs/>
          <w:lang w:bidi="ru-RU"/>
        </w:rPr>
        <w:t>c 19.09.2026 по 13.10.2026.</w:t>
      </w:r>
    </w:p>
    <w:p>
      <w:pPr>
        <w:pStyle w:val="Normal"/>
        <w:widowControl w:val="false"/>
        <w:ind w:firstLine="709" w:left="-567"/>
        <w:jc w:val="both"/>
        <w:rPr>
          <w:bCs/>
          <w:lang w:bidi="ru-RU"/>
        </w:rPr>
      </w:pPr>
      <w:r>
        <w:rPr>
          <w:bCs/>
          <w:lang w:bidi="ru-RU"/>
        </w:rPr>
      </w:r>
    </w:p>
    <w:p>
      <w:pPr>
        <w:pStyle w:val="Normal"/>
        <w:widowControl w:val="false"/>
        <w:ind w:firstLine="709" w:left="-567"/>
        <w:jc w:val="center"/>
        <w:rPr>
          <w:b/>
          <w:lang w:bidi="ru-RU"/>
        </w:rPr>
      </w:pPr>
      <w:r>
        <w:rPr>
          <w:b/>
          <w:lang w:bidi="ru-RU"/>
        </w:rPr>
        <w:t>Порядок возврата задатка:</w:t>
      </w:r>
    </w:p>
    <w:p>
      <w:pPr>
        <w:pStyle w:val="Normal"/>
        <w:widowControl w:val="false"/>
        <w:ind w:firstLine="709" w:left="-567"/>
        <w:jc w:val="both"/>
        <w:rPr>
          <w:b/>
          <w:lang w:bidi="ru-RU"/>
        </w:rPr>
      </w:pPr>
      <w:r>
        <w:rPr>
          <w:b/>
          <w:lang w:bidi="ru-RU"/>
        </w:rPr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lang w:bidi="ru-RU"/>
        </w:rPr>
      </w:pPr>
      <w:r>
        <w:rPr>
          <w:bCs/>
          <w:lang w:bidi="ru-RU"/>
        </w:rPr>
        <w:t>Задаток возвращается лицам, участвовавшим в аукционе, но не победившим в нем, в течение трех ра</w:t>
      </w:r>
      <w:r>
        <w:rPr>
          <w:bCs/>
          <w:shd w:fill="auto" w:val="clear"/>
          <w:lang w:bidi="ru-RU"/>
        </w:rPr>
        <w:t xml:space="preserve">бочих дней со дня подписания протокола о результатах аукциона, </w:t>
      </w:r>
      <w:r>
        <w:rPr>
          <w:b w:val="false"/>
          <w:bCs/>
          <w:shd w:fill="auto" w:val="clear"/>
          <w:lang w:bidi="ru-RU"/>
        </w:rPr>
        <w:t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аренды земельного участка победителем аукциона.</w:t>
      </w:r>
    </w:p>
    <w:p>
      <w:pPr>
        <w:pStyle w:val="Normal"/>
        <w:widowControl w:val="false"/>
        <w:spacing w:before="0" w:after="0"/>
        <w:ind w:firstLine="567" w:left="-567"/>
        <w:contextualSpacing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Заявителю, не допущенному к участию в аукционе, внесенный им задаток возвращается </w:t>
      </w:r>
      <w:r>
        <w:rPr/>
        <w:br w:type="textWrapping" w:clear="all"/>
      </w:r>
      <w:r>
        <w:rPr>
          <w:shd w:fill="auto" w:val="clear"/>
          <w:lang w:bidi="ru-RU"/>
        </w:rPr>
        <w:t xml:space="preserve">в течение трех рабочих дней со дня оформления протокола рассмотрения заявок на участие в аукционе.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Оператор прекращает блокирование в отношении денежных средств участников аукциона, заблокированных в размере задатков на их лицевых счетах на электронной площадке после публикации протокола о результатах аукциона, за исключением единственного заявителя, признанного участником аукциона, победителя аукциона, единственного принявшего участие </w:t>
        <w:br/>
        <w:t xml:space="preserve">в аукционе участника, а также </w:t>
      </w:r>
      <w:r>
        <w:rPr>
          <w:b w:val="false"/>
          <w:shd w:fill="auto" w:val="clear"/>
          <w:lang w:bidi="ru-RU"/>
        </w:rPr>
        <w:t>участника аукциона, который сделал предпоследнее предложение о цене предмета аукциона.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 xml:space="preserve">Организатор аукциона посредством штатного интерфейса торговой секции </w:t>
      </w:r>
      <w:r>
        <w:rPr/>
        <w:br w:type="textWrapping" w:clear="all"/>
      </w:r>
      <w:r>
        <w:rPr>
          <w:shd w:fill="auto" w:val="clear"/>
          <w:lang w:bidi="ru-RU"/>
        </w:rPr>
        <w:t>в установленные сроки формирует поручение Оператору: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  <w:lang w:bidi="ru-RU"/>
        </w:rPr>
        <w:t>- о перечислении задатка единственного заявителя, признанного участником аукциона, победителя аукциона или единственного принявшего участие в аукционе участника после формирования протокола о результатах аукциона на указанные в поручении банковские реквизиты;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пунктами 13, 14, 20 или 25 ст. 39.12 Земельного кодекса Российской Федерации, засчитываются 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 </w:t>
      </w:r>
    </w:p>
    <w:p>
      <w:pPr>
        <w:pStyle w:val="Normal"/>
        <w:widowControl w:val="false"/>
        <w:spacing w:lineRule="auto" w:line="276"/>
        <w:jc w:val="both"/>
        <w:rPr>
          <w:bCs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widowControl w:val="false"/>
        <w:jc w:val="center"/>
        <w:rPr>
          <w:shd w:fill="auto" w:val="clear"/>
        </w:rPr>
      </w:pPr>
      <w:r>
        <w:rPr>
          <w:b/>
          <w:shd w:fill="auto" w:val="clear"/>
        </w:rPr>
        <w:t>Организатор аукциона вправе:</w:t>
      </w:r>
    </w:p>
    <w:p>
      <w:pPr>
        <w:pStyle w:val="Normal"/>
        <w:widowControl w:val="false"/>
        <w:jc w:val="center"/>
        <w:rPr>
          <w:rFonts w:eastAsia="Courier New"/>
          <w:shd w:fill="auto" w:val="clear"/>
          <w:lang w:bidi="ru-RU"/>
        </w:rPr>
      </w:pPr>
      <w:r>
        <w:rPr>
          <w:rFonts w:eastAsia="Courier New"/>
          <w:shd w:fill="auto" w:val="clear"/>
          <w:lang w:bidi="ru-RU"/>
        </w:rPr>
      </w:r>
    </w:p>
    <w:p>
      <w:pPr>
        <w:pStyle w:val="BodyText"/>
        <w:widowControl w:val="false"/>
        <w:ind w:firstLine="709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 xml:space="preserve">Не позднее чем за один рабочий день до даты окончания приема заявок на участие в аукционе 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в порядке, установленном п. 19 ст. 39.11 Земельного кодекса Российской Федерации, изменений в извещение о проведении аукциона до дня проведения аукциона такой срок составлял не менее десяти рабочих дней. </w:t>
      </w: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 xml:space="preserve">Информация о внесении изменений в извещение о проведении аукциона размещается на официальных сайтах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>www.torgi.gov.ru,  www.gorodperm.ru.</w:t>
      </w:r>
    </w:p>
    <w:p>
      <w:pPr>
        <w:pStyle w:val="BodyText"/>
        <w:widowControl w:val="false"/>
        <w:ind w:firstLine="709" w:left="-567"/>
        <w:jc w:val="both"/>
        <w:rPr>
          <w:shd w:fill="auto" w:val="clear"/>
        </w:rPr>
      </w:pPr>
      <w:r>
        <w:rPr>
          <w:rFonts w:eastAsia="Droid Sans Fallback" w:cs="Lohit Devanagari"/>
          <w:b w:val="false"/>
          <w:color w:val="000000"/>
          <w:sz w:val="24"/>
          <w:szCs w:val="24"/>
          <w:shd w:fill="auto" w:val="clear"/>
          <w:lang w:val="ru-RU" w:eastAsia="zh-CN" w:bidi="ar-SA"/>
        </w:rPr>
        <w:t>В случае, если за один рабочий день до даты окончания приема заявок на участие в аукционе не поступило ни одной заявки, организатор аукциона до момента окончания срока подачи заявок на участие в аукционе может принять решение о продлении срока подачи заявок в соответствии с правилами, предусмотренными п. 22.1  ст. 39.11 Земельного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/>
      </w:pPr>
      <w:r>
        <w:rPr>
          <w:shd w:fill="auto" w:val="clear"/>
        </w:rPr>
        <w:t xml:space="preserve">В соответствии с п. 4 ст. 448 Гражданского кодекса Российской Федерации отказаться </w:t>
      </w:r>
      <w:r>
        <w:rPr/>
        <w:br w:type="textWrapping" w:clear="all"/>
      </w:r>
      <w:r>
        <w:rPr/>
        <w:t xml:space="preserve">от проведения аукциона в любое время, но не позднее чем за три дня до наступления даты </w:t>
      </w:r>
      <w:r>
        <w:rPr/>
        <w:br w:type="textWrapping" w:clear="all"/>
      </w:r>
      <w:r>
        <w:rPr/>
        <w:t xml:space="preserve">его проведения, указанной в извещении </w:t>
      </w:r>
      <w:r>
        <w:rPr>
          <w:shd w:fill="auto" w:val="clear"/>
        </w:rPr>
        <w:t xml:space="preserve">о проведении аукциона.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jc w:val="center"/>
        <w:rPr>
          <w:shd w:fill="auto" w:val="clear"/>
        </w:rPr>
      </w:pPr>
      <w:r>
        <w:rPr>
          <w:b/>
          <w:shd w:fill="auto" w:val="clear"/>
        </w:rPr>
        <w:t xml:space="preserve">Организатор аукциона обязан: 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Принять решение об отказе в проведении аукциона в случае выявления обстоятельств, предусмотренных п. 8 ст. 39.11 Земельного кодекса Российской Федерации. 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Извещение об отказе в проведении аукциона размещается организатором аукциона на официальных сайтах  </w:t>
      </w:r>
      <w:r>
        <w:rPr>
          <w:rFonts w:eastAsia="Droid Sans Fallback" w:cs="Lohit Devanagari"/>
          <w:b w:val="false"/>
          <w:bCs/>
          <w:color w:val="000000"/>
          <w:sz w:val="24"/>
          <w:szCs w:val="24"/>
          <w:shd w:fill="auto" w:val="clear"/>
          <w:lang w:val="ru-RU" w:eastAsia="zh-CN" w:bidi="ar-SA"/>
        </w:rPr>
        <w:t xml:space="preserve">www.torgi.gov.ru,  www.gorodperm.ru </w:t>
      </w:r>
      <w:r>
        <w:rPr>
          <w:shd w:fill="auto" w:val="clear"/>
        </w:rPr>
        <w:t xml:space="preserve"> и на электронной площадке в течение трех дней со дня принятия данного решения.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 течение трех дней со дня принятия решения об отказе в проведении аукциона участники аукциона извещаются об отказе в проведении аукциона, внесенные задатки возвращаются его участникам.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 случае отказа от проведения аукциона организатором (в т. ч. одного или нескольких лотов) Оператор в течение одного часа прекращает блокирование денежных средств участников аукциона в размере задатка на их лицевых счетах на электронной площадке.</w:t>
      </w:r>
    </w:p>
    <w:p>
      <w:pPr>
        <w:pStyle w:val="Normal"/>
        <w:widowControl w:val="false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widowControl w:val="false"/>
        <w:ind w:left="502"/>
        <w:jc w:val="center"/>
        <w:rPr>
          <w:shd w:fill="auto" w:val="clear"/>
        </w:rPr>
      </w:pPr>
      <w:r>
        <w:rPr>
          <w:rFonts w:eastAsia="Courier New"/>
          <w:b/>
          <w:shd w:fill="auto" w:val="clear"/>
          <w:lang w:bidi="ru-RU"/>
        </w:rPr>
        <w:t>Порядок регистрации на электронной площадке</w:t>
      </w:r>
    </w:p>
    <w:p>
      <w:pPr>
        <w:pStyle w:val="Normal"/>
        <w:widowControl w:val="false"/>
        <w:ind w:firstLine="709" w:left="-567"/>
        <w:jc w:val="both"/>
        <w:rPr>
          <w:rFonts w:eastAsia="Courier New"/>
          <w:b/>
          <w:bCs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>Для обеспечения доступа к участию в аукционе заявителю необходимо пройти процедуру регистрации на электронной площадке. Регистрации на электронной площадке подлежат лица, ранее не зарегистрированные на электронной площадке.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>Регистрация на электронной площадке проводится в соответствии с регламентом электронной площадки.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Дата и время регистрации участников аукциона на участие в аукционе на электронной площадке на сайте в сети Интернет: c 19.09.2026 по 13.10.2026 с 9.00 до 18.00 по местному времени (7:00 – 16:00 МСК). </w:t>
      </w:r>
    </w:p>
    <w:p>
      <w:pPr>
        <w:pStyle w:val="NormalWeb"/>
        <w:jc w:val="center"/>
        <w:rPr>
          <w:shd w:fill="auto" w:val="clear"/>
        </w:rPr>
      </w:pPr>
      <w:r>
        <w:rPr>
          <w:b/>
          <w:color w:val="000000"/>
          <w:shd w:fill="auto" w:val="clear"/>
        </w:rPr>
        <w:t>Разъяснение положений извещения о проведении аукциона</w:t>
      </w:r>
    </w:p>
    <w:p>
      <w:pPr>
        <w:pStyle w:val="ListParagraph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На этапе приема заявок любое заинтересованное лицо вправе не позднее 10 календарных дней до окончания срока подачи заявок направить Организатору аукциона запрос о разъяснениях положений извещения о проведении аукциона посредством функционала электронной площадки. Запросы о разъяснении положений извещения, полученные после вышеуказанного срока, </w:t>
        <w:br/>
        <w:t>не рассматриваются.</w:t>
      </w:r>
    </w:p>
    <w:p>
      <w:pPr>
        <w:pStyle w:val="ListParagraph"/>
        <w:widowControl w:val="false"/>
        <w:ind w:firstLine="567" w:left="-567"/>
        <w:jc w:val="both"/>
        <w:rPr>
          <w:shd w:fill="auto" w:val="clear"/>
        </w:rPr>
      </w:pPr>
      <w:r>
        <w:rPr>
          <w:bCs/>
          <w:shd w:fill="auto" w:val="clear"/>
          <w:lang w:bidi="ru-RU"/>
        </w:rPr>
        <w:t xml:space="preserve">Ответ на запрос о разъяснении положений извещения должен быть подготовлен в течение трех рабочих дней со дня поступления указанного запроса.  </w:t>
      </w:r>
    </w:p>
    <w:p>
      <w:pPr>
        <w:pStyle w:val="Normal"/>
        <w:widowControl w:val="false"/>
        <w:spacing w:lineRule="auto" w:line="276"/>
        <w:ind w:firstLine="709" w:left="-567"/>
        <w:jc w:val="both"/>
        <w:rPr>
          <w:bCs/>
          <w:shd w:fill="auto" w:val="clear"/>
          <w:lang w:bidi="ru-RU"/>
        </w:rPr>
      </w:pPr>
      <w:r>
        <w:rPr>
          <w:bCs/>
          <w:shd w:fill="auto" w:val="clear"/>
          <w:lang w:bidi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shd w:fill="auto" w:val="clear"/>
        </w:rPr>
      </w:pPr>
      <w:r>
        <w:rPr>
          <w:b/>
          <w:bCs/>
          <w:shd w:fill="auto" w:val="clear"/>
        </w:rPr>
        <w:t>Требования к содержанию и составу заявки на участие в аукционе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b/>
          <w:bCs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rFonts w:eastAsia="Courier New"/>
          <w:shd w:fill="auto" w:val="clear"/>
          <w:lang w:bidi="ru-RU"/>
        </w:rPr>
        <w:t xml:space="preserve">Для участия в аукционе заявители представляют в установленный в извещении </w:t>
      </w:r>
      <w:r>
        <w:rPr/>
        <w:br w:type="textWrapping" w:clear="all"/>
      </w:r>
      <w:r>
        <w:rPr>
          <w:rFonts w:eastAsia="Courier New"/>
          <w:shd w:fill="auto" w:val="clear"/>
          <w:lang w:bidi="ru-RU"/>
        </w:rPr>
        <w:t>о проведении аукциона срок следующие документы:</w:t>
      </w:r>
    </w:p>
    <w:p>
      <w:pPr>
        <w:pStyle w:val="Normal"/>
        <w:jc w:val="both"/>
        <w:rPr>
          <w:shd w:fill="auto" w:val="clear"/>
        </w:rPr>
      </w:pPr>
      <w:r>
        <w:rPr>
          <w:rFonts w:eastAsia="Calibri"/>
          <w:shd w:fill="auto" w:val="clear"/>
        </w:rPr>
        <w:t>1) копии документов, удостоверяющих личность заявителя (для граждан), всех страниц;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2) надлежащим образом заверенный перевод на русский язык документов </w:t>
      </w:r>
      <w:r>
        <w:rPr/>
        <w:br w:type="textWrapping" w:clear="all"/>
      </w:r>
      <w:r>
        <w:rPr>
          <w:rFonts w:eastAsia="Calibri"/>
          <w:shd w:fill="auto" w:val="clear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>
      <w:pPr>
        <w:pStyle w:val="Normal"/>
        <w:jc w:val="both"/>
        <w:rPr>
          <w:shd w:fill="auto" w:val="clear"/>
        </w:rPr>
      </w:pPr>
      <w:r>
        <w:rPr>
          <w:rFonts w:eastAsia="Calibri"/>
          <w:shd w:fill="auto" w:val="clear"/>
        </w:rPr>
        <w:t>3) документы, подтверждающие внесение задатка.</w:t>
      </w:r>
    </w:p>
    <w:p>
      <w:pPr>
        <w:pStyle w:val="Normal"/>
        <w:jc w:val="both"/>
        <w:rPr>
          <w:rFonts w:eastAsia="Calibri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ind w:firstLine="708"/>
        <w:jc w:val="center"/>
        <w:rPr>
          <w:shd w:fill="auto" w:val="clear"/>
        </w:rPr>
      </w:pPr>
      <w:r>
        <w:rPr>
          <w:b/>
          <w:shd w:fill="auto" w:val="clear"/>
        </w:rPr>
        <w:t>Инструкция по заполнению и подаче заявки, порядок приема заявки</w:t>
      </w:r>
    </w:p>
    <w:p>
      <w:pPr>
        <w:pStyle w:val="Normal"/>
        <w:ind w:firstLine="708"/>
        <w:jc w:val="center"/>
        <w:rPr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1, пункте 1.1 статьи 39.12 Земельного кодекса Российской Федерации (копии </w:t>
      </w:r>
      <w:r>
        <w:rPr>
          <w:b w:val="false"/>
          <w:shd w:fill="auto" w:val="clear"/>
        </w:rPr>
        <w:t xml:space="preserve">документов, удостоверяющих личность заявителя (для граждан); </w:t>
      </w:r>
      <w:r>
        <w:rPr>
          <w:b w:val="false"/>
        </w:rPr>
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задатка). 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>
      <w:pPr>
        <w:pStyle w:val="Normal"/>
        <w:ind w:firstLine="567" w:left="-567"/>
        <w:jc w:val="both"/>
        <w:rPr>
          <w:sz w:val="24"/>
          <w:szCs w:val="24"/>
        </w:rPr>
      </w:pPr>
      <w:r>
        <w:rPr>
          <w:sz w:val="24"/>
          <w:szCs w:val="24"/>
        </w:rPr>
        <w:t>На каждый лот представляется отдельный пакет документов.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Заполнение заявки осуществляется в соответствии с порядком, определенным регламентом электронной площадки АО «Сбербанк-АСТ».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Все документы и сведения, связанные с получением регистрации на универсальной торговой платформе и проведением закупок/продаж, направляются заявителями, пользователями, оператором электронной площадки либо размещаются ими на универсальной торговой платформе в форме электронных документов (п. 10.1.1.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Пользователи принимают, что в случае наличия требований к формату и содержанию электронного документа, в системе используются электронные документы установленного формата (п. 10.2.3.</w:t>
      </w: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 xml:space="preserve"> Регламента Универсальной торговой платформы).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>Заявка подается в виде электронного документа, подписанного электронной подписью заявителя (п. 3.2.2. Регламента торговой секции).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kern w:val="0"/>
          <w:sz w:val="24"/>
          <w:szCs w:val="24"/>
          <w:shd w:fill="auto" w:val="clear"/>
          <w:lang w:val="ru-RU" w:eastAsia="zh-CN" w:bidi="ar-SA"/>
        </w:rPr>
        <w:t>Заявитель заполняет электронную форму заявки, при</w:t>
      </w:r>
      <w:r>
        <w:rPr>
          <w:shd w:fill="auto" w:val="clear"/>
        </w:rPr>
        <w:t>кладывает предусмотренные извещением о проведении аукциона файлы документов (при необходимости). Документы и сведения из регистрационных данных заявителя на универсальной торговой платформе, актуальные на дату и время окончания приема заявок, направляются оператором электронной площадки вместе с заявкой организатору аукциона после окончания приема заявок (п. 3.2.3. Регламента торговой секции).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Подача заявки осуществляется заявителем, зарегистрированным в торговой секции, </w:t>
      </w:r>
      <w:r>
        <w:rPr/>
        <w:br w:type="textWrapping" w:clear="all"/>
      </w:r>
      <w:r>
        <w:rPr>
          <w:shd w:fill="auto" w:val="clear"/>
        </w:rPr>
        <w:t>из личного кабинета посредством штатного интерфейса отдельно по каждому лоту в сроки, установленные в извещении о проведении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Заявитель вправе подать заявку в любое время с момента размещения извещения </w:t>
      </w:r>
      <w:r>
        <w:rPr/>
        <w:br w:type="textWrapping" w:clear="all"/>
      </w:r>
      <w:r>
        <w:rPr>
          <w:shd w:fill="auto" w:val="clear"/>
        </w:rPr>
        <w:t>о проведении аукциона до предусмотренных указанным извещением даты и времени окончания срока подачи заявок.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Один заявитель вправе подать только одну заявку на участие в аукционе в отношении каждого лота.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Участие в аукционе возможно при наличии на лицевом счете заявителя денежных средств </w:t>
      </w:r>
      <w:r>
        <w:rPr/>
        <w:br w:type="textWrapping" w:clear="all"/>
      </w:r>
      <w:r>
        <w:rPr>
          <w:shd w:fill="auto" w:val="clear"/>
        </w:rPr>
        <w:t xml:space="preserve">в размере не менее чем размер задатка на участие в аукционе, предусмотренный извещением </w:t>
      </w:r>
      <w:r>
        <w:rPr/>
        <w:br w:type="textWrapping" w:clear="all"/>
      </w:r>
      <w:r>
        <w:rPr>
          <w:shd w:fill="auto" w:val="clear"/>
        </w:rPr>
        <w:t>о проведении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Все документы, входящие в состав заявки, должны иметь четко читаемый текст.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Заявка предоставляется организатору аукциона через Оператора.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Заявка не может быть принята Оператором в случае: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 xml:space="preserve">а) отсутствия на лицевом счете заявителя достаточной суммы денежных средств </w:t>
      </w:r>
      <w:r>
        <w:rPr/>
        <w:br w:type="textWrapping" w:clear="all"/>
      </w:r>
      <w:r>
        <w:rPr>
          <w:bCs/>
          <w:shd w:fill="auto" w:val="clear"/>
        </w:rPr>
        <w:t>в размере задатка;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б) подачи заявителем второй заявки на участие в отношении одного и того же лота при условии, что поданная ранее заявка таким заявителем не отозвана;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в) подачи заявки по истечении установленного срока подачи заявок;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г) некорректного заполнения формы заявки, в том числе незаполнения полей, являющихся обязательными для заполнения.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 xml:space="preserve">Заявителям, признанным участниками аукциона, и заявителям, не допущенным к участию </w:t>
        <w:br/>
        <w:t xml:space="preserve">в аукционе, оператор электронной площадки направляет в электронной форме уведомления </w:t>
        <w:br/>
        <w:t xml:space="preserve">о принятых в отношении их решениях не позднее дня, следующего после дня подписания протокола рассмотрения заявок на участие в аукционе. 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284" w:leader="none"/>
        </w:tabs>
        <w:spacing w:lineRule="auto" w:line="276"/>
        <w:ind w:firstLine="567" w:left="-567"/>
        <w:jc w:val="both"/>
        <w:outlineLvl w:val="0"/>
        <w:rPr>
          <w:bCs/>
          <w:shd w:fill="auto" w:val="clear"/>
        </w:rPr>
      </w:pPr>
      <w:r>
        <w:rPr>
          <w:bCs/>
          <w:shd w:fill="auto" w:val="clear"/>
        </w:rPr>
      </w:r>
    </w:p>
    <w:p>
      <w:pPr>
        <w:pStyle w:val="Normal"/>
        <w:widowControl w:val="false"/>
        <w:ind w:left="502"/>
        <w:jc w:val="center"/>
        <w:rPr>
          <w:shd w:fill="auto" w:val="clear"/>
        </w:rPr>
      </w:pPr>
      <w:r>
        <w:rPr>
          <w:b/>
          <w:bCs/>
          <w:shd w:fill="auto" w:val="clear"/>
          <w:lang w:bidi="ru-RU"/>
        </w:rPr>
        <w:t>Порядок и срок изменения, отзыва заявки на участие в аукционе</w:t>
      </w:r>
    </w:p>
    <w:p>
      <w:pPr>
        <w:pStyle w:val="Normal"/>
        <w:widowControl w:val="false"/>
        <w:ind w:left="502"/>
        <w:rPr>
          <w:b/>
          <w:bCs/>
          <w:shd w:fill="auto" w:val="clear"/>
          <w:lang w:bidi="ru-RU"/>
        </w:rPr>
      </w:pPr>
      <w:r>
        <w:rPr>
          <w:b/>
          <w:bCs/>
          <w:shd w:fill="auto" w:val="clear"/>
          <w:lang w:bidi="ru-RU"/>
        </w:rPr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Заявитель имеет право отозвать принятую организатором аукциона заявку на участие </w:t>
      </w:r>
      <w:r>
        <w:rPr/>
        <w:br w:type="textWrapping" w:clear="all"/>
      </w:r>
      <w:r>
        <w:rPr>
          <w:shd w:fill="auto" w:val="clear"/>
        </w:rPr>
        <w:t xml:space="preserve">в аукционе до дня окончания срока приема заявок, путем направления уведомления об отзыве заявки на электронную площадку. В случае отзыва заявки в установленном порядке, уведомление об отзыве заявки поступает в «личный кабинет» организатора аукциона, о чем заявителю направляется соответствующее уведомление. Заявителю внесенный им задаток возвращается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 </w:t>
      </w:r>
    </w:p>
    <w:p>
      <w:pPr>
        <w:pStyle w:val="Normal"/>
        <w:jc w:val="center"/>
        <w:rPr>
          <w:shd w:fill="auto" w:val="clear"/>
        </w:rPr>
      </w:pPr>
      <w:r>
        <w:rPr>
          <w:b/>
          <w:bCs/>
          <w:shd w:fill="auto" w:val="clear"/>
        </w:rPr>
        <w:t>Определение участников аукциона</w:t>
      </w:r>
    </w:p>
    <w:p>
      <w:pPr>
        <w:pStyle w:val="Normal"/>
        <w:jc w:val="center"/>
        <w:rPr>
          <w:b/>
          <w:bCs/>
          <w:shd w:fill="auto" w:val="clear"/>
        </w:rPr>
      </w:pPr>
      <w:r>
        <w:rPr>
          <w:b/>
          <w:bCs/>
          <w:shd w:fill="auto" w:val="clear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 xml:space="preserve">По результатам рассмотрения заявок комиссия принимает решение о допуске заявителей </w:t>
      </w:r>
      <w:r>
        <w:rPr/>
        <w:br w:type="textWrapping" w:clear="all"/>
      </w:r>
      <w:r>
        <w:rPr>
          <w:bCs/>
          <w:shd w:fill="auto" w:val="clear"/>
        </w:rPr>
        <w:t>к участию в аукционе или об отказе в допуске к участию в аукционе.</w:t>
      </w:r>
    </w:p>
    <w:p>
      <w:pPr>
        <w:pStyle w:val="Normal"/>
        <w:jc w:val="both"/>
        <w:rPr>
          <w:shd w:fill="auto" w:val="clear"/>
        </w:rPr>
      </w:pPr>
      <w:r>
        <w:rPr>
          <w:shd w:fill="auto" w:val="clear"/>
        </w:rPr>
        <w:t>Заявитель не допускается к участию в аукционе в следующих случаях: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z w:val="20"/>
          <w:shd w:fill="auto" w:val="clear"/>
        </w:rPr>
        <w:t xml:space="preserve">1) </w:t>
      </w:r>
      <w:r>
        <w:rPr>
          <w:shd w:fill="auto" w:val="clear"/>
        </w:rPr>
        <w:t>непредставление необходимых для участия в аукционе документов или представление недостоверных сведений;</w:t>
      </w:r>
    </w:p>
    <w:p>
      <w:pPr>
        <w:pStyle w:val="Normal"/>
        <w:widowControl w:val="false"/>
        <w:jc w:val="both"/>
        <w:rPr>
          <w:shd w:fill="auto" w:val="clear"/>
        </w:rPr>
      </w:pPr>
      <w:r>
        <w:rPr>
          <w:shd w:fill="auto" w:val="clear"/>
        </w:rPr>
        <w:t>2) непоступление задатка на дату рассмотрения заявок на участие в аукционе;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</w:t>
        <w:br/>
        <w:t>в аренду;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В день признания заявителей участниками аукциона, указанный в извещении </w:t>
        <w:br/>
        <w:t>о проведении аукциона, оператор через «личный кабинет» организатора торгов обеспечивает доступ организатора торгов к поданным  заявителями заявкам и документам, а также к журналу приема заявок.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>Заявитель приобретает статус участника аукциона с момента подписания протокола рассмотрения заявок.</w:t>
      </w:r>
    </w:p>
    <w:p>
      <w:pPr>
        <w:pStyle w:val="Normal"/>
        <w:widowControl w:val="false"/>
        <w:ind w:firstLine="567" w:left="-567"/>
        <w:jc w:val="both"/>
        <w:rPr>
          <w:shd w:fill="auto" w:val="clear"/>
        </w:rPr>
      </w:pPr>
      <w:r>
        <w:rPr>
          <w:shd w:fill="auto" w:val="clear"/>
        </w:rPr>
        <w:t xml:space="preserve">Не позднее следующего рабочего дня после дня подписания протокола рассмотрения заявок, всем заявителям оператором электронной площадки направляется в личные кабинеты уведомления о признании их участниками аукциона или об отказе в признании участниками аукциона с указанием оснований отказа. </w:t>
      </w:r>
    </w:p>
    <w:p>
      <w:pPr>
        <w:pStyle w:val="BodyText"/>
        <w:widowControl w:val="false"/>
        <w:ind w:firstLine="567" w:left="-567"/>
        <w:jc w:val="both"/>
        <w:rPr>
          <w:shd w:fill="auto" w:val="clear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В случае, если по окончании срока подачи заявок на участие в аукционе не подано ни одной заявки на участие в аукционе, подана только одна заявка на участие в аукционе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 При признании аукциона несостоявшимся в протокол рассмотрения заявок на участие в аукционе, включается информация об основании признания аукциона несостоявшимся и сведения, указанные в подпункте 4 пункта 15 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</w:t>
      </w: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  <w:t>, в отношении лиц, указанных в пунктах 13 и 14 ст. 39.12 З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емельного кодекса Российской Федерации.</w:t>
      </w:r>
    </w:p>
    <w:p>
      <w:pPr>
        <w:pStyle w:val="Normal"/>
        <w:widowControl w:val="false"/>
        <w:ind w:firstLine="567" w:left="-567"/>
        <w:jc w:val="both"/>
        <w:rPr>
          <w:rFonts w:ascii="Times New Roman" w:hAnsi="Times New Roman" w:eastAsia="Droid Sans Fallback" w:cs="Lohit Devanagari"/>
          <w:color w:val="auto"/>
          <w:sz w:val="24"/>
          <w:szCs w:val="24"/>
          <w:shd w:fill="auto" w:val="clear"/>
          <w:lang w:val="ru-RU" w:eastAsia="zh-CN" w:bidi="ar-SA"/>
        </w:rPr>
      </w:pPr>
      <w:r>
        <w:rPr>
          <w:rFonts w:eastAsia="Droid Sans Fallback" w:cs="Lohit Devanagari"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widowControl w:val="false"/>
        <w:spacing w:lineRule="auto" w:line="276"/>
        <w:ind w:firstLine="567" w:left="-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shd w:fill="auto" w:val="clear"/>
        </w:rPr>
      </w:pPr>
      <w:r>
        <w:rPr>
          <w:b/>
          <w:bCs/>
          <w:shd w:fill="auto" w:val="clear"/>
        </w:rPr>
        <w:t>Порядок проведения аукциона</w:t>
      </w:r>
    </w:p>
    <w:p>
      <w:pPr>
        <w:pStyle w:val="Normal"/>
        <w:widowControl w:val="false"/>
        <w:ind w:left="502"/>
        <w:jc w:val="center"/>
        <w:rPr>
          <w:rFonts w:eastAsia="Courier New"/>
          <w:b/>
          <w:bCs/>
          <w:shd w:fill="auto" w:val="clear"/>
          <w:lang w:bidi="ru-RU"/>
        </w:rPr>
      </w:pPr>
      <w:r>
        <w:rPr>
          <w:rFonts w:eastAsia="Courier New"/>
          <w:b/>
          <w:bCs/>
          <w:shd w:fill="auto" w:val="clear"/>
          <w:lang w:bidi="ru-RU"/>
        </w:rPr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Торговая сессия проводится путем последовательного повышения участниками аукциона начальной цены аукциона на величину, равную величине «шага аукциона».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«Шаг аукциона» устанавливается Организатором аукциона в фиксированной сумме, составляющей 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5% от начальной цены предмета аукциона</w:t>
      </w:r>
      <w:r>
        <w:rPr>
          <w:rFonts w:eastAsia="Calibri"/>
          <w:shd w:fill="auto" w:val="clear"/>
        </w:rPr>
        <w:t>, и не изменяется в течение всего времени подачи предложений о цене.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1) предложение о цене предмета аукциона увеличивает текущее максимальное предложение </w:t>
      </w:r>
      <w:r>
        <w:rPr/>
        <w:br w:type="textWrapping" w:clear="all"/>
      </w:r>
      <w:r>
        <w:rPr>
          <w:rFonts w:eastAsia="Calibri"/>
          <w:shd w:fill="auto" w:val="clear"/>
        </w:rPr>
        <w:t>о цене предмета аукциона на величину «шага аукциона»;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Время для подачи предложений о цене аукциона определяется в следующем порядке: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Время ожидания предложения участника аукциона о цене предмета аукциона составляет </w:t>
      </w:r>
      <w:r>
        <w:rPr/>
        <w:br w:type="textWrapping" w:clear="all"/>
      </w:r>
      <w:r>
        <w:rPr>
          <w:rFonts w:eastAsia="Calibri"/>
          <w:shd w:fill="auto" w:val="clear"/>
        </w:rPr>
        <w:t xml:space="preserve">10 (десять) минут. При поступлении предложения участника аукциона </w:t>
        <w:br/>
        <w:t>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аукцион завершается.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Срок для подачи предложений о цене обновляется автоматически после улучшения текущего предложения о цене. Время срока подачи предложений отсчитывается с момента подачи последнего (лучшего) предложения (или с начала подачи предложений о цене), отображается в закрытой части электронной площадки как расчетное время окончания торгов, а так же как время, оставшееся до окончания торгов в минутах.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В ходе проведения подачи предложений о цене аукциона Оператор программными средствами электронной площадки обеспечивает отклонение предложения о цене аукциона </w:t>
      </w:r>
      <w:r>
        <w:rPr/>
        <w:br w:type="textWrapping" w:clear="all"/>
      </w:r>
      <w:r>
        <w:rPr>
          <w:rFonts w:eastAsia="Calibri"/>
          <w:shd w:fill="auto" w:val="clear"/>
        </w:rPr>
        <w:t>в момент его поступления и соответствующее уведомление участника аукциона, в случаях, если: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предложение о цене аукциона предоставлено до начала или по истечении установленного времени для подачи предложений о цене аукциона;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ниже начальной цены;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равно нулю;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предложение о цене аукциона не соответствует увеличению текущей цены на величину «шага аукциона»;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предыдущее представленное данным участником аукциона предложение о цене аукциона является лучшим текущим предложением о цене;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- представленное участником аукциона предложение о цене аукциона меньше ранее представленных предложений.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 xml:space="preserve">Победителем аукциона признается участник аукциона, предложивший наибольшую цену </w:t>
      </w:r>
      <w:r>
        <w:rPr/>
        <w:br w:type="textWrapping" w:clear="all"/>
      </w:r>
      <w:r>
        <w:rPr>
          <w:rFonts w:eastAsia="Calibri"/>
          <w:shd w:fill="auto" w:val="clear"/>
        </w:rPr>
        <w:t>за земельный участок или наибольший размер ежегодной арендной платы за земельный участок.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rFonts w:eastAsia="Calibri"/>
          <w:shd w:fill="auto" w:val="clear"/>
        </w:rPr>
        <w:t>Протокол проведения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аукциона.</w:t>
      </w:r>
    </w:p>
    <w:p>
      <w:pPr>
        <w:pStyle w:val="Normal"/>
        <w:ind w:firstLine="567" w:left="-567"/>
        <w:jc w:val="both"/>
        <w:rPr>
          <w:rFonts w:eastAsia="Calibri"/>
          <w:shd w:fill="auto" w:val="clear"/>
        </w:rPr>
      </w:pPr>
      <w:r>
        <w:rPr>
          <w:rFonts w:eastAsia="Calibri"/>
          <w:shd w:fill="auto" w:val="clear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hanging="0" w:left="0"/>
        <w:jc w:val="center"/>
        <w:outlineLvl w:val="0"/>
        <w:rPr>
          <w:shd w:fill="auto" w:val="clear"/>
        </w:rPr>
      </w:pPr>
      <w:r>
        <w:rPr>
          <w:b/>
          <w:bCs/>
          <w:shd w:fill="auto" w:val="clear"/>
        </w:rPr>
        <w:t>Порядок и срок заключения договора</w:t>
      </w:r>
      <w:r>
        <w:rPr/>
        <w:br w:type="textWrapping" w:clear="all"/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По результатам проведения аукциона не допускается заключение договора аренды земельного участка ранее чем через десять дней со дня размещения протокола рассмотрения заявок на участие в аукционе в случае, ес</w:t>
      </w:r>
      <w:r>
        <w:rPr>
          <w:rFonts w:eastAsia="Droid Sans Fallback" w:cs="Lohit Devanagari"/>
          <w:bCs/>
          <w:color w:val="000000"/>
          <w:sz w:val="24"/>
          <w:szCs w:val="24"/>
          <w:shd w:fill="auto" w:val="clear"/>
          <w:lang w:val="ru-RU" w:eastAsia="zh-CN" w:bidi="ar-SA"/>
        </w:rPr>
        <w:t>ли аукцион признан несостоявшимся, либо протокола о результатах аукциона на официальных сайтах www.torgi.gov.ru,  www.gorodperm.ru.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Департамент земельных отношений администрации города Перми обязан в течение пяти дней со дня истечения срока, предусмотренного пунктом 11 статьи 39.13 Земельного кодекса Российской Федерации, направить победителю аукциона или иным лицам, с которыми в соответствии с пунктами 13, 14, 20 и 25 статьи 39.12 Земельного кодекса Российской Федерации заключается  договор аренды земельного участка, подписанный проект договора  аренды земельного участка.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076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bCs/>
          <w:shd w:fill="auto" w:val="clear"/>
        </w:rPr>
        <w:t>По результатам проведения аукциона договор аренды земельного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>Проекты договоров является частью извещения и представлены в Приложениях 1,3,5,7,9,11,13  к настоящему извещению.</w:t>
        <w:tab/>
      </w:r>
    </w:p>
    <w:p>
      <w:pPr>
        <w:pStyle w:val="Normal"/>
        <w:ind w:firstLine="567" w:left="-567"/>
        <w:jc w:val="both"/>
        <w:rPr>
          <w:shd w:fill="auto" w:val="clear"/>
        </w:rPr>
      </w:pPr>
      <w:r>
        <w:rPr>
          <w:bCs/>
          <w:shd w:fill="auto" w:val="clear"/>
        </w:rPr>
        <w:t xml:space="preserve">Если договор аренды земельного участка </w:t>
      </w:r>
      <w:r>
        <w:rPr>
          <w:b w:val="false"/>
          <w:bCs/>
          <w:shd w:fill="auto" w:val="clear"/>
        </w:rPr>
        <w:t>в течение десяти рабочих дней со дня направления победителю аукциона проекта указанного договора не был им подписан и представлен в департамент земельных отношений администрации города Перми, департамент земельных отношений администрации города Перми направляет указанный договор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567" w:leader="none"/>
        </w:tabs>
        <w:ind w:firstLine="567" w:left="-567"/>
        <w:jc w:val="both"/>
        <w:outlineLvl w:val="0"/>
        <w:rPr>
          <w:shd w:fill="auto" w:val="clear"/>
        </w:rPr>
      </w:pPr>
      <w:r>
        <w:rPr>
          <w:rFonts w:eastAsia="Courier New"/>
          <w:shd w:fill="auto" w:val="clear"/>
          <w:lang w:bidi="ru-RU"/>
        </w:rPr>
        <w:t>Сведения о победителях аукционов, уклонившихся от заключения договора  аренды земельного участка, являющегося предметом аукциона, и об иных лицах, с которыми указанный договор заключается в соответствии с пунктом 13, 14, 20 или 25 ст. 39.12 Земельного кодекса Российской Федерации и которые уклонились от заключения, включаются в реестр недобросовестных участников аукциона.</w:t>
      </w:r>
    </w:p>
    <w:sectPr>
      <w:headerReference w:type="default" r:id="rId38"/>
      <w:headerReference w:type="first" r:id="rId39"/>
      <w:type w:val="nextPage"/>
      <w:pgSz w:w="11906" w:h="16838"/>
      <w:pgMar w:left="1418" w:right="567" w:gutter="0" w:header="363" w:top="420" w:footer="0" w:bottom="1134"/>
      <w:pgNumType w:start="1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Open Sans">
    <w:charset w:val="01"/>
    <w:family w:val="roman"/>
    <w:pitch w:val="variable"/>
  </w:font>
  <w:font w:name="Consultant">
    <w:charset w:val="01"/>
    <w:family w:val="roman"/>
    <w:pitch w:val="variable"/>
  </w:font>
  <w:font w:name="Tahoma">
    <w:charset w:val="01"/>
    <w:family w:val="roman"/>
    <w:pitch w:val="variable"/>
  </w:font>
  <w:font w:name="Verdana"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0"/>
        <w:szCs w:val="28"/>
      </w:rPr>
    </w:pPr>
    <w:r>
      <w:rPr>
        <w:sz w:val="20"/>
        <w:szCs w:val="28"/>
      </w:rPr>
      <w:fldChar w:fldCharType="begin"/>
    </w:r>
    <w:r>
      <w:rPr>
        <w:sz w:val="20"/>
        <w:szCs w:val="28"/>
      </w:rPr>
      <w:instrText xml:space="preserve"> PAGE </w:instrText>
    </w:r>
    <w:r>
      <w:rPr>
        <w:sz w:val="20"/>
        <w:szCs w:val="28"/>
      </w:rPr>
      <w:fldChar w:fldCharType="separate"/>
    </w:r>
    <w:r>
      <w:rPr>
        <w:sz w:val="20"/>
        <w:szCs w:val="28"/>
      </w:rPr>
      <w:t>88</w:t>
    </w:r>
    <w:r>
      <w:rPr>
        <w:sz w:val="20"/>
        <w:szCs w:val="28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pStyle w:val="Heading6"/>
      <w:numFmt w:val="decimal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u w:val="none"/>
        <w:szCs w:val="24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  <w:u w:val="none"/>
        <w:szCs w:val="24"/>
        <w:color w:val="000000"/>
        <w:lang w:val="ru-RU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sz w:val="24"/>
        <w:szCs w:val="24"/>
        <w:lang w:val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lang w:bidi="ru-RU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lang w:eastAsia="en-US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Cs/>
        <w:lang w:eastAsia="en-US" w:bidi="ru-RU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  <w:bCs/>
        <w:lang w:bidi="ru-RU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Heading2">
    <w:name w:val="Heading 2"/>
    <w:basedOn w:val="Normal"/>
    <w:qFormat/>
    <w:pPr>
      <w:keepNext w:val="true"/>
      <w:keepLines/>
      <w:numPr>
        <w:ilvl w:val="0"/>
        <w:numId w:val="0"/>
      </w:num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qFormat/>
    <w:pPr>
      <w:keepNext w:val="true"/>
      <w:keepLines/>
      <w:numPr>
        <w:ilvl w:val="0"/>
        <w:numId w:val="0"/>
      </w:numPr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qFormat/>
    <w:rPr>
      <w:sz w:val="48"/>
      <w:szCs w:val="48"/>
    </w:rPr>
  </w:style>
  <w:style w:type="character" w:styleId="SubtitleChar">
    <w:name w:val="Subtitle Char"/>
    <w:basedOn w:val="DefaultParagraphFont"/>
    <w:qFormat/>
    <w:rPr>
      <w:sz w:val="24"/>
      <w:szCs w:val="24"/>
    </w:rPr>
  </w:style>
  <w:style w:type="character" w:styleId="QuoteChar">
    <w:name w:val="Quote Char"/>
    <w:qFormat/>
    <w:rPr>
      <w:i/>
    </w:rPr>
  </w:style>
  <w:style w:type="character" w:styleId="IntenseQuoteChar">
    <w:name w:val="Intense Quote Char"/>
    <w:qFormat/>
    <w:rPr>
      <w:i/>
    </w:rPr>
  </w:style>
  <w:style w:type="character" w:styleId="HeaderChar">
    <w:name w:val="Header Char"/>
    <w:basedOn w:val="DefaultParagraphFont"/>
    <w:qFormat/>
    <w:rPr/>
  </w:style>
  <w:style w:type="character" w:styleId="CaptionChar">
    <w:name w:val="Caption Char"/>
    <w:qFormat/>
    <w:rPr/>
  </w:style>
  <w:style w:type="character" w:styleId="FootnoteTextChar">
    <w:name w:val="Footnote Text Char"/>
    <w:qFormat/>
    <w:rPr>
      <w:sz w:val="18"/>
    </w:rPr>
  </w:style>
  <w:style w:type="character" w:styleId="EndnoteTextChar">
    <w:name w:val="Endnote Text Char"/>
    <w:qFormat/>
    <w:rPr>
      <w:sz w:val="20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Arial" w:hAnsi="Arial" w:eastAsia="Arial" w:cs="Arial"/>
      <w:sz w:val="40"/>
      <w:szCs w:val="40"/>
    </w:rPr>
  </w:style>
  <w:style w:type="character" w:styleId="2">
    <w:name w:val="Заголовок 2 Знак"/>
    <w:qFormat/>
    <w:rPr>
      <w:rFonts w:ascii="Arial" w:hAnsi="Arial" w:eastAsia="Arial" w:cs="Arial"/>
      <w:sz w:val="34"/>
    </w:rPr>
  </w:style>
  <w:style w:type="character" w:styleId="3">
    <w:name w:val="Заголовок 3 Знак"/>
    <w:qFormat/>
    <w:rPr>
      <w:rFonts w:ascii="Arial" w:hAnsi="Arial" w:eastAsia="Arial" w:cs="Arial"/>
      <w:sz w:val="30"/>
      <w:szCs w:val="30"/>
    </w:rPr>
  </w:style>
  <w:style w:type="character" w:styleId="4">
    <w:name w:val="Заголовок 4 Знак"/>
    <w:qFormat/>
    <w:rPr>
      <w:rFonts w:ascii="Arial" w:hAnsi="Arial" w:eastAsia="Arial" w:cs="Arial"/>
      <w:b/>
      <w:bCs/>
      <w:sz w:val="26"/>
      <w:szCs w:val="26"/>
    </w:rPr>
  </w:style>
  <w:style w:type="character" w:styleId="5">
    <w:name w:val="Заголовок 5 Знак"/>
    <w:qFormat/>
    <w:rPr>
      <w:rFonts w:ascii="Arial" w:hAnsi="Arial" w:eastAsia="Arial" w:cs="Arial"/>
      <w:b/>
      <w:bCs/>
      <w:sz w:val="24"/>
      <w:szCs w:val="24"/>
    </w:rPr>
  </w:style>
  <w:style w:type="character" w:styleId="61">
    <w:name w:val="Заголовок 6 Знак1"/>
    <w:qFormat/>
    <w:rPr>
      <w:rFonts w:ascii="Arial" w:hAnsi="Arial" w:eastAsia="Arial" w:cs="Arial"/>
      <w:b/>
      <w:bCs/>
      <w:sz w:val="22"/>
      <w:szCs w:val="22"/>
    </w:rPr>
  </w:style>
  <w:style w:type="character" w:styleId="7">
    <w:name w:val="Заголовок 7 Знак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>
    <w:name w:val="Заголовок 8 Знак"/>
    <w:qFormat/>
    <w:rPr>
      <w:rFonts w:ascii="Arial" w:hAnsi="Arial" w:eastAsia="Arial" w:cs="Arial"/>
      <w:i/>
      <w:iCs/>
      <w:sz w:val="22"/>
      <w:szCs w:val="22"/>
    </w:rPr>
  </w:style>
  <w:style w:type="character" w:styleId="9">
    <w:name w:val="Заголовок 9 Знак"/>
    <w:qFormat/>
    <w:rPr>
      <w:rFonts w:ascii="Arial" w:hAnsi="Arial" w:eastAsia="Arial" w:cs="Arial"/>
      <w:i/>
      <w:iCs/>
      <w:sz w:val="21"/>
      <w:szCs w:val="21"/>
    </w:rPr>
  </w:style>
  <w:style w:type="character" w:styleId="11">
    <w:name w:val="Заголовок Знак1"/>
    <w:qFormat/>
    <w:rPr>
      <w:sz w:val="48"/>
      <w:szCs w:val="48"/>
    </w:rPr>
  </w:style>
  <w:style w:type="character" w:styleId="Style5">
    <w:name w:val="Подзаголовок Знак"/>
    <w:qFormat/>
    <w:rPr>
      <w:sz w:val="24"/>
      <w:szCs w:val="24"/>
    </w:rPr>
  </w:style>
  <w:style w:type="character" w:styleId="21">
    <w:name w:val="Цитата 2 Знак"/>
    <w:qFormat/>
    <w:rPr>
      <w:i/>
    </w:rPr>
  </w:style>
  <w:style w:type="character" w:styleId="Style6">
    <w:name w:val="Выделенная цитата Знак"/>
    <w:qFormat/>
    <w:rPr>
      <w:i/>
    </w:rPr>
  </w:style>
  <w:style w:type="character" w:styleId="12">
    <w:name w:val="Верхний колонтитул Знак1"/>
    <w:qFormat/>
    <w:rPr/>
  </w:style>
  <w:style w:type="character" w:styleId="FooterChar">
    <w:name w:val="Footer Char"/>
    <w:qFormat/>
    <w:rPr/>
  </w:style>
  <w:style w:type="character" w:styleId="13">
    <w:name w:val="Нижний колонтитул Знак1"/>
    <w:qFormat/>
    <w:rPr/>
  </w:style>
  <w:style w:type="character" w:styleId="Style7">
    <w:name w:val="Текст сноски Знак"/>
    <w:qFormat/>
    <w:rPr>
      <w:sz w:val="18"/>
    </w:rPr>
  </w:style>
  <w:style w:type="character" w:styleId="Style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>
    <w:name w:val="Текст концевой сноски Знак"/>
    <w:qFormat/>
    <w:rPr>
      <w:sz w:val="20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3z0">
    <w:name w:val="WW8Num3z0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sz w:val="16"/>
      <w:szCs w:val="16"/>
    </w:rPr>
  </w:style>
  <w:style w:type="character" w:styleId="WW8Num6z0">
    <w:name w:val="WW8Num6z0"/>
    <w:qFormat/>
    <w:rPr/>
  </w:style>
  <w:style w:type="character" w:styleId="WW8Num7z0">
    <w:name w:val="WW8Num7z0"/>
    <w:qFormat/>
    <w:rPr/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WW8Num15z0">
    <w:name w:val="WW8Num15z0"/>
    <w:qFormat/>
    <w:rPr/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/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5z0">
    <w:name w:val="WW8Num25z0"/>
    <w:qFormat/>
    <w:rPr/>
  </w:style>
  <w:style w:type="character" w:styleId="WW8Num26z0">
    <w:name w:val="WW8Num26z0"/>
    <w:qFormat/>
    <w:rPr/>
  </w:style>
  <w:style w:type="character" w:styleId="WW8Num27z0">
    <w:name w:val="WW8Num27z0"/>
    <w:qFormat/>
    <w:rPr/>
  </w:style>
  <w:style w:type="character" w:styleId="WW8Num29z0">
    <w:name w:val="WW8Num29z0"/>
    <w:qFormat/>
    <w:rPr>
      <w:rFonts w:ascii="Symbol" w:hAnsi="Symbol" w:cs="Symbol"/>
    </w:rPr>
  </w:style>
  <w:style w:type="character" w:styleId="WW8Num30z0">
    <w:name w:val="WW8Num30z0"/>
    <w:qFormat/>
    <w:rPr/>
  </w:style>
  <w:style w:type="character" w:styleId="WW8Num31z0">
    <w:name w:val="WW8Num31z0"/>
    <w:qFormat/>
    <w:rPr/>
  </w:style>
  <w:style w:type="character" w:styleId="WW8Num32z0">
    <w:name w:val="WW8Num32z0"/>
    <w:qFormat/>
    <w:rPr/>
  </w:style>
  <w:style w:type="character" w:styleId="WW8Num33z0">
    <w:name w:val="WW8Num33z0"/>
    <w:qFormat/>
    <w:rPr/>
  </w:style>
  <w:style w:type="character" w:styleId="WW8Num34z0">
    <w:name w:val="WW8Num34z0"/>
    <w:qFormat/>
    <w:rPr/>
  </w:style>
  <w:style w:type="character" w:styleId="Pagenumber">
    <w:name w:val="page number"/>
    <w:basedOn w:val="DefaultParagraphFont"/>
    <w:qFormat/>
    <w:rPr/>
  </w:style>
  <w:style w:type="character" w:styleId="Style11">
    <w:name w:val="Текст Знак"/>
    <w:qFormat/>
    <w:rPr>
      <w:rFonts w:ascii="Courier New" w:hAnsi="Courier New" w:cs="Courier New"/>
    </w:rPr>
  </w:style>
  <w:style w:type="character" w:styleId="Style12">
    <w:name w:val="Верхний колонтитул Знак"/>
    <w:qFormat/>
    <w:rPr>
      <w:sz w:val="16"/>
      <w:lang w:val="ru-RU" w:bidi="ar-SA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Hyperlink">
    <w:name w:val="Hyperlink"/>
    <w:rPr>
      <w:color w:val="0563C1"/>
      <w:u w:val="single"/>
    </w:rPr>
  </w:style>
  <w:style w:type="character" w:styleId="Style13">
    <w:name w:val="Абзац списка Знак"/>
    <w:qFormat/>
    <w:rPr>
      <w:sz w:val="24"/>
      <w:szCs w:val="24"/>
    </w:rPr>
  </w:style>
  <w:style w:type="character" w:styleId="6">
    <w:name w:val="Заголовок 6 Знак"/>
    <w:qFormat/>
    <w:rPr>
      <w:b/>
      <w:bCs/>
      <w:sz w:val="22"/>
      <w:szCs w:val="22"/>
    </w:rPr>
  </w:style>
  <w:style w:type="character" w:styleId="Style14">
    <w:name w:val="Название Знак"/>
    <w:qFormat/>
    <w:rPr>
      <w:sz w:val="28"/>
      <w:lang w:val="ru-RU" w:bidi="ar-SA"/>
    </w:rPr>
  </w:style>
  <w:style w:type="character" w:styleId="Style15">
    <w:name w:val="Заголовок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Style16">
    <w:name w:val="Нижний колонтитул Знак"/>
    <w:qFormat/>
    <w:rPr/>
  </w:style>
  <w:style w:type="character" w:styleId="FollowedHyperlink">
    <w:name w:val="FollowedHyperlink"/>
    <w:rPr>
      <w:color w:val="954F72"/>
      <w:u w:val="single"/>
    </w:rPr>
  </w:style>
  <w:style w:type="character" w:styleId="Style17">
    <w:name w:val="Гиперссылка"/>
    <w:qFormat/>
    <w:rPr>
      <w:color w:val="0000FF"/>
      <w:u w:val="single"/>
    </w:rPr>
  </w:style>
  <w:style w:type="character" w:styleId="Style18">
    <w:name w:val="Символ нумерации"/>
    <w:qFormat/>
    <w:rPr/>
  </w:style>
  <w:style w:type="character" w:styleId="Style19">
    <w:name w:val="Маркеры"/>
    <w:qFormat/>
    <w:rPr>
      <w:rFonts w:ascii="OpenSymbol" w:hAnsi="OpenSymbol" w:eastAsia="OpenSymbol" w:cs="OpenSymbo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jc w:val="right"/>
    </w:pPr>
    <w:rPr>
      <w:sz w:val="28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pPr>
      <w:ind w:left="708"/>
    </w:pPr>
    <w:rPr/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qFormat/>
    <w:pPr>
      <w:numPr>
        <w:ilvl w:val="0"/>
        <w:numId w:val="0"/>
      </w:num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Subtitle">
    <w:name w:val="Subtitle"/>
    <w:basedOn w:val="Normal"/>
    <w:qFormat/>
    <w:pPr>
      <w:spacing w:before="200" w:after="200"/>
    </w:pPr>
    <w:rPr/>
  </w:style>
  <w:style w:type="paragraph" w:styleId="Quote">
    <w:name w:val="Quote"/>
    <w:basedOn w:val="Normal"/>
    <w:qFormat/>
    <w:pPr>
      <w:ind w:left="720" w:right="720"/>
    </w:pPr>
    <w:rPr>
      <w:i/>
    </w:rPr>
  </w:style>
  <w:style w:type="paragraph" w:styleId="IntenseQuote">
    <w:name w:val="Intense Quote"/>
    <w:basedOn w:val="Normal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fill="F2F2F2"/>
      <w:ind w:left="720" w:right="720"/>
    </w:pPr>
    <w:rPr>
      <w:i/>
    </w:rPr>
  </w:style>
  <w:style w:type="paragraph" w:styleId="FootnoteText">
    <w:name w:val="Footnote Text"/>
    <w:basedOn w:val="Normal"/>
    <w:pPr>
      <w:spacing w:before="0" w:after="40"/>
    </w:pPr>
    <w:rPr>
      <w:sz w:val="18"/>
    </w:rPr>
  </w:style>
  <w:style w:type="paragraph" w:styleId="EndnoteText">
    <w:name w:val="Endnote Text"/>
    <w:basedOn w:val="Normal"/>
    <w:pPr/>
    <w:rPr>
      <w:sz w:val="20"/>
    </w:rPr>
  </w:style>
  <w:style w:type="paragraph" w:styleId="TOC1">
    <w:name w:val="TOC 1"/>
    <w:basedOn w:val="Normal"/>
    <w:pPr>
      <w:spacing w:before="0" w:after="57"/>
    </w:pPr>
    <w:rPr/>
  </w:style>
  <w:style w:type="paragraph" w:styleId="TOC2">
    <w:name w:val="TOC 2"/>
    <w:basedOn w:val="Normal"/>
    <w:pPr>
      <w:spacing w:before="0" w:after="57"/>
      <w:ind w:left="283"/>
    </w:pPr>
    <w:rPr/>
  </w:style>
  <w:style w:type="paragraph" w:styleId="TOC3">
    <w:name w:val="TOC 3"/>
    <w:basedOn w:val="Normal"/>
    <w:pPr>
      <w:spacing w:before="0" w:after="57"/>
      <w:ind w:left="567"/>
    </w:pPr>
    <w:rPr/>
  </w:style>
  <w:style w:type="paragraph" w:styleId="TOC4">
    <w:name w:val="TOC 4"/>
    <w:basedOn w:val="Normal"/>
    <w:pPr>
      <w:spacing w:before="0" w:after="57"/>
      <w:ind w:left="850"/>
    </w:pPr>
    <w:rPr/>
  </w:style>
  <w:style w:type="paragraph" w:styleId="TOC5">
    <w:name w:val="TOC 5"/>
    <w:basedOn w:val="Normal"/>
    <w:pPr>
      <w:spacing w:before="0" w:after="57"/>
      <w:ind w:left="1134"/>
    </w:pPr>
    <w:rPr/>
  </w:style>
  <w:style w:type="paragraph" w:styleId="TOC6">
    <w:name w:val="TOC 6"/>
    <w:basedOn w:val="Normal"/>
    <w:pPr>
      <w:spacing w:before="0" w:after="57"/>
      <w:ind w:left="1417"/>
    </w:pPr>
    <w:rPr/>
  </w:style>
  <w:style w:type="paragraph" w:styleId="TOC7">
    <w:name w:val="TOC 7"/>
    <w:basedOn w:val="Normal"/>
    <w:pPr>
      <w:spacing w:before="0" w:after="57"/>
      <w:ind w:left="1701"/>
    </w:pPr>
    <w:rPr/>
  </w:style>
  <w:style w:type="paragraph" w:styleId="TOC8">
    <w:name w:val="TOC 8"/>
    <w:basedOn w:val="Normal"/>
    <w:pPr>
      <w:spacing w:before="0" w:after="57"/>
      <w:ind w:left="1984"/>
    </w:pPr>
    <w:rPr/>
  </w:style>
  <w:style w:type="paragraph" w:styleId="TOC9">
    <w:name w:val="TOC 9"/>
    <w:basedOn w:val="Normal"/>
    <w:pPr>
      <w:spacing w:before="0" w:after="57"/>
      <w:ind w:left="2268"/>
    </w:pPr>
    <w:rPr/>
  </w:style>
  <w:style w:type="paragraph" w:styleId="IndexHeading">
    <w:name w:val="Index Heading"/>
    <w:basedOn w:val="Style20"/>
    <w:pPr/>
    <w:rPr/>
  </w:style>
  <w:style w:type="paragraph" w:styleId="TOCHeading">
    <w:name w:val="TOC Head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pPr/>
    <w:rPr/>
  </w:style>
  <w:style w:type="paragraph" w:styleId="Indexheading1">
    <w:name w:val="index heading1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styleId="PlainText">
    <w:name w:val="Plain Text"/>
    <w:basedOn w:val="Normal"/>
    <w:qFormat/>
    <w:pPr/>
    <w:rPr>
      <w:rFonts w:ascii="Courier New" w:hAnsi="Courier New" w:cs="Courier New"/>
      <w:sz w:val="20"/>
      <w:szCs w:val="20"/>
      <w:lang w:val="en-US"/>
    </w:rPr>
  </w:style>
  <w:style w:type="paragraph" w:styleId="ConsNormal">
    <w:name w:val="ConsNormal"/>
    <w:qFormat/>
    <w:pPr>
      <w:widowControl/>
      <w:suppressAutoHyphens w:val="true"/>
      <w:overflowPunct w:val="true"/>
      <w:bidi w:val="0"/>
      <w:spacing w:before="0" w:after="0"/>
      <w:ind w:firstLine="720"/>
      <w:jc w:val="left"/>
    </w:pPr>
    <w:rPr>
      <w:rFonts w:ascii="Consultant" w:hAnsi="Consultant" w:eastAsia="Droid Sans Fallback" w:cs="Consultant"/>
      <w:color w:val="auto"/>
      <w:kern w:val="0"/>
      <w:sz w:val="20"/>
      <w:szCs w:val="20"/>
      <w:lang w:val="ru-RU" w:eastAsia="zh-CN" w:bidi="ar-SA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Style22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3">
    <w:name w:val="Знак Знак Знак Знак Знак Знак Знак Знак Знак Знак Знак Знак"/>
    <w:basedOn w:val="Normal"/>
    <w:qFormat/>
    <w:pPr/>
    <w:rPr>
      <w:rFonts w:ascii="Verdana" w:hAnsi="Verdana" w:cs="Verdana"/>
      <w:sz w:val="20"/>
      <w:szCs w:val="20"/>
      <w:lang w:val="en-US"/>
    </w:rPr>
  </w:style>
  <w:style w:type="paragraph" w:styleId="ConsPlusNormal">
    <w:name w:val="ConsPlus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Lohit Devanagari"/>
      <w:color w:val="auto"/>
      <w:kern w:val="0"/>
      <w:sz w:val="20"/>
      <w:szCs w:val="20"/>
      <w:lang w:val="ru-RU" w:eastAsia="zh-CN" w:bidi="ar-SA"/>
    </w:rPr>
  </w:style>
  <w:style w:type="paragraph" w:styleId="Header">
    <w:name w:val="Header"/>
    <w:pPr>
      <w:widowControl/>
      <w:tabs>
        <w:tab w:val="clear" w:pos="708"/>
        <w:tab w:val="center" w:pos="4153" w:leader="none"/>
        <w:tab w:val="right" w:pos="8306" w:leader="none"/>
      </w:tabs>
      <w:suppressAutoHyphens w:val="true"/>
      <w:overflowPunct w:val="true"/>
      <w:bidi w:val="0"/>
      <w:spacing w:before="0" w:after="0"/>
      <w:jc w:val="center"/>
    </w:pPr>
    <w:rPr>
      <w:rFonts w:ascii="Times New Roman" w:hAnsi="Times New Roman" w:eastAsia="Droid Sans Fallback" w:cs="Lohit Devanagari"/>
      <w:color w:val="auto"/>
      <w:kern w:val="0"/>
      <w:sz w:val="16"/>
      <w:szCs w:val="20"/>
      <w:lang w:val="ru-RU" w:eastAsia="zh-CN" w:bidi="ar-SA"/>
    </w:rPr>
  </w:style>
  <w:style w:type="paragraph" w:styleId="BodyTextIndent3">
    <w:name w:val="Body Text Indent 3"/>
    <w:basedOn w:val="Normal"/>
    <w:qFormat/>
    <w:pPr>
      <w:spacing w:before="0" w:after="120"/>
      <w:ind w:left="283"/>
    </w:pPr>
    <w:rPr>
      <w:sz w:val="16"/>
      <w:szCs w:val="16"/>
      <w:lang w:val="en-US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Droid Sans Fallback" w:cs="Lohit Devanagari"/>
      <w:color w:val="000000"/>
      <w:kern w:val="0"/>
      <w:sz w:val="24"/>
      <w:szCs w:val="24"/>
      <w:lang w:val="ru-RU" w:eastAsia="zh-CN" w:bidi="ar-SA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jc w:val="center"/>
    </w:pPr>
    <w:rPr>
      <w:b/>
      <w:bCs/>
    </w:rPr>
  </w:style>
  <w:style w:type="paragraph" w:styleId="TimesNewRoman">
    <w:name w:val="Times New Roman"/>
    <w:qFormat/>
    <w:pPr>
      <w:keepNext w:val="false"/>
      <w:keepLines w:val="false"/>
      <w:pageBreakBefore w:val="false"/>
      <w:widowControl/>
      <w:suppressAutoHyphens w:val="true"/>
      <w:overflowPunct w:val="true"/>
      <w:bidi w:val="0"/>
      <w:spacing w:lineRule="auto" w:line="240" w:before="0" w:after="0"/>
      <w:ind w:firstLine="311" w:left="0" w:right="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auto"/>
      <w:spacing w:val="0"/>
      <w:kern w:val="0"/>
      <w:position w:val="0"/>
      <w:sz w:val="24"/>
      <w:sz w:val="24"/>
      <w:szCs w:val="24"/>
      <w:u w:val="none"/>
      <w:vertAlign w:val="baseline"/>
      <w:lang w:val="ru-RU" w:eastAsia="ru-RU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torgi.gov.ru/" TargetMode="External"/><Relationship Id="rId3" Type="http://schemas.openxmlformats.org/officeDocument/2006/relationships/hyperlink" Target="http://www.gorodperm.ru/" TargetMode="External"/><Relationship Id="rId4" Type="http://schemas.openxmlformats.org/officeDocument/2006/relationships/hyperlink" Target="http://utp.sberbank-ast.ru/" TargetMode="External"/><Relationship Id="rId5" Type="http://schemas.openxmlformats.org/officeDocument/2006/relationships/hyperlink" Target="http://utp.sberbank-ast.ru/" TargetMode="External"/><Relationship Id="rId6" Type="http://schemas.openxmlformats.org/officeDocument/2006/relationships/hyperlink" Target="https://utp.sberbank-ast.ru/Main/Notice/988/Reglament" TargetMode="External"/><Relationship Id="rId7" Type="http://schemas.openxmlformats.org/officeDocument/2006/relationships/hyperlink" Target="https://utp.sberbank-ast.ru/AP/Notice/1027/Instructions" TargetMode="External"/><Relationship Id="rId8" Type="http://schemas.openxmlformats.org/officeDocument/2006/relationships/hyperlink" Target="https://utp.sberbank-ast.ru/AP/Notice/652/Instructions" TargetMode="External"/><Relationship Id="rId9" Type="http://schemas.openxmlformats.org/officeDocument/2006/relationships/hyperlink" Target="http://www.gorodperm.ru/" TargetMode="External"/><Relationship Id="rId10" Type="http://schemas.openxmlformats.org/officeDocument/2006/relationships/hyperlink" Target="http://www.gorodperm.ru/" TargetMode="External"/><Relationship Id="rId11" Type="http://schemas.openxmlformats.org/officeDocument/2006/relationships/hyperlink" Target="mailto:perm-mail@ural.rt.ru" TargetMode="External"/><Relationship Id="rId12" Type="http://schemas.openxmlformats.org/officeDocument/2006/relationships/hyperlink" Target="mailto:perm-mail@ural.rt.ru." TargetMode="External"/><Relationship Id="rId13" Type="http://schemas.openxmlformats.org/officeDocument/2006/relationships/hyperlink" Target="http://www.gorodperm.ru/" TargetMode="External"/><Relationship Id="rId14" Type="http://schemas.openxmlformats.org/officeDocument/2006/relationships/hyperlink" Target="http://www.gorodperm.ru/" TargetMode="External"/><Relationship Id="rId15" Type="http://schemas.openxmlformats.org/officeDocument/2006/relationships/hyperlink" Target="mailto:perm-mail@ural.rt.ru" TargetMode="External"/><Relationship Id="rId16" Type="http://schemas.openxmlformats.org/officeDocument/2006/relationships/hyperlink" Target="mailto:perm-mail@ural.rt.ru." TargetMode="External"/><Relationship Id="rId17" Type="http://schemas.openxmlformats.org/officeDocument/2006/relationships/hyperlink" Target="http://www.gorodperm.ru/" TargetMode="External"/><Relationship Id="rId18" Type="http://schemas.openxmlformats.org/officeDocument/2006/relationships/hyperlink" Target="http://www.gorodperm.ru/" TargetMode="External"/><Relationship Id="rId19" Type="http://schemas.openxmlformats.org/officeDocument/2006/relationships/hyperlink" Target="mailto:perm-mail@ural.rt.ru" TargetMode="External"/><Relationship Id="rId20" Type="http://schemas.openxmlformats.org/officeDocument/2006/relationships/hyperlink" Target="mailto:perm-mail@ural.rt.ru." TargetMode="External"/><Relationship Id="rId21" Type="http://schemas.openxmlformats.org/officeDocument/2006/relationships/hyperlink" Target="http://www.gorodperm.ru/" TargetMode="External"/><Relationship Id="rId22" Type="http://schemas.openxmlformats.org/officeDocument/2006/relationships/hyperlink" Target="http://www.gorodperm.ru/" TargetMode="External"/><Relationship Id="rId23" Type="http://schemas.openxmlformats.org/officeDocument/2006/relationships/hyperlink" Target="mailto:perm-mail@ural.rt.ru" TargetMode="External"/><Relationship Id="rId24" Type="http://schemas.openxmlformats.org/officeDocument/2006/relationships/hyperlink" Target="mailto:perm-mail@ural.rt.ru." TargetMode="External"/><Relationship Id="rId25" Type="http://schemas.openxmlformats.org/officeDocument/2006/relationships/hyperlink" Target="http://www.gorodperm.ru/" TargetMode="External"/><Relationship Id="rId26" Type="http://schemas.openxmlformats.org/officeDocument/2006/relationships/hyperlink" Target="http://www.gorodperm.ru/" TargetMode="External"/><Relationship Id="rId27" Type="http://schemas.openxmlformats.org/officeDocument/2006/relationships/hyperlink" Target="mailto:perm-mail@ural.rt.ru" TargetMode="External"/><Relationship Id="rId28" Type="http://schemas.openxmlformats.org/officeDocument/2006/relationships/hyperlink" Target="mailto:perm-mail@ural.rt.ru." TargetMode="External"/><Relationship Id="rId29" Type="http://schemas.openxmlformats.org/officeDocument/2006/relationships/hyperlink" Target="http://www.gorodperm.ru/" TargetMode="External"/><Relationship Id="rId30" Type="http://schemas.openxmlformats.org/officeDocument/2006/relationships/hyperlink" Target="http://www.gorodperm.ru/" TargetMode="External"/><Relationship Id="rId31" Type="http://schemas.openxmlformats.org/officeDocument/2006/relationships/hyperlink" Target="mailto:perm-mail@ural.rt.ru" TargetMode="External"/><Relationship Id="rId32" Type="http://schemas.openxmlformats.org/officeDocument/2006/relationships/hyperlink" Target="mailto:perm-mail@ural.rt.ru." TargetMode="External"/><Relationship Id="rId33" Type="http://schemas.openxmlformats.org/officeDocument/2006/relationships/hyperlink" Target="http://www.gorodperm.ru/" TargetMode="External"/><Relationship Id="rId34" Type="http://schemas.openxmlformats.org/officeDocument/2006/relationships/hyperlink" Target="http://www.gorodperm.ru/" TargetMode="External"/><Relationship Id="rId35" Type="http://schemas.openxmlformats.org/officeDocument/2006/relationships/hyperlink" Target="mailto:perm-mail@ural.rt.ru" TargetMode="External"/><Relationship Id="rId36" Type="http://schemas.openxmlformats.org/officeDocument/2006/relationships/hyperlink" Target="mailto:perm-mail@ural.rt.ru." TargetMode="External"/><Relationship Id="rId37" Type="http://schemas.openxmlformats.org/officeDocument/2006/relationships/hyperlink" Target="http://utp.sberbank-ast.ru/AP/Notice/653/Requisites" TargetMode="External"/><Relationship Id="rId38" Type="http://schemas.openxmlformats.org/officeDocument/2006/relationships/header" Target="header1.xml"/><Relationship Id="rId39" Type="http://schemas.openxmlformats.org/officeDocument/2006/relationships/header" Target="header2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Application>LibreOffice/7.6.7.2$Linux_X86_64 LibreOffice_project/60$Build-2</Application>
  <AppVersion>15.0000</AppVersion>
  <Pages>88</Pages>
  <Words>26693</Words>
  <Characters>197281</Characters>
  <CharactersWithSpaces>223484</CharactersWithSpaces>
  <Paragraphs>1114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2023-10-30T09:15:00Z</dcterms:created>
  <dc:creator>Tatyannikova</dc:creator>
  <dc:description/>
  <dc:language>ru-RU</dc:language>
  <cp:lastModifiedBy/>
  <dcterms:modified xsi:type="dcterms:W3CDTF">2026-09-17T14:56:39Z</dcterms:modified>
  <cp:revision>361</cp:revision>
  <dc:subject/>
  <dc:title>Департамент имущественных отношений администрации города Перми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