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>
          <w:sz w:val="28"/>
          <w:szCs w:val="28"/>
        </w:rPr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>
          <w:sz w:val="28"/>
          <w:szCs w:val="28"/>
        </w:rPr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23.09.2026 № 059-19-01-11-157</w:t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Извещение о проведении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ru-RU"/>
        </w:rPr>
        <w:t xml:space="preserve"> 08.10.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>2026 электронных аукционов на право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заключения договоров аренды 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FFFFFF" w:val="clear"/>
        </w:rPr>
        <w:t xml:space="preserve">Электронные аукционы на право заключения договоров аренды земельных участков (далее – аукцион) проводятся в соответствии со статьями 39.11, 39.12, 39.13, 39.18 Земельного кодекса Российской Федерации,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не разграничена, или на право заключения договоров аренды земельных участков, находящихся 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>и участков, собственность на которые 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/>
          <w:bCs/>
        </w:rPr>
        <w:t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 </w:t>
      </w:r>
      <w:r>
        <w:rPr>
          <w:bCs/>
          <w:sz w:val="24"/>
          <w:szCs w:val="28"/>
        </w:rPr>
        <w:t>23.09.2026 № 059-19-01-11-157</w:t>
      </w:r>
      <w:r>
        <w:rPr>
          <w:bCs/>
          <w:sz w:val="28"/>
          <w:szCs w:val="28"/>
        </w:rPr>
        <w:t>.</w:t>
      </w:r>
    </w:p>
    <w:p>
      <w:pPr>
        <w:pStyle w:val="BodyTextIndent3"/>
        <w:numPr>
          <w:ilvl w:val="0"/>
          <w:numId w:val="0"/>
        </w:numPr>
        <w:suppressAutoHyphens w:val="true"/>
        <w:spacing w:before="0" w:after="0"/>
        <w:ind w:firstLine="567" w:left="-567"/>
        <w:jc w:val="both"/>
        <w:outlineLvl w:val="0"/>
        <w:rPr/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</w:t>
        <w:br/>
        <w:t>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</w:t>
        <w:br/>
        <w:t xml:space="preserve">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</w:t>
        <w:br/>
        <w:t xml:space="preserve">(далее – торговая секция). 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rStyle w:val="Hyperlink"/>
          <w:rFonts w:eastAsia="Courier New" w:cs="Lohit Devanagari"/>
          <w:b/>
          <w:bCs/>
          <w:color w:val="auto"/>
          <w:kern w:val="0"/>
          <w:sz w:val="24"/>
          <w:szCs w:val="24"/>
          <w:u w:val="none"/>
          <w:lang w:val="ru-RU" w:eastAsia="zh-CN" w:bidi="ru-RU"/>
        </w:rPr>
        <w:t>Орган, уполномоченный на право заключение договора аренды земельного участка:</w:t>
      </w:r>
      <w:r>
        <w:rPr>
          <w:rStyle w:val="Hyperlink"/>
          <w:rFonts w:eastAsia="Courier New" w:cs="Lohit Devanagari"/>
          <w:color w:val="auto"/>
          <w:kern w:val="0"/>
          <w:sz w:val="24"/>
          <w:szCs w:val="24"/>
          <w:u w:val="none"/>
          <w:lang w:val="ru-RU" w:eastAsia="zh-CN" w:bidi="ru-RU"/>
        </w:rPr>
        <w:t xml:space="preserve"> департамент земельных отношений администрации города Перми, местонахождение: 614000, </w:t>
        <w:br/>
        <w:t>г. Пермь, ул. Сибирская,15, почтовый адрес: 614000, г. Пермь, ул. Сибирская,15, телефон 212-61-90 (отдел договоров), адрес электронной почты: dzo@perm.permkrai.ru.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Сведения о лотах (предметах аукциона)</w:t>
      </w:r>
    </w:p>
    <w:p>
      <w:pPr>
        <w:pStyle w:val="PlainText"/>
        <w:spacing w:lineRule="exact" w:line="240"/>
        <w:ind w:hanging="1134" w:left="1134"/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1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 xml:space="preserve">от 17 декабря 2025 г. № 21-01-03-9881 «О проведении аукциона </w:t>
            </w:r>
            <w:r>
              <w:rPr>
                <w:rFonts w:eastAsia="Droid Sans Fallback" w:cs="Lohit Devanagari"/>
                <w:color w:val="000000"/>
                <w:kern w:val="0"/>
                <w:sz w:val="24"/>
                <w:szCs w:val="28"/>
                <w:shd w:fill="auto" w:val="clear"/>
                <w:lang w:val="ru-RU" w:eastAsia="zh-CN" w:bidi="ar-SA"/>
              </w:rPr>
              <w:t>на право заключения договора аренды земельного участка в Орджоникидзевском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Генерала Черняховского, з/у 53а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2594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59:01:3810202:3827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среднеэтажная жилая застройка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Ж-2 «Зона среднеэтажной жилой застройки», подзона Ж-2</w:t>
            </w:r>
          </w:p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(П 1,6)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19.01.2026г.                № КУВИ-001/2026-4429024 (далее –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</w:t>
            </w:r>
            <w:r>
              <w:rPr>
                <w:color w:val="000000"/>
                <w:sz w:val="24"/>
                <w:szCs w:val="24"/>
              </w:rPr>
              <w:t>.10.2025 № РФ-59-2-03-0-00-2025-2622-0</w:t>
            </w:r>
            <w:r>
              <w:rPr>
                <w:color w:val="000000"/>
                <w:sz w:val="24"/>
                <w:szCs w:val="24"/>
                <w:shd w:fill="FFFFFF" w:val="clear"/>
              </w:rPr>
              <w:t> </w:t>
            </w:r>
            <w:r>
              <w:rPr>
                <w:sz w:val="24"/>
                <w:szCs w:val="24"/>
              </w:rPr>
              <w:t>(далее – ГПЗУ).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  <w:t>Приложение 2 к настоящему извещению)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ходе визуального осмотра территории установлено, что состояние рельефа земельного участка относительно ровное, имеются отвалы грунта разной высоты. Земельный участок зарос сорной травой, низкорослыми кустарниками, лиственными деревьями. Объекты капитального/ некапитального строительства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По сведениям, предоставленным отделением надзорной деятельности и профилактической работы г. Перми по Орджоникидзевскому району 1 ОНПР по городу Перми УНПР Главного управления МЧС России по Пермскому краю, ближайшие пожарные гидранты расположены по адресу: Пермский край, г. Пермь, Орджоникидзевский район, по ул. Генерала Черняховского, вблизи домов № 49, 53, 94.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администрации Орджоникидзевского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от 24.1</w:t>
            </w:r>
            <w:r>
              <w:rPr>
                <w:color w:val="auto"/>
                <w:sz w:val="24"/>
                <w:szCs w:val="24"/>
                <w:highlight w:val="white"/>
              </w:rPr>
              <w:t>0.2025 № 059-37-01-32/3-5505, в акте обследования от 23.10.2025 № 115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со сведениями, содержащимися в Едином государственном реестре недвижимости (далее ЕГРН), в границах Участка расположен объект капитального строительства с кадастровым номером 59:01:0000000:81701 – сооружение коммунального хозяйства (газопровод среднего и низкого давления), находится в собственности АО «Газпром газораспределение Пермь».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В соответствии с копией планшета М 1:500 (требующей корректуры), в границах Участка расположены сети электроснабжения, теплоснабжения, газопровод.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highlight w:val="white"/>
              </w:rPr>
            </w:pPr>
            <w:r>
              <w:rPr>
                <w:color w:themeColor="accent3" w:themeShade="bf" w:val="auto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</w:t>
            </w:r>
            <w:r>
              <w:rPr>
                <w:sz w:val="24"/>
                <w:szCs w:val="24"/>
              </w:rPr>
              <w:t xml:space="preserve">от 19.01.2026 </w:t>
              <w:br/>
              <w:t>№ 661994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частично охранная зона тепловая сеть,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частично охранная зона сооружения,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зон»), типовых правил охраны коммунальных тепловых сетей, утвержденные Приказом Министерства архитектуры, строительства и жилищно-коммунального хозяйства РФ от 17.08.1992 № 197, нормы постановления Правительства РФ от 20.11.2000 г. № 878 «Об утверждении правил охраны газораспределительных сетей», нормы постановления Правительства Российской Федерации от 11.03.2010 № 138 «Об утверждении Федеральных правил использования воздушного пространства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68 шт. деревьев породы – береза 2 шт., осина 34 шт., ива 32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01.11.2025 № 387.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у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01.11.2025 № 059-33-01-10/3-135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</w:t>
              <w:br/>
              <w:t>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Для сведения сообщаем, в границах земельного участка (параллельно ул. Генерала Черняховского) расположен тротуар, обеспечивающий безопасное движение пешеходов.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Для примыкания земельного участка к улично-дорожной сети города Перми необходимо: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разработать проект организации дорожного движения и согласовать в установленном порядке с ГКУ «Центр безопасности дорожного движения Пермского края» (ул. Пермская, 164, тел. 236-21-84);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получить согласие владельца автомобильной дороги (порядок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автомобильной дороги 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>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дороге, а также перечень документов, необходимых для выдачи согласия, утверждены Постановлением администрации города Перми от 31.01.2022 № 45).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Также направляем информацию о соблюдении Правил благоустройства территории города Перми, утвержденных решением Пермской городской Думы от 15.12.2020 № 277, при строительстве объектов недвижимости на земельных участках, предоставленных на торгах: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предусмотреть электроосвещение территории объекта;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стоянку для временного хранения транспорта разместить в границах отведенного под строительство земельного участка вне территории общего пользования;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предусмотреть устройство подъезда к земельному участку или ликвидацию разрушений, повреждений дорожного покрытия существующего проезда от границ земельного участка до существующей улично-дорожной сети города Перми, а также наружное освещение подъезда.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Для сведения сообщаем, что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 от 15.10.2025 № 059-24-01-36/3-3813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(пожарный гидрант на сети водоснабжения) расположен по адресу: ул. Генерала Черняховского, напротив дома № 51.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Информация о подразделениях пожарной охраны 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Волховская, 37 (ПСЧ-57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В указанном микрорайоне Кислотные Дачи, Орджоникидзевского района объект общественной безопасности, отнесенный к объектам полиции (участковые пункты полиции) находится по адресу г. Пермь, переулок Талицкий, 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По информации, предоставленной Министерством территориальной безопасности Пермского края (письмо от 07.10.2020 №964с), рассматриваемый земельный участок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Указанный земельный участок находится в зоне действия системы оповещения населения города Перми, установленной по ул. Молдавская, 6а – 600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В соответствии с Постановлением Правительства Российской Федерации от 29 ноября 1999 № 1309 «О порядке создания убежищ и иных объектов гражданской обороны» для укрытия населения используются имеющиеся защитные сооружения гражданской обороны и (или) приспосабливаются под защитные сооружения гражданской обороны в период мобилизации и в военное время заглубленные помещения и другие сооружения подземного пространства, включая метрополитены. Создание объектов гражданской обороны в период мобилизации и в военное время осуществляется в соответствии с планами гражданской обороны федеральных органов исполнительной власти и организаций, планами гражданской обороны и защиты населения субъектов Российской Федерации и муниципальных образований, за счет приспособления существующих, реконструируемых и вновь строящихся зданий и сооружений, станций и линий метрополитенов, которые по своему предназначению могут быть использованы как объекты гражданской обороны, а также строительства этих объектов.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В качестве объектов гражданской обороны также могут использоваться объекты, предназначенные для обеспечения защиты от чрезвычайных ситуаций природного и техногенного характера.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В мирное время объекты гражданской обороны в установленном порядке могут использоваться в интересах экономики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предназначению.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14:ligatures w14:val="none"/>
              </w:rPr>
              <w:t>В связи с вышеизложенным, предлагается при строительстве многоквартирных зданий, а также зданий многоцелевого назначения предусмотреть заглубленные помещения и другие сооружения подземного пространства, как объекты двойного назначения, соответствующие требованиям ГОСТ Р 42.4.16-23 «Гражданская оборона. Приспособление заглубленных помещений для укрытия населения. Общие требования».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  <w:highlight w:val="white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  <w:highlight w:val="white"/>
              </w:rPr>
              <w:t xml:space="preserve"> от 23.10.2025 № 059-10-01-27/3-2324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 xml:space="preserve">Согласно протоколу заседания координационного совещания по обеспечению правопорядка в Пермском крае от 16.03.2022 №74-гс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*Предельная высота зданий, строений - не более 8 этажей;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*Предельный минимальный размер временных стоянок легковых автомобилей на открытых площадках - 3,5 кв.м на 100 кв.м общей площади жилых помещений;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*Предельный минимальный размер площадок: детских площадок с элементами озеленения, площадок для отдыха с элементами озеленения, спортивных площадок, расположенных на земельном участке с видом разрешенного использования «среднеэтажная жилая застройка (2.5)» - 7 кв.м на 100 кв.м общей площади жилых помещений.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* не подлежит применению к правоотношениям, возникшим из договоров о развитии застроенной территории или о комплексном освоении территории, заключенных до 13.10.2017, либо из договоров о развитии застроенной территории, в случае, если решение о проведении аукциона на право заключить такой договор принято до 13.10.2017.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>Согласно справке по градостроительным условиям земельного участка от 19.01.2026 № 661994, ГПЗУ, предельный максимальный коэффициент плотности застройки Участка равен 1,6. Участок расположен в подзоне П 1,6.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4"/>
                <w14:ligatures w14:val="none"/>
              </w:rPr>
            </w:pPr>
            <w:r>
              <w:rPr>
                <w:color w:val="000000"/>
                <w:sz w:val="24"/>
                <w:szCs w:val="24"/>
                <w:shd w:fill="FFFFFF" w:val="clear"/>
                <w:lang w:val="en-US"/>
                <w14:ligatures w14:val="none"/>
              </w:rPr>
              <w:t xml:space="preserve">Таким образом, предельные параметры разрешенного строительства </w:t>
            </w:r>
            <w:bookmarkStart w:id="0" w:name="undefined"/>
            <w:bookmarkEnd w:id="0"/>
            <w:r>
              <w:rPr>
                <w:color w:val="000000"/>
                <w:sz w:val="24"/>
                <w:szCs w:val="24"/>
                <w:shd w:fill="FFFFFF" w:val="clear"/>
                <w:lang w:val="en-US"/>
                <w14:ligatures w14:val="none"/>
              </w:rPr>
              <w:t xml:space="preserve">на земельном участке составляют </w:t>
              <w:br/>
              <w:t>4150,4 кв. м (2594 кв. м х 1,6).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  <w:lang w:val="en-US"/>
                <w14:ligatures w14:val="none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0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90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РФ от 27.12.2004 № 861 (далее -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Дополнительно сообщаем, что 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портал электросетевых услуг группы компаний «Россети» на сайте: https://портал-тп.рф, через Мобильное приложение ПАО «Россети» или при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 xml:space="preserve"> от 16</w:t>
            </w:r>
            <w:r>
              <w:rPr>
                <w:color w:val="auto"/>
                <w:sz w:val="24"/>
                <w:szCs w:val="24"/>
                <w:highlight w:val="white"/>
              </w:rPr>
              <w:t>.10.2025 № ПЭ/ПГЭС/01/01/13231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0,3 Гккал/час возможность имеется. Возможные точки присоединения на существующих тепловых сетях: К-3-53-4 на М-84 2Ду300мм. Источник теплоснабжения: ВК по адресу: г. Пермь, Талицкий переулок, 12. Сведения о размере подключаемой тепловой нагрузки: 0,3 Гккал/час.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границах Участка расположены тепловые сети (охранная зона тепловой трассы с реестровым номером ЗОУИТ 59:01-6.12005). При проектировании и застройке участка необходимо выполнение условий, обеспечивающих: сохранность существующих тепловых сетей; соблюдение Типовых правил охраны коммунальных тепловых сетей, утвержденных Приказом Минстроя России от 17.08.1992 №197; беспрепятственный доступ персонала и транспорта для обслуживания и ремонта тепловых сетей.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ПАО «Т Плюс»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22.10.2025 № 51030-01-06587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24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с 8:00 до 17:00, чт с 11:00 до 20:00, пт с 8:00 до 16:00, вторая суббота месяца с 08:00 до 16:00).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  <w:t>Заявку о заключении договора о подключении (технологическом присоединении) по типовой форме с пакетом документов в соответствии с п.11,16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А так же сообщается, что в границах земельного участка могут располагаться газораспределительные сети (сети ЭХЗ), находящиеся как в собственности АО «Газпром газораспределение Пермь», так и в собственности третьих лиц. 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 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24.10.2025 № ПФ-7708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Кронита, 8),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Для подключения (технологического присоединения) вышеуказанных объектов 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1 года (при комплексном развитии территории – 3 лет) 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Для получения ТУ на подключение к сетям связи 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1">
              <w:r>
                <w:rPr>
                  <w:rStyle w:val="Hyperlink"/>
                  <w:color w:val="auto"/>
                  <w:sz w:val="24"/>
                  <w:szCs w:val="24"/>
                  <w:highlight w:val="white"/>
                </w:rPr>
                <w:t>perm-mail@ural.rt.ru</w:t>
              </w:r>
            </w:hyperlink>
            <w:hyperlink r:id="rId12" w:tgtFrame="mailto:perm-mail@ural.rt.ru.">
              <w:r>
                <w:rPr>
                  <w:rStyle w:val="ListLabel39"/>
                  <w:color w:val="auto"/>
                  <w:sz w:val="24"/>
                  <w:szCs w:val="24"/>
                  <w:highlight w:val="white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от 16.10.2025 № 01/05/153316/25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для наличия технической возможности подключения к сетям водопровода и канализации, необходимо выполнить мероприятия по ликвидации технологического разрыва: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1. Запроектировать и построить сети водопровода от точки подключения (технологического присоединения) объекта, располагающейся на границе инженерно- технических сетей холодного водоснабжения, находящихся в объекте до точки присоединения - сети водопровода Д-300 мм по Генерала Черняховского, ориентировочной протяженностью - 10,0 м.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2. Запроектировать и построить сети канализации от первых колодцев на выпусках жилого дома до точки присоединения - внутриквартальной сети канализации Д-200 мм от жилого дома по ул.Генерала Черняховского,57, ориентировочной протяженностью - 30,0 м.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Ввиду отсутствия данных о посадке проектируемого объекта и, соответственно, точных длин технологических разрывов до сетей водоснабжения и водоотведения, протяженность сетей водопровода и канализации указана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B границах вышеуказанного земельного участка отсутствуют сети водопровода и канализации, эксплуатируемые ООО «НОВОГОР - Прикамье», однако при проработке возможности строительства объекта на данной площадке и уточнения необходимых мощностей, правообладателю земельного участка необходимо предусмотреть до начала разработки рабочего проекта: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Размещение объекта строго за пределами охранных зон сетей водопровода и канализации, в соответствии норм СП 42.13330.2016 «Градостроительство планировка и застройка городских и сельских поселений».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До отвода земли под строительство оформить публичные сервитуты на землю, по которой проложены сети водопровода и канализации.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B случае намерения строительства объекта, в ООО «НОВОГОР-Прикамье» необходимо обратиться правообладателю земельного участка для получения технических условий подключения объекта капитального строительства к сетям водоснабжения и водоотведения с соответствующим запросом и предоставить пакет документов в соответствии с 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обеспечения, постановлением Правительства Российской Федерации от 30.11.2021 г. №2130, в том числе: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-Копия паспорта или иного документа, удостоверяющего личность (для физических лиц), а также документы, подтверждающие полномочия лица, подписавшего запрос.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-Копии правоудостоверяющих документов на земельный участок, на котором планируется к размещению подключаемый объект. При представлении в качестве правоудостоверяющего документа выписки из Единого государственного реестра недвижимости, такая выписка должна быть получена не ранее чем за 30 календарных дней до дня направления запроса о выдаче технических условий.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- 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1:500,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- Градостроительный план земельного участка (при его наличии);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Кроме того, с целью проведения оценочного (гидравлического) расчета подключения и определения возможных точек подключения к сетям водопровода и канализации, определения свободной мощности сетей и объема мероприятий, необходимых к выполнению на системах водоснабжения и водоотведения для создания технической возможности подключения, необходимо предоставить расчет величины необходимой подключаемой нагрузки с расшифровкой требуемых нагрузок в соответствии с действующими нормами на территории РФ, выполненный лицензированной проектной организацией, имеющей допуск на проектирование, выданный саморегулируемой организацией (СРО).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 расчете необходимо указать максимальные планируемые объемы водопотребления и водоотведения (в м3/сут, м /час, л/сек); расходы на полив; расходы на нужды пожаротушения, со ссылками на действующими нормативные документы на территории РФ.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После предоставления Заявителем данных о посадке здания, технических характеристик и параметрах проектируемого объекта (класс функциональной пожарной опасности объекта, этажность, строительный объем (м'), количество пожарных кранов в проектируемом объекте и т.д.), исходя из которых определяется необходимость в обеспечении наружным и внутренним пожаротушением, а также после уточнения максимальных планируемых объемов водопотребления и водоотведения, возможно изменение (увеличение/уменьшение) объема необходимых к выполнению мероприятий на системах водоснабжения и водоотведения.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Подключение к сетям водопровода и канализации объекта по ул. Генерала Черняховского, 53а, в Орджоникидзевском районе г. Перми будет возможно после выполнения вышеуказанных мероприятий.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14:ligatures w14:val="none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  <w14:ligatures w14:val="none"/>
              </w:rPr>
              <w:t>от 20.10.2025 № 110-16268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не предусмотрено строительство сетей водоснабжения и водоотведения.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определения технической возможности подключения объекта капитального строительства к сетям водоснабжения и водоотведения необходимо обратиться к гарантирующей организации для проведения гидравлического расчета.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  <w:highlight w:val="white"/>
              </w:rPr>
              <w:t>от 14.10.2025 № 059-04-17/3-980-ри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договоров).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12 903 535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>645 176,75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 xml:space="preserve">в соответствии с законодательством иностранного государства </w:t>
              <w:br/>
              <w:t>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39.11 Земельного кодекса Российской Федерации, аукцион является открытым по составу участников.</w:t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6 451 767,5</w:t>
            </w:r>
            <w:r>
              <w:rPr>
                <w:sz w:val="24"/>
                <w:szCs w:val="24"/>
              </w:rPr>
              <w:t xml:space="preserve">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года 10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PlainText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2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а Перми</w:t>
            </w:r>
            <w:r>
              <w:rPr>
                <w:rFonts w:eastAsia="Droid Sans Fallback" w:cs="Lohit Devanagari"/>
                <w:color w:val="auto"/>
                <w:sz w:val="20"/>
                <w:szCs w:val="24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shd w:fill="auto" w:val="clear"/>
                <w:lang w:val="ru-RU" w:eastAsia="ru-RU" w:bidi="ar-SA"/>
              </w:rPr>
              <w:t xml:space="preserve">от 26 августа 2024 г. № 21-01-03-7801 </w:t>
            </w:r>
            <w:r>
              <w:rPr>
                <w:rFonts w:eastAsia="Droid Sans Fallback" w:cs="Lohit Devanagari"/>
                <w:color w:val="000000"/>
                <w:kern w:val="0"/>
                <w:sz w:val="24"/>
                <w:szCs w:val="28"/>
                <w:shd w:fill="auto" w:val="clear"/>
                <w:lang w:val="ru-RU" w:eastAsia="zh-CN" w:bidi="ar-SA"/>
              </w:rPr>
              <w:t xml:space="preserve">«О проведении аукциона на право заключения договора аренды земельного участка в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shd w:fill="auto" w:val="clear"/>
                <w:lang w:val="ru-RU" w:eastAsia="ru-RU" w:bidi="ar-SA"/>
              </w:rPr>
              <w:t>Орджоникидзевском</w:t>
            </w:r>
            <w:r>
              <w:rPr>
                <w:rFonts w:eastAsia="Droid Sans Fallback" w:cs="Lohit Devanagari"/>
                <w:color w:val="000000"/>
                <w:kern w:val="0"/>
                <w:sz w:val="24"/>
                <w:szCs w:val="28"/>
                <w:shd w:fill="auto" w:val="clear"/>
                <w:lang w:val="ru-RU" w:eastAsia="zh-CN" w:bidi="ar-SA"/>
              </w:rPr>
              <w:t xml:space="preserve">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г.о. Пермский, г. Пермь, ул. 2-я Юрлинская, з/у 4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4353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59:01:3812164:139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спорт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ЦС-3 «Зона спортивных и спортивно-зрелищных сооружений»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25.08.2026г.                 № КУВИ-001/2026-114446698 (далее –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</w:t>
            </w:r>
            <w:r>
              <w:rPr>
                <w:color w:val="000000"/>
                <w:sz w:val="24"/>
                <w:szCs w:val="24"/>
              </w:rPr>
              <w:t>.07.2024 № РФ-59-2-03-0-00-2024-1551-0</w:t>
            </w:r>
            <w:r>
              <w:rPr>
                <w:color w:val="000000"/>
                <w:sz w:val="24"/>
                <w:szCs w:val="24"/>
                <w:shd w:fill="FFFFFF" w:val="clear"/>
              </w:rPr>
              <w:t> </w:t>
            </w:r>
            <w:r>
              <w:rPr>
                <w:sz w:val="24"/>
                <w:szCs w:val="24"/>
              </w:rPr>
              <w:t>(далее – ГПЗУ).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</w:rPr>
              <w:t>Приложение 4 к настоящему извещению)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1"/>
              <w:jc w:val="both"/>
              <w:rPr>
                <w14:ligatures w14:val="none"/>
              </w:rPr>
            </w:pPr>
            <w:r>
              <w:rPr>
                <w:sz w:val="24"/>
                <w:szCs w:val="24"/>
              </w:rPr>
              <w:t>Участок не огорожен, доступ не ограничен, рельеф ровный, часть земельного участка заболочена. На части территории Участка размещена эстакада из бруса и железобетонных блоков, иные объекты капитального/некапитального строительства отсутствуют. На земельном участке произрастают лиственные деревья и низкорослые кустарники.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администрации Ор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  <w14:ligatures w14:val="none"/>
              </w:rPr>
              <w:t>джоникидзевского района города Перми</w:t>
            </w:r>
            <w:r>
              <w:rPr>
                <w:color w:val="auto"/>
                <w:sz w:val="24"/>
                <w:szCs w:val="24"/>
                <w:highlight w:val="white"/>
                <w14:ligatures w14:val="none"/>
              </w:rPr>
              <w:t xml:space="preserve"> от 18.08.2026 № 059-37-01-32/3-4912, в акте обследования территории от 17.08.2026 № 80).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Согласно геодезической съемке, проведенной 03.2024, в границах Участка объекты недвижимости отсутствуют.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сведениям Единого государственного реестра недвижимости (далее  – ЕГРН) в границах Участка отсутствуют объекты капитального строительства.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сведениям, предоставленным отделением надзорной деятельности и профилактической работы г. Перми по Орджоникидзевскому району 1 ОНПР по городу Перми УНПР Главного управления МЧС России по Пермскому краю, близлежащие пожарные гидранты расположены по адресу: Пермский край, г. Пермь, Орджоникидзевский район, ул. Ишимская, 5, 14, ул. Усинская, 2, 12.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сведениям, содержащимся в ЕГРН, ГПЗУ и справке по градостроительным условиям участка от 25.08.2026 № 691703 Участок расположен в зонах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sz w:val="24"/>
                <w:szCs w:val="24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частично в охранной зоне сооружения (Технологический комплекс в составе: Газопровод высокого, среднего, низкого давления, протяженностью 7193 м 1-этажное здание газорегуляторного пункта, имеющего площадь 12.9 кв.м 1- этажное здание газорегуляторного пункта, имеющего площадь 35.2 кв.м 1-этажное здание газорегуляторного пункта, имеющего площадь 33.7 кв.м).</w:t>
            </w:r>
          </w:p>
          <w:p>
            <w:pPr>
              <w:pStyle w:val="Normal"/>
              <w:spacing w:lineRule="atLeast" w:line="288" w:before="0" w:after="0"/>
              <w:ind w:firstLine="540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</w:t>
            </w:r>
            <w:r>
              <w:rPr>
                <w:rFonts w:eastAsia="Times New Roman" w:cs="Times New Roman"/>
                <w:color w:val="000000"/>
                <w:sz w:val="24"/>
              </w:rPr>
              <w:t>СП 42.13330.2026 «Градостроительство. Планировка и застройка территорий» (СНиП 2.07.01-89* Градостроительство. Планировка и застройка городских и сельских поселений)</w:t>
            </w:r>
            <w:r>
              <w:rPr>
                <w:sz w:val="24"/>
                <w:szCs w:val="24"/>
              </w:rPr>
              <w:t xml:space="preserve">, в том числе в соответствии с таблицей Д.1  </w:t>
            </w:r>
            <w:r>
              <w:rPr>
                <w:rFonts w:eastAsia="Times New Roman" w:cs="Times New Roman"/>
                <w:color w:val="000000"/>
                <w:sz w:val="24"/>
              </w:rPr>
              <w:t>СП 42.13330.2026 «Градостроительство. Планировка и застройка территорий»</w:t>
            </w:r>
            <w:r>
              <w:rPr>
                <w:sz w:val="24"/>
                <w:szCs w:val="24"/>
              </w:rPr>
              <w:t>; учитывать нормы: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постановления Правительства Российской Федерации </w:t>
              <w:br/>
              <w:t>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постановления Правительства Российской Федерации от 20.11.2000 № 878 «Об утверждении Правил охраны газораспределительных сетей»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  <w:highlight w:val="none"/>
                <w14:ligatures w14:val="none"/>
              </w:rPr>
            </w:pPr>
            <w:r>
              <w:rPr>
                <w:spacing w:val="-2"/>
                <w:sz w:val="24"/>
                <w:szCs w:val="24"/>
              </w:rPr>
              <w:t>На испрашиваемом земельном участке произрастают 175 шт. деревьев породы – тополь 24 шт., береза 123 шт., рябина 19 шт., дуб 1 шт., ирга 8 шт.</w:t>
            </w:r>
          </w:p>
          <w:p>
            <w:pPr>
              <w:pStyle w:val="Normal"/>
              <w:ind w:firstLine="311"/>
              <w:jc w:val="both"/>
              <w:rPr>
                <w:highlight w:val="none"/>
                <w14:ligatures w14:val="none"/>
              </w:rPr>
            </w:pPr>
            <w:r>
              <w:rPr>
                <w:spacing w:val="-2"/>
                <w:sz w:val="24"/>
                <w:szCs w:val="24"/>
              </w:rPr>
              <w:t>Восстановительную стоимость посчитать не представляется возможным, так как неизвестно пятно застройки и количество сносимых зеленых насаждений.</w:t>
            </w:r>
          </w:p>
          <w:p>
            <w:pPr>
              <w:pStyle w:val="Normal"/>
              <w:ind w:firstLine="311"/>
              <w:jc w:val="both"/>
              <w:rPr>
                <w:spacing w:val="-2"/>
                <w:highlight w:val="none"/>
                <w14:ligatures w14:val="none"/>
              </w:rPr>
            </w:pPr>
            <w:r>
              <w:rPr>
                <w:spacing w:val="-2"/>
                <w:sz w:val="24"/>
                <w:szCs w:val="24"/>
              </w:rPr>
              <w:t>Средняя стоимость в ценах 2024 г. одного дерева лиственной породы от 17 тыс.руб., а хвойной – от 20 тыс.руб.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  <w:highlight w:val="none"/>
                <w14:ligatures w14:val="none"/>
              </w:rPr>
            </w:pPr>
            <w:r>
              <w:rPr>
                <w:spacing w:val="-2"/>
                <w:sz w:val="24"/>
                <w:szCs w:val="24"/>
              </w:rPr>
              <w:t>Победителю аукциона необходимо соблюдать условия строительства, перечисленные в перечне мероприятий по охране окружающей среды от 25.07.2024 № 178.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pacing w:val="-2"/>
                <w:sz w:val="24"/>
                <w:szCs w:val="24"/>
                <w:highlight w:val="white"/>
              </w:rPr>
              <w:t xml:space="preserve">  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о</w:t>
            </w:r>
            <w:r>
              <w:rPr>
                <w:color w:val="auto"/>
                <w:spacing w:val="-2"/>
                <w:sz w:val="24"/>
                <w:szCs w:val="24"/>
                <w14:ligatures w14:val="none"/>
              </w:rPr>
              <w:t>т 26.07.2024 № 059-33-01-10/3-467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 соответствии с бюджетом города Перми на 2024 год и плановый период 2025-2026 годов мероприятий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Организация плоскостных парковок общего пользования местного значения Планом развития парковочного пространства города Перми на 2024-2026 гг. на указанной территории не предусмотрена.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Для примыкания земельного участка к улично-дорожной сети города Перми необходимо: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разработать проект организации дорожного движения </w:t>
              <w:br/>
              <w:t>и согласовать в установленном порядке с ГКУ «Центр безопасности дорожного движения Пермского края»</w:t>
              <w:br/>
              <w:t>(ул. Пермская, 164, тел. 236-21-84);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получить согласие владельца автомобильной дороги (порядок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автомобильной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дороге, </w:t>
              <w:br/>
              <w:t>а также перечень документов, необходимых для выдачи согласия, утверждены Постановлением администрации города Перми от 31.01.2022 № 45).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Также направляется информация о соблюдении Правил благоустройства территории города Перми, утвержденных решением Пермской городской Думы от 15.12.2020 № 277, при строительстве объектов недвижимости на земельных участках, предоставленных на торгах: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предусмотреть электроосвещение территории объекта;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стоянку для временного хранения транспорта разместить в границах отведенного под строительство земельного участка вне территории общего пользования;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предусмотреть устройство подъезда к земельному участку или ликвидацию разрушений, повреждений дорожного покрытия существующего проезда от границ земельного участка до существующей улично-дорожной сети города Перми, а также наружное освещение подъезда.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Для сведения сообщается, что в соответствии </w:t>
              <w:br/>
              <w:t xml:space="preserve">с Федеральным законом от 08.11.2007 № 257-ФЗ </w:t>
              <w:br/>
              <w:t xml:space="preserve">«Об автомобильных дорогах и о дорожной деятельности в Российской Федерации и о внесении изменений </w:t>
              <w:br/>
              <w:t xml:space="preserve">в отдельные законодательные акты Российской Федерации», расходы на строительство, реконструкцию, капитальный ремонт, ремонт пересечений и примыканий, </w:t>
              <w:br/>
              <w:t>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pacing w:val="-2"/>
                <w:sz w:val="24"/>
                <w:szCs w:val="24"/>
                <w:highlight w:val="white"/>
              </w:rPr>
              <w:t xml:space="preserve"> </w:t>
            </w:r>
            <w:r>
              <w:rPr>
                <w:b w:val="false"/>
                <w:bCs w:val="false"/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от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16.07.2024 № 059-24-01-36/3-2522).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Ближайшие источники противопожарного водоснабжения (пожарный гидрант) расположены по ул. Усинская, д. 2 и ул. Краснослудская, д. 3а.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 спасательных работ на территории Пермского городского округа, Пермского муниципального района», утвержденном Главой города Перми 26.04.2024. Ближайшие подразделения пожарной охраны расположены по адресу: г. Пермь, ул. Волховская, д. 37 (ПСЧ-57 10-ПСО) и ул. Веденеева, д. 40 (СПЧ СУ ФПС № 34.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При планировке и размещении объектов </w:t>
              <w:br/>
              <w:t>на вышеуказанной территории необходимо соблюдать нормы и требования действующего законодательства: федеральных законов от 21 декабря 1994 г. № 69-ФЗ «О пожарной безопасности» и от 22 июля 2008 г. № 123-ФЗ «Технический регламент о требованиях пожарной безопасности», Свода правил 8.13130.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 (предусмотрев и запроектировав соответствующее расстояние между строений для обеспечения подъезда и разворота пожарной техники, а также источники противопожарного водоснабжения с пожарными гидрантами, которые надлежит размещать из условия обслуживания ими зданий, находящихся в радиусе 200 м. Ширина проездов для пожарной техники в зависимости от высоты зданий или сооружений должна составлять не менее: 3,5 метров - при высоте зданий или сооружения до 13,0 метров включительно; 4,2 метра - при высоте здания от 13,0 метров до 46,0 метров включительно; 6,0 метров - при высоте здания более 46 метров).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Объекты общественной безопасности, отнесенные к объектам полиции (участковые пункты полиции) в данном микрорайоне Энергетик отсутствуют. Ближайший участковый пункт расположен по адресу: г. Пермь, ул. Косякова, д 5, (м-н Молодежный, Орджоникидзевского район). В настоящее время </w:t>
              <w:br/>
              <w:t>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На данной территории оконечные устройства системы оповещения населения города Перми отсутствуют. </w:t>
              <w:br/>
              <w:t xml:space="preserve">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</w:t>
              <w:br/>
              <w:t>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от 12.11.2014 № 705/пр.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Департамента общественной безопасности администрации города Перми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 от 18.07.2024 № 059-10-01-27/3-1054).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 xml:space="preserve">Согласно протоколу заседания координационного совещания по обеспечению правопорядка в Пермском крае от 16.03.2022 №74-гс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Проектирование и строительство необходимо вести с учетом СП 383.1325800.2018 «Комплексы физкультурно-оздоровительные. Правила проектирования», утвержденным приказом Министерства строительства и жилищно-коммунального хозяйства Российской Федерации от 24.05.2018 </w:t>
              <w:br/>
              <w:t>№ 305/пр, СП 332.1325800.2017 «Спортивные сооружения. Правила проектирования», утвержденным приказом Министерства строительства и жилищно-коммунального хозяйства Российской Федерацииот 14.11.2017 № 1536/пр.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Согласно информации, содержащейся в  ГПЗУ: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Минимальный отступ от границ земельного участка до места допустимого размещения зданий, строений – 0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не более 4 этажей.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 </w:t>
              <w:br/>
              <w:t xml:space="preserve">В случае если в границах территориальной зоны предусматривается осуществление деятельности </w:t>
              <w:br/>
              <w:t>по комплексному развитию территории, расчет показателей минимально допустимого уровня обеспеченности территории объектами коммунальной, транспортной, социальной инфраструктур и расчет показателей максимально допустимого уровня территориальной доступности указанных объектов</w:t>
              <w:br/>
              <w:t>для населения осуществляются в соответствии</w:t>
              <w:br/>
              <w:t>с утвержденными нормативами градостроительного проектирования. В соответствии с документацией по планировке территории, утвержденной постановлением администрации города Перми от 23.12.2015 № 1102, параметры возможной предельной высоты жилой застройки – до 10.5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функциональных зон» СП 42.13330.2026 «Градостроительство. Планировка и застройка территорий» (СНиП 2.07.01-89* Градостроительство. Планировка и застройка городских и сельских поселений) коэф</w:t>
            </w:r>
            <w:bookmarkStart w:id="1" w:name="undefined_Копия_1"/>
            <w:bookmarkEnd w:id="1"/>
            <w:r>
              <w:rPr>
                <w:sz w:val="24"/>
                <w:szCs w:val="24"/>
              </w:rPr>
              <w:t>фициент плотности застройки земельного участка в многофункциональной общественно-деловой зоне застройки составляет 3,0.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FFFFFF" w:val="clear"/>
                <w:lang w:val="en-US"/>
              </w:rPr>
              <w:t>Таким образом, предельные параметры разрешенного строительства на земельном участке составляют 13059 кв. М (4353*3,0).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FFFFFF" w:val="clear"/>
                <w:lang w:val="en-US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4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 возможности технологического присоединения и о плате за подключение к сетям электроснабжения объекта капитального строительства, расположенного на Участке, с присоединяемой мощностью 1175 кВт сообщается следующее.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соответствии с Правилами технологического        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</w:t>
              <w:br/>
              <w:t>к электрическим сетям, утвержденными Постановлением Правительства РФ от 27.12.2004 г. № 861 (далее – Правила ТП), конкретные технические условия на энергоснабжение объекта будут разработаны в составе договора о технологическом присоединении.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  <w:t>Для заключения договора на технологическое присоединение необходимо представить письменную заявку с приложением необходимых документов и сведений, указанных в п. 9 Правил ТП.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Подать заявку на технологическое присоединение возможно через единый федеральный портал электросетевых услуг группы компаний «Россети» на сайте: </w:t>
            </w:r>
            <w:hyperlink r:id="rId15">
              <w:r>
                <w:rPr>
                  <w:rStyle w:val="ListLabel43"/>
                  <w:color w:val="0000FF"/>
                  <w:spacing w:val="-2"/>
                  <w:sz w:val="24"/>
                  <w:szCs w:val="24"/>
                  <w:u w:val="single"/>
                  <w:lang w:val="en-US"/>
                </w:rPr>
                <w:t>https</w:t>
              </w:r>
              <w:r>
                <w:rPr>
                  <w:rStyle w:val="ListLabel43"/>
                  <w:color w:val="0000FF"/>
                  <w:spacing w:val="-2"/>
                  <w:sz w:val="24"/>
                  <w:szCs w:val="24"/>
                  <w:u w:val="single"/>
                </w:rPr>
                <w:t>://портал-тп.рф</w:t>
              </w:r>
            </w:hyperlink>
            <w:r>
              <w:rPr>
                <w:spacing w:val="-2"/>
                <w:sz w:val="24"/>
                <w:szCs w:val="24"/>
              </w:rPr>
              <w:t xml:space="preserve"> или через Мобильное приложение ПАО «Россети».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 w:val="false"/>
                <w:bCs w:val="false"/>
                <w:color w:val="auto"/>
                <w:spacing w:val="-2"/>
                <w:sz w:val="24"/>
                <w:szCs w:val="24"/>
                <w:highlight w:val="white"/>
              </w:rPr>
              <w:t xml:space="preserve">Филиала </w:t>
            </w:r>
            <w:r>
              <w:rPr>
                <w:b/>
                <w:bCs/>
                <w:color w:val="auto"/>
                <w:spacing w:val="-2"/>
                <w:sz w:val="24"/>
                <w:szCs w:val="24"/>
                <w:highlight w:val="white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pacing w:val="-2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от 17.07.2024 № ПЭ/22/671).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</w:rPr>
              <w:t>Техническая возможность подключения (технологического присоединения) к системе теплоснабжения отсутствует, требуется реконструкция оборудования котельной.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</w:rPr>
              <w:t>ПАО «Т Плюс»</w:t>
            </w:r>
            <w:r>
              <w:rPr>
                <w:color w:val="auto"/>
                <w:spacing w:val="-2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от 18.07.2024 № 51030-01-04617).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Техническая возможность подключения к сетям газоснабжения имеется.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необходимо направить запрос по типовой форме с приложением необходимых документов и сведений, указанных в пунктах 11 и 16 постановления Правительства Российской Федерации </w:t>
              <w:br/>
              <w:t>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Федерации»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АО «Газпром газораспределение Пермь» 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от 17.07.2024 № ПФ-4388).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Технологическое присоединение к сетям связи ПАО «Ростелеком» планируемых к строительству объектов в границах Участка может быть произведено в точке подключения узел ВОЛС (г. Пермь, ул. Кронита, д. 8),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Для подключения (технологического присоединения) объектов капитального строительства в границах Участка необходим запрос правообладателя земельного участка на выдачу технических условий (далее – ТУ)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pacing w:val="-2"/>
                <w:sz w:val="24"/>
                <w:szCs w:val="24"/>
              </w:rPr>
              <w:t>Срок действия ТУ составляет 3 года (при комплексном развитии территории – 5 лет) со дня выдачи.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 случае, если в течение 1 года (при комплексном развитии территории – 3 лет) со дня выдачи ТУ заявителем не будет подана заявка о подключении, срок действия ТУ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направить письменный запрос по адресу: г. Пермь, ул. Крупской, д. 2, </w:t>
            </w:r>
            <w:r>
              <w:rPr>
                <w:spacing w:val="-2"/>
                <w:sz w:val="24"/>
                <w:szCs w:val="24"/>
                <w:lang w:val="en-US"/>
              </w:rPr>
              <w:t>e</w:t>
            </w:r>
            <w:r>
              <w:rPr>
                <w:spacing w:val="-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  <w:lang w:val="en-US"/>
              </w:rPr>
              <w:t>mail</w:t>
            </w:r>
            <w:r>
              <w:rPr>
                <w:spacing w:val="-2"/>
                <w:sz w:val="24"/>
                <w:szCs w:val="24"/>
              </w:rPr>
              <w:t xml:space="preserve">: </w:t>
            </w:r>
            <w:hyperlink r:id="rId16">
              <w:r>
                <w:rPr>
                  <w:rStyle w:val="Hyperlink"/>
                  <w:spacing w:val="-2"/>
                  <w:sz w:val="24"/>
                  <w:szCs w:val="24"/>
                  <w:lang w:val="en-US"/>
                </w:rPr>
                <w:t>perm</w:t>
              </w:r>
              <w:r>
                <w:rPr>
                  <w:rStyle w:val="Hyperlink"/>
                  <w:spacing w:val="-2"/>
                  <w:sz w:val="24"/>
                  <w:szCs w:val="24"/>
                </w:rPr>
                <w:t>-</w:t>
              </w:r>
              <w:r>
                <w:rPr>
                  <w:rStyle w:val="Hyperlink"/>
                  <w:spacing w:val="-2"/>
                  <w:sz w:val="24"/>
                  <w:szCs w:val="24"/>
                  <w:lang w:val="en-US"/>
                </w:rPr>
                <w:t>mail</w:t>
              </w:r>
              <w:r>
                <w:rPr>
                  <w:rStyle w:val="Hyperlink"/>
                  <w:spacing w:val="-2"/>
                  <w:sz w:val="24"/>
                  <w:szCs w:val="24"/>
                </w:rPr>
                <w:t>@</w:t>
              </w:r>
              <w:r>
                <w:rPr>
                  <w:rStyle w:val="Hyperlink"/>
                  <w:spacing w:val="-2"/>
                  <w:sz w:val="24"/>
                  <w:szCs w:val="24"/>
                  <w:lang w:val="en-US"/>
                </w:rPr>
                <w:t>ural</w:t>
              </w:r>
              <w:r>
                <w:rPr>
                  <w:rStyle w:val="Hyperlink"/>
                  <w:spacing w:val="-2"/>
                  <w:sz w:val="24"/>
                  <w:szCs w:val="24"/>
                </w:rPr>
                <w:t>.</w:t>
              </w:r>
              <w:r>
                <w:rPr>
                  <w:rStyle w:val="Hyperlink"/>
                  <w:spacing w:val="-2"/>
                  <w:sz w:val="24"/>
                  <w:szCs w:val="24"/>
                  <w:lang w:val="en-US"/>
                </w:rPr>
                <w:t>rt</w:t>
              </w:r>
              <w:r>
                <w:rPr>
                  <w:rStyle w:val="Hyperlink"/>
                  <w:spacing w:val="-2"/>
                  <w:sz w:val="24"/>
                  <w:szCs w:val="24"/>
                </w:rPr>
                <w:t>.</w:t>
              </w:r>
              <w:r>
                <w:rPr>
                  <w:rStyle w:val="Hyperlink"/>
                  <w:spacing w:val="-2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pacing w:val="-2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ПАО «Ростелеком»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 от 19.07.2024 № 01/05/104350/24).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 возможности подключения планируемого к строительству объекта на Участке с предполагаемыми объемами водопотребления и водоотведения – 46,0 м</w:t>
            </w:r>
            <w:r>
              <w:rPr>
                <w:spacing w:val="-2"/>
                <w:sz w:val="24"/>
                <w:szCs w:val="24"/>
                <w:vertAlign w:val="superscript"/>
              </w:rPr>
              <w:t>3</w:t>
            </w:r>
            <w:r>
              <w:rPr>
                <w:spacing w:val="-2"/>
                <w:sz w:val="24"/>
                <w:szCs w:val="24"/>
              </w:rPr>
              <w:t>/сут, расходом воды на наружное пожаротушение 30,0 л/сек, подключение к сетям водопровода и канализации планируемого к строительству объекта будет возможно после выполнения мероприятий по ликвидации технологического разрыва, указанных в настоящем письме.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ООО «Новогор-Прикамье» 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от 25.07.2024 № 110-12248).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ind w:firstLine="311"/>
              <w:jc w:val="both"/>
              <w:rPr>
                <w:spacing w:val="-2"/>
                <w:sz w:val="24"/>
                <w:szCs w:val="24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не предусмотрено строительство сетей водоснабжения и водоотведения.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  <w:t xml:space="preserve"> от 12.07.2024 № 059-04-17/3-666-ри).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pacing w:val="-2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3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614015, ул. Сибирская,15, тел. 212-61-90 (отдел договоров).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1 509 157</w:t>
            </w:r>
            <w:r>
              <w:rPr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75 457,85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 xml:space="preserve">в соответствии с законодательством иностранного государства </w:t>
              <w:br/>
              <w:t>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39.11 Земельного кодекса Российской Федерации, аукцион является открытым по составу участников.</w:t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754 578,5 </w:t>
            </w:r>
            <w:r>
              <w:rPr>
                <w:sz w:val="24"/>
                <w:szCs w:val="24"/>
              </w:rPr>
              <w:t>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лет 4 месяца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3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bCs/>
          <w:lang w:bidi="ru-RU"/>
        </w:rPr>
        <w:t>Лот № 3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131"/>
        <w:gridCol w:w="6787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Перми, распоряжение начальника департамента земельных отношений администрации города Перми от 28 июля  2025 г. № 21-01-03-6117 «О проведении аукциона на право заключения договора аренды земельного участка в Мотовилихинском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переулок Смирнова, з/у 1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1721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59:01:4211167:208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Ж-4 «Зона индивидуальной жилой застройки городского типа»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24.08.2026г. № КУВИ-001/2026-113895612 (далее –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highlight w:val="white"/>
              </w:rPr>
              <w:t>03.06.2025 № РФ-59-2-03-0-00-2025-1257-0</w:t>
            </w:r>
            <w:r>
              <w:rPr>
                <w:sz w:val="24"/>
                <w:szCs w:val="24"/>
              </w:rPr>
              <w:t xml:space="preserve"> (далее – ГПЗУ) (приложение 6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В соответствии со сведениями из ЕГРН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spacing w:val="0"/>
                <w:sz w:val="24"/>
                <w:szCs w:val="24"/>
              </w:rPr>
              <w:t xml:space="preserve">Согласно геодезической съемке, выполненной </w:t>
              <w:br/>
              <w:t>в 2025 году, на Участке находится часть металлического строения, по южной границе Участка установлен забор смежных земельных участков.</w:t>
            </w:r>
            <w:r>
              <w:rPr>
                <w:spacing w:val="0"/>
                <w:sz w:val="24"/>
                <w:szCs w:val="24"/>
                <w14:ligatures w14:val="none"/>
              </w:rPr>
              <w:t xml:space="preserve"> Участок расположен в логу.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0"/>
                <w:szCs w:val="24"/>
                <w:highlight w:val="none"/>
                <w14:ligatures w14:val="none"/>
              </w:rPr>
            </w:pPr>
            <w:r>
              <w:rPr>
                <w:spacing w:val="0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Доступ к Участку не ограничен, объектов движимого/недвижимого имущества не выявлено. Рельеф с пересеченной местностью и густой растительностью.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Ближайшими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источниками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противопожарного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водоснабжения,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относительно испрашиваемого земельного участка являются: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- пожарный гидрант, расположенный по ул. Свободы, 26, на расстоянии 200 м. 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- пожарный гидрант, расположенный по ул. Свободы, 2, на расстоянии 290 м.;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- пожарный гидрант, расположенный по ул. Свободы, 10, на расстоянии 430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color w:themeColor="text1" w:val="000000"/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themeColor="text1" w:val="000000"/>
                <w:spacing w:val="-6"/>
                <w:sz w:val="24"/>
                <w:szCs w:val="24"/>
                <w:highlight w:val="white"/>
              </w:rPr>
              <w:t xml:space="preserve"> администрации Мотовилихинского района города Перми</w:t>
            </w:r>
            <w:r>
              <w:rPr>
                <w:rFonts w:eastAsia="Times New Roman" w:cs="Times New Roman"/>
                <w:color w:themeColor="text1" w:val="000000"/>
                <w:spacing w:val="-6"/>
                <w:sz w:val="24"/>
                <w:szCs w:val="24"/>
                <w:highlight w:val="white"/>
              </w:rPr>
              <w:t xml:space="preserve"> от 12.08.2026 № 059-36-01-42/3-145, в акте обследования от 11.08.2026).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Согласно сведениям, содержащимся в ГПЗУ, ЕГРН </w:t>
              <w:br/>
              <w:t>и справке по градостроительным условиям от 24.08.2026 № 691498, Участок расположен в границах зоны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полностью в Приаэродромной территории аэродрома аэропорта Большое Савино, реестровый номер границы 59:32-6.553.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  <w:t xml:space="preserve">Проектирование и строительство вести в соответствии </w:t>
              <w:br/>
              <w:t>с постановлением Правительства Российской</w:t>
            </w:r>
            <w:r>
              <w:rPr>
                <w:sz w:val="24"/>
                <w:szCs w:val="24"/>
                <w:highlight w:val="white"/>
              </w:rPr>
              <w:t xml:space="preserve">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000000"/>
                <w:spacing w:val="-6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spacing w:val="-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highlight w:val="white"/>
              </w:rPr>
              <w:t xml:space="preserve">а Участке произрастает 24 дерева породы – клен 18 шт., липа 1 шт., береза 1 шт., ива 4 шт. Средняя стоимость </w:t>
              <w:br/>
              <w:t xml:space="preserve">в ценах 2025 года одного дерева лиственной породы </w:t>
              <w:br/>
              <w:t>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 xml:space="preserve">Победителю аукциона необходимо соблюдать условия строительства, перечисленные в перечне мероприятий </w:t>
              <w:br/>
              <w:t xml:space="preserve">по охране окружающей среды от 11.06.2025 </w:t>
              <w:br/>
              <w:t>№ 146.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color w:themeColor="text1" w:val="000000"/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 </w:t>
            </w:r>
            <w:r>
              <w:rPr>
                <w:rFonts w:eastAsia="Times New Roman" w:cs="Times New Roman"/>
                <w:b/>
                <w:color w:themeColor="text1" w:val="000000"/>
                <w:spacing w:val="-6"/>
                <w:sz w:val="24"/>
                <w:szCs w:val="24"/>
                <w:highlight w:val="white"/>
              </w:rPr>
              <w:t>управления по экологии и природопользованию администрации города Перми</w:t>
            </w:r>
            <w:r>
              <w:rPr>
                <w:rFonts w:eastAsia="Times New Roman" w:cs="Times New Roman"/>
                <w:color w:themeColor="text1" w:val="000000"/>
                <w:spacing w:val="-6"/>
                <w:sz w:val="24"/>
                <w:szCs w:val="24"/>
                <w:highlight w:val="white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11.06.2025 № 059-33-01-10/3-333</w:t>
            </w:r>
            <w:r>
              <w:rPr>
                <w:rFonts w:eastAsia="Times New Roman" w:cs="Times New Roman"/>
                <w:color w:themeColor="text1" w:val="000000"/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«Дорожная деятельность </w:t>
              <w:br/>
              <w:t xml:space="preserve">и благоустройство города Перми», утвержденной постановлением администрации города Перми от 18.10.2024 </w:t>
              <w:br/>
              <w:t xml:space="preserve">№ 966, на период 2025-2029 годы мероприятия </w:t>
              <w:br/>
              <w:t xml:space="preserve">по строительству, реконструкции, капитальному ремонту улично-дорожной сети на рассматриваемой территории </w:t>
              <w:br/>
              <w:t>не предусмотрены.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Дополнительно сообщается о необходимости соблюдения при строительстве объекта недвижимости на Участке, предоставленном на аукционе, Правил благоустройства территории города Перми, утвержденных решением Пермской городской Думы от 15.12.2020 № 277.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Для сведения сообщается, что в соответствии </w:t>
              <w:br/>
              <w:t xml:space="preserve">с Федеральным законом от 08.11.2007 № 257, расходы </w:t>
              <w:br/>
              <w:t xml:space="preserve">на строительства, реконструкцию, капитальный ремонт, ремонт пересечений и примыканий, в том числе расходы </w:t>
              <w:br/>
              <w:t xml:space="preserve">на выполнение дополнительных работ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осуществляется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b w:val="false"/>
                <w:bCs w:val="false"/>
                <w:spacing w:val="-6"/>
                <w:sz w:val="24"/>
                <w:szCs w:val="24"/>
                <w:highlight w:val="white"/>
              </w:rPr>
              <w:t>(Аналогичная информация отражена в письме</w:t>
            </w:r>
            <w:r>
              <w:rPr>
                <w:b/>
                <w:bCs/>
                <w:spacing w:val="-6"/>
                <w:sz w:val="24"/>
                <w:szCs w:val="24"/>
                <w:highlight w:val="white"/>
              </w:rPr>
              <w:t xml:space="preserve"> </w:t>
            </w:r>
            <w:r>
              <w:rPr>
                <w:b/>
                <w:bCs/>
                <w:color w:themeColor="text1" w:val="000000"/>
                <w:spacing w:val="-6"/>
                <w:sz w:val="24"/>
                <w:szCs w:val="24"/>
                <w:highlight w:val="white"/>
              </w:rPr>
              <w:t xml:space="preserve">департамента дорог и </w:t>
            </w:r>
            <w:r>
              <w:rPr>
                <w:b/>
                <w:bCs/>
                <w:spacing w:val="-6"/>
                <w:sz w:val="24"/>
                <w:szCs w:val="24"/>
                <w:highlight w:val="white"/>
              </w:rPr>
              <w:t>благоустройства администрации города Перми</w:t>
            </w:r>
            <w:r>
              <w:rPr>
                <w:b w:val="false"/>
                <w:bCs w:val="false"/>
                <w:spacing w:val="-6"/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27.05.2025 № 059-24-01-36/3-1795</w:t>
            </w:r>
            <w:r>
              <w:rPr>
                <w:b w:val="false"/>
                <w:bCs w:val="false"/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Ближайшее подразделение пожарной охраны расположено по адресу: город Пермь, ул. Уральская, 74 (ПСЧ-3 10- ПСО). Помещения для аварийно-спасательных служб</w:t>
              <w:br/>
              <w:t>и (или) аварийно-спасательных формирований</w:t>
              <w:br/>
              <w:t>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При планировке и размещении объектов</w:t>
              <w:br/>
              <w:t>на вышеуказанной территории необходимо соблюдать нормы и требования действующего законодательства: федеральных законов от 21 декабря 1994 г. N 69-ФЗ</w:t>
              <w:br/>
              <w:t xml:space="preserve">«О пожарной безопасности» и от 22 июля 2008 </w:t>
              <w:br/>
              <w:t>г. № 123-ФЗ «Технический регламент о требованиях пожарной безопасности», Свода правил 8.13130. «Системы противопожарной защиты.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</w:rPr>
              <w:t>Объекты общественной</w:t>
            </w:r>
            <w:r>
              <w:rPr>
                <w:rFonts w:cs="Times New Roman"/>
                <w:sz w:val="24"/>
                <w:szCs w:val="24"/>
                <w:highlight w:val="white"/>
              </w:rPr>
              <w:t xml:space="preserve"> безопасности, отнесенные</w:t>
              <w:br/>
              <w:t>к объектам полиции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  <w:highlight w:val="white"/>
              </w:rPr>
              <w:t>(участковые пункты полиции)</w:t>
              <w:br/>
              <w:t>в данном микрорайоне расположены по адресу: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  <w:highlight w:val="white"/>
              </w:rPr>
              <w:t>город Пермь, ул. Постаногова, 7 (микрорайон Висим, Мотовилихинский район).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  <w:highlight w:val="white"/>
              </w:rPr>
              <w:t>В настоящее время в указанном микрорайоне, строительство (приобретение)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  <w:highlight w:val="white"/>
              </w:rPr>
              <w:t xml:space="preserve">участковых пунктов полиции </w:t>
              <w:br/>
              <w:t>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33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  <w:t xml:space="preserve">По информации, предоставленной письмом Министерства территориальной безопасности Пермского края от 07.10.2020 </w:t>
              <w:br/>
              <w:t>№ 964с, рассматриваемая территория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33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cs="Times New Roman"/>
                <w:sz w:val="24"/>
                <w:szCs w:val="24"/>
                <w:highlight w:val="white"/>
              </w:rPr>
              <w:t xml:space="preserve">Данная территория находится в зоне действия региональной системы оповещения населения города </w:t>
            </w:r>
            <w:r>
              <w:rPr>
                <w:rFonts w:cs="Times New Roman"/>
                <w:spacing w:val="-6"/>
                <w:sz w:val="24"/>
                <w:szCs w:val="24"/>
                <w:highlight w:val="white"/>
              </w:rPr>
              <w:t xml:space="preserve">Перми, установленной </w:t>
              <w:br/>
              <w:t>по адресам: ул. Красногвардейская,</w:t>
            </w:r>
            <w:r>
              <w:rPr>
                <w:rFonts w:cs="Times New Roman"/>
                <w:sz w:val="24"/>
                <w:szCs w:val="24"/>
                <w:highlight w:val="white"/>
              </w:rPr>
              <w:t xml:space="preserve"> д. 5– 600 м., А. Барбюса д. 51 – 1500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 </w:t>
            </w:r>
            <w:r>
              <w:rPr>
                <w:rFonts w:eastAsia="Times New Roman" w:cs="Times New Roman"/>
                <w:b/>
                <w:spacing w:val="-6"/>
                <w:sz w:val="24"/>
                <w:szCs w:val="24"/>
                <w:highlight w:val="white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spacing w:val="-6"/>
                <w:sz w:val="24"/>
                <w:szCs w:val="24"/>
                <w:highlight w:val="white"/>
              </w:rPr>
              <w:t xml:space="preserve"> </w:t>
              <w:br/>
              <w:t xml:space="preserve">от </w:t>
            </w:r>
            <w:r>
              <w:rPr>
                <w:sz w:val="24"/>
                <w:szCs w:val="24"/>
                <w:highlight w:val="white"/>
              </w:rPr>
              <w:t>2</w:t>
            </w:r>
            <w:r>
              <w:rPr>
                <w:sz w:val="24"/>
                <w:szCs w:val="24"/>
              </w:rPr>
              <w:t>8.05.2025 № 059-10-01-27/3-1132</w:t>
            </w:r>
            <w:r>
              <w:rPr>
                <w:rFonts w:eastAsia="Times New Roman" w:cs="Times New Roman"/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spacing w:before="0" w:after="0"/>
              <w:ind w:hanging="13" w:left="24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Согласно пункту 6.1 СП 55.13330.2016 площади помещений строящихся и реконструируемых жилых домов должны быть </w:t>
              <w:br/>
              <w:t>не менее: общей комнаты в однокомнатном доме - 14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спальни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); кухни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Площадь спальни и кухни в мансардном этаже (или этаже </w:t>
              <w:br/>
              <w:t xml:space="preserve">с наклонными ограждающими конструкциями) допускается </w:t>
              <w:br/>
              <w:t>не менее 7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Согласно пункту 6.2 СП 55.13330.2016 высота </w:t>
              <w:br/>
              <w:t xml:space="preserve">(от пола 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sz w:val="24"/>
                <w:szCs w:val="24"/>
                <w:lang w:val="en-US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В жилых комнатах и кухнях, расположенных </w:t>
              <w:br/>
              <w:t xml:space="preserve">в этажах 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Согласно информации, содержащейся в ГПЗУ, предельная высота зданий, строений не более 10,5 м (документация по планировке территории, утвержденная постановлением администрации города Перми от 23.12.2016 № 1159).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Минимальный отступ от границ земельного участка до места допустимого размещения зданий, строений, сооружений </w:t>
              <w:br/>
              <w:t xml:space="preserve">(за исключением границ со стороны территории общего пользования, где отступ определяется с учетом красных линий </w:t>
              <w:br/>
              <w:t>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</w:t>
              <w:br/>
              <w:t>от красной линии. В случаях, когда линия регулирования застройки отличается от красной линии, указанный выст может быть произведен за линию регулирования застройки.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Максимальный процент застройки в границах Участка – 30%.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08"/>
                <w:tab w:val="left" w:pos="480" w:leader="none"/>
              </w:tabs>
              <w:ind w:firstLine="6" w:left="12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5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25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7" w:tgtFrame="http://www.gorodperm.ru/">
              <w:r>
                <w:rPr>
                  <w:rStyle w:val="Hyperlink"/>
                  <w:color w:themeColor="text1" w:val="000000"/>
                  <w:sz w:val="24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 w:val="24"/>
                <w:szCs w:val="24"/>
                <w:u w:val="none"/>
              </w:rPr>
              <w:t>.</w:t>
            </w:r>
          </w:p>
          <w:p>
            <w:pPr>
              <w:pStyle w:val="Normal"/>
              <w:ind w:firstLine="2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  <w:highlight w:val="white"/>
              </w:rPr>
              <w:t xml:space="preserve"> возможности подключения (технологического присоединения) к сетям электроснабжения объекта капитального строительства присоединяемой мощностью </w:t>
              <w:br/>
              <w:t>15 кВт сообщается следующее.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highlight w:val="white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</w:t>
              <w:br/>
              <w:t xml:space="preserve">по производству электрической энергии, а также объектов электросетевого хозяйства, принадлежащих сетевым организациям и иным лицам, </w:t>
            </w:r>
            <w:r>
              <w:rPr>
                <w:spacing w:val="-6"/>
                <w:sz w:val="24"/>
                <w:highlight w:val="white"/>
              </w:rPr>
              <w:t>к электрическим сетям», утвержденными постановлением</w:t>
            </w:r>
            <w:r>
              <w:rPr>
                <w:sz w:val="24"/>
                <w:highlight w:val="white"/>
              </w:rPr>
              <w:t xml:space="preserve"> Правительства Российской Федерации от 27.12.2004 № 861 (далее-Правила ТП).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Для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получения технических условий и заключения договора на технологическое присоединение необходимо направить </w:t>
              <w:br/>
              <w:t xml:space="preserve">в адрес филиала </w:t>
            </w:r>
            <w:r>
              <w:rPr>
                <w:color w:val="131313"/>
                <w:sz w:val="24"/>
                <w:szCs w:val="24"/>
              </w:rPr>
              <w:t xml:space="preserve">ПAO </w:t>
            </w:r>
            <w:r>
              <w:rPr>
                <w:color w:val="1A1A1A"/>
                <w:sz w:val="24"/>
                <w:szCs w:val="24"/>
              </w:rPr>
              <w:t xml:space="preserve">«Россети </w:t>
            </w:r>
            <w:r>
              <w:rPr>
                <w:sz w:val="24"/>
                <w:szCs w:val="24"/>
              </w:rPr>
              <w:t xml:space="preserve">Урал» - «Пермэнерго» соответствующую заявку на технологическое присоединение </w:t>
              <w:br/>
              <w:t xml:space="preserve">с указанием сведений и приложением необходимых документов </w:t>
            </w:r>
            <w:r>
              <w:rPr>
                <w:color w:val="0F0F0F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соответствии с Правилами TП.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sz w:val="24"/>
                <w:szCs w:val="24"/>
              </w:rPr>
              <w:t>Заявку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технологическое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присоединение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можно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подать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единый</w:t>
            </w:r>
            <w:r>
              <w:rPr>
                <w:spacing w:val="6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федеральный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портал</w:t>
            </w:r>
            <w:r>
              <w:rPr>
                <w:spacing w:val="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электросетевых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 компаний «Россети» – ПОРТАЛ-ТП.РФ</w:t>
            </w:r>
            <w:r>
              <w:rPr>
                <w:sz w:val="24"/>
                <w:highlight w:val="whit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pacing w:val="-6"/>
                <w:sz w:val="24"/>
                <w:szCs w:val="24"/>
                <w:highlight w:val="white"/>
              </w:rPr>
              <w:t xml:space="preserve">Филиала </w:t>
              <w:br/>
              <w:t xml:space="preserve">ПАО «Россети Урал» - «Пермэнерго» </w:t>
            </w:r>
            <w:r>
              <w:rPr>
                <w:spacing w:val="-6"/>
                <w:sz w:val="24"/>
                <w:szCs w:val="24"/>
                <w:highlight w:val="white"/>
              </w:rPr>
              <w:t xml:space="preserve">от </w:t>
            </w:r>
            <w:r>
              <w:rPr>
                <w:sz w:val="24"/>
                <w:highlight w:val="white"/>
              </w:rPr>
              <w:t xml:space="preserve">03.06.2025 </w:t>
              <w:br/>
              <w:t>№ ПЭ/ПГЭС/01/01/6620</w:t>
            </w:r>
            <w:r>
              <w:rPr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highlight w:val="white"/>
                <w:vertAlign w:val="superscript"/>
              </w:rPr>
              <w:t>3</w:t>
            </w:r>
            <w:r>
              <w:rPr>
                <w:sz w:val="24"/>
                <w:szCs w:val="24"/>
                <w:highlight w:val="white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Для рассмотрения вопроса о предоставлении технических условий на подключение (технологическое присоединение) необходимо направить заявку с приложением необходимых документов в соответствии с постановлением Правительства Российской Федерации от 13.09.2021 № 1547 </w:t>
              <w:br/>
              <w:t xml:space="preserve">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 силу некоторых актов Правительства Российской Федерации» на электронную почту post@pf.ugaz.ru, либо почтовым отправлением по адресу:</w:t>
              <w:br/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г. Пермь, ул. Уральская, 104, через Единый центр предоставления услуг по адресу: г. Пермь, ул. Уральская, д.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pacing w:val="-6"/>
                <w:sz w:val="24"/>
                <w:szCs w:val="24"/>
                <w:highlight w:val="white"/>
              </w:rPr>
              <w:t>АО «Газпром газораспределение Пермь»</w:t>
            </w:r>
            <w:r>
              <w:rPr>
                <w:spacing w:val="-6"/>
                <w:sz w:val="24"/>
                <w:szCs w:val="24"/>
                <w:highlight w:val="white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23.05.2025 № ПФ-3478</w:t>
            </w:r>
            <w:r>
              <w:rPr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Ближайшей сетью водоснабжения, эксплуатируемой </w:t>
              <w:br/>
              <w:t>ООО «НОВОГОР-Прикамье», является водопровод,</w:t>
              <w:br/>
              <w:t>Д-300 мм, по ул. Свободы, расстояние от Участка - 290 п.м. Ввиду отсутствия данных о посадке объекта, протяженность до водовода Д-300 мм по ул. Свободы указана ориентировочно.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В связи с тем, что в месте расположения Участка отсутствуют централизованные сети канализации. Может быть применен </w:t>
            </w:r>
            <w:r>
              <w:rPr>
                <w:sz w:val="24"/>
                <w:szCs w:val="24"/>
                <w:highlight w:val="white"/>
              </w:rPr>
              <w:t xml:space="preserve">альтернативный способ канализования, </w:t>
              <w:br/>
              <w:t xml:space="preserve">без подключения к централизованной системе канализации </w:t>
              <w:br/>
              <w:t>г. Перми (отвод стоков на локальные очистные сооружения, канализование объекта в выгребную яму с последующим вывозом стоков спец. машинами)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Для сведения сообщается, что в границах Участка отсутствуют централизованные сети водопровода </w:t>
              <w:br/>
              <w:t>и канализации, эксплуатируемые ООО «НОВОГОР-Прикамье»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 </w:t>
              <w:br/>
            </w:r>
            <w:r>
              <w:rPr>
                <w:b/>
                <w:spacing w:val="-6"/>
                <w:sz w:val="24"/>
                <w:szCs w:val="24"/>
                <w:highlight w:val="white"/>
              </w:rPr>
              <w:t>ООО «НОВО</w:t>
            </w:r>
            <w:bookmarkStart w:id="2" w:name="undefined_Копия_1_Копия_1_Копия_1_Копия_"/>
            <w:bookmarkEnd w:id="2"/>
            <w:r>
              <w:rPr>
                <w:b/>
                <w:spacing w:val="-6"/>
                <w:sz w:val="24"/>
                <w:szCs w:val="24"/>
                <w:highlight w:val="white"/>
              </w:rPr>
              <w:t xml:space="preserve">ГОР-Прикамье» </w:t>
            </w:r>
            <w:r>
              <w:rPr>
                <w:spacing w:val="-6"/>
                <w:sz w:val="24"/>
                <w:szCs w:val="24"/>
                <w:highlight w:val="white"/>
              </w:rPr>
              <w:t xml:space="preserve">от </w:t>
            </w:r>
            <w:r>
              <w:rPr>
                <w:sz w:val="24"/>
                <w:highlight w:val="white"/>
              </w:rPr>
              <w:t>26.05.2025 № 110-7205</w:t>
            </w:r>
            <w:r>
              <w:rPr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к системе теплоснабжения имеется.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 </w:t>
            </w:r>
            <w:r>
              <w:rPr>
                <w:b/>
                <w:spacing w:val="-6"/>
                <w:sz w:val="24"/>
                <w:szCs w:val="24"/>
                <w:highlight w:val="white"/>
              </w:rPr>
              <w:t>Филиала «Пермский ПАО «Т Плюс»</w:t>
            </w:r>
            <w:r>
              <w:rPr>
                <w:spacing w:val="-6"/>
                <w:sz w:val="24"/>
                <w:szCs w:val="24"/>
                <w:highlight w:val="white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29.05.2025 № 51030-01-03027</w:t>
            </w:r>
            <w:r>
              <w:rPr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ехническое присоединение планируемых к строительству объектов в границах Участка может быть произведено в точке подключения – узел ВОЛС (г. Пермь, ул. Лебедева, д. 9а). Максимальную нагрузку в точке подключения (технологического присоединения) определить на стадии проектирования. В границах Участка сетей связи </w:t>
              <w:br/>
              <w:t>ПАО «Ростелеком» и их охранных зон нет.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Для подключения (технологического присоединения) вышеуказанных объектов к сетям электросвязи</w:t>
              <w:br/>
              <w:t>ПАО «Ростелеком» необходим запрос правообладателя земельного участка на выдачу технических условий подключения или заявки о заключении договора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color w:val="000000"/>
                <w:spacing w:val="-6"/>
                <w:sz w:val="24"/>
                <w:szCs w:val="24"/>
                <w:highlight w:val="white"/>
              </w:rPr>
              <w:t>(Аналогичная информация отражена в письме</w:t>
              <w:br/>
            </w:r>
            <w:r>
              <w:rPr>
                <w:b/>
                <w:color w:val="000000"/>
                <w:spacing w:val="-6"/>
                <w:sz w:val="24"/>
                <w:szCs w:val="24"/>
                <w:highlight w:val="white"/>
              </w:rPr>
              <w:t>ПАО «Ростелеком»</w:t>
            </w:r>
            <w:r>
              <w:rPr>
                <w:color w:val="000000"/>
                <w:spacing w:val="-6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от 30.05.2025 № 01/05/81104/25</w:t>
            </w:r>
            <w:r>
              <w:rPr>
                <w:color w:val="000000"/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на период до 2028 года не предусмотрено строительство сетей водоснабжения и водоотведения.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spacing w:val="-6"/>
                <w:sz w:val="24"/>
                <w:szCs w:val="24"/>
                <w:highlight w:val="white"/>
              </w:rPr>
              <w:t xml:space="preserve">(Аналогичная информация отражена в письме  </w:t>
            </w:r>
            <w:r>
              <w:rPr>
                <w:b/>
                <w:spacing w:val="-6"/>
                <w:sz w:val="24"/>
                <w:szCs w:val="24"/>
                <w:highlight w:val="white"/>
              </w:rPr>
              <w:t xml:space="preserve">департамента жилищно-коммунального хозяйства администрации города Перми  </w:t>
            </w:r>
            <w:r>
              <w:rPr>
                <w:sz w:val="24"/>
                <w:szCs w:val="24"/>
                <w:highlight w:val="white"/>
              </w:rPr>
              <w:t>от 27.05.2025 № 059-04-17/3-445-ри</w:t>
            </w:r>
            <w:r>
              <w:rPr>
                <w:b w:val="false"/>
                <w:bCs w:val="false"/>
                <w:spacing w:val="-6"/>
                <w:sz w:val="24"/>
                <w:szCs w:val="24"/>
                <w:highlight w:val="white"/>
              </w:rPr>
              <w:t>).</w:t>
            </w:r>
          </w:p>
          <w:p>
            <w:pPr>
              <w:pStyle w:val="BodyText"/>
              <w:spacing w:before="0" w:after="0"/>
              <w:ind w:firstLine="311" w:left="0" w:right="0"/>
              <w:jc w:val="both"/>
              <w:rPr>
                <w:color w:val="000000"/>
                <w:sz w:val="24"/>
                <w:szCs w:val="24"/>
                <w:u w:val="none"/>
              </w:rPr>
            </w:pPr>
            <w:r>
              <w:rPr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6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(далее – ЗК РФ), обязан до подписания договора уплатить ежегодный размер арендной платы, указанный в п. 4.2 договора </w:t>
              <w:br/>
              <w:t xml:space="preserve">(за вычетом задатка, внесенного для участия </w:t>
              <w:br/>
              <w:t xml:space="preserve">в аукционе) </w:t>
            </w:r>
            <w:r>
              <w:rPr>
                <w:b/>
                <w:bCs/>
                <w:sz w:val="24"/>
                <w:szCs w:val="24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реквизиты которого указаны в проекте договора аренды земельного участка (Приложение 5 к настоящему извещению)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439 346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21 967,3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b/>
                <w:bCs/>
                <w:color w:val="000000"/>
                <w:sz w:val="24"/>
                <w:szCs w:val="24"/>
                <w:shd w:fill="auto" w:val="clear"/>
                <w14:ligatures w14:val="none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jc w:val="both"/>
              <w:rPr>
                <w:b/>
                <w:bCs/>
                <w:color w:val="000000"/>
                <w:sz w:val="24"/>
                <w:szCs w:val="24"/>
                <w:shd w:fill="auto" w:val="clear"/>
                <w14:ligatures w14:val="none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  <w14:ligatures w14:val="none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732" w:leader="none"/>
              </w:tabs>
              <w:ind w:hanging="0" w:left="-36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219 673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</w:tc>
        <w:tc>
          <w:tcPr>
            <w:tcW w:w="6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/>
              <w:t>28.03.2025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5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sz w:val="20"/>
          <w:szCs w:val="20"/>
        </w:rPr>
      </w:r>
    </w:p>
    <w:p>
      <w:pPr>
        <w:pStyle w:val="Normal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pacing w:before="0" w:after="0"/>
        <w:ind w:left="0"/>
        <w:contextualSpacing/>
        <w:jc w:val="center"/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687" w:left="-567" w:right="0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и время начала срока подачи заявок на участие в аукционе – 24.09.2026</w:t>
      </w:r>
      <w:r>
        <w:rPr>
          <w:rFonts w:eastAsia="Courier New"/>
          <w:lang w:bidi="ru-RU"/>
        </w:rPr>
        <w:t xml:space="preserve"> в 9:00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>по местному времени (7:00 МСК).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Дата и время окончания срока подачи заявок на участие в аукционе – 06.10.2026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07.10.2026.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08.10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highlight w:val="none"/>
        </w:rPr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</w:t>
        <w:br/>
        <w:t>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  <w:t>Плата оператору электронной площадки за участие в электронном аукционе</w:t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ind w:firstLine="709" w:left="-567"/>
        <w:jc w:val="both"/>
        <w:rPr/>
      </w:pPr>
      <w:r>
        <w:rPr/>
        <w:t xml:space="preserve">В соответствии с постановлением Правительства Российской Федерации от 10 мая 2018 г. </w:t>
      </w:r>
      <w:r>
        <w:rPr/>
        <w:br w:type="textWrapping" w:clear="all"/>
      </w:r>
      <w:r>
        <w:rPr/>
        <w:t>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установления ее предельных размеров» оператор электронной площадки вправе взимать плату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в размере 1% начальной цены предмета аукциона, но не более 5 тыс. рублей без учета налога на добавленную стоимость.</w:t>
      </w:r>
    </w:p>
    <w:p>
      <w:pPr>
        <w:pStyle w:val="Normal"/>
        <w:widowControl w:val="false"/>
        <w:ind w:firstLine="709" w:left="-567"/>
        <w:jc w:val="both"/>
        <w:rPr/>
      </w:pPr>
      <w:r>
        <w:rPr/>
        <w:t>По информации оператора электронной площадки АО «Сбербанк-АСТ» в настоящее время взимание платы не установлено.</w:t>
      </w:r>
    </w:p>
    <w:p>
      <w:pPr>
        <w:pStyle w:val="Normal"/>
        <w:widowControl w:val="false"/>
        <w:ind w:firstLine="709" w:left="-567"/>
        <w:jc w:val="both"/>
        <w:rPr/>
      </w:pPr>
      <w:r>
        <w:rPr/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Заявители, зарегистрированные на электронной площадке в установленном порядке, </w:t>
        <w:br/>
        <w:t xml:space="preserve">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В момент подачи заявки Оператор проверяет наличие денежной суммы в размере задатка </w:t>
      </w:r>
      <w:r>
        <w:rPr>
          <w:bCs/>
          <w:lang w:bidi="ru-RU"/>
        </w:rPr>
        <w:br w:type="textWrapping" w:clear="all"/>
      </w:r>
      <w:r>
        <w:rPr>
          <w:bCs/>
          <w:lang w:bidi="ru-RU"/>
        </w:rPr>
        <w:t>на лицевом счете заявителя и осуществляет блокирование необходимой денежной суммы.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Представление документов, подтверждающих внесение задатка, признается заключением соглашения о задатке (п.2 ст. 39.12 Земельного кодекса Российской Федерации).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Сумма задатка для участия в аукционе определяется в размере 50 процентов от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ind w:firstLine="567" w:left="-567"/>
        <w:jc w:val="both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18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pacing w:lineRule="exact" w:line="240"/>
        <w:rPr>
          <w:bCs/>
          <w:lang w:bidi="ru-RU"/>
        </w:rPr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ind w:firstLine="567" w:left="-567"/>
        <w:jc w:val="both"/>
        <w:rPr>
          <w:b/>
        </w:rPr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ind w:firstLine="567" w:left="-567"/>
        <w:jc w:val="both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Cs/>
          <w:lang w:bidi="ru-RU"/>
        </w:rPr>
        <w:t>c 24.09.2026 по 06.10.2026.</w:t>
      </w:r>
    </w:p>
    <w:p>
      <w:pPr>
        <w:pStyle w:val="Normal"/>
        <w:widowControl w:val="fals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ind w:firstLine="709" w:left="-567"/>
        <w:jc w:val="center"/>
        <w:rPr>
          <w:b/>
          <w:lang w:bidi="ru-RU"/>
        </w:rPr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ind w:firstLine="709" w:left="-567"/>
        <w:jc w:val="both"/>
        <w:rPr>
          <w:b/>
          <w:lang w:bidi="ru-RU"/>
        </w:rPr>
      </w:pPr>
      <w:r>
        <w:rPr>
          <w:b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lang w:bidi="ru-RU"/>
        </w:rPr>
      </w:pPr>
      <w:r>
        <w:rPr>
          <w:bCs/>
          <w:lang w:bidi="ru-RU"/>
        </w:rPr>
        <w:t>Задаток возвращается лицам, участвовавшим в аукционе, но не победившим в нем, в течение трех ра</w:t>
      </w:r>
      <w:r>
        <w:rPr>
          <w:bCs/>
          <w:shd w:fill="auto" w:val="clear"/>
          <w:lang w:bidi="ru-RU"/>
        </w:rPr>
        <w:t xml:space="preserve">бочих дней со дня подписания протокола о результатах аукциона, </w:t>
      </w:r>
      <w:r>
        <w:rPr>
          <w:b w:val="false"/>
          <w:bCs/>
          <w:shd w:fill="auto" w:val="clear"/>
          <w:lang w:bidi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 xml:space="preserve">Заявителю, не допущенному к участию в аукционе, внесенный им задаток возвращается 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 xml:space="preserve">в течение трех рабочих дней со дня оформления протокола рассмотрения заявок на участие </w:t>
        <w:br/>
        <w:t xml:space="preserve">в аукционе.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 xml:space="preserve">Оператор прекращает блокирование в отношении денежных средств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единственного заявителя, признанного участником аукциона, победителя аукциона, единственного принявшего участие </w:t>
        <w:br/>
        <w:t xml:space="preserve">в аукционе участника, а также </w:t>
      </w:r>
      <w:r>
        <w:rPr>
          <w:b w:val="false"/>
          <w:shd w:fill="auto" w:val="clear"/>
          <w:lang w:bidi="ru-RU"/>
        </w:rPr>
        <w:t xml:space="preserve">участника аукциона, который сделал предпоследнее предложение </w:t>
        <w:br/>
        <w:t>о цене предмета аукциона.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 xml:space="preserve">Организатор аукциона посредством штатного интерфейса торговой секции 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14, 20 или 25 ст. 39.12 Земельного кодекса Российской Федерации, засчитываются 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pacing w:lineRule="auto" w:line="276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jc w:val="center"/>
        <w:rPr>
          <w:rFonts w:eastAsia="Courier New"/>
          <w:highlight w:val="none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</w:t>
        <w:br/>
        <w:t xml:space="preserve">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</w:t>
        <w:br/>
        <w:t xml:space="preserve">на участие в аукционе может принять решение о продлении срока подачи заявок в соответствии </w:t>
        <w:br/>
        <w:t>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</w:t>
        <w:br/>
        <w:t xml:space="preserve">на официальных сайтах 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 www.gorodperm.ru </w:t>
      </w:r>
      <w:r>
        <w:rPr>
          <w:shd w:fill="auto" w:val="clear"/>
        </w:rPr>
        <w:t xml:space="preserve"> 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В случае отказа от проведения аукциона организатором (в т. ч. одного или нескольких лотов) Оператор в течение одного часа прекращает блокирование денежных средств участников аукциона </w:t>
        <w:br/>
        <w:t>в размере задатка на их лицевых счетах на электронной площадке.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24.09.2026 по 06.10.2026 с 9.00 до 18.00 по местному времени (7:00 – 16:00 МСК). </w:t>
      </w:r>
    </w:p>
    <w:p>
      <w:pPr>
        <w:pStyle w:val="NormalWeb"/>
        <w:jc w:val="center"/>
        <w:rPr>
          <w:b/>
          <w:bCs/>
          <w:color w:val="000000"/>
          <w:highlight w:val="none"/>
          <w:shd w:fill="auto" w:val="clear"/>
        </w:rPr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 </w:t>
        <w:br/>
        <w:t>не рассматриваются.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pacing w:lineRule="auto" w:line="276"/>
        <w:ind w:firstLine="709" w:left="-567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 xml:space="preserve">Для участия в аукционе заявители представляют в установленный в извещении </w:t>
      </w:r>
      <w:r>
        <w:rPr>
          <w:rFonts w:eastAsia="Courier New"/>
          <w:shd w:fill="auto" w:val="clear"/>
          <w:lang w:bidi="ru-RU"/>
        </w:rPr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2) надлежащим образом заверенный перевод на русский язык документов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3) документы, подтверждающие внесение задатка.</w:t>
      </w:r>
    </w:p>
    <w:p>
      <w:pPr>
        <w:pStyle w:val="Normal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ind w:firstLine="708"/>
        <w:jc w:val="center"/>
        <w:rPr>
          <w:b/>
          <w:highlight w:val="none"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граждан); </w:t>
      </w:r>
      <w:r>
        <w:rPr>
          <w:b w:val="false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ind w:firstLine="567" w:left="-567"/>
        <w:jc w:val="both"/>
        <w:rPr>
          <w:highlight w:val="none"/>
        </w:rPr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 xml:space="preserve">кладывает предусмотренные извещением </w:t>
        <w:br/>
        <w:t xml:space="preserve">о проведении аукциона файлы документов (при необходимости). Документы и сведения </w:t>
        <w:br/>
        <w:t xml:space="preserve">из регистрационных данных заявителя на универсальной торговой платформе, актуальные на дату </w:t>
        <w:br/>
        <w:t>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Подача заявки осуществляется заявителем, зарегистрированным в торговой секции,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Заявитель вправе подать заявку в любое время с момента размещения извещения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Участие в аукционе возможно при наличии на лицевом счете заявителя денежных средств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размере не менее чем размер задатка на участие в аукционе, предусмотренный извещением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а) отсутствия на лицевом счете заявителя достаточной суммы денежных средств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Заявителям, признанным участниками аукциона, и заявителям, не допущенным к участию </w:t>
        <w:br/>
        <w:t xml:space="preserve">в аукционе, оператор электронной площадки направляет в электронной форме уведомления 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spacing w:lineRule="auto" w:line="276"/>
        <w:ind w:firstLine="567" w:left="-567"/>
        <w:jc w:val="both"/>
        <w:outlineLvl w:val="0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ind w:left="502"/>
        <w:rPr>
          <w:b/>
          <w:bCs/>
          <w:highlight w:val="none"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Заявитель имеет право отозвать принятую организатором аукциона заявку на участие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Заявителю внесенный им задаток возвращается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 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По результатам рассмотрения заявок комиссия принимает решение о допуске заявителей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</w:t>
        <w:br/>
        <w:t>в аренду;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В день признания заявителей участниками аукциона, указанный в извещении 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</w:t>
        <w:br/>
        <w:t xml:space="preserve">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</w:t>
        <w:br/>
        <w:t xml:space="preserve">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</w:t>
        <w:br/>
        <w:t>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sz w:val="24"/>
          <w:szCs w:val="24"/>
          <w:highlight w:val="none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ind w:left="502"/>
        <w:jc w:val="center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Время ожидания предложения участника аукциона о цене предмета аукциона составляет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 xml:space="preserve">10 (десять) минут. При поступлении предложения участника аукциона 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Победителем аукциона признается участник аукциона, предложивший наибольшую цену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за земельный участок или наибольший размер ежегодной арендной платы за земельный участок.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ind w:firstLine="567" w:left="-567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Порядок и срок заключения договора</w:t>
      </w:r>
      <w:r>
        <w:rPr>
          <w:b/>
          <w:bCs/>
          <w:shd w:fill="auto" w:val="clear"/>
        </w:rPr>
        <w:br w:type="textWrapping" w:clear="all"/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По результатам проведения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</w:t>
        <w:br/>
        <w:t>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в соответствии</w:t>
        <w:br/>
        <w:t>с пунктами 13, 14, 20 и 25 статьи 39.12 Земельного кодекса Российской Федерации заключается  договор аренды земельного участка, подписанный проект договора  аренды земельного участка.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По результатам проведения аукциона договор аренды земельного участка заключается</w:t>
        <w:br/>
        <w:t>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>Проекты договоров являются частью извещения и представлены в Приложениях 1, 3, 5</w:t>
        <w:br/>
        <w:t>к настоящему извещению.</w:t>
        <w:tab/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Если договор аренды земельного участка </w:t>
      </w:r>
      <w:r>
        <w:rPr>
          <w:b w:val="false"/>
          <w:bCs/>
          <w:shd w:fill="auto" w:val="clear"/>
        </w:rPr>
        <w:t>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 аренды земельного участка, являющегося предметом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заключения, включаются в реестр недобросовестных участников аукциона.</w:t>
      </w:r>
    </w:p>
    <w:sectPr>
      <w:headerReference w:type="default" r:id="rId19"/>
      <w:headerReference w:type="first" r:id="rId20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37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u w:val="none"/>
        <w:szCs w:val="24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  <w:u w:val="none"/>
        <w:szCs w:val="24"/>
        <w:color w:val="000000"/>
        <w:lang w:val="ru-RU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  <w:szCs w:val="24"/>
        <w:lang w:val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lang w:bidi="ru-RU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lang w:eastAsia="en-U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Cs/>
        <w:lang w:eastAsia="en-US" w:bidi="ru-RU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  <w:bCs/>
        <w:lang w:bidi="ru-RU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Заголовок Знак1"/>
    <w:uiPriority w:val="10"/>
    <w:qFormat/>
    <w:rPr>
      <w:sz w:val="48"/>
      <w:szCs w:val="48"/>
    </w:rPr>
  </w:style>
  <w:style w:type="character" w:styleId="Style5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12" w:customStyle="1">
    <w:name w:val="Верхний колонтитул Знак1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13" w:customStyle="1">
    <w:name w:val="Нижний колонтитул Знак1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16"/>
      <w:szCs w:val="16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/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/>
  </w:style>
  <w:style w:type="character" w:styleId="WW8Num29z0" w:customStyle="1">
    <w:name w:val="WW8Num29z0"/>
    <w:qFormat/>
    <w:rPr>
      <w:rFonts w:ascii="Symbol" w:hAnsi="Symbol" w:cs="Symbol"/>
    </w:rPr>
  </w:style>
  <w:style w:type="character" w:styleId="WW8Num30z0" w:customStyle="1">
    <w:name w:val="WW8Num30z0"/>
    <w:qFormat/>
    <w:rPr/>
  </w:style>
  <w:style w:type="character" w:styleId="WW8Num31z0" w:customStyle="1">
    <w:name w:val="WW8Num31z0"/>
    <w:qFormat/>
    <w:rPr/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Текст Знак"/>
    <w:qFormat/>
    <w:rPr>
      <w:rFonts w:ascii="Courier New" w:hAnsi="Courier New" w:cs="Courier New"/>
    </w:rPr>
  </w:style>
  <w:style w:type="character" w:styleId="Style12" w:customStyle="1">
    <w:name w:val="Верхний колонтитул Знак"/>
    <w:qFormat/>
    <w:rPr>
      <w:sz w:val="16"/>
      <w:lang w:val="ru-RU" w:bidi="ar-SA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 w:customStyle="1">
    <w:name w:val="Абзац списка Знак"/>
    <w:qFormat/>
    <w:rPr>
      <w:sz w:val="24"/>
      <w:szCs w:val="24"/>
    </w:rPr>
  </w:style>
  <w:style w:type="character" w:styleId="6" w:customStyle="1">
    <w:name w:val="Заголовок 6 Знак"/>
    <w:qFormat/>
    <w:rPr>
      <w:b/>
      <w:bCs/>
      <w:sz w:val="22"/>
      <w:szCs w:val="22"/>
    </w:rPr>
  </w:style>
  <w:style w:type="character" w:styleId="Style14" w:customStyle="1">
    <w:name w:val="Название Знак"/>
    <w:qFormat/>
    <w:rPr>
      <w:sz w:val="28"/>
      <w:lang w:val="ru-RU" w:bidi="ar-SA"/>
    </w:rPr>
  </w:style>
  <w:style w:type="character" w:styleId="Style15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 w:customStyle="1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 w:customStyle="1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character" w:styleId="Style19">
    <w:name w:val="Маркеры"/>
    <w:qFormat/>
    <w:rPr>
      <w:rFonts w:ascii="OpenSymbol" w:hAnsi="OpenSymbol" w:eastAsia="OpenSymbol" w:cs="OpenSymbol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2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2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styleId="831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2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4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5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6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7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8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6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7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8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4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5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6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7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8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60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61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62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63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64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65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6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6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7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7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73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7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7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7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7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0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7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5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6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7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8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99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00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01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2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3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4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0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1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2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3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4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5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2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2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2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2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2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2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29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3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3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3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3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3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6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7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8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39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0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1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2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3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4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5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6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7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8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9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50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51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52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53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54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55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6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57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://www.gorodperm.ru/" TargetMode="External"/><Relationship Id="rId11" Type="http://schemas.openxmlformats.org/officeDocument/2006/relationships/hyperlink" Target="mailto:perm-mail@ural.rt.ru" TargetMode="External"/><Relationship Id="rId12" Type="http://schemas.openxmlformats.org/officeDocument/2006/relationships/hyperlink" Target="mailto:perm-mail@ural.rt.ru.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://www.gorodperm.ru/" TargetMode="External"/><Relationship Id="rId15" Type="http://schemas.openxmlformats.org/officeDocument/2006/relationships/hyperlink" Target="https://&#1087;&#1086;&#1088;&#1090;&#1072;&#1083;-&#1090;&#1087;.&#1088;&#1092;" TargetMode="External"/><Relationship Id="rId16" Type="http://schemas.openxmlformats.org/officeDocument/2006/relationships/hyperlink" Target="mailto:perm-mail@ural.rt.ru" TargetMode="External"/><Relationship Id="rId17" Type="http://schemas.openxmlformats.org/officeDocument/2006/relationships/hyperlink" Target="http://www.gorodperm.ru/" TargetMode="External"/><Relationship Id="rId18" Type="http://schemas.openxmlformats.org/officeDocument/2006/relationships/hyperlink" Target="http://utp.sberbank-ast.ru/AP/Notice/653/Requisites" TargetMode="External"/><Relationship Id="rId19" Type="http://schemas.openxmlformats.org/officeDocument/2006/relationships/header" Target="header1.xml"/><Relationship Id="rId20" Type="http://schemas.openxmlformats.org/officeDocument/2006/relationships/header" Target="header2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Application>LibreOffice/7.6.7.2$Linux_X86_64 LibreOffice_project/60$Build-2</Application>
  <AppVersion>15.0000</AppVersion>
  <Pages>37</Pages>
  <Words>11827</Words>
  <Characters>85518</Characters>
  <CharactersWithSpaces>97094</CharactersWithSpaces>
  <Paragraphs>521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dcterms:modified xsi:type="dcterms:W3CDTF">2026-09-23T14:25:42Z</dcterms:modified>
  <cp:revision>447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