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ind w:hanging="0" w:left="0"/>
        <w:jc w:val="center"/>
        <w:outlineLvl w:val="0"/>
        <w:rPr>
          <w:sz w:val="28"/>
          <w:szCs w:val="28"/>
        </w:rPr>
      </w:pPr>
      <w:r>
        <w:rPr>
          <w:sz w:val="28"/>
          <w:szCs w:val="28"/>
        </w:rPr>
        <w:t>Департамент имущественных отношений администрации города Перми</w:t>
      </w:r>
    </w:p>
    <w:p>
      <w:pPr>
        <w:pStyle w:val="Normal"/>
        <w:rPr>
          <w:sz w:val="28"/>
          <w:szCs w:val="28"/>
        </w:rPr>
      </w:pPr>
      <w:r>
        <w:rPr>
          <w:sz w:val="28"/>
          <w:szCs w:val="28"/>
        </w:rPr>
      </w:r>
    </w:p>
    <w:p>
      <w:pPr>
        <w:pStyle w:val="Normal"/>
        <w:numPr>
          <w:ilvl w:val="0"/>
          <w:numId w:val="0"/>
        </w:numPr>
        <w:ind w:hanging="0" w:left="0"/>
        <w:jc w:val="center"/>
        <w:outlineLvl w:val="0"/>
        <w:rPr>
          <w:b/>
          <w:sz w:val="28"/>
          <w:szCs w:val="28"/>
        </w:rPr>
      </w:pPr>
      <w:r>
        <w:rPr>
          <w:b/>
          <w:sz w:val="28"/>
          <w:szCs w:val="28"/>
        </w:rPr>
        <w:t xml:space="preserve">Протокол рассмотрения заявок на участие в электронных аукционах </w:t>
      </w:r>
    </w:p>
    <w:p>
      <w:pPr>
        <w:pStyle w:val="Normal"/>
        <w:numPr>
          <w:ilvl w:val="0"/>
          <w:numId w:val="0"/>
        </w:numPr>
        <w:ind w:hanging="0" w:left="0"/>
        <w:jc w:val="center"/>
        <w:outlineLvl w:val="0"/>
        <w:rPr>
          <w:b/>
          <w:sz w:val="28"/>
          <w:szCs w:val="28"/>
        </w:rPr>
      </w:pPr>
      <w:r>
        <w:rPr>
          <w:b/>
          <w:sz w:val="28"/>
          <w:szCs w:val="28"/>
        </w:rPr>
        <w:t>на право</w:t>
      </w:r>
      <w:r>
        <w:rPr>
          <w:rFonts w:eastAsia="Droid Sans Fallback" w:cs="Lohit Devanagari"/>
          <w:b/>
          <w:color w:val="auto"/>
          <w:sz w:val="28"/>
          <w:szCs w:val="28"/>
          <w:lang w:val="ru-RU" w:eastAsia="ru-RU" w:bidi="ar-SA"/>
        </w:rPr>
        <w:t xml:space="preserve"> заключения договоров аренды  зем</w:t>
      </w:r>
      <w:r>
        <w:rPr>
          <w:b/>
          <w:sz w:val="28"/>
          <w:szCs w:val="28"/>
        </w:rPr>
        <w:t>ельных участков</w:t>
      </w:r>
    </w:p>
    <w:p>
      <w:pPr>
        <w:pStyle w:val="Normal"/>
        <w:numPr>
          <w:ilvl w:val="0"/>
          <w:numId w:val="0"/>
        </w:numPr>
        <w:ind w:hanging="0" w:left="0"/>
        <w:outlineLvl w:val="0"/>
        <w:rPr>
          <w:sz w:val="28"/>
          <w:szCs w:val="28"/>
        </w:rPr>
      </w:pPr>
      <w:r>
        <w:rPr>
          <w:sz w:val="28"/>
          <w:szCs w:val="28"/>
        </w:rPr>
      </w:r>
    </w:p>
    <w:p>
      <w:pPr>
        <w:pStyle w:val="Normal"/>
        <w:jc w:val="center"/>
        <w:rPr>
          <w:sz w:val="28"/>
          <w:szCs w:val="28"/>
        </w:rPr>
      </w:pPr>
      <w:r>
        <w:rPr>
          <w:sz w:val="28"/>
          <w:szCs w:val="28"/>
        </w:rPr>
        <w:t xml:space="preserve">г. Пермь, ул. Сибирская, д.14, каб. 2                      </w:t>
        <w:tab/>
        <w:t xml:space="preserve">                               23.09.2026 </w:t>
      </w:r>
    </w:p>
    <w:p>
      <w:pPr>
        <w:pStyle w:val="Normal"/>
        <w:jc w:val="both"/>
        <w:rPr>
          <w:sz w:val="28"/>
          <w:szCs w:val="28"/>
        </w:rPr>
      </w:pPr>
      <w:r>
        <w:rPr>
          <w:sz w:val="28"/>
          <w:szCs w:val="28"/>
        </w:rPr>
      </w:r>
    </w:p>
    <w:p>
      <w:pPr>
        <w:pStyle w:val="Normal"/>
        <w:tabs>
          <w:tab w:val="clear" w:pos="708"/>
          <w:tab w:val="left" w:pos="2805" w:leader="none"/>
        </w:tabs>
        <w:spacing w:lineRule="auto" w:line="276"/>
        <w:ind w:firstLine="720"/>
        <w:jc w:val="both"/>
        <w:rPr>
          <w:highlight w:val="white"/>
        </w:rPr>
      </w:pPr>
      <w:r>
        <w:rPr>
          <w:sz w:val="28"/>
          <w:szCs w:val="28"/>
          <w:highlight w:val="white"/>
        </w:rPr>
        <w:t xml:space="preserve">Комиссия по проведению аукционов по продаже земельных участков, находящихся в муниципальной собственности города Перми, и участков, собственность на которые не разграничена, объектов незавершенного строительства, расположенных на земельных участках, находящихся                              в муниципальной собственности города Перми, и участках, собственность                  на которые не разграничена, или на право заключения договоров аренды земельных участков, находящихся в муниципальной собственности города Перми, и участков, собственность на которые не разграничена, утвержденная постановлением администрации города Перми от 20.11.2008 № 1089, в  составе: </w:t>
      </w:r>
    </w:p>
    <w:p>
      <w:pPr>
        <w:pStyle w:val="Normal"/>
        <w:spacing w:lineRule="auto" w:line="276"/>
        <w:jc w:val="both"/>
        <w:rPr>
          <w:highlight w:val="white"/>
        </w:rPr>
      </w:pPr>
      <w:r>
        <w:rPr>
          <w:sz w:val="28"/>
          <w:szCs w:val="28"/>
          <w:highlight w:val="white"/>
        </w:rPr>
        <w:t xml:space="preserve">             </w:t>
      </w:r>
    </w:p>
    <w:p>
      <w:pPr>
        <w:pStyle w:val="Normal"/>
        <w:widowControl/>
        <w:suppressAutoHyphens w:val="true"/>
        <w:bidi w:val="0"/>
        <w:spacing w:lineRule="auto" w:line="276" w:before="0" w:after="120"/>
        <w:ind w:hanging="3572" w:left="3572" w:right="0"/>
        <w:jc w:val="both"/>
        <w:rPr>
          <w:highlight w:val="white"/>
        </w:rPr>
      </w:pPr>
      <w:r>
        <w:rPr>
          <w:sz w:val="28"/>
          <w:szCs w:val="28"/>
          <w:highlight w:val="white"/>
          <w:lang w:eastAsia="en-US"/>
        </w:rPr>
        <w:t xml:space="preserve">Председатель комиссии: Соснин А.В., и.о. начальника департамента имущественных отношений администрации города Перми;   </w:t>
      </w:r>
    </w:p>
    <w:p>
      <w:pPr>
        <w:pStyle w:val="Normal"/>
        <w:widowControl/>
        <w:spacing w:lineRule="auto" w:line="276" w:before="0" w:after="120"/>
        <w:ind w:hanging="4680" w:left="4680" w:right="0"/>
        <w:jc w:val="both"/>
        <w:rPr>
          <w:highlight w:val="white"/>
        </w:rPr>
      </w:pPr>
      <w:r>
        <w:rPr>
          <w:sz w:val="28"/>
          <w:szCs w:val="28"/>
          <w:highlight w:val="white"/>
          <w:lang w:eastAsia="en-US"/>
        </w:rPr>
        <w:t xml:space="preserve">Заместитель председателя комиссии: </w:t>
      </w:r>
      <w:r>
        <w:rPr>
          <w:rFonts w:eastAsia="Droid Sans Fallback" w:cs="Lohit Devanagari"/>
          <w:color w:val="auto"/>
          <w:sz w:val="28"/>
          <w:szCs w:val="28"/>
          <w:highlight w:val="white"/>
          <w:lang w:val="ru-RU" w:eastAsia="en-US" w:bidi="ar-SA"/>
        </w:rPr>
        <w:t>Шафранова Е.П.,</w:t>
      </w:r>
      <w:r>
        <w:rPr>
          <w:sz w:val="28"/>
          <w:szCs w:val="28"/>
          <w:highlight w:val="white"/>
          <w:lang w:eastAsia="en-US"/>
        </w:rPr>
        <w:t xml:space="preserve"> заместитель начальника департамента земельных отношений администрации города Перми;  </w:t>
      </w:r>
    </w:p>
    <w:p>
      <w:pPr>
        <w:pStyle w:val="Normal"/>
        <w:widowControl/>
        <w:spacing w:lineRule="auto" w:line="276" w:before="0" w:after="120"/>
        <w:ind w:hanging="2880" w:left="2880" w:right="0"/>
        <w:jc w:val="both"/>
        <w:rPr/>
      </w:pPr>
      <w:r>
        <w:rPr>
          <w:rFonts w:eastAsia="Droid Sans Fallback" w:cs="Lohit Devanagari"/>
          <w:color w:val="auto"/>
          <w:sz w:val="28"/>
          <w:szCs w:val="28"/>
          <w:highlight w:val="white"/>
          <w:lang w:val="ru-RU" w:eastAsia="en-US" w:bidi="ar-SA"/>
        </w:rPr>
        <w:t>Секретарь комиссии: Павлова О.И., консультант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w:t>
      </w:r>
      <w:r>
        <w:rPr>
          <w:sz w:val="28"/>
          <w:szCs w:val="28"/>
          <w:highlight w:val="white"/>
          <w:lang w:eastAsia="en-US"/>
        </w:rPr>
        <w:t xml:space="preserve"> </w:t>
      </w:r>
    </w:p>
    <w:p>
      <w:pPr>
        <w:pStyle w:val="Normal"/>
        <w:widowControl/>
        <w:tabs>
          <w:tab w:val="clear" w:pos="708"/>
          <w:tab w:val="left" w:pos="2100" w:leader="none"/>
        </w:tabs>
        <w:spacing w:lineRule="auto" w:line="276" w:before="0" w:after="0"/>
        <w:ind w:hanging="2268" w:left="2268" w:right="0"/>
        <w:jc w:val="both"/>
        <w:rPr/>
      </w:pPr>
      <w:r>
        <w:rPr>
          <w:rFonts w:eastAsia="Droid Sans Fallback" w:cs="Lohit Devanagari"/>
          <w:color w:val="000000"/>
          <w:sz w:val="28"/>
          <w:szCs w:val="28"/>
          <w:shd w:fill="auto" w:val="clear"/>
          <w:lang w:val="ru-RU" w:eastAsia="ru-RU" w:bidi="ar-SA"/>
        </w:rPr>
        <w:t>Члены комиссии:  Союстова А.А., заместитель начальника отдела сопровождения договоров департамента земельных отношений администрации города Перми;</w:t>
      </w:r>
    </w:p>
    <w:p>
      <w:pPr>
        <w:pStyle w:val="Normal"/>
        <w:widowControl/>
        <w:tabs>
          <w:tab w:val="clear" w:pos="708"/>
          <w:tab w:val="left" w:pos="2100" w:leader="none"/>
        </w:tabs>
        <w:spacing w:lineRule="auto" w:line="276" w:before="0" w:after="0"/>
        <w:ind w:hanging="0" w:left="2268" w:right="0"/>
        <w:jc w:val="both"/>
        <w:rPr/>
      </w:pPr>
      <w:r>
        <w:rPr>
          <w:rFonts w:eastAsia="Droid Sans Fallback" w:cs="Lohit Devanagari"/>
          <w:color w:val="000000"/>
          <w:sz w:val="28"/>
          <w:szCs w:val="28"/>
          <w:highlight w:val="white"/>
          <w:shd w:fill="auto" w:val="clear"/>
          <w:lang w:val="ru-RU" w:eastAsia="ru-RU" w:bidi="ar-SA"/>
        </w:rPr>
        <w:t>Четина Ю.И.,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w:t>
      </w:r>
    </w:p>
    <w:p>
      <w:pPr>
        <w:pStyle w:val="Normal"/>
        <w:widowControl/>
        <w:spacing w:lineRule="auto" w:line="276" w:before="0" w:after="0"/>
        <w:ind w:hanging="0" w:left="2160" w:right="0"/>
        <w:jc w:val="both"/>
        <w:rPr>
          <w:rFonts w:ascii="Times New Roman" w:hAnsi="Times New Roman" w:eastAsia="Droid Sans Fallback" w:cs="Lohit Devanagari"/>
          <w:sz w:val="28"/>
          <w:szCs w:val="28"/>
          <w:lang w:val="ru-RU" w:eastAsia="en-US" w:bidi="ar-SA"/>
        </w:rPr>
      </w:pPr>
      <w:r>
        <w:rPr>
          <w:rFonts w:eastAsia="Droid Sans Fallback" w:cs="Lohit Devanagari"/>
          <w:sz w:val="28"/>
          <w:szCs w:val="28"/>
          <w:lang w:val="ru-RU" w:eastAsia="en-US"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sz w:val="28"/>
          <w:szCs w:val="28"/>
        </w:rPr>
        <w:t xml:space="preserve">рассмотрев заявки на </w:t>
      </w:r>
      <w:r>
        <w:rPr>
          <w:rFonts w:eastAsia="Droid Sans Fallback" w:cs="Lohit Devanagari"/>
          <w:color w:val="auto"/>
          <w:sz w:val="28"/>
          <w:szCs w:val="28"/>
          <w:lang w:val="ru-RU" w:eastAsia="ru-RU" w:bidi="ar-SA"/>
        </w:rPr>
        <w:t>участие в электронных аукционах, назначенных                           на 24.09.2026 (процедура</w:t>
      </w:r>
      <w:r>
        <w:rPr>
          <w:rFonts w:eastAsia="Droid Sans Fallback" w:cs="Lohit Devanagari"/>
          <w:color w:val="auto"/>
          <w:kern w:val="0"/>
          <w:sz w:val="28"/>
          <w:szCs w:val="28"/>
          <w:lang w:val="ru-RU" w:eastAsia="ru-RU" w:bidi="ar-SA"/>
        </w:rPr>
        <w:t xml:space="preserve"> № SBR012-2609030141), решила:</w:t>
      </w:r>
    </w:p>
    <w:p>
      <w:pPr>
        <w:pStyle w:val="Normal"/>
        <w:spacing w:lineRule="auto" w:line="276" w:before="0" w:after="0"/>
        <w:ind w:hanging="0" w:left="0" w:right="0"/>
        <w:jc w:val="both"/>
        <w:rPr>
          <w:rFonts w:ascii="Times New Roman" w:hAnsi="Times New Roman" w:eastAsia="Droid Sans Fallback" w:cs="Lohit Devanagari"/>
          <w:color w:val="auto"/>
          <w:kern w:val="0"/>
          <w:sz w:val="28"/>
          <w:szCs w:val="28"/>
          <w:lang w:val="ru-RU" w:eastAsia="ru-RU" w:bidi="ar-SA"/>
        </w:rPr>
      </w:pPr>
      <w:r>
        <w:rPr>
          <w:rFonts w:eastAsia="Droid Sans Fallback" w:cs="Lohit Devanagari"/>
          <w:color w:val="auto"/>
          <w:kern w:val="0"/>
          <w:sz w:val="28"/>
          <w:szCs w:val="28"/>
          <w:lang w:val="ru-RU" w:eastAsia="ru-RU"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b/>
          <w:sz w:val="28"/>
          <w:szCs w:val="28"/>
        </w:rPr>
        <w:t xml:space="preserve">Лот № 1 </w:t>
      </w:r>
      <w:r>
        <w:rPr>
          <w:rFonts w:eastAsia="Droid Sans Fallback" w:cs="Lohit Devanagari"/>
          <w:b w:val="false"/>
          <w:bCs w:val="false"/>
          <w:color w:val="auto"/>
          <w:sz w:val="28"/>
          <w:szCs w:val="28"/>
          <w:lang w:val="ru-RU" w:eastAsia="ru-RU" w:bidi="ar-SA"/>
        </w:rPr>
        <w:t>– п</w:t>
      </w:r>
      <w:r>
        <w:rPr>
          <w:rFonts w:eastAsia="Times New Roman" w:cs="Times New Roman"/>
          <w:b w:val="false"/>
          <w:bCs w:val="false"/>
          <w:i w:val="false"/>
          <w:iCs w:val="false"/>
          <w:caps w:val="false"/>
          <w:smallCaps w:val="false"/>
          <w:color w:val="000000"/>
          <w:sz w:val="28"/>
          <w:szCs w:val="28"/>
        </w:rPr>
        <w:t>рав</w:t>
      </w:r>
      <w:r>
        <w:rPr>
          <w:rFonts w:eastAsia="Times New Roman" w:cs="Times New Roman"/>
          <w:b w:val="false"/>
          <w:bCs w:val="false"/>
          <w:i w:val="false"/>
          <w:iCs w:val="false"/>
          <w:caps w:val="false"/>
          <w:smallCaps w:val="false"/>
          <w:color w:val="000000"/>
          <w:sz w:val="28"/>
          <w:szCs w:val="28"/>
          <w:lang w:val="ru-RU" w:eastAsia="ru-RU" w:bidi="ar-SA"/>
        </w:rPr>
        <w:t>о</w:t>
      </w:r>
      <w:r>
        <w:rPr>
          <w:rFonts w:eastAsia="Times New Roman" w:cs="Times New Roman"/>
          <w:b w:val="false"/>
          <w:bCs w:val="false"/>
          <w:i w:val="false"/>
          <w:iCs w:val="false"/>
          <w:caps w:val="false"/>
          <w:smallCaps w:val="false"/>
          <w:color w:val="000000"/>
          <w:kern w:val="0"/>
          <w:sz w:val="28"/>
          <w:szCs w:val="28"/>
          <w:lang w:val="ru-RU" w:eastAsia="ru-RU" w:bidi="ar-SA"/>
        </w:rPr>
        <w:t xml:space="preserve"> заключения договора аренды земельного участка с кадастровым номером 59:01:3812826:138 площадью 1297 кв. м, расположенного по адресу: Российская Федерация, Пермский край, Пермский край, городской округ Пермский, город Пермь, улица Кизеловская, з/у 9в, для индивидуального жилищного строительства. Разрешенное использование земельного участка – для индивидуального жилищного строительства (2.1).</w:t>
      </w:r>
    </w:p>
    <w:p>
      <w:pPr>
        <w:pStyle w:val="Normal"/>
        <w:spacing w:lineRule="auto" w:line="276" w:before="0" w:after="0"/>
        <w:ind w:firstLine="708"/>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По указанному лоту заявки не поступали.</w:t>
      </w:r>
    </w:p>
    <w:p>
      <w:pPr>
        <w:pStyle w:val="Normal"/>
        <w:spacing w:lineRule="auto" w:line="276"/>
        <w:ind w:firstLine="708"/>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На основании пункта 12 статьи 39.12 Земельного кодекса Российской Федерации электронный аукцион признан несостовшимся.</w:t>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rFonts w:eastAsia="Droid Sans Fallback" w:cs="Lohit Devanagari"/>
          <w:color w:val="auto"/>
          <w:sz w:val="28"/>
          <w:szCs w:val="28"/>
          <w:lang w:val="ru-RU" w:eastAsia="ru-RU"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rFonts w:eastAsia="Droid Sans Fallback" w:cs="Lohit Devanagari"/>
          <w:b/>
          <w:bCs w:val="false"/>
          <w:i w:val="false"/>
          <w:iCs w:val="false"/>
          <w:caps w:val="false"/>
          <w:smallCaps w:val="false"/>
          <w:color w:val="auto"/>
          <w:kern w:val="0"/>
          <w:sz w:val="28"/>
          <w:szCs w:val="28"/>
          <w:lang w:val="ru-RU" w:eastAsia="ru-RU" w:bidi="ar-SA"/>
        </w:rPr>
        <w:t>Лот № 2</w:t>
      </w:r>
      <w:r>
        <w:rPr>
          <w:rFonts w:eastAsia="Droid Sans Fallback" w:cs="Lohit Devanagari"/>
          <w:b/>
          <w:bCs w:val="false"/>
          <w:i w:val="false"/>
          <w:iCs w:val="false"/>
          <w:caps w:val="false"/>
          <w:smallCaps w:val="false"/>
          <w:color w:val="auto"/>
          <w:kern w:val="0"/>
          <w:sz w:val="20"/>
          <w:szCs w:val="28"/>
          <w:lang w:val="ru-RU" w:eastAsia="ru-RU" w:bidi="ar-SA"/>
        </w:rPr>
        <w:t xml:space="preserve"> </w:t>
      </w:r>
      <w:r>
        <w:rPr>
          <w:rFonts w:eastAsia="Droid Sans Fallback" w:cs="Lohit Devanagari"/>
          <w:b w:val="false"/>
          <w:bCs w:val="false"/>
          <w:i w:val="false"/>
          <w:iCs w:val="false"/>
          <w:caps w:val="false"/>
          <w:smallCaps w:val="false"/>
          <w:color w:val="auto"/>
          <w:kern w:val="0"/>
          <w:sz w:val="28"/>
          <w:szCs w:val="28"/>
          <w:lang w:val="ru-RU" w:eastAsia="ru-RU" w:bidi="ar-SA"/>
        </w:rPr>
        <w:t xml:space="preserve">– </w:t>
      </w:r>
      <w:r>
        <w:rPr>
          <w:rFonts w:eastAsia="Times New Roman" w:cs="Times New Roman"/>
          <w:b w:val="false"/>
          <w:bCs w:val="false"/>
          <w:i w:val="false"/>
          <w:iCs w:val="false"/>
          <w:caps w:val="false"/>
          <w:smallCaps w:val="false"/>
          <w:color w:val="000000"/>
          <w:kern w:val="0"/>
          <w:sz w:val="28"/>
          <w:szCs w:val="28"/>
          <w:lang w:val="ru-RU" w:eastAsia="ru-RU" w:bidi="ar-SA"/>
        </w:rPr>
        <w:t>право заключения договора аренды земельного участка с кадастровым номером 59:01:3812839:180 площадью 597 кв. м, расположенного по адресу: Российская Федерация, Пермский край, городской округ Пермский, город Пермь, улица 1-я Логовая, з/у 1в, для индивидуального жилищного строительства (2.1). Разрешенное использование земельного участка – для индивидуального жилищного строительства (2.1).</w:t>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themeColor="text1" w:val="000000"/>
        </w:rPr>
      </w:pPr>
      <w:r>
        <w:rPr>
          <w:rFonts w:eastAsia="Times New Roman" w:cs="Times New Roman"/>
          <w:b w:val="false"/>
          <w:bCs w:val="false"/>
          <w:i w:val="false"/>
          <w:iCs w:val="false"/>
          <w:caps w:val="false"/>
          <w:smallCaps w:val="false"/>
          <w:color w:themeColor="text1" w:val="000000"/>
        </w:rPr>
      </w:r>
    </w:p>
    <w:tbl>
      <w:tblPr>
        <w:tblW w:w="10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16"/>
        <w:gridCol w:w="2469"/>
        <w:gridCol w:w="2333"/>
        <w:gridCol w:w="2259"/>
        <w:gridCol w:w="2263"/>
      </w:tblGrid>
      <w:tr>
        <w:trPr/>
        <w:tc>
          <w:tcPr>
            <w:tcW w:w="81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 xml:space="preserve">№ </w:t>
            </w:r>
            <w:r>
              <w:rPr>
                <w:rFonts w:eastAsia="Times New Roman" w:cs="Times New Roman"/>
                <w:b w:val="false"/>
                <w:bCs w:val="false"/>
                <w:i w:val="false"/>
                <w:iCs w:val="false"/>
                <w:caps w:val="false"/>
                <w:smallCaps w:val="false"/>
                <w:color w:themeColor="text1" w:val="000000"/>
                <w:sz w:val="28"/>
                <w:szCs w:val="28"/>
                <w:lang w:val="ru-RU" w:eastAsia="ru-RU" w:bidi="ar-SA"/>
              </w:rPr>
              <w:t>п/п</w:t>
            </w:r>
          </w:p>
        </w:tc>
        <w:tc>
          <w:tcPr>
            <w:tcW w:w="246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eastAsia="Droid Sans Fallback" w:cs="Lohit Devanagari"/>
                <w:iCs w:val="false"/>
                <w:color w:val="auto"/>
                <w:sz w:val="28"/>
                <w:szCs w:val="28"/>
                <w:lang w:val="ru-RU" w:eastAsia="ru-RU" w:bidi="ar-SA"/>
              </w:rPr>
            </w:pPr>
            <w:r>
              <w:rPr>
                <w:rFonts w:eastAsia="Droid Sans Fallback" w:cs="Lohit Devanagari"/>
                <w:color w:val="auto"/>
                <w:sz w:val="28"/>
                <w:szCs w:val="28"/>
                <w:lang w:val="ru-RU" w:eastAsia="ru-RU" w:bidi="ar-SA"/>
              </w:rPr>
              <w:t>Сведения              о заявителе,</w:t>
            </w:r>
          </w:p>
          <w:p>
            <w:pPr>
              <w:pStyle w:val="Normal"/>
              <w:spacing w:lineRule="auto" w:line="240" w:before="0" w:after="0"/>
              <w:jc w:val="center"/>
              <w:rPr>
                <w:rFonts w:ascii="Times New Roman" w:hAnsi="Times New Roman" w:eastAsia="Times New Roman" w:cs="Times New Roman"/>
                <w:b w:val="false"/>
                <w:bCs w:val="false"/>
                <w:i w:val="false"/>
                <w:i w:val="false"/>
                <w:caps w:val="false"/>
                <w:smallCaps w:val="false"/>
                <w:color w:themeColor="text1" w:val="000000"/>
                <w:sz w:val="28"/>
                <w:szCs w:val="28"/>
                <w:lang w:val="ru-RU" w:eastAsia="ru-RU" w:bidi="ar-SA"/>
              </w:rPr>
            </w:pPr>
            <w:r>
              <w:rPr>
                <w:rFonts w:eastAsia="Droid Sans Fallback" w:cs="Lohit Devanagari"/>
                <w:color w:val="auto"/>
                <w:sz w:val="28"/>
                <w:szCs w:val="28"/>
                <w:lang w:val="ru-RU" w:eastAsia="ru-RU" w:bidi="ar-SA"/>
              </w:rPr>
              <w:t>номер заявки</w:t>
            </w:r>
          </w:p>
        </w:tc>
        <w:tc>
          <w:tcPr>
            <w:tcW w:w="233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Дата и время подачи заявки</w:t>
            </w:r>
          </w:p>
        </w:tc>
        <w:tc>
          <w:tcPr>
            <w:tcW w:w="2259"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Сведения               о внесенном задатке</w:t>
            </w:r>
          </w:p>
        </w:tc>
        <w:tc>
          <w:tcPr>
            <w:tcW w:w="22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Решение комиссии</w:t>
            </w:r>
          </w:p>
        </w:tc>
      </w:tr>
      <w:tr>
        <w:trPr/>
        <w:tc>
          <w:tcPr>
            <w:tcW w:w="816"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w:t>
            </w:r>
          </w:p>
        </w:tc>
        <w:tc>
          <w:tcPr>
            <w:tcW w:w="2469"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Прудаева Алёна Николаевна,</w:t>
            </w:r>
          </w:p>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5741</w:t>
            </w:r>
          </w:p>
        </w:tc>
        <w:tc>
          <w:tcPr>
            <w:tcW w:w="2333"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22.09.2026 11:46</w:t>
            </w:r>
          </w:p>
        </w:tc>
        <w:tc>
          <w:tcPr>
            <w:tcW w:w="2259" w:type="dxa"/>
            <w:tcBorders>
              <w:top w:val="single" w:sz="6" w:space="0" w:color="000000"/>
              <w:left w:val="single" w:sz="6" w:space="0" w:color="000000"/>
              <w:bottom w:val="single" w:sz="6" w:space="0" w:color="000000"/>
              <w:right w:val="single" w:sz="6" w:space="0" w:color="000000"/>
            </w:tcBorders>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56 100,00</w:t>
            </w:r>
          </w:p>
        </w:tc>
        <w:tc>
          <w:tcPr>
            <w:tcW w:w="2263" w:type="dxa"/>
            <w:tcBorders>
              <w:top w:val="single" w:sz="6" w:space="0" w:color="000000"/>
              <w:left w:val="single" w:sz="6" w:space="0" w:color="000000"/>
              <w:bottom w:val="single" w:sz="6" w:space="0" w:color="000000"/>
              <w:right w:val="single" w:sz="6" w:space="0" w:color="000000"/>
            </w:tcBorders>
          </w:tcPr>
          <w:p>
            <w:pPr>
              <w:pStyle w:val="Normal"/>
              <w:spacing w:lineRule="auto" w:line="240" w:before="0" w:after="0"/>
              <w:jc w:val="center"/>
              <w:rPr>
                <w:rFonts w:ascii="Times New Roman" w:hAnsi="Times New Roman" w:eastAsia="Times New Roman" w:cs="Times New Roman"/>
                <w:b w:val="false"/>
                <w:bCs w:val="false"/>
                <w:i w:val="false"/>
                <w:i w:val="false"/>
                <w:iCs w:val="false"/>
                <w:caps w:val="false"/>
                <w:smallCaps w:val="false"/>
                <w:color w:themeColor="text1" w:val="000000"/>
                <w:sz w:val="28"/>
                <w:szCs w:val="28"/>
                <w:lang w:val="ru-RU" w:eastAsia="ru-RU" w:bidi="ar-SA"/>
              </w:rPr>
            </w:pPr>
            <w:r>
              <w:rPr>
                <w:rFonts w:eastAsia="Times New Roman" w:cs="Times New Roman"/>
                <w:b w:val="false"/>
                <w:bCs w:val="false"/>
                <w:i w:val="false"/>
                <w:iCs w:val="false"/>
                <w:caps w:val="false"/>
                <w:smallCaps w:val="false"/>
                <w:color w:themeColor="text1" w:val="000000"/>
                <w:sz w:val="28"/>
                <w:szCs w:val="28"/>
                <w:lang w:val="ru-RU" w:eastAsia="ru-RU" w:bidi="ar-SA"/>
              </w:rPr>
              <w:t>Допустить                к участию                 в аукционе              и признать участником аукциона</w:t>
            </w:r>
          </w:p>
        </w:tc>
      </w:tr>
    </w:tbl>
    <w:p>
      <w:pPr>
        <w:pStyle w:val="Normal"/>
        <w:spacing w:lineRule="auto" w:line="240"/>
        <w:ind w:hanging="0"/>
        <w:jc w:val="both"/>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r>
    </w:p>
    <w:p>
      <w:pPr>
        <w:pStyle w:val="Normal"/>
        <w:spacing w:lineRule="auto" w:line="276" w:before="0" w:after="0"/>
        <w:jc w:val="both"/>
        <w:rPr>
          <w:sz w:val="28"/>
          <w:szCs w:val="28"/>
        </w:rPr>
      </w:pPr>
      <w:r>
        <w:rPr>
          <w:sz w:val="28"/>
          <w:szCs w:val="28"/>
        </w:rPr>
      </w:r>
    </w:p>
    <w:tbl>
      <w:tblPr>
        <w:tblW w:w="10200" w:type="dxa"/>
        <w:jc w:val="left"/>
        <w:tblInd w:w="-87" w:type="dxa"/>
        <w:tblLayout w:type="fixed"/>
        <w:tblCellMar>
          <w:top w:w="55" w:type="dxa"/>
          <w:left w:w="55" w:type="dxa"/>
          <w:bottom w:w="55" w:type="dxa"/>
          <w:right w:w="55" w:type="dxa"/>
        </w:tblCellMar>
        <w:tblLook w:val="04a0" w:noHBand="0" w:noVBand="1" w:firstColumn="1" w:lastRow="0" w:lastColumn="0" w:firstRow="1"/>
      </w:tblPr>
      <w:tblGrid>
        <w:gridCol w:w="865"/>
        <w:gridCol w:w="2195"/>
        <w:gridCol w:w="1758"/>
        <w:gridCol w:w="1557"/>
        <w:gridCol w:w="1454"/>
        <w:gridCol w:w="2370"/>
      </w:tblGrid>
      <w:tr>
        <w:trPr/>
        <w:tc>
          <w:tcPr>
            <w:tcW w:w="865" w:type="dxa"/>
            <w:tcBorders>
              <w:top w:val="single" w:sz="4" w:space="0" w:color="000000"/>
              <w:left w:val="single" w:sz="4" w:space="0" w:color="000000"/>
              <w:bottom w:val="single" w:sz="4" w:space="0" w:color="000000"/>
            </w:tcBorders>
          </w:tcPr>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 xml:space="preserve">№ </w:t>
            </w:r>
            <w:r>
              <w:rPr>
                <w:rFonts w:eastAsia="Droid Sans Fallback" w:cs="Lohit Devanagari"/>
                <w:color w:val="auto"/>
                <w:sz w:val="28"/>
                <w:szCs w:val="28"/>
                <w:lang w:val="ru-RU" w:eastAsia="ru-RU" w:bidi="ar-SA"/>
              </w:rPr>
              <w:t>п/п</w:t>
            </w:r>
          </w:p>
        </w:tc>
        <w:tc>
          <w:tcPr>
            <w:tcW w:w="2195" w:type="dxa"/>
            <w:tcBorders>
              <w:top w:val="single" w:sz="4" w:space="0" w:color="000000"/>
              <w:left w:val="single" w:sz="4" w:space="0" w:color="000000"/>
              <w:bottom w:val="single" w:sz="4" w:space="0" w:color="000000"/>
            </w:tcBorders>
          </w:tcPr>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Сведения              о заявителе, номер заявки</w:t>
            </w:r>
          </w:p>
        </w:tc>
        <w:tc>
          <w:tcPr>
            <w:tcW w:w="1758" w:type="dxa"/>
            <w:tcBorders>
              <w:top w:val="single" w:sz="4" w:space="0" w:color="000000"/>
              <w:left w:val="single" w:sz="4" w:space="0" w:color="000000"/>
              <w:bottom w:val="single" w:sz="4" w:space="0" w:color="000000"/>
            </w:tcBorders>
          </w:tcPr>
          <w:p>
            <w:pPr>
              <w:pStyle w:val="Normal"/>
              <w:spacing w:lineRule="auto" w:line="276" w:before="0" w:after="0"/>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Дата и время подачи заявки</w:t>
            </w:r>
          </w:p>
        </w:tc>
        <w:tc>
          <w:tcPr>
            <w:tcW w:w="1557" w:type="dxa"/>
            <w:tcBorders>
              <w:top w:val="single" w:sz="4" w:space="0" w:color="000000"/>
              <w:left w:val="single" w:sz="4" w:space="0" w:color="000000"/>
              <w:bottom w:val="single" w:sz="4" w:space="0" w:color="000000"/>
            </w:tcBorders>
          </w:tcPr>
          <w:p>
            <w:pPr>
              <w:pStyle w:val="Normal"/>
              <w:spacing w:lineRule="auto" w:line="276" w:before="0" w:after="0"/>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Сведения о внесенном задатке</w:t>
            </w:r>
          </w:p>
        </w:tc>
        <w:tc>
          <w:tcPr>
            <w:tcW w:w="1454" w:type="dxa"/>
            <w:tcBorders>
              <w:top w:val="single" w:sz="4" w:space="0" w:color="000000"/>
              <w:left w:val="single" w:sz="4" w:space="0" w:color="000000"/>
              <w:bottom w:val="single" w:sz="4" w:space="0" w:color="000000"/>
            </w:tcBorders>
          </w:tcPr>
          <w:p>
            <w:pPr>
              <w:pStyle w:val="Normal"/>
              <w:spacing w:lineRule="auto" w:line="276" w:before="0" w:after="0"/>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Решение комиссии</w:t>
            </w:r>
          </w:p>
        </w:tc>
        <w:tc>
          <w:tcPr>
            <w:tcW w:w="2370" w:type="dxa"/>
            <w:tcBorders>
              <w:top w:val="single" w:sz="4" w:space="0" w:color="000000"/>
              <w:left w:val="single" w:sz="4" w:space="0" w:color="000000"/>
              <w:bottom w:val="single" w:sz="4" w:space="0" w:color="000000"/>
              <w:right w:val="single" w:sz="4" w:space="0" w:color="000000"/>
            </w:tcBorders>
          </w:tcPr>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Причина отказа</w:t>
            </w:r>
          </w:p>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в допуске</w:t>
            </w:r>
          </w:p>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к участию</w:t>
            </w:r>
          </w:p>
          <w:p>
            <w:pPr>
              <w:pStyle w:val="Style23"/>
              <w:spacing w:lineRule="auto" w:line="276"/>
              <w:jc w:val="center"/>
              <w:rPr>
                <w:rFonts w:ascii="Times New Roman" w:hAnsi="Times New Roman"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t>в аукционе</w:t>
            </w:r>
          </w:p>
        </w:tc>
      </w:tr>
      <w:tr>
        <w:trPr/>
        <w:tc>
          <w:tcPr>
            <w:tcW w:w="865" w:type="dxa"/>
            <w:tcBorders>
              <w:top w:val="single" w:sz="6" w:space="0" w:color="000000"/>
              <w:left w:val="single" w:sz="6" w:space="0" w:color="000000"/>
              <w:bottom w:val="single" w:sz="6" w:space="0" w:color="000000"/>
            </w:tcBorders>
            <w:tcMar>
              <w:top w:w="0" w:type="dxa"/>
              <w:left w:w="108" w:type="dxa"/>
              <w:bottom w:w="0" w:type="dxa"/>
              <w:right w:w="108" w:type="dxa"/>
            </w:tcMar>
          </w:tcPr>
          <w:p>
            <w:pPr>
              <w:pStyle w:val="Style23"/>
              <w:spacing w:lineRule="auto" w:line="276"/>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w:t>
            </w:r>
          </w:p>
        </w:tc>
        <w:tc>
          <w:tcPr>
            <w:tcW w:w="2195" w:type="dxa"/>
            <w:tcBorders>
              <w:top w:val="single" w:sz="6" w:space="0" w:color="000000"/>
              <w:left w:val="single" w:sz="6" w:space="0" w:color="000000"/>
              <w:bottom w:val="single" w:sz="6" w:space="0" w:color="000000"/>
            </w:tcBorders>
            <w:tcMar>
              <w:top w:w="0" w:type="dxa"/>
              <w:left w:w="108" w:type="dxa"/>
              <w:bottom w:w="0" w:type="dxa"/>
              <w:right w:w="108" w:type="dxa"/>
            </w:tcMar>
          </w:tcPr>
          <w:p>
            <w:pPr>
              <w:pStyle w:val="Normal"/>
              <w:jc w:val="center"/>
              <w:rPr>
                <w:rFonts w:ascii="Times New Roman" w:hAnsi="Times New Roman" w:eastAsia="Droid Sans Fallback" w:cs="Lohit Devanagari"/>
                <w:color w:val="auto"/>
                <w:kern w:val="0"/>
                <w:sz w:val="28"/>
                <w:szCs w:val="28"/>
                <w:lang w:val="ru-RU" w:eastAsia="ru-RU" w:bidi="ar-SA"/>
              </w:rPr>
            </w:pPr>
            <w:r>
              <w:rPr>
                <w:rFonts w:eastAsia="Droid Sans Fallback" w:cs="Lohit Devanagari"/>
                <w:color w:val="auto"/>
                <w:kern w:val="0"/>
                <w:sz w:val="28"/>
                <w:szCs w:val="28"/>
                <w:lang w:val="ru-RU" w:eastAsia="ru-RU" w:bidi="ar-SA"/>
              </w:rPr>
              <w:t>Буцо Виталий Георгиевич в лице представителя Балмашевой Татьяны Шафигулловны, действующей на основании доверенности,</w:t>
            </w:r>
          </w:p>
          <w:p>
            <w:pPr>
              <w:pStyle w:val="Normal"/>
              <w:widowControl/>
              <w:spacing w:before="0" w:after="0"/>
              <w:jc w:val="center"/>
              <w:rPr>
                <w:rFonts w:ascii="Times New Roman" w:hAnsi="Times New Roman" w:eastAsia="Droid Sans Fallback" w:cs="Lohit Devanagari"/>
                <w:color w:val="auto"/>
                <w:kern w:val="0"/>
                <w:sz w:val="28"/>
                <w:szCs w:val="28"/>
                <w:lang w:val="ru-RU" w:eastAsia="ru-RU" w:bidi="ar-SA"/>
              </w:rPr>
            </w:pPr>
            <w:r>
              <w:rPr>
                <w:rFonts w:eastAsia="Droid Sans Fallback" w:cs="Lohit Devanagari"/>
                <w:color w:val="auto"/>
                <w:kern w:val="0"/>
                <w:sz w:val="28"/>
                <w:szCs w:val="28"/>
                <w:lang w:val="ru-RU" w:eastAsia="ru-RU" w:bidi="ar-SA"/>
              </w:rPr>
              <w:t>8740</w:t>
            </w:r>
          </w:p>
        </w:tc>
        <w:tc>
          <w:tcPr>
            <w:tcW w:w="1758" w:type="dxa"/>
            <w:tcBorders>
              <w:top w:val="single" w:sz="6" w:space="0" w:color="000000"/>
              <w:left w:val="single" w:sz="6" w:space="0" w:color="000000"/>
              <w:bottom w:val="single" w:sz="6" w:space="0" w:color="000000"/>
            </w:tcBorders>
            <w:tcMar>
              <w:top w:w="0" w:type="dxa"/>
              <w:left w:w="108" w:type="dxa"/>
              <w:bottom w:w="0" w:type="dxa"/>
              <w:right w:w="108" w:type="dxa"/>
            </w:tcMar>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15.09.2026 20:23</w:t>
            </w:r>
          </w:p>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r>
          </w:p>
        </w:tc>
        <w:tc>
          <w:tcPr>
            <w:tcW w:w="1557" w:type="dxa"/>
            <w:tcBorders>
              <w:top w:val="single" w:sz="6" w:space="0" w:color="000000"/>
              <w:left w:val="single" w:sz="6" w:space="0" w:color="000000"/>
              <w:bottom w:val="single" w:sz="6" w:space="0" w:color="000000"/>
            </w:tcBorders>
            <w:tcMar>
              <w:top w:w="0" w:type="dxa"/>
              <w:left w:w="108" w:type="dxa"/>
              <w:bottom w:w="0" w:type="dxa"/>
              <w:right w:w="108" w:type="dxa"/>
            </w:tcMar>
          </w:tcPr>
          <w:p>
            <w:pPr>
              <w:pStyle w:val="Normal"/>
              <w:widowControl/>
              <w:spacing w:before="0" w:after="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56 100,00</w:t>
            </w:r>
          </w:p>
        </w:tc>
        <w:tc>
          <w:tcPr>
            <w:tcW w:w="145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pPr>
              <w:pStyle w:val="Normal"/>
              <w:widowControl/>
              <w:spacing w:lineRule="auto" w:line="276" w:before="0" w:after="0"/>
              <w:ind w:hanging="0" w:left="0" w:right="0"/>
              <w:jc w:val="center"/>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Отказать            в допуске            к участию          в аукционе</w:t>
            </w:r>
          </w:p>
        </w:tc>
        <w:tc>
          <w:tcPr>
            <w:tcW w:w="2370" w:type="dxa"/>
            <w:tcBorders>
              <w:left w:val="single" w:sz="4" w:space="0" w:color="000000"/>
              <w:bottom w:val="single" w:sz="4" w:space="0" w:color="000000"/>
              <w:right w:val="single" w:sz="4" w:space="0" w:color="000000"/>
            </w:tcBorders>
          </w:tcPr>
          <w:p>
            <w:pPr>
              <w:pStyle w:val="Normal"/>
              <w:spacing w:lineRule="auto" w:line="276"/>
              <w:ind w:hanging="0"/>
              <w:jc w:val="center"/>
              <w:rPr/>
            </w:pPr>
            <w:r>
              <w:rPr>
                <w:rStyle w:val="Hyperlink"/>
                <w:rFonts w:eastAsia="Droid Sans Fallback" w:cs="Lohit Devanagari"/>
                <w:color w:val="auto"/>
                <w:kern w:val="0"/>
                <w:sz w:val="28"/>
                <w:szCs w:val="28"/>
                <w:u w:val="none"/>
                <w:lang w:val="ru-RU" w:eastAsia="ru-RU" w:bidi="ar-SA"/>
              </w:rPr>
              <w:t>П</w:t>
            </w:r>
            <w:hyperlink r:id="rId2">
              <w:r>
                <w:rPr>
                  <w:rStyle w:val="Hyperlink"/>
                  <w:rFonts w:eastAsia="Droid Sans Fallback" w:cs="Lohit Devanagari"/>
                  <w:color w:val="auto"/>
                  <w:kern w:val="0"/>
                  <w:sz w:val="28"/>
                  <w:szCs w:val="28"/>
                  <w:u w:val="none"/>
                  <w:lang w:val="ru-RU" w:eastAsia="ru-RU" w:bidi="ar-SA"/>
                </w:rPr>
                <w:t>одача заявки на участие в аукционе лицом, которое в соответствии с настоя</w:t>
              </w:r>
              <w:r>
                <w:rPr>
                  <w:rStyle w:val="Hyperlink"/>
                  <w:rFonts w:eastAsia="Droid Sans Fallback" w:cs="Lohit Devanagari"/>
                  <w:color w:val="auto"/>
                  <w:kern w:val="0"/>
                  <w:sz w:val="28"/>
                  <w:szCs w:val="28"/>
                  <w:u w:val="none"/>
                  <w:lang w:val="ru-RU" w:eastAsia="ru-RU" w:bidi="ar-SA"/>
                </w:rPr>
                <w:t>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 (ч.8 ст.39.12 Земельного кодекса Российской Федерации).</w:t>
              </w:r>
            </w:hyperlink>
          </w:p>
        </w:tc>
      </w:tr>
    </w:tbl>
    <w:p>
      <w:pPr>
        <w:pStyle w:val="Normal"/>
        <w:spacing w:lineRule="auto" w:line="276" w:before="0" w:after="0"/>
        <w:jc w:val="both"/>
        <w:rPr>
          <w:rFonts w:ascii="Times New Roman" w:hAnsi="Times New Roman" w:eastAsia="Times New Roman" w:cs="Times New Roman"/>
          <w:b w:val="false"/>
          <w:bCs w:val="false"/>
          <w:i w:val="false"/>
          <w:i w:val="false"/>
          <w:caps w:val="false"/>
          <w:smallCaps w:val="false"/>
          <w:color w:val="000000"/>
          <w:sz w:val="28"/>
          <w:szCs w:val="28"/>
        </w:rPr>
      </w:pPr>
      <w:r>
        <w:rPr>
          <w:rFonts w:eastAsia="Times New Roman" w:cs="Times New Roman"/>
          <w:b w:val="false"/>
          <w:bCs w:val="false"/>
          <w:i w:val="false"/>
          <w:caps w:val="false"/>
          <w:smallCaps w:val="false"/>
          <w:color w:val="000000"/>
          <w:sz w:val="28"/>
          <w:szCs w:val="28"/>
        </w:rPr>
      </w:r>
    </w:p>
    <w:p>
      <w:pPr>
        <w:pStyle w:val="Normal"/>
        <w:spacing w:lineRule="auto" w:line="276"/>
        <w:ind w:firstLine="708"/>
        <w:jc w:val="both"/>
        <w:rPr/>
      </w:pPr>
      <w:r>
        <w:rPr>
          <w:rFonts w:eastAsia="Times New Roman" w:cs="Times New Roman"/>
          <w:b w:val="false"/>
          <w:bCs w:val="false"/>
          <w:i w:val="false"/>
          <w:iCs w:val="false"/>
          <w:caps w:val="false"/>
          <w:smallCaps w:val="false"/>
          <w:color w:val="000000"/>
          <w:sz w:val="28"/>
          <w:szCs w:val="28"/>
        </w:rPr>
        <w:t xml:space="preserve">Признать аукцион несостоявшимся по лоту </w:t>
      </w:r>
      <w:r>
        <w:rPr>
          <w:rFonts w:eastAsia="Times New Roman" w:cs="Times New Roman"/>
          <w:b/>
          <w:bCs/>
          <w:i w:val="false"/>
          <w:iCs w:val="false"/>
          <w:caps w:val="false"/>
          <w:smallCaps w:val="false"/>
          <w:color w:val="000000"/>
          <w:sz w:val="28"/>
          <w:szCs w:val="28"/>
        </w:rPr>
        <w:t>№</w:t>
      </w:r>
      <w:r>
        <w:rPr>
          <w:rFonts w:eastAsia="Times New Roman" w:cs="Times New Roman"/>
          <w:b w:val="false"/>
          <w:bCs w:val="false"/>
          <w:i w:val="false"/>
          <w:iCs w:val="false"/>
          <w:caps w:val="false"/>
          <w:smallCaps w:val="false"/>
          <w:color w:val="000000"/>
          <w:sz w:val="28"/>
          <w:szCs w:val="28"/>
        </w:rPr>
        <w:t xml:space="preserve"> </w:t>
      </w:r>
      <w:r>
        <w:rPr>
          <w:rFonts w:eastAsia="Times New Roman" w:cs="Times New Roman"/>
          <w:b/>
          <w:bCs/>
          <w:i w:val="false"/>
          <w:iCs w:val="false"/>
          <w:caps w:val="false"/>
          <w:smallCaps w:val="false"/>
          <w:color w:val="000000"/>
          <w:sz w:val="28"/>
          <w:szCs w:val="28"/>
        </w:rPr>
        <w:t xml:space="preserve">2 </w:t>
      </w:r>
      <w:r>
        <w:rPr>
          <w:rFonts w:eastAsia="Times New Roman" w:cs="Times New Roman"/>
          <w:b w:val="false"/>
          <w:bCs w:val="false"/>
          <w:i w:val="false"/>
          <w:iCs w:val="false"/>
          <w:caps w:val="false"/>
          <w:smallCaps w:val="false"/>
          <w:color w:val="000000"/>
          <w:sz w:val="28"/>
          <w:szCs w:val="28"/>
        </w:rPr>
        <w:t xml:space="preserve">в связи с тем, </w:t>
      </w:r>
      <w:r>
        <w:rPr>
          <w:rFonts w:eastAsia="Times New Roman" w:cs="Times New Roman"/>
          <w:b w:val="false"/>
          <w:bCs w:val="false"/>
          <w:i w:val="false"/>
          <w:iCs w:val="false"/>
          <w:caps w:val="false"/>
          <w:smallCaps w:val="false"/>
          <w:color w:val="000000"/>
          <w:sz w:val="28"/>
          <w:szCs w:val="28"/>
          <w:lang w:val="ru-RU" w:eastAsia="ru-RU" w:bidi="ar-SA"/>
        </w:rPr>
        <w:t xml:space="preserve">что                      по результатам рассмотрения заявок на участие в аукционе по данному лоту принято решение об отказе в допуске к участию в аукционе и признании участником аукциона только одного заявителя. </w:t>
      </w:r>
    </w:p>
    <w:p>
      <w:pPr>
        <w:pStyle w:val="BodyText"/>
        <w:spacing w:lineRule="auto" w:line="276" w:before="0" w:after="0"/>
        <w:ind w:firstLine="708" w:left="0" w:right="0"/>
        <w:jc w:val="both"/>
        <w:rPr/>
      </w:pPr>
      <w:r>
        <w:rPr>
          <w:rFonts w:eastAsia="Droid Sans Fallback" w:cs="Lohit Devanagari"/>
          <w:b w:val="false"/>
          <w:bCs w:val="false"/>
          <w:color w:val="auto"/>
          <w:sz w:val="28"/>
          <w:szCs w:val="28"/>
          <w:highlight w:val="white"/>
          <w:lang w:val="ru-RU" w:eastAsia="ru-RU" w:bidi="ar-SA"/>
        </w:rPr>
        <w:t>В соответствии с пунктом 12 статьи 39.13 Земельного кодекса Российской Федерации уполномоченный орган  в течение пяти дней со дня истечения срока, предусмотренного п. 11 ст. 39.13 Земельного кодекса Российской Федерации обязан направить заявителю, признанному единственным участником аукциона, подписанный проект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pPr>
        <w:pStyle w:val="BodyText"/>
        <w:spacing w:lineRule="auto" w:line="276" w:before="0" w:after="0"/>
        <w:ind w:firstLine="708" w:left="0" w:right="0"/>
        <w:jc w:val="both"/>
        <w:rPr/>
      </w:pPr>
      <w:r>
        <w:rPr>
          <w:b/>
          <w:color w:val="000000"/>
          <w:sz w:val="28"/>
          <w:szCs w:val="28"/>
        </w:rPr>
        <w:t xml:space="preserve">по лоту </w:t>
      </w:r>
      <w:r>
        <w:rPr>
          <w:rFonts w:eastAsia="Droid Sans Fallback" w:cs="Lohit Devanagari"/>
          <w:b/>
          <w:color w:val="000000"/>
          <w:sz w:val="28"/>
          <w:szCs w:val="28"/>
          <w:lang w:val="ru-RU" w:eastAsia="ru-RU" w:bidi="ar-SA"/>
        </w:rPr>
        <w:t>№ 2 ( у</w:t>
      </w:r>
      <w:r>
        <w:rPr>
          <w:rFonts w:eastAsia="Droid Sans Fallback" w:cs="Lohit Devanagari"/>
          <w:b/>
          <w:color w:val="000000"/>
          <w:kern w:val="0"/>
          <w:sz w:val="28"/>
          <w:szCs w:val="28"/>
          <w:lang w:val="ru-RU" w:eastAsia="ru-RU" w:bidi="ar-SA"/>
        </w:rPr>
        <w:t>л. 1-я Логовая, з/у 1в) – 112 200,00 руб.</w:t>
      </w:r>
    </w:p>
    <w:p>
      <w:pPr>
        <w:pStyle w:val="BodyText"/>
        <w:spacing w:lineRule="auto" w:line="276" w:before="0" w:after="0"/>
        <w:ind w:firstLine="709" w:left="0" w:right="0"/>
        <w:jc w:val="both"/>
        <w:rPr>
          <w:rFonts w:ascii="Times New Roman" w:hAnsi="Times New Roman" w:eastAsia="Droid Sans Fallback" w:cs="Lohit Devanagari"/>
          <w:b w:val="false"/>
          <w:bCs w:val="false"/>
          <w:color w:val="auto"/>
          <w:sz w:val="28"/>
          <w:szCs w:val="28"/>
          <w:highlight w:val="white"/>
          <w:lang w:val="ru-RU" w:eastAsia="ru-RU" w:bidi="ar-SA"/>
        </w:rPr>
      </w:pPr>
      <w:r>
        <w:rPr>
          <w:rFonts w:eastAsia="Droid Sans Fallback" w:cs="Lohit Devanagari"/>
          <w:b w:val="false"/>
          <w:bCs w:val="false"/>
          <w:i w:val="false"/>
          <w:iCs w:val="false"/>
          <w:caps w:val="false"/>
          <w:smallCaps w:val="false"/>
          <w:color w:val="auto"/>
          <w:kern w:val="0"/>
          <w:sz w:val="28"/>
          <w:szCs w:val="28"/>
          <w:highlight w:val="white"/>
          <w:lang w:val="ru-RU" w:eastAsia="ru-RU" w:bidi="ar-SA"/>
        </w:rPr>
        <w:t>В соответствии с пунктом 13 статьи 39.13 Земельного кодекса Российской Федерации по результатам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r>
    </w:p>
    <w:p>
      <w:pPr>
        <w:pStyle w:val="Normal"/>
        <w:spacing w:lineRule="auto" w:line="276" w:before="0" w:after="0"/>
        <w:jc w:val="both"/>
        <w:rPr>
          <w:rFonts w:ascii="Times New Roman" w:hAnsi="Times New Roman" w:eastAsia="Times New Roman" w:cs="Times New Roman"/>
          <w:b w:val="false"/>
          <w:bCs w:val="false"/>
          <w:i w:val="false"/>
          <w:i w:val="false"/>
          <w:iCs w:val="false"/>
          <w:caps w:val="false"/>
          <w:smallCaps w:val="false"/>
          <w:color w:val="000000"/>
        </w:rPr>
      </w:pPr>
      <w:r>
        <w:rPr>
          <w:rFonts w:eastAsia="Droid Sans Fallback" w:cs="Lohit Devanagari"/>
          <w:b/>
          <w:color w:val="auto"/>
          <w:sz w:val="28"/>
          <w:szCs w:val="28"/>
          <w:lang w:val="ru-RU" w:eastAsia="ru-RU" w:bidi="ar-SA"/>
        </w:rPr>
        <w:t>Лот № 3</w:t>
      </w:r>
      <w:r>
        <w:rPr>
          <w:rFonts w:eastAsia="Droid Sans Fallback" w:cs="Lohit Devanagari"/>
          <w:b/>
          <w:color w:val="auto"/>
          <w:lang w:val="ru-RU" w:eastAsia="ru-RU" w:bidi="ar-SA"/>
        </w:rPr>
        <w:t xml:space="preserve"> </w:t>
      </w:r>
      <w:r>
        <w:rPr>
          <w:rFonts w:eastAsia="Droid Sans Fallback" w:cs="Lohit Devanagari"/>
          <w:b w:val="false"/>
          <w:bCs w:val="false"/>
          <w:color w:val="auto"/>
          <w:sz w:val="28"/>
          <w:szCs w:val="28"/>
          <w:lang w:val="ru-RU" w:eastAsia="ru-RU" w:bidi="ar-SA"/>
        </w:rPr>
        <w:t>– п</w:t>
      </w:r>
      <w:r>
        <w:rPr>
          <w:rFonts w:eastAsia="Times New Roman" w:cs="Times New Roman"/>
          <w:b w:val="false"/>
          <w:bCs w:val="false"/>
          <w:i w:val="false"/>
          <w:iCs w:val="false"/>
          <w:caps w:val="false"/>
          <w:smallCaps w:val="false"/>
          <w:color w:val="000000"/>
          <w:kern w:val="0"/>
          <w:sz w:val="28"/>
          <w:szCs w:val="28"/>
          <w:lang w:val="ru-RU" w:eastAsia="ru-RU" w:bidi="ar-SA"/>
        </w:rPr>
        <w:t>раво заключения договора аренды земельного участка с кадастровым номером 59:01:3812839:168 площадью 612 кв. м, расположенного по адресу: Российская Федерация, край Пермский, г.о. Пермский, г. Пермь, ул. Белорусская, зу 1ф, для индивидуального жилищного строительства. Разрешенное использование земельного участка – для индивидуального жилищного строительства (2.1).</w:t>
      </w:r>
    </w:p>
    <w:p>
      <w:pPr>
        <w:pStyle w:val="Normal"/>
        <w:spacing w:lineRule="auto" w:line="276" w:before="0" w:after="0"/>
        <w:ind w:firstLine="708"/>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По указанному лоту заявки не поступали.</w:t>
      </w:r>
    </w:p>
    <w:p>
      <w:pPr>
        <w:pStyle w:val="Normal"/>
        <w:spacing w:lineRule="auto" w:line="276"/>
        <w:ind w:firstLine="708"/>
        <w:jc w:val="both"/>
        <w:rPr>
          <w:rFonts w:ascii="Times New Roman" w:hAnsi="Times New Roman" w:eastAsia="Times New Roman" w:cs="Times New Roman"/>
          <w:b w:val="false"/>
          <w:bCs w:val="false"/>
          <w:i w:val="false"/>
          <w:i w:val="false"/>
          <w:iCs w:val="false"/>
          <w:caps w:val="false"/>
          <w:smallCaps w:val="false"/>
          <w:color w:val="000000"/>
          <w:kern w:val="0"/>
          <w:sz w:val="28"/>
          <w:szCs w:val="28"/>
          <w:lang w:val="ru-RU" w:eastAsia="ru-RU" w:bidi="ar-SA"/>
        </w:rPr>
      </w:pPr>
      <w:r>
        <w:rPr>
          <w:rFonts w:eastAsia="Times New Roman" w:cs="Times New Roman"/>
          <w:b w:val="false"/>
          <w:bCs w:val="false"/>
          <w:i w:val="false"/>
          <w:iCs w:val="false"/>
          <w:caps w:val="false"/>
          <w:smallCaps w:val="false"/>
          <w:color w:val="000000"/>
          <w:kern w:val="0"/>
          <w:sz w:val="28"/>
          <w:szCs w:val="28"/>
          <w:lang w:val="ru-RU" w:eastAsia="ru-RU" w:bidi="ar-SA"/>
        </w:rPr>
        <w:t>На основании пункта 12 статьи 39.12 Земельного кодекса Российской Федерации электронный аукцион признан несостовшимся.</w:t>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rFonts w:eastAsia="Droid Sans Fallback" w:cs="Lohit Devanagari"/>
          <w:color w:val="auto"/>
          <w:sz w:val="28"/>
          <w:szCs w:val="28"/>
          <w:lang w:val="ru-RU" w:eastAsia="ru-RU" w:bidi="ar-SA"/>
        </w:rPr>
      </w:r>
    </w:p>
    <w:p>
      <w:pPr>
        <w:pStyle w:val="Normal"/>
        <w:spacing w:lineRule="auto" w:line="276"/>
        <w:ind w:firstLine="708"/>
        <w:jc w:val="both"/>
        <w:rPr>
          <w:rFonts w:ascii="Times New Roman" w:hAnsi="Times New Roman" w:eastAsia="Droid Sans Fallback" w:cs="Lohit Devanagari"/>
          <w:color w:val="auto"/>
          <w:sz w:val="28"/>
          <w:szCs w:val="28"/>
          <w:highlight w:val="none"/>
          <w:lang w:val="ru-RU" w:eastAsia="ru-RU" w:bidi="ar-SA"/>
        </w:rPr>
      </w:pPr>
      <w:r>
        <w:rPr>
          <w:rFonts w:eastAsia="Droid Sans Fallback" w:cs="Lohit Devanagari"/>
          <w:color w:val="auto"/>
          <w:sz w:val="28"/>
          <w:szCs w:val="28"/>
          <w:lang w:val="ru-RU" w:eastAsia="ru-RU" w:bidi="ar-SA"/>
        </w:rPr>
      </w:r>
    </w:p>
    <w:p>
      <w:pPr>
        <w:pStyle w:val="Normal"/>
        <w:spacing w:lineRule="auto" w:line="480"/>
        <w:jc w:val="both"/>
        <w:rPr/>
      </w:pPr>
      <w:r>
        <w:rPr>
          <w:sz w:val="28"/>
          <w:szCs w:val="28"/>
        </w:rPr>
        <w:t xml:space="preserve">Председатель комиссии                                                                        </w:t>
      </w:r>
      <w:r>
        <w:rPr>
          <w:sz w:val="28"/>
          <w:szCs w:val="28"/>
          <w:highlight w:val="white"/>
        </w:rPr>
        <w:t>А.В. Соснин</w:t>
      </w:r>
    </w:p>
    <w:p>
      <w:pPr>
        <w:pStyle w:val="Normal"/>
        <w:spacing w:lineRule="auto" w:line="480" w:before="120" w:after="120"/>
        <w:ind w:hanging="5610" w:left="5610"/>
        <w:rPr/>
      </w:pPr>
      <w:r>
        <w:rPr>
          <w:sz w:val="28"/>
          <w:szCs w:val="28"/>
          <w:lang w:eastAsia="en-US"/>
        </w:rPr>
        <w:t>Заместитель председателя комиссии</w:t>
      </w:r>
      <w:r>
        <w:rPr>
          <w:sz w:val="28"/>
          <w:szCs w:val="28"/>
        </w:rPr>
        <w:t xml:space="preserve"> </w:t>
        <w:tab/>
        <w:tab/>
        <w:tab/>
        <w:tab/>
        <w:t xml:space="preserve">            Е.П. </w:t>
      </w:r>
      <w:r>
        <w:rPr>
          <w:rFonts w:eastAsia="Droid Sans Fallback" w:cs="Lohit Devanagari"/>
          <w:color w:val="auto"/>
          <w:sz w:val="28"/>
          <w:szCs w:val="28"/>
          <w:lang w:val="ru-RU" w:eastAsia="en-US" w:bidi="ar-SA"/>
        </w:rPr>
        <w:t>Шафранова</w:t>
      </w:r>
    </w:p>
    <w:p>
      <w:pPr>
        <w:pStyle w:val="Normal"/>
        <w:spacing w:lineRule="auto" w:line="480" w:before="120" w:after="120"/>
        <w:ind w:hanging="5610" w:left="5610"/>
        <w:rPr/>
      </w:pPr>
      <w:r>
        <w:rPr>
          <w:rFonts w:eastAsia="Droid Sans Fallback" w:cs="Lohit Devanagari"/>
          <w:color w:val="auto"/>
          <w:sz w:val="28"/>
          <w:szCs w:val="28"/>
          <w:lang w:val="ru-RU" w:eastAsia="en-US" w:bidi="ar-SA"/>
        </w:rPr>
        <w:t xml:space="preserve">Секретарь комиссии </w:t>
        <w:tab/>
        <w:tab/>
        <w:tab/>
        <w:tab/>
        <w:t xml:space="preserve">            О.И. Павлова</w:t>
      </w:r>
    </w:p>
    <w:p>
      <w:pPr>
        <w:pStyle w:val="Normal"/>
        <w:spacing w:lineRule="auto" w:line="480" w:before="120" w:after="120"/>
        <w:rPr/>
      </w:pPr>
      <w:r>
        <w:rPr>
          <w:rFonts w:eastAsia="Droid Sans Fallback" w:cs="Lohit Devanagari"/>
          <w:color w:val="000000"/>
          <w:sz w:val="28"/>
          <w:szCs w:val="28"/>
          <w:shd w:fill="auto" w:val="clear"/>
          <w:lang w:val="ru-RU" w:eastAsia="en-US" w:bidi="ar-SA"/>
        </w:rPr>
        <w:t xml:space="preserve">Члены комиссии </w:t>
        <w:tab/>
        <w:tab/>
        <w:tab/>
        <w:tab/>
        <w:tab/>
        <w:tab/>
        <w:tab/>
        <w:tab/>
        <w:t xml:space="preserve">            А.А. Союстова</w:t>
      </w:r>
    </w:p>
    <w:p>
      <w:pPr>
        <w:pStyle w:val="Normal"/>
        <w:spacing w:lineRule="auto" w:line="480" w:before="120" w:after="120"/>
        <w:rPr/>
      </w:pPr>
      <w:r>
        <w:rPr>
          <w:rFonts w:eastAsia="Droid Sans Fallback" w:cs="Lohit Devanagari"/>
          <w:color w:val="000000"/>
          <w:sz w:val="28"/>
          <w:szCs w:val="28"/>
          <w:highlight w:val="white"/>
          <w:shd w:fill="auto" w:val="clear"/>
          <w:lang w:val="ru-RU" w:eastAsia="en-US" w:bidi="ar-SA"/>
        </w:rPr>
        <w:t xml:space="preserve">                                                                                                                 </w:t>
      </w:r>
      <w:r>
        <w:rPr>
          <w:rFonts w:eastAsia="Droid Sans Fallback" w:cs="Lohit Devanagari"/>
          <w:color w:val="000000"/>
          <w:sz w:val="28"/>
          <w:szCs w:val="28"/>
          <w:highlight w:val="white"/>
          <w:shd w:fill="auto" w:val="clear"/>
          <w:lang w:val="ru-RU" w:eastAsia="en-US" w:bidi="ar-SA"/>
        </w:rPr>
        <w:t>Ю.И. Четина</w:t>
      </w:r>
    </w:p>
    <w:sectPr>
      <w:headerReference w:type="default" r:id="rId3"/>
      <w:footerReference w:type="even" r:id="rId4"/>
      <w:footerReference w:type="default" r:id="rId5"/>
      <w:footerReference w:type="first" r:id="rId6"/>
      <w:type w:val="nextPage"/>
      <w:pgSz w:w="11906" w:h="16838"/>
      <w:pgMar w:left="1418" w:right="567" w:gutter="0" w:header="0" w:top="786" w:footer="709" w:bottom="766"/>
      <w:pgNumType w:start="2"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Tahoma">
    <w:charset w:val="01"/>
    <w:family w:val="roman"/>
    <w:pitch w:val="variable"/>
  </w:font>
  <w:font w:name="Open Sans">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ind w:right="360"/>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wps:txbx>
                    <wps:bodyPr lIns="36360" rIns="36360" tIns="-20880" bIns="-2088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ind w:right="360"/>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2"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wps:txbx>
                    <wps:bodyPr lIns="36360" rIns="36360" tIns="-20880" bIns="-2088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Style10"/>
                      </w:rPr>
                    </w:pPr>
                    <w:r>
                      <w:rPr>
                        <w:rStyle w:val="Style10"/>
                        <w:color w:val="000000"/>
                      </w:rPr>
                      <w:fldChar w:fldCharType="begin"/>
                    </w:r>
                    <w:r>
                      <w:rPr>
                        <w:rStyle w:val="Style10"/>
                        <w:color w:val="000000"/>
                      </w:rPr>
                      <w:instrText xml:space="preserve"> PAGE </w:instrText>
                    </w:r>
                    <w:r>
                      <w:rPr>
                        <w:rStyle w:val="Style10"/>
                        <w:color w:val="000000"/>
                      </w:rPr>
                      <w:fldChar w:fldCharType="separate"/>
                    </w:r>
                    <w:r>
                      <w:rPr>
                        <w:rStyle w:val="Style10"/>
                        <w:color w:val="000000"/>
                      </w:rPr>
                      <w:t>0</w:t>
                    </w:r>
                    <w:r>
                      <w:rPr>
                        <w:rStyle w:val="Style10"/>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11">
              <wp:simplePos x="0" y="0"/>
              <wp:positionH relativeFrom="margin">
                <wp:align>right</wp:align>
              </wp:positionH>
              <wp:positionV relativeFrom="paragraph">
                <wp:posOffset>635</wp:posOffset>
              </wp:positionV>
              <wp:extent cx="85725" cy="246380"/>
              <wp:effectExtent l="0" t="0" r="0" b="0"/>
              <wp:wrapSquare wrapText="bothSides"/>
              <wp:docPr id="3" name="Врезка1"/>
              <a:graphic xmlns:a="http://schemas.openxmlformats.org/drawingml/2006/main">
                <a:graphicData uri="http://schemas.microsoft.com/office/word/2010/wordprocessingShape">
                  <wps:wsp>
                    <wps:cNvSpPr/>
                    <wps:spPr>
                      <a:xfrm>
                        <a:off x="0" y="0"/>
                        <a:ext cx="85680" cy="246240"/>
                      </a:xfrm>
                      <a:prstGeom prst="rect">
                        <a:avLst/>
                      </a:prstGeom>
                      <a:noFill/>
                      <a:ln w="0">
                        <a:noFill/>
                      </a:ln>
                    </wps:spPr>
                    <wps:style>
                      <a:lnRef idx="0"/>
                      <a:fillRef idx="0"/>
                      <a:effectRef idx="0"/>
                      <a:fontRef idx="minor"/>
                    </wps:style>
                    <wps:txbx>
                      <w:txbxContent>
                        <w:p>
                          <w:pPr>
                            <w:pStyle w:val="Footer"/>
                            <w:rPr>
                              <w:rStyle w:val="Style10"/>
                            </w:rPr>
                          </w:pPr>
                          <w:r>
                            <w:rPr/>
                          </w:r>
                        </w:p>
                      </w:txbxContent>
                    </wps:txbx>
                    <wps:bodyPr lIns="36360" rIns="36360" tIns="36360" bIns="36360" anchor="t">
                      <a:spAutoFit/>
                    </wps:bodyPr>
                  </wps:wsp>
                </a:graphicData>
              </a:graphic>
            </wp:anchor>
          </w:drawing>
        </mc:Choice>
        <mc:Fallback>
          <w:pict>
            <v:rect id="shape_0" ID="Врезка1" path="m0,0l-2147483645,0l-2147483645,-2147483646l0,-2147483646xe" stroked="f" o:allowincell="f" style="position:absolute;margin-left:489.2pt;margin-top:0.05pt;width:6.7pt;height:19.35pt;mso-wrap-style:none;v-text-anchor:middle;mso-position-horizontal:right;mso-position-horizontal-relative:margin">
              <v:fill o:detectmouseclick="t" on="false"/>
              <v:stroke color="#3465a4" joinstyle="round" endcap="flat"/>
              <v:textbox>
                <w:txbxContent>
                  <w:p>
                    <w:pPr>
                      <w:pStyle w:val="Footer"/>
                      <w:rPr>
                        <w:rStyle w:val="Style10"/>
                      </w:rPr>
                    </w:pPr>
                    <w:r>
                      <w:rPr/>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11">
              <wp:simplePos x="0" y="0"/>
              <wp:positionH relativeFrom="margin">
                <wp:align>right</wp:align>
              </wp:positionH>
              <wp:positionV relativeFrom="paragraph">
                <wp:posOffset>635</wp:posOffset>
              </wp:positionV>
              <wp:extent cx="85725" cy="246380"/>
              <wp:effectExtent l="0" t="0" r="0" b="0"/>
              <wp:wrapSquare wrapText="bothSides"/>
              <wp:docPr id="4" name="Врезка1"/>
              <a:graphic xmlns:a="http://schemas.openxmlformats.org/drawingml/2006/main">
                <a:graphicData uri="http://schemas.microsoft.com/office/word/2010/wordprocessingShape">
                  <wps:wsp>
                    <wps:cNvSpPr/>
                    <wps:spPr>
                      <a:xfrm>
                        <a:off x="0" y="0"/>
                        <a:ext cx="85680" cy="246240"/>
                      </a:xfrm>
                      <a:prstGeom prst="rect">
                        <a:avLst/>
                      </a:prstGeom>
                      <a:noFill/>
                      <a:ln w="0">
                        <a:noFill/>
                      </a:ln>
                    </wps:spPr>
                    <wps:style>
                      <a:lnRef idx="0"/>
                      <a:fillRef idx="0"/>
                      <a:effectRef idx="0"/>
                      <a:fontRef idx="minor"/>
                    </wps:style>
                    <wps:txbx>
                      <w:txbxContent>
                        <w:p>
                          <w:pPr>
                            <w:pStyle w:val="Footer"/>
                            <w:rPr>
                              <w:rStyle w:val="Style10"/>
                            </w:rPr>
                          </w:pPr>
                          <w:r>
                            <w:rPr/>
                          </w:r>
                        </w:p>
                      </w:txbxContent>
                    </wps:txbx>
                    <wps:bodyPr lIns="36360" rIns="36360" tIns="36360" bIns="36360" anchor="t">
                      <a:spAutoFit/>
                    </wps:bodyPr>
                  </wps:wsp>
                </a:graphicData>
              </a:graphic>
            </wp:anchor>
          </w:drawing>
        </mc:Choice>
        <mc:Fallback>
          <w:pict>
            <v:rect id="shape_0" ID="Врезка1" path="m0,0l-2147483645,0l-2147483645,-2147483646l0,-2147483646xe" stroked="f" o:allowincell="f" style="position:absolute;margin-left:489.2pt;margin-top:0.05pt;width:6.7pt;height:19.35pt;mso-wrap-style:none;v-text-anchor:middle;mso-position-horizontal:right;mso-position-horizontal-relative:margin">
              <v:fill o:detectmouseclick="t" on="false"/>
              <v:stroke color="#3465a4" joinstyle="round" endcap="flat"/>
              <v:textbox>
                <w:txbxContent>
                  <w:p>
                    <w:pPr>
                      <w:pStyle w:val="Footer"/>
                      <w:rPr>
                        <w:rStyle w:val="Style10"/>
                      </w:rPr>
                    </w:pPr>
                    <w:r>
                      <w:rPr/>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roid Sans Fallback" w:cs="Lohit Devanagari"/>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Droid Sans Fallback" w:cs="Lohit Devanagari"/>
      <w:color w:val="auto"/>
      <w:kern w:val="0"/>
      <w:sz w:val="24"/>
      <w:szCs w:val="24"/>
      <w:lang w:val="ru-RU" w:eastAsia="ru-RU"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7">
    <w:name w:val="Основной шрифт абзаца"/>
    <w:semiHidden/>
    <w:qFormat/>
    <w:rPr/>
  </w:style>
  <w:style w:type="character" w:styleId="3">
    <w:name w:val="Основной текст с отступом 3 Знак"/>
    <w:qFormat/>
    <w:rPr>
      <w:sz w:val="16"/>
      <w:szCs w:val="16"/>
    </w:rPr>
  </w:style>
  <w:style w:type="character" w:styleId="Style8">
    <w:name w:val="Текст Знак"/>
    <w:qFormat/>
    <w:rPr>
      <w:rFonts w:ascii="Courier New" w:hAnsi="Courier New"/>
    </w:rPr>
  </w:style>
  <w:style w:type="character" w:styleId="Style9">
    <w:name w:val="Текст выноски Знак"/>
    <w:qFormat/>
    <w:rPr>
      <w:rFonts w:ascii="Tahoma" w:hAnsi="Tahoma" w:cs="Tahoma"/>
      <w:sz w:val="16"/>
      <w:szCs w:val="16"/>
    </w:rPr>
  </w:style>
  <w:style w:type="character" w:styleId="Style10">
    <w:name w:val="Основной текст с отступом Знак"/>
    <w:qFormat/>
    <w:rPr>
      <w:sz w:val="24"/>
      <w:szCs w:val="24"/>
    </w:rPr>
  </w:style>
  <w:style w:type="character" w:styleId="Style11">
    <w:name w:val="Верхний колонтитул Знак"/>
    <w:qFormat/>
    <w:rPr>
      <w:sz w:val="24"/>
      <w:szCs w:val="24"/>
    </w:rPr>
  </w:style>
  <w:style w:type="character" w:styleId="Style12">
    <w:name w:val="Нижний колонтитул Знак"/>
    <w:qFormat/>
    <w:rPr>
      <w:sz w:val="24"/>
      <w:szCs w:val="24"/>
    </w:rPr>
  </w:style>
  <w:style w:type="character" w:styleId="Style13">
    <w:name w:val="Текст сноски Знак"/>
    <w:basedOn w:val="Style7"/>
    <w:qFormat/>
    <w:rPr/>
  </w:style>
  <w:style w:type="character" w:styleId="Style14">
    <w:name w:val="Знак сноски"/>
    <w:qFormat/>
    <w:rPr>
      <w:vertAlign w:val="superscript"/>
    </w:rPr>
  </w:style>
  <w:style w:type="character" w:styleId="DefaultParagraphFont" w:default="1">
    <w:name w:val="Default Paragraph Font"/>
    <w:uiPriority w:val="1"/>
    <w:semiHidden/>
    <w:unhideWhenUsed/>
    <w:qFormat/>
    <w:rPr/>
  </w:style>
  <w:style w:type="paragraph" w:styleId="Style15">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link w:val="CaptionChar"/>
    <w:uiPriority w:val="35"/>
    <w:semiHidden/>
    <w:unhideWhenUsed/>
    <w:qFormat/>
    <w:pPr>
      <w:spacing w:lineRule="auto" w:line="276"/>
    </w:pPr>
    <w:rPr>
      <w:b/>
      <w:bCs/>
      <w:color w:themeColor="accent1" w:val="4F81BD"/>
      <w:sz w:val="18"/>
      <w:szCs w:val="18"/>
    </w:rPr>
  </w:style>
  <w:style w:type="paragraph" w:styleId="Style16">
    <w:name w:val="Указатель"/>
    <w:basedOn w:val="Normal"/>
    <w:qFormat/>
    <w:pPr>
      <w:suppressLineNumbers/>
    </w:pPr>
    <w:rPr>
      <w:rFonts w:cs="Lohit Devanagari"/>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Droid Sans Fallback" w:cs="Lohit Devanagari"/>
      <w:color w:val="auto"/>
      <w:kern w:val="0"/>
      <w:sz w:val="20"/>
      <w:szCs w:val="20"/>
      <w:lang w:val="ru-RU" w:eastAsia="zh-CN"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Style17">
    <w:name w:val="Колонтитул"/>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5"/>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Droid Sans Fallback" w:cs="Lohit Devanagari"/>
      <w:color w:val="auto"/>
      <w:kern w:val="0"/>
      <w:sz w:val="20"/>
      <w:szCs w:val="20"/>
      <w:lang w:val="ru-RU" w:eastAsia="zh-CN" w:bidi="ar-SA"/>
    </w:rPr>
  </w:style>
  <w:style w:type="paragraph" w:styleId="TableofFigures">
    <w:name w:val="Table of Figures"/>
    <w:basedOn w:val="Normal"/>
    <w:uiPriority w:val="99"/>
    <w:unhideWhenUsed/>
    <w:pPr>
      <w:spacing w:before="0" w:afterAutospacing="0" w:after="0"/>
    </w:pPr>
    <w:rPr/>
  </w:style>
  <w:style w:type="paragraph" w:styleId="BodyTextIndent">
    <w:name w:val="Body Text Indent"/>
    <w:basedOn w:val="Normal"/>
    <w:pPr>
      <w:spacing w:before="0" w:after="120"/>
      <w:ind w:left="283"/>
    </w:pPr>
    <w:rPr>
      <w:lang w:val="en-US" w:eastAsia="en-US"/>
    </w:rPr>
  </w:style>
  <w:style w:type="paragraph" w:styleId="Style18">
    <w:name w:val="Текст"/>
    <w:basedOn w:val="Normal"/>
    <w:qFormat/>
    <w:pPr/>
    <w:rPr>
      <w:rFonts w:ascii="Courier New" w:hAnsi="Courier New"/>
      <w:sz w:val="20"/>
      <w:szCs w:val="20"/>
      <w:lang w:val="en-US" w:eastAsia="en-US"/>
    </w:rPr>
  </w:style>
  <w:style w:type="paragraph" w:styleId="Style19">
    <w:name w:val="Знак Знак Знак Знак Знак Знак Знак Знак Знак Знак Знак Знак"/>
    <w:basedOn w:val="Normal"/>
    <w:qFormat/>
    <w:pPr/>
    <w:rPr>
      <w:rFonts w:ascii="Verdana" w:hAnsi="Verdana" w:cs="Verdana"/>
      <w:sz w:val="20"/>
      <w:szCs w:val="20"/>
      <w:lang w:val="en-US" w:eastAsia="en-US"/>
    </w:rPr>
  </w:style>
  <w:style w:type="paragraph" w:styleId="31">
    <w:name w:val="Основной текст с отступом 3"/>
    <w:basedOn w:val="Normal"/>
    <w:qFormat/>
    <w:pPr>
      <w:spacing w:before="0" w:after="120"/>
      <w:ind w:left="283"/>
    </w:pPr>
    <w:rPr>
      <w:sz w:val="16"/>
      <w:szCs w:val="16"/>
      <w:lang w:val="en-US" w:eastAsia="en-US"/>
    </w:rPr>
  </w:style>
  <w:style w:type="paragraph" w:styleId="Style20">
    <w:name w:val="Текст выноски"/>
    <w:basedOn w:val="Normal"/>
    <w:qFormat/>
    <w:pPr/>
    <w:rPr>
      <w:rFonts w:ascii="Tahoma" w:hAnsi="Tahoma"/>
      <w:sz w:val="16"/>
      <w:szCs w:val="16"/>
      <w:lang w:val="en-US" w:eastAsia="en-US"/>
    </w:rPr>
  </w:style>
  <w:style w:type="paragraph" w:styleId="Style21">
    <w:name w:val="Текст сноски"/>
    <w:basedOn w:val="Normal"/>
    <w:qFormat/>
    <w:pPr/>
    <w:rPr>
      <w:sz w:val="20"/>
      <w:szCs w:val="20"/>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Style25">
    <w:name w:val="Нет списка"/>
    <w:semiHidden/>
    <w:qFormat/>
  </w:style>
  <w:style w:type="numbering" w:styleId="NoList" w:default="1">
    <w:name w:val="No List"/>
    <w:uiPriority w:val="99"/>
    <w:semiHidden/>
    <w:unhideWhenUsed/>
    <w:qFormat/>
  </w:style>
  <w:style w:type="table" w:styleId="832">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33">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34">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5">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6">
    <w:name w:val="Plain Table 3"/>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7">
    <w:name w:val="Plain Table 4"/>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8">
    <w:name w:val="Plain Table 5"/>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9">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40">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41">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42">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3">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4">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5">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6">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7">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8">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9">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50">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51">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52">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3">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8">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9">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60">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61">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62">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3">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4">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5">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6">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7">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8">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9">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70">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71">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72">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3">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4">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75">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76">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77">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78">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79">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80">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81">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5">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6">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7">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8">
    <w:name w:val="List Table 1 Light"/>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9">
    <w:name w:val="List Table 1 Light - Accent 1"/>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90">
    <w:name w:val="List Table 1 Light - Accent 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91">
    <w:name w:val="List Table 1 Light - Accent 3"/>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92">
    <w:name w:val="List Table 1 Light - Accent 4"/>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3">
    <w:name w:val="List Table 1 Light - Accent 5"/>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4">
    <w:name w:val="List Table 1 Light - Accent 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5">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6">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7">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8">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9">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900">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901">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902">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3">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4">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5">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6">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7">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8">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9">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10">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11">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12">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3">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4">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5">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6">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917">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918">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919">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920">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921">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922">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923">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924">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925">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926">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927">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928">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929">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930">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931">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932">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933">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934">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935">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936">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937">
    <w:name w:val="Lined - Accent"/>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8">
    <w:name w:val="Lined - Accent 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9">
    <w:name w:val="Lined - Accent 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0">
    <w:name w:val="Lined - Accent 3"/>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1">
    <w:name w:val="Lined - Accent 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2">
    <w:name w:val="Lined - Accent 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3">
    <w:name w:val="Lined - Accent 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4">
    <w:name w:val="Bordered &amp; Lined - Accent"/>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5">
    <w:name w:val="Bordered &amp; Lined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6">
    <w:name w:val="Bordered &amp; Lined - Accent 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7">
    <w:name w:val="Bordered &amp; Lined - Accent 3"/>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8">
    <w:name w:val="Bordered &amp; Lined - Accent 4"/>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9">
    <w:name w:val="Bordered &amp; Lined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50">
    <w:name w:val="Bordered &amp; Lined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51">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52">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3">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4">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5">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6">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7">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58">
    <w:name w:val="Normal Table"/>
    <w:uiPriority w:val="99"/>
    <w:semiHidden/>
    <w:unhideWhenUsed/>
  </w:style>
  <w:style w:type="table" w:customStyle="1" w:styleId="959">
    <w:name w:val="block-tbl "/>
    <w:pPr>
      <w:ind w:right="0"/>
      <w:spacing w:before="0" w:after="0" w:line="240" w:lineRule="auto"/>
      <w:jc w:val="left"/>
    </w:pPr>
    <w:rPr>
      <w:lang w:val="en-US" w:eastAsia="en-US" w:bidi="ar-SA"/>
      <w:b w:val="0"/>
      <w:bCs w:val="0"/>
      <w:i w:val="0"/>
      <w:caps w:val="0"/>
      <w:smallCaps w:val="0"/>
      <w:spacing w:val="0"/>
      <w:sz w:val="20"/>
      <w:szCs w:val="20"/>
    </w:rPr>
    <w:tblPr>
      <w:tblStyleRowBandSize w:val="1"/>
      <w:tblStyleColBandSize w:val="1"/>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tp.sberbank-ast.ru/AP/List/DictionaryGISRefusalAdmissionReason/1002109"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71</TotalTime>
  <Application>LibreOffice/7.6.7.2$Linux_X86_64 LibreOffice_project/60$Build-2</Application>
  <AppVersion>15.0000</AppVersion>
  <Pages>4</Pages>
  <Words>673</Words>
  <Characters>4728</Characters>
  <CharactersWithSpaces>5903</CharactersWithSpaces>
  <Paragraphs>58</Paragraphs>
  <Company>Деп. имущественных отношений</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2015-07-02T10:18:00Z</dcterms:created>
  <dc:creator>bna</dc:creator>
  <dc:description/>
  <dc:language>ru-RU</dc:language>
  <cp:lastModifiedBy/>
  <dcterms:modified xsi:type="dcterms:W3CDTF">2026-09-23T17:09:46Z</dcterms:modified>
  <cp:revision>1139</cp:revision>
  <dc:subject/>
  <dc:title>Департамент имущественных отношений</dc:title>
  <cp:version>1048576</cp:version>
</cp:coreProperties>
</file>

<file path=docProps/custom.xml><?xml version="1.0" encoding="utf-8"?>
<Properties xmlns="http://schemas.openxmlformats.org/officeDocument/2006/custom-properties" xmlns:vt="http://schemas.openxmlformats.org/officeDocument/2006/docPropsVTypes"/>
</file>