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284" w:firstLine="0"/>
        <w:jc w:val="right"/>
        <w:rPr>
          <w:rFonts w:ascii="Tahoma" w:hAnsi="Tahoma" w:eastAsia="Times New Roman" w:cs="Tahoma"/>
          <w:sz w:val="16"/>
          <w:szCs w:val="16"/>
          <w:lang w:eastAsia="ru-RU"/>
        </w:rPr>
        <w:outlineLvl w:val="0"/>
      </w:pPr>
      <w:r/>
      <w:bookmarkStart w:id="0" w:name="Par602"/>
      <w:r/>
      <w:bookmarkStart w:id="1" w:name="_GoBack"/>
      <w:r/>
      <w:bookmarkEnd w:id="0"/>
      <w:r>
        <w:rPr>
          <w:rFonts w:ascii="Tahoma" w:hAnsi="Tahoma" w:eastAsia="Times New Roman" w:cs="Tahoma"/>
          <w:sz w:val="16"/>
          <w:szCs w:val="16"/>
          <w:lang w:val="en-US" w:eastAsia="ru-RU"/>
        </w:rPr>
        <w:t xml:space="preserve">id</w:t>
      </w:r>
      <w:bookmarkEnd w:id="1"/>
      <w:r>
        <w:rPr>
          <w:rFonts w:ascii="Tahoma" w:hAnsi="Tahoma" w:eastAsia="Times New Roman" w:cs="Tahoma"/>
          <w:sz w:val="16"/>
          <w:szCs w:val="16"/>
          <w:lang w:eastAsia="ru-RU"/>
        </w:rPr>
        <w:t xml:space="preserve"> </w:t>
      </w:r>
      <w:r>
        <w:rPr>
          <w:rFonts w:ascii="Tahoma" w:hAnsi="Tahoma" w:eastAsia="Times New Roman" w:cs="Tahoma"/>
          <w:sz w:val="16"/>
          <w:szCs w:val="16"/>
          <w:lang w:eastAsia="ru-RU"/>
        </w:rPr>
        <w:t xml:space="preserve">79059</w:t>
      </w:r>
      <w:r>
        <w:rPr>
          <w:rFonts w:ascii="Tahoma" w:hAnsi="Tahoma" w:eastAsia="Times New Roman" w:cs="Tahoma"/>
          <w:sz w:val="16"/>
          <w:szCs w:val="16"/>
          <w:lang w:eastAsia="ru-RU"/>
        </w:rPr>
        <w:t xml:space="preserve"> </w:t>
      </w:r>
      <w:r>
        <w:rPr>
          <w:rFonts w:ascii="Tahoma" w:hAnsi="Tahoma" w:eastAsia="Times New Roman" w:cs="Tahoma"/>
          <w:sz w:val="16"/>
          <w:szCs w:val="16"/>
          <w:lang w:eastAsia="ru-RU"/>
        </w:rPr>
        <w:t xml:space="preserve">     </w:t>
      </w:r>
      <w:r>
        <w:rPr>
          <w:rFonts w:ascii="Tahoma" w:hAnsi="Tahoma" w:eastAsia="Times New Roman" w:cs="Tahoma"/>
          <w:sz w:val="16"/>
          <w:szCs w:val="16"/>
          <w:lang w:eastAsia="ru-RU"/>
        </w:rPr>
      </w:r>
      <w:r>
        <w:rPr>
          <w:rFonts w:ascii="Tahoma" w:hAnsi="Tahoma" w:eastAsia="Times New Roman" w:cs="Tahoma"/>
          <w:sz w:val="16"/>
          <w:szCs w:val="16"/>
          <w:lang w:eastAsia="ru-RU"/>
        </w:rPr>
      </w:r>
    </w:p>
    <w:p>
      <w:pPr>
        <w:ind w:left="284" w:firstLine="0"/>
        <w:jc w:val="right"/>
        <w:rPr>
          <w:rFonts w:ascii="Tahoma" w:hAnsi="Tahoma" w:eastAsia="Times New Roman" w:cs="Tahoma"/>
          <w:sz w:val="16"/>
          <w:szCs w:val="16"/>
          <w:lang w:eastAsia="ru-RU"/>
        </w:rPr>
        <w:outlineLvl w:val="0"/>
      </w:pPr>
      <w:r>
        <w:rPr>
          <w:rFonts w:ascii="Tahoma" w:hAnsi="Tahoma" w:eastAsia="Times New Roman" w:cs="Tahoma"/>
          <w:sz w:val="16"/>
          <w:szCs w:val="16"/>
          <w:lang w:eastAsia="ru-RU"/>
        </w:rPr>
      </w:r>
      <w:r>
        <w:rPr>
          <w:rFonts w:ascii="Tahoma" w:hAnsi="Tahoma" w:eastAsia="Times New Roman" w:cs="Tahoma"/>
          <w:sz w:val="16"/>
          <w:szCs w:val="16"/>
          <w:lang w:eastAsia="ru-RU"/>
        </w:rPr>
      </w:r>
      <w:r>
        <w:rPr>
          <w:rFonts w:ascii="Tahoma" w:hAnsi="Tahoma" w:eastAsia="Times New Roman" w:cs="Tahoma"/>
          <w:sz w:val="16"/>
          <w:szCs w:val="16"/>
          <w:lang w:eastAsia="ru-RU"/>
        </w:rPr>
      </w:r>
    </w:p>
    <w:p>
      <w:pPr>
        <w:ind w:left="284" w:firstLine="0"/>
        <w:jc w:val="right"/>
        <w:rPr>
          <w:rFonts w:ascii="Tahoma" w:hAnsi="Tahoma" w:eastAsia="Times New Roman" w:cs="Tahoma"/>
          <w:sz w:val="16"/>
          <w:szCs w:val="16"/>
          <w:lang w:eastAsia="ru-RU"/>
        </w:rPr>
        <w:outlineLvl w:val="0"/>
      </w:pPr>
      <w:r>
        <w:rPr>
          <w:rFonts w:ascii="Tahoma" w:hAnsi="Tahoma" w:eastAsia="Times New Roman" w:cs="Tahoma"/>
          <w:sz w:val="16"/>
          <w:szCs w:val="16"/>
          <w:lang w:eastAsia="ru-RU"/>
        </w:rPr>
      </w:r>
      <w:r>
        <w:rPr>
          <w:rFonts w:ascii="Tahoma" w:hAnsi="Tahoma" w:eastAsia="Times New Roman" w:cs="Tahoma"/>
          <w:sz w:val="16"/>
          <w:szCs w:val="16"/>
          <w:lang w:eastAsia="ru-RU"/>
        </w:rPr>
      </w:r>
      <w:r>
        <w:rPr>
          <w:rFonts w:ascii="Tahoma" w:hAnsi="Tahoma" w:eastAsia="Times New Roman" w:cs="Tahoma"/>
          <w:sz w:val="16"/>
          <w:szCs w:val="16"/>
          <w:lang w:eastAsia="ru-RU"/>
        </w:rPr>
      </w:r>
    </w:p>
    <w:p>
      <w:pPr>
        <w:ind w:firstLine="0"/>
        <w:jc w:val="center"/>
        <w:widowControl w:val="off"/>
        <w:rPr>
          <w:rFonts w:eastAsia="Times New Roman"/>
          <w:b/>
          <w:sz w:val="24"/>
          <w:szCs w:val="24"/>
          <w:lang w:eastAsia="ru-RU"/>
        </w:rPr>
      </w:pPr>
      <w:r/>
      <w:bookmarkStart w:id="2" w:name="Par612"/>
      <w:r/>
      <w:bookmarkEnd w:id="2"/>
      <w:r>
        <w:rPr>
          <w:rFonts w:eastAsia="Times New Roman"/>
          <w:b/>
          <w:sz w:val="24"/>
          <w:szCs w:val="24"/>
          <w:lang w:eastAsia="ru-RU"/>
        </w:rPr>
        <w:t xml:space="preserve">ДОГОВОР </w:t>
      </w:r>
      <w:r>
        <w:rPr>
          <w:rFonts w:eastAsia="Times New Roman"/>
          <w:b/>
          <w:sz w:val="24"/>
          <w:szCs w:val="24"/>
          <w:lang w:eastAsia="ru-RU"/>
        </w:rPr>
        <w:t xml:space="preserve">№</w:t>
      </w:r>
      <w:r>
        <w:rPr>
          <w:rFonts w:eastAsia="Times New Roman"/>
          <w:b/>
          <w:sz w:val="24"/>
          <w:szCs w:val="24"/>
          <w:lang w:eastAsia="ru-RU"/>
        </w:rPr>
        <w:t xml:space="preserve"> </w:t>
      </w:r>
      <w:r>
        <w:rPr>
          <w:rFonts w:eastAsia="Times New Roman"/>
          <w:b/>
          <w:sz w:val="24"/>
          <w:szCs w:val="24"/>
          <w:lang w:eastAsia="ru-RU"/>
        </w:rPr>
        <w:t xml:space="preserve">_________</w:t>
        <w:tab/>
      </w:r>
      <w:r>
        <w:rPr>
          <w:rFonts w:eastAsia="Times New Roman"/>
          <w:b/>
          <w:sz w:val="24"/>
          <w:szCs w:val="24"/>
          <w:lang w:eastAsia="ru-RU"/>
        </w:rPr>
      </w:r>
      <w:r>
        <w:rPr>
          <w:rFonts w:eastAsia="Times New Roman"/>
          <w:b/>
          <w:sz w:val="24"/>
          <w:szCs w:val="24"/>
          <w:lang w:eastAsia="ru-RU"/>
        </w:rPr>
      </w:r>
    </w:p>
    <w:p>
      <w:pPr>
        <w:ind w:firstLine="0"/>
        <w:jc w:val="center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 xml:space="preserve">купли-продажи земельного участка</w:t>
      </w:r>
      <w:r>
        <w:rPr>
          <w:rFonts w:eastAsia="Times New Roman"/>
          <w:b/>
          <w:sz w:val="24"/>
          <w:szCs w:val="24"/>
          <w:lang w:eastAsia="ru-RU"/>
        </w:rPr>
        <w:t xml:space="preserve">, приобретаемого </w:t>
      </w:r>
      <w:r>
        <w:rPr>
          <w:rFonts w:eastAsia="Times New Roman"/>
          <w:b/>
          <w:sz w:val="24"/>
          <w:szCs w:val="24"/>
          <w:lang w:eastAsia="ru-RU"/>
        </w:rPr>
        <w:br/>
      </w:r>
      <w:r>
        <w:rPr>
          <w:rFonts w:eastAsia="Times New Roman"/>
          <w:b/>
          <w:sz w:val="24"/>
          <w:szCs w:val="24"/>
          <w:lang w:eastAsia="ru-RU"/>
        </w:rPr>
        <w:t xml:space="preserve">на торгах в форме аукциона</w:t>
      </w:r>
      <w:r>
        <w:rPr>
          <w:rFonts w:eastAsia="Times New Roman"/>
          <w:b/>
          <w:sz w:val="24"/>
          <w:szCs w:val="24"/>
          <w:lang w:eastAsia="ru-RU"/>
        </w:rPr>
      </w:r>
      <w:r>
        <w:rPr>
          <w:rFonts w:eastAsia="Times New Roman"/>
          <w:b/>
          <w:sz w:val="24"/>
          <w:szCs w:val="24"/>
          <w:lang w:eastAsia="ru-RU"/>
        </w:rPr>
      </w:r>
    </w:p>
    <w:p>
      <w:r/>
      <w:r/>
    </w:p>
    <w:p>
      <w:r/>
      <w:r/>
    </w:p>
    <w:p>
      <w:pPr>
        <w:ind w:firstLine="567"/>
        <w:jc w:val="left"/>
        <w:tabs>
          <w:tab w:val="left" w:pos="9214" w:leader="none"/>
          <w:tab w:val="left" w:pos="10065" w:leader="none"/>
        </w:tabs>
        <w:rPr>
          <w:rFonts w:eastAsia="Times New Roman"/>
          <w:bCs/>
          <w:sz w:val="24"/>
          <w:szCs w:val="24"/>
          <w:u w:val="single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г. Пермь                                                                      </w:t>
      </w:r>
      <w:r>
        <w:rPr>
          <w:rFonts w:eastAsia="Times New Roman"/>
          <w:bCs/>
          <w:sz w:val="24"/>
          <w:szCs w:val="24"/>
          <w:lang w:eastAsia="ru-RU"/>
        </w:rPr>
        <w:t xml:space="preserve">           </w:t>
      </w:r>
      <w:r>
        <w:rPr>
          <w:rFonts w:eastAsia="Times New Roman"/>
          <w:bCs/>
          <w:sz w:val="24"/>
          <w:szCs w:val="24"/>
          <w:lang w:eastAsia="ru-RU"/>
        </w:rPr>
        <w:t xml:space="preserve">             «___» _________ 20__</w:t>
      </w:r>
      <w:r>
        <w:rPr>
          <w:rFonts w:eastAsia="Times New Roman"/>
          <w:bCs/>
          <w:sz w:val="24"/>
          <w:szCs w:val="24"/>
          <w:lang w:eastAsia="ru-RU"/>
        </w:rPr>
        <w:t xml:space="preserve"> г.</w:t>
      </w:r>
      <w:r>
        <w:rPr>
          <w:rFonts w:eastAsia="Times New Roman"/>
          <w:bCs/>
          <w:sz w:val="24"/>
          <w:szCs w:val="24"/>
          <w:u w:val="single"/>
          <w:lang w:eastAsia="ru-RU"/>
        </w:rPr>
      </w:r>
      <w:r>
        <w:rPr>
          <w:rFonts w:eastAsia="Times New Roman"/>
          <w:bCs/>
          <w:sz w:val="24"/>
          <w:szCs w:val="24"/>
          <w:u w:val="single"/>
          <w:lang w:eastAsia="ru-RU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Департамент земельных отношений администрации города Перми, именуемый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в дальнейшем Продавец, в лице _____________________, действующего на основании ______________________________, с одной стороны, и ___________________, именуемы</w:t>
      </w:r>
      <w:r>
        <w:rPr>
          <w:sz w:val="24"/>
          <w:szCs w:val="24"/>
        </w:rPr>
        <w:t xml:space="preserve">й(</w:t>
      </w:r>
      <w:r>
        <w:rPr>
          <w:sz w:val="24"/>
          <w:szCs w:val="24"/>
        </w:rPr>
        <w:t xml:space="preserve">ая</w:t>
      </w:r>
      <w:r>
        <w:rPr>
          <w:sz w:val="24"/>
          <w:szCs w:val="24"/>
        </w:rPr>
        <w:t xml:space="preserve">) в дальнейшем Покупатель, в лице ________________, действующего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на основании __________________, протокола ___________________ от _________ по лоту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№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 (далее - протокол), с другой стороны, совместно именуемые </w:t>
      </w:r>
      <w:r>
        <w:rPr>
          <w:sz w:val="24"/>
          <w:szCs w:val="24"/>
        </w:rPr>
        <w:t xml:space="preserve">«</w:t>
      </w:r>
      <w:r>
        <w:rPr>
          <w:sz w:val="24"/>
          <w:szCs w:val="24"/>
        </w:rPr>
        <w:t xml:space="preserve">Стороны</w:t>
      </w:r>
      <w:r>
        <w:rPr>
          <w:sz w:val="24"/>
          <w:szCs w:val="24"/>
        </w:rPr>
        <w:t xml:space="preserve">»</w:t>
      </w:r>
      <w:r>
        <w:rPr>
          <w:sz w:val="24"/>
          <w:szCs w:val="24"/>
        </w:rPr>
        <w:t xml:space="preserve">, заключили настоящий договор о следующем.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I</w:t>
      </w:r>
      <w:r>
        <w:rPr>
          <w:b/>
          <w:sz w:val="24"/>
          <w:szCs w:val="24"/>
        </w:rPr>
        <w:t xml:space="preserve">. Предмет договора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1.1. Во исполнение протокола Продавец обязуется передать в собственность Покупателю </w:t>
      </w:r>
      <w:r>
        <w:rPr>
          <w:b/>
          <w:sz w:val="24"/>
          <w:szCs w:val="24"/>
        </w:rPr>
        <w:t xml:space="preserve">земельный участок площадью </w:t>
      </w:r>
      <w:r>
        <w:rPr>
          <w:b/>
          <w:sz w:val="24"/>
          <w:szCs w:val="24"/>
        </w:rPr>
        <w:t xml:space="preserve">1101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кв</w:t>
      </w:r>
      <w:r>
        <w:rPr>
          <w:b/>
          <w:sz w:val="24"/>
          <w:szCs w:val="24"/>
        </w:rPr>
        <w:t xml:space="preserve">.м</w:t>
      </w:r>
      <w:r>
        <w:rPr>
          <w:sz w:val="24"/>
          <w:szCs w:val="24"/>
        </w:rPr>
        <w:t xml:space="preserve"> с кадастровым номером </w:t>
      </w:r>
      <w:r>
        <w:rPr>
          <w:b/>
          <w:sz w:val="24"/>
          <w:szCs w:val="24"/>
        </w:rPr>
        <w:t xml:space="preserve">59:01:4211111:125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за счет земель населенных пунктов, расположенный по адресу: </w:t>
      </w:r>
      <w:r>
        <w:rPr>
          <w:b/>
          <w:sz w:val="24"/>
          <w:szCs w:val="24"/>
        </w:rPr>
        <w:t xml:space="preserve">Российская Федерация, Пермский край, городской округ Пермский, город Пермь, улица </w:t>
      </w:r>
      <w:r>
        <w:rPr>
          <w:b/>
          <w:sz w:val="24"/>
          <w:szCs w:val="24"/>
        </w:rPr>
        <w:t xml:space="preserve">Обросова</w:t>
      </w:r>
      <w:r>
        <w:rPr>
          <w:b/>
          <w:sz w:val="24"/>
          <w:szCs w:val="24"/>
        </w:rPr>
        <w:t xml:space="preserve">, з/у 67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(далее - земельный участок),</w:t>
      </w:r>
      <w:r>
        <w:rPr>
          <w:sz w:val="24"/>
          <w:szCs w:val="24"/>
        </w:rPr>
        <w:t xml:space="preserve"> предназначенный </w:t>
      </w:r>
      <w:r>
        <w:rPr>
          <w:b/>
          <w:sz w:val="24"/>
          <w:szCs w:val="24"/>
        </w:rPr>
        <w:t xml:space="preserve">для индивидуального жилищного строительства</w:t>
      </w:r>
      <w:r>
        <w:rPr>
          <w:sz w:val="24"/>
          <w:szCs w:val="24"/>
        </w:rPr>
        <w:t xml:space="preserve">, а Покупатель обязуется принять и оплатить указанное имущество.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Земельный участок</w:t>
      </w:r>
      <w:r>
        <w:rPr>
          <w:sz w:val="24"/>
          <w:szCs w:val="24"/>
        </w:rPr>
        <w:t xml:space="preserve"> частично</w:t>
      </w:r>
      <w:r>
        <w:rPr>
          <w:sz w:val="24"/>
          <w:szCs w:val="24"/>
        </w:rPr>
        <w:t xml:space="preserve"> входит в зон</w:t>
      </w:r>
      <w:r>
        <w:rPr>
          <w:sz w:val="24"/>
          <w:szCs w:val="24"/>
        </w:rPr>
        <w:t xml:space="preserve">ы</w:t>
      </w:r>
      <w:r>
        <w:rPr>
          <w:sz w:val="24"/>
          <w:szCs w:val="24"/>
        </w:rPr>
        <w:t xml:space="preserve"> с особыми ус</w:t>
      </w:r>
      <w:r>
        <w:rPr>
          <w:sz w:val="24"/>
          <w:szCs w:val="24"/>
        </w:rPr>
        <w:t xml:space="preserve">ловиями использования территорий: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–</w:t>
      </w:r>
      <w:r>
        <w:rPr>
          <w:sz w:val="24"/>
          <w:szCs w:val="24"/>
        </w:rPr>
        <w:t xml:space="preserve"> частично о</w:t>
      </w:r>
      <w:r>
        <w:rPr>
          <w:sz w:val="24"/>
          <w:szCs w:val="24"/>
        </w:rPr>
        <w:t xml:space="preserve">хранная зона объекта: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электросетевой комплекс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Подстанция 35/6кВ «Грачева» с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линиями электропередачи и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трансформаторными подстанциями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–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</w:t>
      </w:r>
      <w:r>
        <w:rPr>
          <w:sz w:val="24"/>
          <w:szCs w:val="24"/>
        </w:rPr>
        <w:t xml:space="preserve">риаэродромная территория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аэродрома аэропорта Большое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Савино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–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частично</w:t>
      </w:r>
      <w:r>
        <w:rPr>
          <w:sz w:val="24"/>
          <w:szCs w:val="24"/>
        </w:rPr>
        <w:t xml:space="preserve"> в</w:t>
      </w:r>
      <w:r>
        <w:rPr>
          <w:sz w:val="24"/>
          <w:szCs w:val="24"/>
        </w:rPr>
        <w:t xml:space="preserve">одоохранная зона</w:t>
      </w:r>
      <w:r>
        <w:rPr>
          <w:sz w:val="24"/>
          <w:szCs w:val="24"/>
        </w:rPr>
        <w:t xml:space="preserve"> б</w:t>
      </w:r>
      <w:r>
        <w:rPr>
          <w:sz w:val="24"/>
          <w:szCs w:val="24"/>
        </w:rPr>
        <w:t xml:space="preserve">ассейн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 р. Ива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–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частично</w:t>
      </w:r>
      <w:r>
        <w:rPr>
          <w:sz w:val="24"/>
          <w:szCs w:val="24"/>
        </w:rPr>
        <w:t xml:space="preserve"> п</w:t>
      </w:r>
      <w:r>
        <w:rPr>
          <w:sz w:val="24"/>
          <w:szCs w:val="24"/>
        </w:rPr>
        <w:t xml:space="preserve">рибрежная защитная полоса </w:t>
      </w:r>
      <w:r>
        <w:rPr>
          <w:sz w:val="24"/>
          <w:szCs w:val="24"/>
        </w:rPr>
        <w:t xml:space="preserve">б</w:t>
      </w:r>
      <w:r>
        <w:rPr>
          <w:sz w:val="24"/>
          <w:szCs w:val="24"/>
        </w:rPr>
        <w:t xml:space="preserve">ассейн</w:t>
      </w:r>
      <w:r>
        <w:rPr>
          <w:sz w:val="24"/>
          <w:szCs w:val="24"/>
        </w:rPr>
        <w:t xml:space="preserve">а</w:t>
      </w:r>
      <w:r>
        <w:rPr>
          <w:sz w:val="24"/>
          <w:szCs w:val="24"/>
        </w:rPr>
        <w:t xml:space="preserve"> р. Ива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contextualSpacing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1.2. Р</w:t>
      </w:r>
      <w:r>
        <w:rPr>
          <w:sz w:val="24"/>
          <w:szCs w:val="24"/>
        </w:rPr>
        <w:t xml:space="preserve">азрешенно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 использовани</w:t>
      </w:r>
      <w:r>
        <w:rPr>
          <w:sz w:val="24"/>
          <w:szCs w:val="24"/>
        </w:rPr>
        <w:t xml:space="preserve">е - </w:t>
      </w:r>
      <w:r>
        <w:rPr>
          <w:rFonts w:eastAsia="Times New Roman"/>
          <w:b/>
          <w:sz w:val="24"/>
          <w:szCs w:val="24"/>
          <w:lang w:eastAsia="ru-RU"/>
        </w:rPr>
        <w:t xml:space="preserve">для индивидуального жилищного</w:t>
      </w:r>
      <w:r>
        <w:rPr>
          <w:rFonts w:eastAsia="Times New Roman"/>
          <w:b/>
          <w:sz w:val="24"/>
          <w:szCs w:val="24"/>
          <w:lang w:eastAsia="ru-RU"/>
        </w:rPr>
        <w:t xml:space="preserve"> </w:t>
      </w:r>
      <w:r>
        <w:rPr>
          <w:rFonts w:eastAsia="Times New Roman"/>
          <w:b/>
          <w:sz w:val="24"/>
          <w:szCs w:val="24"/>
          <w:lang w:eastAsia="ru-RU"/>
        </w:rPr>
        <w:t xml:space="preserve">с</w:t>
      </w:r>
      <w:r>
        <w:rPr>
          <w:rFonts w:eastAsia="Times New Roman"/>
          <w:b/>
          <w:sz w:val="24"/>
          <w:szCs w:val="24"/>
          <w:lang w:eastAsia="ru-RU"/>
        </w:rPr>
        <w:t xml:space="preserve">троительства</w:t>
      </w:r>
      <w:r>
        <w:rPr>
          <w:b/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II</w:t>
      </w:r>
      <w:r>
        <w:rPr>
          <w:b/>
          <w:sz w:val="24"/>
          <w:szCs w:val="24"/>
        </w:rPr>
        <w:t xml:space="preserve">. Стоимость сделки и порядок оп</w:t>
      </w:r>
      <w:r>
        <w:rPr>
          <w:b/>
          <w:sz w:val="24"/>
          <w:szCs w:val="24"/>
        </w:rPr>
        <w:t xml:space="preserve">латы</w:t>
      </w:r>
      <w:bookmarkStart w:id="3" w:name="Par635"/>
      <w:r/>
      <w:bookmarkEnd w:id="3"/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2.1. Цена земельного участка составляет </w:t>
      </w:r>
      <w:bookmarkStart w:id="4" w:name="Par637"/>
      <w:r/>
      <w:bookmarkEnd w:id="4"/>
      <w:r>
        <w:rPr>
          <w:b/>
          <w:sz w:val="24"/>
          <w:szCs w:val="24"/>
        </w:rPr>
        <w:t xml:space="preserve">___________________</w:t>
      </w:r>
      <w:r>
        <w:rPr>
          <w:b/>
          <w:sz w:val="24"/>
          <w:szCs w:val="24"/>
        </w:rPr>
        <w:t xml:space="preserve">  рублей </w:t>
      </w:r>
      <w:r>
        <w:rPr>
          <w:b/>
          <w:sz w:val="24"/>
          <w:szCs w:val="24"/>
        </w:rPr>
        <w:t xml:space="preserve">(</w:t>
      </w:r>
      <w:r>
        <w:rPr>
          <w:b/>
          <w:sz w:val="24"/>
          <w:szCs w:val="24"/>
        </w:rPr>
        <w:t xml:space="preserve">________________________________________________________________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рублей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___</w:t>
      </w:r>
      <w:r>
        <w:rPr>
          <w:b/>
          <w:sz w:val="24"/>
          <w:szCs w:val="24"/>
        </w:rPr>
        <w:t xml:space="preserve"> копеек).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2.2. Покупатель перечисляет денежные средства, определенные в пункте 2.1 настоящего договора, в порядке, установленном разделом </w:t>
      </w:r>
      <w:r>
        <w:rPr>
          <w:sz w:val="24"/>
          <w:szCs w:val="24"/>
        </w:rPr>
        <w:t xml:space="preserve">4</w:t>
      </w:r>
      <w:r>
        <w:rPr>
          <w:sz w:val="24"/>
          <w:szCs w:val="24"/>
        </w:rPr>
        <w:t xml:space="preserve"> настоящего договора.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2.3. Сумма задатка, внесенная Покупателем для участия в аукционе, засчитывается </w:t>
      </w:r>
      <w:r>
        <w:rPr>
          <w:sz w:val="24"/>
          <w:szCs w:val="24"/>
        </w:rPr>
        <w:br/>
        <w:t xml:space="preserve">в оплату приобретаемого земельного участка.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III</w:t>
      </w:r>
      <w:r>
        <w:rPr>
          <w:b/>
          <w:sz w:val="24"/>
          <w:szCs w:val="24"/>
        </w:rPr>
        <w:t xml:space="preserve">. Обязанности сторон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3.1. Продавец обязуется передать земельный участок свободным от любых прав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и претензий третьих лиц, о которых в момент заключения договора Продавец знал или должен был знать, по акту приема-передачи земельного участка.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3.2. Покупатель обязуется: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3.2.1. </w:t>
      </w:r>
      <w:r>
        <w:rPr>
          <w:sz w:val="24"/>
          <w:szCs w:val="24"/>
        </w:rPr>
        <w:t xml:space="preserve">оплатить стоимость земельного</w:t>
      </w:r>
      <w:r>
        <w:rPr>
          <w:sz w:val="24"/>
          <w:szCs w:val="24"/>
        </w:rPr>
        <w:t xml:space="preserve"> участка в соответствии с требованиями, содержащимися в разделе </w:t>
      </w:r>
      <w:r>
        <w:rPr>
          <w:sz w:val="24"/>
          <w:szCs w:val="24"/>
        </w:rPr>
        <w:t xml:space="preserve">2</w:t>
      </w:r>
      <w:r>
        <w:rPr>
          <w:sz w:val="24"/>
          <w:szCs w:val="24"/>
        </w:rPr>
        <w:t xml:space="preserve"> настоящего договора;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3.2.2. принять земельный участок в собственность по акту приема-передачи;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3.2.3. производить мероприятия в целях охраны земельного участка, в том числе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по сохранению почв и их плодородия, по защите земель от негативных (вредных) </w:t>
      </w:r>
      <w:r>
        <w:rPr>
          <w:sz w:val="24"/>
          <w:szCs w:val="24"/>
        </w:rPr>
        <w:t xml:space="preserve">воздействий, результате которых происходит загрязнение, истощение, деградация, порча, уничтожение земельного участка и почв, по ликвидации загрязнения земельного участка;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3.2.4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соблюдать требования, предусмотренные Земельным кодексом Российской Федерации, федеральными законами.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IV</w:t>
      </w:r>
      <w:r>
        <w:rPr>
          <w:b/>
          <w:sz w:val="24"/>
          <w:szCs w:val="24"/>
        </w:rPr>
        <w:t xml:space="preserve">. П</w:t>
      </w:r>
      <w:r>
        <w:rPr>
          <w:b/>
          <w:sz w:val="24"/>
          <w:szCs w:val="24"/>
        </w:rPr>
        <w:t xml:space="preserve">орядок заключения договора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4.1. Покупатель в течение 15 дней со дня размещения протокола перечисляет денежные средства, определенные в пункте 2.1 настоя</w:t>
      </w:r>
      <w:r>
        <w:rPr>
          <w:sz w:val="24"/>
          <w:szCs w:val="24"/>
        </w:rPr>
        <w:t xml:space="preserve">щего договора, на счет Продавца.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Реквизиты платежа: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Получатель: УФК по Пермскому краю (Департамент земельных отношений администрации г. Перми),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ИНН 5902293379 КПП 590201001 БИК 015773997 ОКТМО: 57701000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УФК по Пермскому краю (Департамент земельных отношений администрации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г. Перми) ОТДЕЛЕНИЕ ПЕРМЬ БАНКА РОССИИ//УФК по Пермскому краю г. Пермь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Номер корреспондентского счета: 40102810145370000048 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Номер счета УФК по Пермскому краю: 03100643000000015600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КБК 99211406012040000430 Доходы от продажи земельных участков, государственная собственность на которые не разграничена и которые расположены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в границах городских округов.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4.2. Продавец в течение 5 дней со дня истечения 10-дневного срока со дня размещения протокола направляет Покупателю подписанный проект договора.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4.3. После подписания Покупателем проекта договора Продавец в течение 5 дней направляет Покупателю подписанный акт приема-передачи земельного участка.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4.4. В случае отсутствия оплаты в размере, предусмотренном пунктом 2.1 настоящего договора, акт приема-передачи земельного участка не направляется Покупателю для подписания, договор считается незаключенным.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В случае нарушения срока, установленного в пункте 4.1 настоящего договора, Покупатель уплачивает Продавцу неустойку в размере 0,03 % от суммы, указанной в пункте 2.1 настоящего договора, за каждый день просрочки.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4.5. Продавец в течение 5 рабочих дней с момента подписания акта приема-передачи земельного участка направляет договор в установленном законом порядке для осуществления государственной регистрации права.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 xml:space="preserve">V</w:t>
      </w:r>
      <w:r>
        <w:rPr>
          <w:b/>
          <w:sz w:val="24"/>
          <w:szCs w:val="24"/>
        </w:rPr>
        <w:t xml:space="preserve">. Срок действия договора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Настоящий договор считается заключенным с момента подписания Сторонами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и действует до полного выполнения Сторонами своих обязательств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b/>
          <w:sz w:val="24"/>
          <w:szCs w:val="24"/>
        </w:rPr>
      </w:pPr>
      <w:r/>
      <w:bookmarkStart w:id="5" w:name="Par683"/>
      <w:r/>
      <w:bookmarkEnd w:id="5"/>
      <w:r>
        <w:rPr>
          <w:b/>
          <w:sz w:val="24"/>
          <w:szCs w:val="24"/>
          <w:lang w:val="en-US"/>
        </w:rPr>
        <w:t xml:space="preserve">VI</w:t>
      </w:r>
      <w:r>
        <w:rPr>
          <w:b/>
          <w:sz w:val="24"/>
          <w:szCs w:val="24"/>
        </w:rPr>
        <w:t xml:space="preserve">. Ответственность сторон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Стороны несут ответственность за ненадлежащее выполнение условий договора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в соответствии с действующим законодательством.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b/>
          <w:sz w:val="24"/>
          <w:szCs w:val="24"/>
        </w:rPr>
      </w:pPr>
      <w:r/>
      <w:bookmarkStart w:id="6" w:name="Par694"/>
      <w:r/>
      <w:bookmarkStart w:id="7" w:name="Par699"/>
      <w:r/>
      <w:bookmarkEnd w:id="6"/>
      <w:r/>
      <w:bookmarkEnd w:id="7"/>
      <w:r>
        <w:rPr>
          <w:b/>
          <w:sz w:val="24"/>
          <w:szCs w:val="24"/>
          <w:lang w:val="en-US"/>
        </w:rPr>
        <w:t xml:space="preserve">VII</w:t>
      </w:r>
      <w:r>
        <w:rPr>
          <w:b/>
          <w:sz w:val="24"/>
          <w:szCs w:val="24"/>
        </w:rPr>
        <w:t xml:space="preserve">. Заключ</w:t>
      </w:r>
      <w:r>
        <w:rPr>
          <w:b/>
          <w:sz w:val="24"/>
          <w:szCs w:val="24"/>
        </w:rPr>
        <w:t xml:space="preserve">ительные положения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7.1. Спор, возникающий из настоящего договора или в связи с ним, подлежит рассмотрению в Арбитражном суде Пермского края или в суде общей юрисдикции, расположенном на территории города Перми.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Стороны извещаются о рассмотрении дела любым способом, в том числе посредством отправки электронных сообщений, смс-сообщений, по реквизитам сторон, указанным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в настоящем договоре.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7.2. Споры по настоящему договору могут быть переданы на разрешение суда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по истечении 15 календарных дней со дня направления претензии (требования).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7.3. Все уведомления и сообщения направляются сторонами в письменной форме,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а также в электронной форме по телекоммуникационным каналам связи.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7.4. Во всем остальном, что не предусмотрено настоящим договором, стороны руководствуются действующим законодательством.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7.5. Настоящий договор заключается в электронной форме и подписывается усиленной квалифицированной электронной подписью каждой из Сторон.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Стороны признают настоящий договор, подписанный с использованием усиленной квалифицированной электронной подписи, электронным документом, равнозначным документу на бумажном носителе, подписанным собственноручной подписью Сторон 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по договору.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Неотъемлемой частью настоящего договора являются: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акт приема-передачи земельного участка.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Оплата за земельный участок в сумме, указанной в </w:t>
      </w:r>
      <w:r>
        <w:rPr>
          <w:sz w:val="24"/>
          <w:szCs w:val="24"/>
        </w:rPr>
        <w:t xml:space="preserve">пункте 2.1 настоящего договора,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произведена полностью. Реквизиты документ</w:t>
      </w:r>
      <w:r>
        <w:rPr>
          <w:sz w:val="24"/>
          <w:szCs w:val="24"/>
        </w:rPr>
        <w:t xml:space="preserve">а(</w:t>
      </w:r>
      <w:r>
        <w:rPr>
          <w:sz w:val="24"/>
          <w:szCs w:val="24"/>
        </w:rPr>
        <w:t xml:space="preserve">ов</w:t>
      </w:r>
      <w:r>
        <w:rPr>
          <w:sz w:val="24"/>
          <w:szCs w:val="24"/>
        </w:rPr>
        <w:t xml:space="preserve">), подтверждающего(их)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перечисление денежных сре</w:t>
      </w:r>
      <w:r>
        <w:rPr>
          <w:sz w:val="24"/>
          <w:szCs w:val="24"/>
        </w:rPr>
        <w:t xml:space="preserve">дств </w:t>
      </w:r>
      <w:r>
        <w:rPr>
          <w:sz w:val="24"/>
          <w:szCs w:val="24"/>
        </w:rPr>
        <w:t xml:space="preserve">п</w:t>
      </w:r>
      <w:r>
        <w:rPr>
          <w:sz w:val="24"/>
          <w:szCs w:val="24"/>
        </w:rPr>
        <w:t xml:space="preserve">р</w:t>
      </w:r>
      <w:r>
        <w:rPr>
          <w:sz w:val="24"/>
          <w:szCs w:val="24"/>
        </w:rPr>
        <w:t xml:space="preserve">одавцу___________</w:t>
      </w:r>
      <w:r>
        <w:rPr>
          <w:sz w:val="24"/>
          <w:szCs w:val="24"/>
        </w:rPr>
        <w:t xml:space="preserve">_________________</w:t>
      </w:r>
      <w:r>
        <w:rPr>
          <w:sz w:val="24"/>
          <w:szCs w:val="24"/>
        </w:rPr>
        <w:t xml:space="preserve">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</w:t>
      </w:r>
      <w:r>
        <w:rPr>
          <w:sz w:val="24"/>
          <w:szCs w:val="24"/>
        </w:rPr>
        <w:t xml:space="preserve">______________________________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(наименование, дата, номер)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center"/>
        <w:spacing w:line="264" w:lineRule="auto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  <w:t xml:space="preserve">VIII. Адреса, реквизиты и подписи сторон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tbl>
      <w:tblPr>
        <w:tblpPr w:horzAnchor="page" w:tblpX="1116" w:vertAnchor="page" w:tblpY="4839" w:leftFromText="180" w:topFromText="0" w:rightFromText="180" w:bottomFromText="0"/>
        <w:tblW w:w="20062" w:type="dxa"/>
        <w:tblLayout w:type="fixed"/>
        <w:tblLook w:val="00A0" w:firstRow="1" w:lastRow="0" w:firstColumn="1" w:lastColumn="0" w:noHBand="0" w:noVBand="0"/>
      </w:tblPr>
      <w:tblGrid>
        <w:gridCol w:w="4643"/>
        <w:gridCol w:w="5246"/>
        <w:gridCol w:w="4626"/>
        <w:gridCol w:w="585"/>
        <w:gridCol w:w="4962"/>
      </w:tblGrid>
      <w:tr>
        <w:tblPrEx/>
        <w:trPr>
          <w:trHeight w:val="1701"/>
        </w:trPr>
        <w:tc>
          <w:tcPr>
            <w:tcW w:w="4643" w:type="dxa"/>
            <w:vMerge w:val="restart"/>
            <w:textDirection w:val="lrTb"/>
            <w:noWrap w:val="false"/>
          </w:tcPr>
          <w:p>
            <w:pPr>
              <w:pStyle w:val="1847"/>
              <w:spacing w:line="240" w:lineRule="auto"/>
              <w:rPr>
                <w:b/>
              </w:rPr>
            </w:pPr>
            <w:r>
              <w:rPr>
                <w:b/>
              </w:rPr>
              <w:t xml:space="preserve">Продавец: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Style w:val="1847"/>
              <w:spacing w:line="240" w:lineRule="auto"/>
            </w:pPr>
            <w:r>
              <w:t xml:space="preserve">Департамент земельных отношений администрации города Перми</w:t>
            </w:r>
            <w:r/>
          </w:p>
          <w:p>
            <w:pPr>
              <w:pStyle w:val="1847"/>
              <w:jc w:val="both"/>
              <w:spacing w:line="240" w:lineRule="auto"/>
            </w:pPr>
            <w:r>
              <w:t xml:space="preserve">614000, г. Пермь,</w:t>
            </w:r>
            <w:r/>
          </w:p>
          <w:p>
            <w:pPr>
              <w:pStyle w:val="1847"/>
              <w:jc w:val="both"/>
              <w:spacing w:line="240" w:lineRule="auto"/>
            </w:pPr>
            <w:r>
              <w:t xml:space="preserve">ул. Сибирская, д.15,</w:t>
            </w:r>
            <w:r/>
          </w:p>
          <w:p>
            <w:pPr>
              <w:pStyle w:val="1847"/>
              <w:jc w:val="both"/>
              <w:spacing w:line="240" w:lineRule="auto"/>
            </w:pPr>
            <w:r>
              <w:t xml:space="preserve">тел. 212-90-54, 212-61-90</w:t>
            </w:r>
            <w:r/>
          </w:p>
          <w:p>
            <w:pPr>
              <w:pStyle w:val="1847"/>
              <w:jc w:val="both"/>
              <w:spacing w:line="240" w:lineRule="auto"/>
            </w:pPr>
            <w:r/>
            <w:r/>
          </w:p>
          <w:p>
            <w:pPr>
              <w:pStyle w:val="1847"/>
              <w:jc w:val="both"/>
              <w:spacing w:line="240" w:lineRule="auto"/>
            </w:pPr>
            <w:r/>
            <w:r/>
          </w:p>
          <w:p>
            <w:pPr>
              <w:pStyle w:val="1847"/>
              <w:jc w:val="both"/>
              <w:spacing w:line="240" w:lineRule="auto"/>
            </w:pPr>
            <w:r/>
            <w:r/>
          </w:p>
          <w:p>
            <w:pPr>
              <w:pStyle w:val="1847"/>
              <w:jc w:val="both"/>
              <w:spacing w:line="240" w:lineRule="auto"/>
            </w:pPr>
            <w:r/>
            <w:r/>
          </w:p>
          <w:p>
            <w:pPr>
              <w:pStyle w:val="1847"/>
              <w:jc w:val="both"/>
              <w:spacing w:line="240" w:lineRule="auto"/>
            </w:pPr>
            <w:r/>
            <w:r/>
          </w:p>
          <w:p>
            <w:pPr>
              <w:pStyle w:val="1847"/>
              <w:jc w:val="both"/>
              <w:spacing w:line="240" w:lineRule="auto"/>
            </w:pPr>
            <w:r/>
            <w:r/>
          </w:p>
          <w:p>
            <w:pPr>
              <w:ind w:firstLine="0"/>
              <w:spacing w:line="240" w:lineRule="auto"/>
              <w:rPr>
                <w:b/>
                <w:sz w:val="24"/>
                <w:szCs w:val="24"/>
                <w:lang w:eastAsia="ru-RU"/>
              </w:rPr>
            </w:pPr>
            <w:r>
              <w:rPr>
                <w:bCs/>
                <w:sz w:val="24"/>
                <w:szCs w:val="24"/>
              </w:rPr>
            </w:r>
            <w:r>
              <w:rPr>
                <w:b/>
                <w:sz w:val="24"/>
                <w:szCs w:val="24"/>
                <w:lang w:eastAsia="ru-RU"/>
              </w:rPr>
            </w:r>
            <w:r>
              <w:rPr>
                <w:b/>
                <w:sz w:val="24"/>
                <w:szCs w:val="24"/>
                <w:lang w:eastAsia="ru-RU"/>
              </w:rPr>
            </w:r>
          </w:p>
        </w:tc>
        <w:tc>
          <w:tcPr>
            <w:tcW w:w="5246" w:type="dxa"/>
            <w:vMerge w:val="restart"/>
            <w:textDirection w:val="lrTb"/>
            <w:noWrap w:val="false"/>
          </w:tcPr>
          <w:p>
            <w:pPr>
              <w:pStyle w:val="1847"/>
              <w:spacing w:line="240" w:lineRule="auto"/>
              <w:rPr>
                <w:b/>
                <w:bCs/>
                <w:highlight w:val="none"/>
              </w:rPr>
            </w:pPr>
            <w:r>
              <w:rPr>
                <w:b/>
              </w:rPr>
              <w:t xml:space="preserve">Покупатель: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  <w:p>
            <w:pPr>
              <w:pStyle w:val="1847"/>
              <w:spacing w:line="240" w:lineRule="auto"/>
              <w:rPr>
                <w:b/>
                <w:bCs/>
              </w:rPr>
            </w:pPr>
            <w:r>
              <w:rPr>
                <w:b/>
                <w:highlight w:val="none"/>
              </w:rPr>
              <w:t xml:space="preserve">____________________________________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ind w:left="0" w:right="0" w:firstLine="0"/>
              <w:jc w:val="left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Адрес регистрации: _________________</w:t>
              <w:br/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jc w:val="left"/>
              <w:spacing w:before="0" w:after="0"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адрес фактического проживания: ___________________________________</w:t>
            </w:r>
            <w:r/>
          </w:p>
          <w:p>
            <w:pPr>
              <w:ind w:left="0" w:right="0" w:firstLine="0"/>
              <w:jc w:val="left"/>
              <w:spacing w:before="0" w:after="0"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паспорт гражданина РФ: _____________</w:t>
            </w:r>
            <w:r/>
          </w:p>
          <w:p>
            <w:pPr>
              <w:ind w:left="0" w:right="0" w:firstLine="0"/>
              <w:jc w:val="left"/>
              <w:spacing w:before="0" w:after="0"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выдан: ____________________________</w:t>
            </w:r>
            <w:r/>
          </w:p>
          <w:p>
            <w:pPr>
              <w:ind w:left="0" w:right="0" w:firstLine="0"/>
              <w:jc w:val="left"/>
              <w:spacing w:before="0" w:after="0"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дата выдачи: _______________________</w:t>
            </w:r>
            <w:r/>
          </w:p>
          <w:p>
            <w:pPr>
              <w:ind w:left="0" w:right="0" w:firstLine="0"/>
              <w:jc w:val="left"/>
              <w:spacing w:before="0" w:after="0"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электронная почта: __________________</w:t>
            </w:r>
            <w:r/>
          </w:p>
          <w:p>
            <w:pPr>
              <w:ind w:left="0" w:right="0" w:firstLine="0"/>
              <w:jc w:val="left"/>
              <w:spacing w:before="0" w:after="0"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тел. _______________________________</w:t>
            </w:r>
            <w:r/>
          </w:p>
          <w:p>
            <w:pPr>
              <w:ind w:left="0" w:right="0" w:firstLine="0"/>
              <w:jc w:val="left"/>
              <w:spacing w:before="0" w:after="0"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ИНН ______________________________</w:t>
            </w:r>
            <w:r/>
          </w:p>
          <w:p>
            <w:pPr>
              <w:pStyle w:val="1847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СНИЛС ____________________________</w:t>
            </w:r>
            <w:r/>
          </w:p>
        </w:tc>
        <w:tc>
          <w:tcPr>
            <w:tcW w:w="4626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585" w:type="dxa"/>
            <w:textDirection w:val="lrTb"/>
            <w:noWrap w:val="false"/>
          </w:tcPr>
          <w:p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962" w:type="dxa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blPrEx/>
        <w:trPr>
          <w:trHeight w:val="269"/>
        </w:trPr>
        <w:tc>
          <w:tcPr>
            <w:tcW w:w="464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524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4626" w:type="dxa"/>
            <w:textDirection w:val="lrTb"/>
            <w:noWrap w:val="false"/>
          </w:tcPr>
          <w:p>
            <w:pPr>
              <w:ind w:firstLine="0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W w:w="585" w:type="dxa"/>
            <w:textDirection w:val="lrTb"/>
            <w:noWrap w:val="false"/>
          </w:tcPr>
          <w:p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W w:w="4962" w:type="dxa"/>
            <w:textDirection w:val="lrTb"/>
            <w:noWrap w:val="false"/>
          </w:tcPr>
          <w:p>
            <w:pPr>
              <w:ind w:firstLine="0"/>
              <w:jc w:val="left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________________ ______________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spacing w:line="264" w:lineRule="auto"/>
        <w:rPr>
          <w:sz w:val="20"/>
          <w:szCs w:val="20"/>
        </w:rPr>
      </w:pPr>
      <w:r>
        <w:rPr>
          <w:sz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Style w:val="1839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5242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37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Продавец: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__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____________________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r>
          </w:p>
          <w:p>
            <w:pPr>
              <w:ind w:left="0" w:right="0" w:firstLine="0"/>
              <w:jc w:val="left"/>
              <w:spacing w:before="0" w:after="0"/>
              <w:rPr>
                <w:sz w:val="28"/>
                <w:szCs w:val="28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М.П.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2" w:type="dxa"/>
            <w:vAlign w:val="top"/>
            <w:textDirection w:val="lrTb"/>
            <w:noWrap w:val="false"/>
          </w:tcPr>
          <w:p>
            <w:pPr>
              <w:ind w:left="0" w:right="0" w:firstLine="0"/>
              <w:spacing w:before="0" w:after="0" w:line="288" w:lineRule="atLeast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Покупатель: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ind w:left="0" w:right="0" w:firstLine="0"/>
              <w:spacing w:before="0" w:after="0" w:line="288" w:lineRule="atLeast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_____________________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spacing w:line="264" w:lineRule="auto"/>
        <w:rPr>
          <w:sz w:val="20"/>
          <w:szCs w:val="20"/>
          <w:highlight w:val="none"/>
        </w:rPr>
      </w:pPr>
      <w:r>
        <w:rPr>
          <w:sz w:val="20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426" w:right="1134" w:bottom="567" w:left="1134" w:header="709" w:footer="28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</w:endnote>
  <w:endnote w:type="continuationSeparator" w:id="0">
    <w:p>
      <w:r>
        <w:continuationSeparator/>
      </w:r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</w:footnote>
  <w:footnote w:type="continuationSeparator" w:id="0">
    <w:p>
      <w:r>
        <w:continuationSeparator/>
      </w:r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895230433"/>
      <w:docPartObj>
        <w:docPartGallery w:val="Page Numbers (Top of Page)"/>
        <w:docPartUnique w:val="true"/>
      </w:docPartObj>
      <w:rPr/>
    </w:sdtPr>
    <w:sdtContent>
      <w:p>
        <w:pPr>
          <w:pStyle w:val="182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3</w:t>
        </w:r>
        <w:r>
          <w:fldChar w:fldCharType="end"/>
        </w:r>
        <w:r/>
      </w:p>
    </w:sdtContent>
  </w:sdt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829"/>
    </w:pPr>
    <w:r/>
    <w:r/>
  </w:p>
  <w:p>
    <w:r/>
    <w:r/>
  </w:p>
  <w:p>
    <w:r/>
    <w:r/>
  </w:p>
  <w:p>
    <w:r/>
    <w:r/>
  </w:p>
  <w:p>
    <w:r/>
    <w:r/>
  </w:p>
  <w:p>
    <w:r/>
    <w:r/>
  </w:p>
  <w:p>
    <w:r/>
    <w:r/>
  </w:p>
  <w:p>
    <w:r/>
    <w:r/>
  </w:p>
  <w:p>
    <w:r/>
    <w:r/>
  </w:p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654">
    <w:name w:val="Heading 1"/>
    <w:basedOn w:val="1824"/>
    <w:next w:val="1824"/>
    <w:link w:val="1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655">
    <w:name w:val="Heading 1 Char"/>
    <w:basedOn w:val="1826"/>
    <w:link w:val="1654"/>
    <w:uiPriority w:val="9"/>
    <w:rPr>
      <w:rFonts w:ascii="Arial" w:hAnsi="Arial" w:eastAsia="Arial" w:cs="Arial"/>
      <w:sz w:val="40"/>
      <w:szCs w:val="40"/>
    </w:rPr>
  </w:style>
  <w:style w:type="paragraph" w:styleId="1656">
    <w:name w:val="Heading 2"/>
    <w:basedOn w:val="1824"/>
    <w:next w:val="1824"/>
    <w:link w:val="1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57">
    <w:name w:val="Heading 2 Char"/>
    <w:basedOn w:val="1826"/>
    <w:link w:val="1656"/>
    <w:uiPriority w:val="9"/>
    <w:rPr>
      <w:rFonts w:ascii="Arial" w:hAnsi="Arial" w:eastAsia="Arial" w:cs="Arial"/>
      <w:sz w:val="34"/>
    </w:rPr>
  </w:style>
  <w:style w:type="character" w:styleId="1658">
    <w:name w:val="Heading 3 Char"/>
    <w:basedOn w:val="1826"/>
    <w:link w:val="1825"/>
    <w:uiPriority w:val="9"/>
    <w:rPr>
      <w:rFonts w:ascii="Arial" w:hAnsi="Arial" w:eastAsia="Arial" w:cs="Arial"/>
      <w:sz w:val="30"/>
      <w:szCs w:val="30"/>
    </w:rPr>
  </w:style>
  <w:style w:type="paragraph" w:styleId="1659">
    <w:name w:val="Heading 4"/>
    <w:basedOn w:val="1824"/>
    <w:next w:val="1824"/>
    <w:link w:val="166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660">
    <w:name w:val="Heading 4 Char"/>
    <w:basedOn w:val="1826"/>
    <w:link w:val="1659"/>
    <w:uiPriority w:val="9"/>
    <w:rPr>
      <w:rFonts w:ascii="Arial" w:hAnsi="Arial" w:eastAsia="Arial" w:cs="Arial"/>
      <w:b/>
      <w:bCs/>
      <w:sz w:val="26"/>
      <w:szCs w:val="26"/>
    </w:rPr>
  </w:style>
  <w:style w:type="paragraph" w:styleId="1661">
    <w:name w:val="Heading 5"/>
    <w:basedOn w:val="1824"/>
    <w:next w:val="1824"/>
    <w:link w:val="166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1662">
    <w:name w:val="Heading 5 Char"/>
    <w:basedOn w:val="1826"/>
    <w:link w:val="1661"/>
    <w:uiPriority w:val="9"/>
    <w:rPr>
      <w:rFonts w:ascii="Arial" w:hAnsi="Arial" w:eastAsia="Arial" w:cs="Arial"/>
      <w:b/>
      <w:bCs/>
      <w:sz w:val="24"/>
      <w:szCs w:val="24"/>
    </w:rPr>
  </w:style>
  <w:style w:type="paragraph" w:styleId="1663">
    <w:name w:val="Heading 6"/>
    <w:basedOn w:val="1824"/>
    <w:next w:val="1824"/>
    <w:link w:val="166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1664">
    <w:name w:val="Heading 6 Char"/>
    <w:basedOn w:val="1826"/>
    <w:link w:val="1663"/>
    <w:uiPriority w:val="9"/>
    <w:rPr>
      <w:rFonts w:ascii="Arial" w:hAnsi="Arial" w:eastAsia="Arial" w:cs="Arial"/>
      <w:b/>
      <w:bCs/>
      <w:sz w:val="22"/>
      <w:szCs w:val="22"/>
    </w:rPr>
  </w:style>
  <w:style w:type="paragraph" w:styleId="1665">
    <w:name w:val="Heading 7"/>
    <w:basedOn w:val="1824"/>
    <w:next w:val="1824"/>
    <w:link w:val="166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1666">
    <w:name w:val="Heading 7 Char"/>
    <w:basedOn w:val="1826"/>
    <w:link w:val="16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1667">
    <w:name w:val="Heading 8"/>
    <w:basedOn w:val="1824"/>
    <w:next w:val="1824"/>
    <w:link w:val="166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1668">
    <w:name w:val="Heading 8 Char"/>
    <w:basedOn w:val="1826"/>
    <w:link w:val="1667"/>
    <w:uiPriority w:val="9"/>
    <w:rPr>
      <w:rFonts w:ascii="Arial" w:hAnsi="Arial" w:eastAsia="Arial" w:cs="Arial"/>
      <w:i/>
      <w:iCs/>
      <w:sz w:val="22"/>
      <w:szCs w:val="22"/>
    </w:rPr>
  </w:style>
  <w:style w:type="paragraph" w:styleId="1669">
    <w:name w:val="Heading 9"/>
    <w:basedOn w:val="1824"/>
    <w:next w:val="1824"/>
    <w:link w:val="167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1670">
    <w:name w:val="Heading 9 Char"/>
    <w:basedOn w:val="1826"/>
    <w:link w:val="1669"/>
    <w:uiPriority w:val="9"/>
    <w:rPr>
      <w:rFonts w:ascii="Arial" w:hAnsi="Arial" w:eastAsia="Arial" w:cs="Arial"/>
      <w:i/>
      <w:iCs/>
      <w:sz w:val="21"/>
      <w:szCs w:val="21"/>
    </w:rPr>
  </w:style>
  <w:style w:type="paragraph" w:styleId="1671">
    <w:name w:val="No Spacing"/>
    <w:uiPriority w:val="1"/>
    <w:qFormat/>
    <w:pPr>
      <w:spacing w:before="0" w:after="0" w:line="240" w:lineRule="auto"/>
    </w:pPr>
  </w:style>
  <w:style w:type="paragraph" w:styleId="1672">
    <w:name w:val="Title"/>
    <w:basedOn w:val="1824"/>
    <w:next w:val="1824"/>
    <w:link w:val="1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673">
    <w:name w:val="Title Char"/>
    <w:basedOn w:val="1826"/>
    <w:link w:val="1672"/>
    <w:uiPriority w:val="10"/>
    <w:rPr>
      <w:sz w:val="48"/>
      <w:szCs w:val="48"/>
    </w:rPr>
  </w:style>
  <w:style w:type="paragraph" w:styleId="1674">
    <w:name w:val="Subtitle"/>
    <w:basedOn w:val="1824"/>
    <w:next w:val="1824"/>
    <w:link w:val="1675"/>
    <w:uiPriority w:val="11"/>
    <w:qFormat/>
    <w:pPr>
      <w:spacing w:before="200" w:after="200"/>
    </w:pPr>
    <w:rPr>
      <w:sz w:val="24"/>
      <w:szCs w:val="24"/>
    </w:rPr>
  </w:style>
  <w:style w:type="character" w:styleId="1675">
    <w:name w:val="Subtitle Char"/>
    <w:basedOn w:val="1826"/>
    <w:link w:val="1674"/>
    <w:uiPriority w:val="11"/>
    <w:rPr>
      <w:sz w:val="24"/>
      <w:szCs w:val="24"/>
    </w:rPr>
  </w:style>
  <w:style w:type="paragraph" w:styleId="1676">
    <w:name w:val="Quote"/>
    <w:basedOn w:val="1824"/>
    <w:next w:val="1824"/>
    <w:link w:val="1677"/>
    <w:uiPriority w:val="29"/>
    <w:qFormat/>
    <w:pPr>
      <w:ind w:left="720" w:right="720"/>
    </w:pPr>
    <w:rPr>
      <w:i/>
    </w:rPr>
  </w:style>
  <w:style w:type="character" w:styleId="1677">
    <w:name w:val="Quote Char"/>
    <w:link w:val="1676"/>
    <w:uiPriority w:val="29"/>
    <w:rPr>
      <w:i/>
    </w:rPr>
  </w:style>
  <w:style w:type="paragraph" w:styleId="1678">
    <w:name w:val="Intense Quote"/>
    <w:basedOn w:val="1824"/>
    <w:next w:val="1824"/>
    <w:link w:val="1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679">
    <w:name w:val="Intense Quote Char"/>
    <w:link w:val="1678"/>
    <w:uiPriority w:val="30"/>
    <w:rPr>
      <w:i/>
    </w:rPr>
  </w:style>
  <w:style w:type="character" w:styleId="1680">
    <w:name w:val="Header Char"/>
    <w:basedOn w:val="1826"/>
    <w:link w:val="1829"/>
    <w:uiPriority w:val="99"/>
  </w:style>
  <w:style w:type="character" w:styleId="1681">
    <w:name w:val="Footer Char"/>
    <w:basedOn w:val="1826"/>
    <w:link w:val="1831"/>
    <w:uiPriority w:val="99"/>
  </w:style>
  <w:style w:type="character" w:styleId="1682">
    <w:name w:val="Caption Char"/>
    <w:basedOn w:val="1845"/>
    <w:link w:val="1831"/>
    <w:uiPriority w:val="99"/>
  </w:style>
  <w:style w:type="table" w:styleId="1683">
    <w:name w:val="Table Grid Light"/>
    <w:basedOn w:val="182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684">
    <w:name w:val="Plain Table 1"/>
    <w:basedOn w:val="182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685">
    <w:name w:val="Plain Table 2"/>
    <w:basedOn w:val="182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686">
    <w:name w:val="Plain Table 3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687">
    <w:name w:val="Plain Table 4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88">
    <w:name w:val="Plain Table 5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689">
    <w:name w:val="Grid Table 1 Light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90">
    <w:name w:val="Grid Table 1 Light - Accent 1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91">
    <w:name w:val="Grid Table 1 Light - Accent 2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92">
    <w:name w:val="Grid Table 1 Light - Accent 3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93">
    <w:name w:val="Grid Table 1 Light - Accent 4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94">
    <w:name w:val="Grid Table 1 Light - Accent 5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95">
    <w:name w:val="Grid Table 1 Light - Accent 6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696">
    <w:name w:val="Grid Table 2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97">
    <w:name w:val="Grid Table 2 - Accent 1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98">
    <w:name w:val="Grid Table 2 - Accent 2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699">
    <w:name w:val="Grid Table 2 - Accent 3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00">
    <w:name w:val="Grid Table 2 - Accent 4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01">
    <w:name w:val="Grid Table 2 - Accent 5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02">
    <w:name w:val="Grid Table 2 - Accent 6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03">
    <w:name w:val="Grid Table 3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04">
    <w:name w:val="Grid Table 3 - Accent 1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05">
    <w:name w:val="Grid Table 3 - Accent 2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06">
    <w:name w:val="Grid Table 3 - Accent 3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07">
    <w:name w:val="Grid Table 3 - Accent 4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08">
    <w:name w:val="Grid Table 3 - Accent 5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09">
    <w:name w:val="Grid Table 3 - Accent 6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10">
    <w:name w:val="Grid Table 4"/>
    <w:basedOn w:val="18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711">
    <w:name w:val="Grid Table 4 - Accent 1"/>
    <w:basedOn w:val="18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1712">
    <w:name w:val="Grid Table 4 - Accent 2"/>
    <w:basedOn w:val="18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1713">
    <w:name w:val="Grid Table 4 - Accent 3"/>
    <w:basedOn w:val="18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1714">
    <w:name w:val="Grid Table 4 - Accent 4"/>
    <w:basedOn w:val="18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1715">
    <w:name w:val="Grid Table 4 - Accent 5"/>
    <w:basedOn w:val="18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1716">
    <w:name w:val="Grid Table 4 - Accent 6"/>
    <w:basedOn w:val="182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1717">
    <w:name w:val="Grid Table 5 Dark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1718">
    <w:name w:val="Grid Table 5 Dark- Accent 1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1719">
    <w:name w:val="Grid Table 5 Dark - Accent 2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1720">
    <w:name w:val="Grid Table 5 Dark - Accent 3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1721">
    <w:name w:val="Grid Table 5 Dark- Accent 4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1722">
    <w:name w:val="Grid Table 5 Dark - Accent 5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1723">
    <w:name w:val="Grid Table 5 Dark - Accent 6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1724">
    <w:name w:val="Grid Table 6 Colorful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1725">
    <w:name w:val="Grid Table 6 Colorful - Accent 1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1726">
    <w:name w:val="Grid Table 6 Colorful - Accent 2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1727">
    <w:name w:val="Grid Table 6 Colorful - Accent 3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1728">
    <w:name w:val="Grid Table 6 Colorful - Accent 4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1729">
    <w:name w:val="Grid Table 6 Colorful - Accent 5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730">
    <w:name w:val="Grid Table 6 Colorful - Accent 6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1731">
    <w:name w:val="Grid Table 7 Colorful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32">
    <w:name w:val="Grid Table 7 Colorful - Accent 1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33">
    <w:name w:val="Grid Table 7 Colorful - Accent 2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34">
    <w:name w:val="Grid Table 7 Colorful - Accent 3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35">
    <w:name w:val="Grid Table 7 Colorful - Accent 4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36">
    <w:name w:val="Grid Table 7 Colorful - Accent 5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37">
    <w:name w:val="Grid Table 7 Colorful - Accent 6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38">
    <w:name w:val="List Table 1 Light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39">
    <w:name w:val="List Table 1 Light - Accent 1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40">
    <w:name w:val="List Table 1 Light - Accent 2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41">
    <w:name w:val="List Table 1 Light - Accent 3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42">
    <w:name w:val="List Table 1 Light - Accent 4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43">
    <w:name w:val="List Table 1 Light - Accent 5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44">
    <w:name w:val="List Table 1 Light - Accent 6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745">
    <w:name w:val="List Table 2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746">
    <w:name w:val="List Table 2 - Accent 1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747">
    <w:name w:val="List Table 2 - Accent 2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748">
    <w:name w:val="List Table 2 - Accent 3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749">
    <w:name w:val="List Table 2 - Accent 4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750">
    <w:name w:val="List Table 2 - Accent 5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751">
    <w:name w:val="List Table 2 - Accent 6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752">
    <w:name w:val="List Table 3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53">
    <w:name w:val="List Table 3 - Accent 1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54">
    <w:name w:val="List Table 3 - Accent 2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55">
    <w:name w:val="List Table 3 - Accent 3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56">
    <w:name w:val="List Table 3 - Accent 4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57">
    <w:name w:val="List Table 3 - Accent 5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58">
    <w:name w:val="List Table 3 - Accent 6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59">
    <w:name w:val="List Table 4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60">
    <w:name w:val="List Table 4 - Accent 1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61">
    <w:name w:val="List Table 4 - Accent 2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62">
    <w:name w:val="List Table 4 - Accent 3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63">
    <w:name w:val="List Table 4 - Accent 4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64">
    <w:name w:val="List Table 4 - Accent 5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65">
    <w:name w:val="List Table 4 - Accent 6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766">
    <w:name w:val="List Table 5 Dark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767">
    <w:name w:val="List Table 5 Dark - Accent 1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768">
    <w:name w:val="List Table 5 Dark - Accent 2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769">
    <w:name w:val="List Table 5 Dark - Accent 3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770">
    <w:name w:val="List Table 5 Dark - Accent 4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771">
    <w:name w:val="List Table 5 Dark - Accent 5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772">
    <w:name w:val="List Table 5 Dark - Accent 6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773">
    <w:name w:val="List Table 6 Colorful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774">
    <w:name w:val="List Table 6 Colorful - Accent 1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775">
    <w:name w:val="List Table 6 Colorful - Accent 2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776">
    <w:name w:val="List Table 6 Colorful - Accent 3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777">
    <w:name w:val="List Table 6 Colorful - Accent 4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778">
    <w:name w:val="List Table 6 Colorful - Accent 5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779">
    <w:name w:val="List Table 6 Colorful - Accent 6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780">
    <w:name w:val="List Table 7 Colorful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781">
    <w:name w:val="List Table 7 Colorful - Accent 1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782">
    <w:name w:val="List Table 7 Colorful - Accent 2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783">
    <w:name w:val="List Table 7 Colorful - Accent 3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784">
    <w:name w:val="List Table 7 Colorful - Accent 4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785">
    <w:name w:val="List Table 7 Colorful - Accent 5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786">
    <w:name w:val="List Table 7 Colorful - Accent 6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787">
    <w:name w:val="Lined - Accent"/>
    <w:basedOn w:val="18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788">
    <w:name w:val="Lined - Accent 1"/>
    <w:basedOn w:val="18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789">
    <w:name w:val="Lined - Accent 2"/>
    <w:basedOn w:val="18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790">
    <w:name w:val="Lined - Accent 3"/>
    <w:basedOn w:val="18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791">
    <w:name w:val="Lined - Accent 4"/>
    <w:basedOn w:val="18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792">
    <w:name w:val="Lined - Accent 5"/>
    <w:basedOn w:val="18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793">
    <w:name w:val="Lined - Accent 6"/>
    <w:basedOn w:val="18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794">
    <w:name w:val="Bordered &amp; Lined - Accent"/>
    <w:basedOn w:val="18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795">
    <w:name w:val="Bordered &amp; Lined - Accent 1"/>
    <w:basedOn w:val="18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796">
    <w:name w:val="Bordered &amp; Lined - Accent 2"/>
    <w:basedOn w:val="18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797">
    <w:name w:val="Bordered &amp; Lined - Accent 3"/>
    <w:basedOn w:val="18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798">
    <w:name w:val="Bordered &amp; Lined - Accent 4"/>
    <w:basedOn w:val="18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799">
    <w:name w:val="Bordered &amp; Lined - Accent 5"/>
    <w:basedOn w:val="18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800">
    <w:name w:val="Bordered &amp; Lined - Accent 6"/>
    <w:basedOn w:val="182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801">
    <w:name w:val="Bordered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802">
    <w:name w:val="Bordered - Accent 1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803">
    <w:name w:val="Bordered - Accent 2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804">
    <w:name w:val="Bordered - Accent 3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805">
    <w:name w:val="Bordered - Accent 4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806">
    <w:name w:val="Bordered - Accent 5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807">
    <w:name w:val="Bordered - Accent 6"/>
    <w:basedOn w:val="182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808">
    <w:name w:val="Hyperlink"/>
    <w:uiPriority w:val="99"/>
    <w:unhideWhenUsed/>
    <w:rPr>
      <w:color w:val="0000ff" w:themeColor="hyperlink"/>
      <w:u w:val="single"/>
    </w:rPr>
  </w:style>
  <w:style w:type="character" w:styleId="1809">
    <w:name w:val="Footnote Text Char"/>
    <w:link w:val="1835"/>
    <w:uiPriority w:val="99"/>
    <w:rPr>
      <w:sz w:val="18"/>
    </w:rPr>
  </w:style>
  <w:style w:type="paragraph" w:styleId="1810">
    <w:name w:val="endnote text"/>
    <w:basedOn w:val="1824"/>
    <w:link w:val="1811"/>
    <w:uiPriority w:val="99"/>
    <w:semiHidden/>
    <w:unhideWhenUsed/>
    <w:pPr>
      <w:spacing w:after="0" w:line="240" w:lineRule="auto"/>
    </w:pPr>
    <w:rPr>
      <w:sz w:val="20"/>
    </w:rPr>
  </w:style>
  <w:style w:type="character" w:styleId="1811">
    <w:name w:val="Endnote Text Char"/>
    <w:link w:val="1810"/>
    <w:uiPriority w:val="99"/>
    <w:rPr>
      <w:sz w:val="20"/>
    </w:rPr>
  </w:style>
  <w:style w:type="character" w:styleId="1812">
    <w:name w:val="endnote reference"/>
    <w:basedOn w:val="1826"/>
    <w:uiPriority w:val="99"/>
    <w:semiHidden/>
    <w:unhideWhenUsed/>
    <w:rPr>
      <w:vertAlign w:val="superscript"/>
    </w:rPr>
  </w:style>
  <w:style w:type="paragraph" w:styleId="1813">
    <w:name w:val="toc 1"/>
    <w:basedOn w:val="1824"/>
    <w:next w:val="1824"/>
    <w:uiPriority w:val="39"/>
    <w:unhideWhenUsed/>
    <w:pPr>
      <w:ind w:left="0" w:right="0" w:firstLine="0"/>
      <w:spacing w:after="57"/>
    </w:pPr>
  </w:style>
  <w:style w:type="paragraph" w:styleId="1814">
    <w:name w:val="toc 2"/>
    <w:basedOn w:val="1824"/>
    <w:next w:val="1824"/>
    <w:uiPriority w:val="39"/>
    <w:unhideWhenUsed/>
    <w:pPr>
      <w:ind w:left="283" w:right="0" w:firstLine="0"/>
      <w:spacing w:after="57"/>
    </w:pPr>
  </w:style>
  <w:style w:type="paragraph" w:styleId="1815">
    <w:name w:val="toc 3"/>
    <w:basedOn w:val="1824"/>
    <w:next w:val="1824"/>
    <w:uiPriority w:val="39"/>
    <w:unhideWhenUsed/>
    <w:pPr>
      <w:ind w:left="567" w:right="0" w:firstLine="0"/>
      <w:spacing w:after="57"/>
    </w:pPr>
  </w:style>
  <w:style w:type="paragraph" w:styleId="1816">
    <w:name w:val="toc 4"/>
    <w:basedOn w:val="1824"/>
    <w:next w:val="1824"/>
    <w:uiPriority w:val="39"/>
    <w:unhideWhenUsed/>
    <w:pPr>
      <w:ind w:left="850" w:right="0" w:firstLine="0"/>
      <w:spacing w:after="57"/>
    </w:pPr>
  </w:style>
  <w:style w:type="paragraph" w:styleId="1817">
    <w:name w:val="toc 5"/>
    <w:basedOn w:val="1824"/>
    <w:next w:val="1824"/>
    <w:uiPriority w:val="39"/>
    <w:unhideWhenUsed/>
    <w:pPr>
      <w:ind w:left="1134" w:right="0" w:firstLine="0"/>
      <w:spacing w:after="57"/>
    </w:pPr>
  </w:style>
  <w:style w:type="paragraph" w:styleId="1818">
    <w:name w:val="toc 6"/>
    <w:basedOn w:val="1824"/>
    <w:next w:val="1824"/>
    <w:uiPriority w:val="39"/>
    <w:unhideWhenUsed/>
    <w:pPr>
      <w:ind w:left="1417" w:right="0" w:firstLine="0"/>
      <w:spacing w:after="57"/>
    </w:pPr>
  </w:style>
  <w:style w:type="paragraph" w:styleId="1819">
    <w:name w:val="toc 7"/>
    <w:basedOn w:val="1824"/>
    <w:next w:val="1824"/>
    <w:uiPriority w:val="39"/>
    <w:unhideWhenUsed/>
    <w:pPr>
      <w:ind w:left="1701" w:right="0" w:firstLine="0"/>
      <w:spacing w:after="57"/>
    </w:pPr>
  </w:style>
  <w:style w:type="paragraph" w:styleId="1820">
    <w:name w:val="toc 8"/>
    <w:basedOn w:val="1824"/>
    <w:next w:val="1824"/>
    <w:uiPriority w:val="39"/>
    <w:unhideWhenUsed/>
    <w:pPr>
      <w:ind w:left="1984" w:right="0" w:firstLine="0"/>
      <w:spacing w:after="57"/>
    </w:pPr>
  </w:style>
  <w:style w:type="paragraph" w:styleId="1821">
    <w:name w:val="toc 9"/>
    <w:basedOn w:val="1824"/>
    <w:next w:val="1824"/>
    <w:uiPriority w:val="39"/>
    <w:unhideWhenUsed/>
    <w:pPr>
      <w:ind w:left="2268" w:right="0" w:firstLine="0"/>
      <w:spacing w:after="57"/>
    </w:pPr>
  </w:style>
  <w:style w:type="paragraph" w:styleId="1822">
    <w:name w:val="TOC Heading"/>
    <w:uiPriority w:val="39"/>
    <w:unhideWhenUsed/>
  </w:style>
  <w:style w:type="paragraph" w:styleId="1823">
    <w:name w:val="table of figures"/>
    <w:basedOn w:val="1824"/>
    <w:next w:val="1824"/>
    <w:uiPriority w:val="99"/>
    <w:unhideWhenUsed/>
    <w:pPr>
      <w:spacing w:after="0" w:afterAutospacing="0"/>
    </w:pPr>
  </w:style>
  <w:style w:type="paragraph" w:styleId="1824" w:default="1">
    <w:name w:val="Normal"/>
    <w:qFormat/>
    <w:pPr>
      <w:ind w:firstLine="708"/>
      <w:jc w:val="both"/>
      <w:spacing w:after="0" w:line="240" w:lineRule="auto"/>
    </w:pPr>
    <w:rPr>
      <w:rFonts w:ascii="Times New Roman" w:hAnsi="Times New Roman" w:cs="Times New Roman"/>
      <w:szCs w:val="20"/>
    </w:rPr>
  </w:style>
  <w:style w:type="paragraph" w:styleId="1825">
    <w:name w:val="Heading 3"/>
    <w:basedOn w:val="1824"/>
    <w:next w:val="1824"/>
    <w:link w:val="1840"/>
    <w:uiPriority w:val="99"/>
    <w:qFormat/>
    <w:pPr>
      <w:ind w:firstLine="0"/>
      <w:jc w:val="center"/>
      <w:keepNext/>
      <w:outlineLvl w:val="2"/>
    </w:pPr>
    <w:rPr>
      <w:b/>
      <w:bCs/>
      <w:szCs w:val="22"/>
    </w:rPr>
  </w:style>
  <w:style w:type="character" w:styleId="1826" w:default="1">
    <w:name w:val="Default Paragraph Font"/>
    <w:uiPriority w:val="1"/>
    <w:semiHidden/>
    <w:unhideWhenUsed/>
  </w:style>
  <w:style w:type="table" w:styleId="182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828" w:default="1">
    <w:name w:val="No List"/>
    <w:uiPriority w:val="99"/>
    <w:semiHidden/>
    <w:unhideWhenUsed/>
  </w:style>
  <w:style w:type="paragraph" w:styleId="1829">
    <w:name w:val="Header"/>
    <w:basedOn w:val="1824"/>
    <w:link w:val="1830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830" w:customStyle="1">
    <w:name w:val="Верхний колонтитул Знак"/>
    <w:basedOn w:val="1826"/>
    <w:link w:val="1829"/>
    <w:uiPriority w:val="99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1831">
    <w:name w:val="Footer"/>
    <w:basedOn w:val="1824"/>
    <w:link w:val="1832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832" w:customStyle="1">
    <w:name w:val="Нижний колонтитул Знак"/>
    <w:basedOn w:val="1826"/>
    <w:link w:val="1831"/>
    <w:uiPriority w:val="99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1833">
    <w:name w:val="Body Text Indent 2"/>
    <w:basedOn w:val="1824"/>
    <w:link w:val="1834"/>
    <w:uiPriority w:val="99"/>
    <w:unhideWhenUsed/>
    <w:pPr>
      <w:ind w:left="283" w:firstLine="0"/>
      <w:jc w:val="left"/>
      <w:spacing w:after="120" w:line="480" w:lineRule="auto"/>
    </w:pPr>
    <w:rPr>
      <w:sz w:val="24"/>
    </w:rPr>
  </w:style>
  <w:style w:type="character" w:styleId="1834" w:customStyle="1">
    <w:name w:val="Основной текст с отступом 2 Знак"/>
    <w:basedOn w:val="1826"/>
    <w:link w:val="1833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835">
    <w:name w:val="footnote text"/>
    <w:basedOn w:val="1824"/>
    <w:link w:val="1836"/>
    <w:uiPriority w:val="99"/>
    <w:unhideWhenUsed/>
    <w:pPr>
      <w:ind w:firstLine="0"/>
      <w:jc w:val="left"/>
    </w:pPr>
    <w:rPr>
      <w:rFonts w:asciiTheme="minorHAnsi" w:hAnsiTheme="minorHAnsi" w:cstheme="minorBidi"/>
      <w:sz w:val="20"/>
    </w:rPr>
  </w:style>
  <w:style w:type="character" w:styleId="1836" w:customStyle="1">
    <w:name w:val="Текст сноски Знак"/>
    <w:basedOn w:val="1826"/>
    <w:link w:val="1835"/>
    <w:uiPriority w:val="99"/>
    <w:rPr>
      <w:sz w:val="20"/>
      <w:szCs w:val="20"/>
    </w:rPr>
  </w:style>
  <w:style w:type="character" w:styleId="1837">
    <w:name w:val="footnote reference"/>
    <w:uiPriority w:val="99"/>
    <w:unhideWhenUsed/>
    <w:rPr>
      <w:vertAlign w:val="superscript"/>
    </w:rPr>
  </w:style>
  <w:style w:type="table" w:styleId="1838" w:customStyle="1">
    <w:name w:val="Сетка таблицы1"/>
    <w:basedOn w:val="1827"/>
    <w:next w:val="1839"/>
    <w:uiPriority w:val="59"/>
    <w:pPr>
      <w:spacing w:after="0" w:line="240" w:lineRule="auto"/>
    </w:pPr>
    <w:rPr>
      <w:rFonts w:ascii="Times New Roman" w:hAnsi="Times New Roman" w:eastAsia="Times New Roman" w:cs="Times New Roman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1839">
    <w:name w:val="Table Grid"/>
    <w:basedOn w:val="182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1840" w:customStyle="1">
    <w:name w:val="Заголовок 3 Знак"/>
    <w:basedOn w:val="1826"/>
    <w:link w:val="1825"/>
    <w:uiPriority w:val="99"/>
    <w:rPr>
      <w:rFonts w:ascii="Times New Roman" w:hAnsi="Times New Roman" w:eastAsia="Times New Roman" w:cs="Times New Roman"/>
      <w:b/>
      <w:bCs/>
      <w:lang w:eastAsia="ru-RU"/>
    </w:rPr>
  </w:style>
  <w:style w:type="paragraph" w:styleId="1841">
    <w:name w:val="Body Text 2"/>
    <w:basedOn w:val="1824"/>
    <w:link w:val="1842"/>
    <w:uiPriority w:val="99"/>
    <w:semiHidden/>
    <w:pPr>
      <w:ind w:firstLine="0"/>
      <w:spacing w:after="120" w:line="480" w:lineRule="auto"/>
    </w:pPr>
    <w:rPr>
      <w:sz w:val="24"/>
    </w:rPr>
  </w:style>
  <w:style w:type="character" w:styleId="1842" w:customStyle="1">
    <w:name w:val="Основной текст 2 Знак"/>
    <w:basedOn w:val="1826"/>
    <w:link w:val="1841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843">
    <w:name w:val="Body Text"/>
    <w:basedOn w:val="1824"/>
    <w:link w:val="1844"/>
    <w:uiPriority w:val="99"/>
    <w:semiHidden/>
    <w:pPr>
      <w:ind w:firstLine="0"/>
      <w:spacing w:after="120" w:line="276" w:lineRule="auto"/>
    </w:pPr>
    <w:rPr>
      <w:sz w:val="24"/>
    </w:rPr>
  </w:style>
  <w:style w:type="character" w:styleId="1844" w:customStyle="1">
    <w:name w:val="Основной текст Знак"/>
    <w:basedOn w:val="1826"/>
    <w:link w:val="1843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845">
    <w:name w:val="Caption"/>
    <w:basedOn w:val="1824"/>
    <w:next w:val="1824"/>
    <w:uiPriority w:val="99"/>
    <w:qFormat/>
    <w:pPr>
      <w:ind w:firstLine="0"/>
      <w:jc w:val="center"/>
    </w:pPr>
    <w:rPr>
      <w:b/>
      <w:bCs/>
      <w:szCs w:val="28"/>
    </w:rPr>
  </w:style>
  <w:style w:type="paragraph" w:styleId="1846">
    <w:name w:val="List Paragraph"/>
    <w:basedOn w:val="1824"/>
    <w:uiPriority w:val="34"/>
    <w:qFormat/>
    <w:pPr>
      <w:contextualSpacing/>
      <w:ind w:left="720"/>
    </w:pPr>
  </w:style>
  <w:style w:type="paragraph" w:styleId="1847" w:customStyle="1">
    <w:name w:val="ConsPlusNormal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848">
    <w:name w:val="Balloon Text"/>
    <w:basedOn w:val="1824"/>
    <w:link w:val="1849"/>
    <w:uiPriority w:val="99"/>
    <w:semiHidden/>
    <w:unhideWhenUsed/>
    <w:rPr>
      <w:rFonts w:ascii="Tahoma" w:hAnsi="Tahoma" w:cs="Tahoma"/>
      <w:sz w:val="16"/>
      <w:szCs w:val="16"/>
    </w:rPr>
  </w:style>
  <w:style w:type="character" w:styleId="1849" w:customStyle="1">
    <w:name w:val="Текст выноски Знак"/>
    <w:basedOn w:val="1826"/>
    <w:link w:val="1848"/>
    <w:uiPriority w:val="99"/>
    <w:semiHidden/>
    <w:rPr>
      <w:rFonts w:ascii="Tahoma" w:hAnsi="Tahoma" w:eastAsia="Times New Roman" w:cs="Tahom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C7958-D298-48FA-BCB2-4F69F1F1C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HP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revision>163</cp:revision>
  <dcterms:created xsi:type="dcterms:W3CDTF">2023-11-30T07:40:00Z</dcterms:created>
  <dcterms:modified xsi:type="dcterms:W3CDTF">2026-08-06T11:30:46Z</dcterms:modified>
</cp:coreProperties>
</file>