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2"/>
        <w:ind w:left="1134" w:right="-261" w:hanging="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703"/>
        <w:numPr>
          <w:ilvl w:val="0"/>
          <w:numId w:val="0"/>
        </w:numPr>
        <w:ind w:left="0" w:firstLine="5670"/>
        <w:jc w:val="both"/>
        <w:spacing w:line="240" w:lineRule="exact"/>
        <w:tabs>
          <w:tab w:val="clear" w:pos="708" w:leader="none"/>
          <w:tab w:val="left" w:pos="4732" w:leader="none"/>
          <w:tab w:val="left" w:pos="5812" w:leader="none"/>
        </w:tabs>
        <w:rPr>
          <w:sz w:val="28"/>
          <w:szCs w:val="28"/>
        </w:rPr>
        <w:outlineLvl w:val="5"/>
      </w:pPr>
      <w:r>
        <w:rPr>
          <w:bCs/>
          <w:sz w:val="28"/>
          <w:szCs w:val="28"/>
        </w:rPr>
        <w:t xml:space="preserve">Приложение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3"/>
        <w:ind w:left="5664" w:firstLine="6"/>
        <w:spacing w:line="240" w:lineRule="exact"/>
        <w:tabs>
          <w:tab w:val="clear" w:pos="708" w:leader="none"/>
          <w:tab w:val="left" w:pos="473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приказу начальника департамента имущественных отношений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3"/>
        <w:ind w:firstLine="5670"/>
        <w:spacing w:line="240" w:lineRule="exact"/>
        <w:tabs>
          <w:tab w:val="clear" w:pos="708" w:leader="none"/>
          <w:tab w:val="left" w:pos="473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3"/>
        <w:ind w:firstLine="5670"/>
        <w:spacing w:line="240" w:lineRule="exact"/>
        <w:tabs>
          <w:tab w:val="clear" w:pos="708" w:leader="none"/>
          <w:tab w:val="left" w:pos="473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23.09.2026 № 059-19-01-11-158</w:t>
      </w:r>
      <w:r>
        <w:rPr>
          <w:sz w:val="28"/>
          <w:szCs w:val="28"/>
        </w:rPr>
      </w:r>
    </w:p>
    <w:p>
      <w:pPr>
        <w:pStyle w:val="703"/>
        <w:ind w:left="283"/>
        <w:jc w:val="center"/>
        <w:tabs>
          <w:tab w:val="clear" w:pos="708" w:leader="none"/>
          <w:tab w:val="left" w:pos="473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3"/>
        <w:ind w:left="283"/>
        <w:jc w:val="center"/>
        <w:tabs>
          <w:tab w:val="clear" w:pos="708" w:leader="none"/>
          <w:tab w:val="left" w:pos="4732" w:leader="none"/>
        </w:tabs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</w:r>
    </w:p>
    <w:p>
      <w:pPr>
        <w:pStyle w:val="822"/>
        <w:ind w:left="1134" w:hanging="1134"/>
        <w:jc w:val="center"/>
        <w:spacing w:line="240" w:lineRule="exac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  <w:lang w:val="ru-RU"/>
        </w:rPr>
        <w:t xml:space="preserve">Извещение о проведении 22.10.2026 э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лектронного аукциона на право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</w:r>
    </w:p>
    <w:p>
      <w:pPr>
        <w:pStyle w:val="822"/>
        <w:ind w:left="1134" w:hanging="1134"/>
        <w:jc w:val="center"/>
        <w:spacing w:line="240" w:lineRule="exac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заключения договора аренды земельного участка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</w:r>
    </w:p>
    <w:p>
      <w:pPr>
        <w:pStyle w:val="822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sz w:val="28"/>
          <w:szCs w:val="28"/>
          <w:lang w:val="ru-RU"/>
        </w:rPr>
      </w:r>
    </w:p>
    <w:p>
      <w:pPr>
        <w:pStyle w:val="703"/>
        <w:ind w:left="-567" w:firstLine="567"/>
        <w:jc w:val="both"/>
        <w:widowControl w:val="off"/>
        <w:rPr>
          <w:b/>
          <w:bCs/>
        </w:rPr>
      </w:pPr>
      <w:r>
        <w:rPr>
          <w:shd w:val="clear" w:color="auto" w:fill="ffffff"/>
        </w:rPr>
        <w:t xml:space="preserve">Электронный аукцион на право заключения договора аренды земельного участка </w:t>
        <w:br/>
        <w:t xml:space="preserve">(далее – аукцион) проводится в соответствии со статьями 39.11, 39.12, 39.13 Земельного кодекса Российской</w:t>
      </w:r>
      <w:r>
        <w:rPr>
          <w:shd w:val="clear" w:color="auto" w:fill="ffffff"/>
        </w:rPr>
        <w:t xml:space="preserve"> Федерации,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</w:t>
        <w:br/>
        <w:t xml:space="preserve">«О комиссии по пров</w:t>
      </w:r>
      <w:r>
        <w:rPr>
          <w:shd w:val="clear" w:color="auto" w:fill="ffffff"/>
        </w:rPr>
        <w:t xml:space="preserve">едению аукционов по продаже земельных участков, находящихся </w:t>
        <w:br/>
        <w:t xml:space="preserve">в муниципальной собственности города Перми, и участков, собственность на которые </w:t>
        <w:br/>
        <w:t xml:space="preserve">не разграничена, объектов незавершенного строительства, расположенных на земельных участках, находящихся в муници</w:t>
      </w:r>
      <w:r>
        <w:rPr>
          <w:shd w:val="clear" w:color="auto" w:fill="ffffff"/>
        </w:rPr>
        <w:t xml:space="preserve">пальной собственности города Перми, и участках, собственность на которые                               не разграничена, или на право заключения договоров аренды земельных участков, находящихся                    в муниципальной собственности города Перми, </w:t>
      </w:r>
      <w:r>
        <w:rPr>
          <w:rFonts w:eastAsia="Droid Sans Fallback" w:cs="Lohit Devanagari"/>
          <w:color w:val="000000"/>
          <w:sz w:val="24"/>
          <w:szCs w:val="24"/>
          <w:shd w:val="clear" w:color="auto" w:fill="ffffff"/>
          <w:lang w:val="ru-RU" w:eastAsia="zh-CN" w:bidi="ar-SA"/>
        </w:rPr>
        <w:t xml:space="preserve">и участков, собственность на которые </w:t>
        <w:br/>
        <w:t xml:space="preserve">не разграничена» (далее – комиссия), регламентом работы электронной площадки АО «Сбербанк-АСТ», регламентом работы торговой секции АО «Сбербанк-АСТ».</w:t>
      </w:r>
      <w:r>
        <w:rPr>
          <w:b/>
          <w:bCs/>
        </w:rPr>
      </w:r>
      <w:r>
        <w:rPr>
          <w:b/>
          <w:bCs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left" w:pos="9355" w:leader="none"/>
        </w:tabs>
        <w:rPr>
          <w:b/>
          <w:bCs/>
        </w:rPr>
        <w:outlineLvl w:val="0"/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786"/>
          <w:bCs/>
          <w:sz w:val="24"/>
          <w:szCs w:val="24"/>
          <w:lang w:val="en-US"/>
        </w:rPr>
        <w:t xml:space="preserve">dzo@perm.permkrai.ru.</w:t>
      </w:r>
      <w:r>
        <w:rPr>
          <w:b/>
          <w:bCs/>
        </w:rPr>
      </w:r>
      <w:r>
        <w:rPr>
          <w:b/>
          <w:bCs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left" w:pos="9355" w:leader="none"/>
        </w:tabs>
        <w:rPr>
          <w:b/>
          <w:bCs/>
          <w:sz w:val="24"/>
          <w:szCs w:val="24"/>
        </w:rPr>
        <w:outlineLvl w:val="0"/>
      </w:pPr>
      <w:r>
        <w:rPr>
          <w:b/>
          <w:bCs/>
        </w:rPr>
        <w:t xml:space="preserve">Организатор аукциона </w:t>
      </w:r>
      <w:r>
        <w:rPr>
          <w:bCs/>
        </w:rPr>
        <w:t xml:space="preserve"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 xml:space="preserve">депар</w:t>
      </w:r>
      <w:r>
        <w:rPr>
          <w:bCs/>
        </w:rPr>
        <w:t xml:space="preserve">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 xml:space="preserve">dio</w:t>
      </w:r>
      <w:r>
        <w:rPr>
          <w:sz w:val="24"/>
          <w:szCs w:val="24"/>
        </w:rPr>
        <w:t xml:space="preserve">@</w:t>
      </w:r>
      <w:r>
        <w:rPr>
          <w:sz w:val="24"/>
          <w:szCs w:val="24"/>
          <w:lang w:val="en-US"/>
        </w:rPr>
        <w:t xml:space="preserve">perm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permkrai</w:t>
      </w:r>
      <w:r>
        <w:rPr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  <w:lang w:val="en-US"/>
        </w:rPr>
        <w:t xml:space="preserve">ru</w:t>
      </w:r>
      <w:r>
        <w:rPr>
          <w:b w:val="0"/>
          <w:bCs w:val="0"/>
          <w:sz w:val="24"/>
          <w:szCs w:val="24"/>
        </w:rPr>
        <w:t xml:space="preserve">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left" w:pos="9355" w:leader="none"/>
        </w:tabs>
        <w:rPr>
          <w:sz w:val="24"/>
          <w:szCs w:val="24"/>
        </w:rPr>
        <w:outlineLvl w:val="0"/>
      </w:pPr>
      <w:r>
        <w:rPr>
          <w:b/>
          <w:bCs/>
        </w:rPr>
        <w:t xml:space="preserve"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</w:t>
      </w:r>
      <w:r>
        <w:rPr>
          <w:bCs/>
          <w:sz w:val="24"/>
          <w:szCs w:val="24"/>
        </w:rPr>
        <w:t xml:space="preserve">от </w:t>
      </w:r>
      <w:r>
        <w:rPr>
          <w:bCs/>
          <w:sz w:val="24"/>
          <w:szCs w:val="24"/>
        </w:rPr>
        <w:t xml:space="preserve">23.09.2026 № 059-19-01-11-158.</w:t>
      </w:r>
      <w:r>
        <w:rPr>
          <w:sz w:val="24"/>
          <w:szCs w:val="24"/>
        </w:rPr>
      </w:r>
    </w:p>
    <w:p>
      <w:pPr>
        <w:pStyle w:val="832"/>
        <w:numPr>
          <w:ilvl w:val="0"/>
          <w:numId w:val="0"/>
        </w:numPr>
        <w:ind w:left="-567" w:firstLine="567"/>
        <w:jc w:val="both"/>
        <w:spacing w:before="0" w:after="0"/>
        <w:rPr>
          <w:rFonts w:eastAsia="Courier New"/>
          <w:b/>
          <w:color w:val="000000"/>
          <w:lang w:val="ru-RU" w:bidi="ru-RU"/>
        </w:rPr>
        <w:outlineLvl w:val="0"/>
      </w:pPr>
      <w:r>
        <w:rPr>
          <w:sz w:val="24"/>
          <w:szCs w:val="24"/>
          <w:lang w:val="ru-RU"/>
        </w:rPr>
        <w:t xml:space="preserve">Извещение о проведение электронных аукционов размещается на официальном сайте Российской Федерации для размещения информации о проведении торгов </w:t>
      </w:r>
      <w:hyperlink r:id="rId11" w:tooltip="http://www.torgi.gov.ru/" w:history="1">
        <w:r>
          <w:rPr>
            <w:rStyle w:val="786"/>
            <w:color w:val="000000"/>
            <w:sz w:val="24"/>
            <w:szCs w:val="24"/>
            <w:u w:val="none"/>
          </w:rPr>
          <w:t xml:space="preserve">www</w:t>
        </w:r>
        <w:r>
          <w:rPr>
            <w:rStyle w:val="786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86"/>
            <w:color w:val="000000"/>
            <w:sz w:val="24"/>
            <w:szCs w:val="24"/>
            <w:u w:val="none"/>
          </w:rPr>
          <w:t xml:space="preserve">torgi</w:t>
        </w:r>
        <w:r>
          <w:rPr>
            <w:rStyle w:val="786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86"/>
            <w:color w:val="000000"/>
            <w:sz w:val="24"/>
            <w:szCs w:val="24"/>
            <w:u w:val="none"/>
          </w:rPr>
          <w:t xml:space="preserve">gov</w:t>
        </w:r>
        <w:r>
          <w:rPr>
            <w:rStyle w:val="786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86"/>
            <w:color w:val="000000"/>
            <w:sz w:val="24"/>
            <w:szCs w:val="24"/>
            <w:u w:val="none"/>
          </w:rPr>
          <w:t xml:space="preserve">ru</w:t>
        </w:r>
      </w:hyperlink>
      <w:r>
        <w:rPr>
          <w:color w:val="000000"/>
          <w:sz w:val="24"/>
          <w:szCs w:val="24"/>
          <w:u w:val="none"/>
        </w:rPr>
        <w:t xml:space="preserve"> </w:t>
        <w:br/>
        <w:t xml:space="preserve">(далее – ГИС Торги)</w:t>
      </w:r>
      <w:r>
        <w:rPr>
          <w:b/>
          <w:sz w:val="24"/>
          <w:szCs w:val="24"/>
          <w:lang w:val="ru-RU"/>
        </w:rPr>
        <w:t xml:space="preserve"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</w:t>
        <w:br/>
        <w:t xml:space="preserve">в информационно-телекоммуникационной сети «Интернет» </w:t>
      </w:r>
      <w:hyperlink r:id="rId12" w:tooltip="http://www.gorodperm.ru/" w:history="1">
        <w:r>
          <w:rPr>
            <w:rStyle w:val="786"/>
            <w:color w:val="000000"/>
            <w:sz w:val="24"/>
            <w:szCs w:val="24"/>
            <w:u w:val="none"/>
          </w:rPr>
          <w:t xml:space="preserve">www</w:t>
        </w:r>
        <w:r>
          <w:rPr>
            <w:rStyle w:val="786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86"/>
            <w:color w:val="000000"/>
            <w:sz w:val="24"/>
            <w:szCs w:val="24"/>
            <w:u w:val="none"/>
          </w:rPr>
          <w:t xml:space="preserve">gorodperm</w:t>
        </w:r>
        <w:r>
          <w:rPr>
            <w:rStyle w:val="786"/>
            <w:color w:val="000000"/>
            <w:sz w:val="24"/>
            <w:szCs w:val="24"/>
            <w:u w:val="none"/>
            <w:lang w:val="ru-RU"/>
          </w:rPr>
          <w:t xml:space="preserve">.</w:t>
        </w:r>
        <w:r>
          <w:rPr>
            <w:rStyle w:val="786"/>
            <w:color w:val="000000"/>
            <w:sz w:val="24"/>
            <w:szCs w:val="24"/>
            <w:u w:val="none"/>
          </w:rPr>
          <w:t xml:space="preserve"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13" w:tooltip="http://utp.sberbank-ast.ru/" w:history="1">
        <w:r>
          <w:rPr>
            <w:rStyle w:val="786"/>
            <w:sz w:val="24"/>
            <w:szCs w:val="24"/>
          </w:rPr>
          <w:t xml:space="preserve">http</w:t>
        </w:r>
        <w:r>
          <w:rPr>
            <w:rStyle w:val="786"/>
            <w:sz w:val="24"/>
            <w:szCs w:val="24"/>
            <w:lang w:val="ru-RU"/>
          </w:rPr>
          <w:t xml:space="preserve">://</w:t>
        </w:r>
        <w:r>
          <w:rPr>
            <w:rStyle w:val="786"/>
            <w:sz w:val="24"/>
            <w:szCs w:val="24"/>
          </w:rPr>
          <w:t xml:space="preserve">utp</w:t>
        </w:r>
        <w:r>
          <w:rPr>
            <w:rStyle w:val="786"/>
            <w:sz w:val="24"/>
            <w:szCs w:val="24"/>
            <w:lang w:val="ru-RU"/>
          </w:rPr>
          <w:t xml:space="preserve">.</w:t>
        </w:r>
        <w:r>
          <w:rPr>
            <w:rStyle w:val="786"/>
            <w:sz w:val="24"/>
            <w:szCs w:val="24"/>
          </w:rPr>
          <w:t xml:space="preserve">sberbank</w:t>
        </w:r>
        <w:r>
          <w:rPr>
            <w:rStyle w:val="786"/>
            <w:sz w:val="24"/>
            <w:szCs w:val="24"/>
            <w:lang w:val="ru-RU"/>
          </w:rPr>
          <w:t xml:space="preserve">-</w:t>
        </w:r>
        <w:r>
          <w:rPr>
            <w:rStyle w:val="786"/>
            <w:sz w:val="24"/>
            <w:szCs w:val="24"/>
          </w:rPr>
          <w:t xml:space="preserve">ast</w:t>
        </w:r>
        <w:r>
          <w:rPr>
            <w:rStyle w:val="786"/>
            <w:sz w:val="24"/>
            <w:szCs w:val="24"/>
            <w:lang w:val="ru-RU"/>
          </w:rPr>
          <w:t xml:space="preserve">.</w:t>
        </w:r>
        <w:r>
          <w:rPr>
            <w:rStyle w:val="786"/>
            <w:sz w:val="24"/>
            <w:szCs w:val="24"/>
          </w:rPr>
          <w:t xml:space="preserve">ru</w:t>
        </w:r>
      </w:hyperlink>
      <w:r>
        <w:rPr>
          <w:bCs/>
          <w:sz w:val="24"/>
          <w:szCs w:val="24"/>
          <w:lang w:val="ru-RU" w:bidi="ru-RU"/>
        </w:rPr>
        <w:t xml:space="preserve">.</w:t>
      </w:r>
      <w:r>
        <w:rPr>
          <w:rFonts w:eastAsia="Courier New"/>
          <w:b/>
          <w:color w:val="000000"/>
          <w:lang w:val="ru-RU" w:bidi="ru-RU"/>
        </w:rPr>
      </w:r>
      <w:r>
        <w:rPr>
          <w:rFonts w:eastAsia="Courier New"/>
          <w:b/>
          <w:color w:val="000000"/>
          <w:lang w:val="ru-RU" w:bidi="ru-RU"/>
        </w:rPr>
      </w:r>
    </w:p>
    <w:p>
      <w:pPr>
        <w:pStyle w:val="703"/>
        <w:ind w:left="-567" w:firstLine="567"/>
        <w:jc w:val="both"/>
        <w:widowControl w:val="off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 xml:space="preserve"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 xml:space="preserve">:</w:t>
      </w:r>
      <w:r>
        <w:rPr>
          <w:rFonts w:ascii="Courier New" w:hAnsi="Courier New" w:eastAsia="Courier New" w:cs="Courier New"/>
          <w:color w:val="000000"/>
          <w:lang w:bidi="ru-RU"/>
        </w:rPr>
        <w:t xml:space="preserve"> </w:t>
      </w:r>
      <w:hyperlink r:id="rId14" w:tooltip="http://utp.sberbank-ast.ru/" w:history="1">
        <w:r>
          <w:rPr>
            <w:rStyle w:val="786"/>
          </w:rPr>
          <w:t xml:space="preserve"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</w:t>
        <w:br/>
        <w:t xml:space="preserve">(далее – торговая секция). </w:t>
      </w:r>
      <w:r>
        <w:rPr>
          <w:rFonts w:eastAsia="Courier New"/>
          <w:b/>
          <w:color w:val="000000"/>
          <w:lang w:eastAsia="en-US" w:bidi="ru-RU"/>
        </w:rPr>
      </w:r>
      <w:r>
        <w:rPr>
          <w:rFonts w:eastAsia="Courier New"/>
          <w:b/>
          <w:color w:val="000000"/>
          <w:lang w:eastAsia="en-US"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 xml:space="preserve">Владелец электронной площадки</w:t>
      </w:r>
      <w:r>
        <w:rPr>
          <w:rFonts w:eastAsia="Courier New"/>
          <w:color w:val="000000"/>
          <w:lang w:eastAsia="en-US" w:bidi="ru-RU"/>
        </w:rPr>
        <w:t xml:space="preserve"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 xml:space="preserve">.</w:t>
      </w:r>
      <w:r>
        <w:rPr>
          <w:rFonts w:eastAsia="Courier New"/>
          <w:color w:val="000000"/>
          <w:lang w:bidi="ru-RU"/>
        </w:rPr>
      </w:r>
      <w:r>
        <w:rPr>
          <w:rFonts w:eastAsia="Courier New"/>
          <w:color w:val="000000"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15" w:tooltip="https://utp.sberbank-ast.ru/Main/Notice/988/Reglament" w:history="1">
        <w:r>
          <w:rPr>
            <w:rStyle w:val="786"/>
            <w:rFonts w:eastAsia="Courier New"/>
            <w:lang w:bidi="ru-RU"/>
          </w:rPr>
          <w:t xml:space="preserve">https://utp.sberbank-ast.ru/Main/Notice/988/Reglament</w:t>
        </w:r>
      </w:hyperlink>
      <w:r>
        <w:rPr>
          <w:rFonts w:eastAsia="Courier New"/>
          <w:lang w:bidi="ru-RU"/>
        </w:rPr>
        <w:t xml:space="preserve">.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br w:type="textWrapping" w:clear="all"/>
      </w:r>
      <w:hyperlink r:id="rId16" w:tooltip="https://utp.sberbank-ast.ru/AP/Notice/1027/Instructions" w:history="1">
        <w:r>
          <w:rPr>
            <w:rStyle w:val="786"/>
            <w:rFonts w:eastAsia="Calibri"/>
            <w:lang w:eastAsia="en-US"/>
          </w:rPr>
          <w:t xml:space="preserve">https://utp.sberbank-ast.ru/AP/Notice/1027/Instructions</w:t>
        </w:r>
      </w:hyperlink>
      <w:r>
        <w:rPr>
          <w:rFonts w:eastAsia="Calibri"/>
          <w:lang w:eastAsia="en-US"/>
        </w:rPr>
        <w:t xml:space="preserve">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rFonts w:eastAsia="Courier New"/>
          <w:lang w:bidi="ru-RU"/>
        </w:rPr>
        <w:br w:type="textWrapping" w:clear="all"/>
      </w:r>
      <w:r>
        <w:rPr>
          <w:bCs/>
          <w:lang w:eastAsia="en-US" w:bidi="ru-RU"/>
        </w:rPr>
        <w:t xml:space="preserve">размещена по адресу: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  <w:hyperlink r:id="rId17" w:tooltip="https://utp.sberbank-ast.ru/AP/Notice/652/Instructions" w:history="1">
        <w:r>
          <w:rPr>
            <w:rStyle w:val="786"/>
            <w:bCs/>
            <w:lang w:eastAsia="en-US" w:bidi="ru-RU"/>
          </w:rPr>
          <w:t xml:space="preserve">https://utp.sberbank-ast.ru/AP/Notice/652/Instructions</w:t>
        </w:r>
      </w:hyperlink>
      <w:r>
        <w:rPr>
          <w:bCs/>
          <w:lang w:eastAsia="en-US" w:bidi="ru-RU"/>
        </w:rPr>
        <w:t xml:space="preserve">.</w:t>
      </w:r>
      <w:r>
        <w:rPr>
          <w:b/>
          <w:bCs/>
        </w:rPr>
      </w:r>
      <w:r>
        <w:rPr>
          <w:b/>
          <w:bCs/>
        </w:rPr>
      </w:r>
    </w:p>
    <w:p>
      <w:pPr>
        <w:pStyle w:val="703"/>
        <w:ind w:left="-567" w:firstLine="567"/>
        <w:jc w:val="both"/>
        <w:widowControl w:val="off"/>
        <w:rPr>
          <w:highlight w:val="none"/>
        </w:rPr>
      </w:pPr>
      <w:r>
        <w:rPr>
          <w:b/>
          <w:bCs/>
        </w:rPr>
        <w:t xml:space="preserve">Орган, уполномоченный на право заключение договора аренды земельного участка: </w:t>
      </w:r>
      <w:r>
        <w:rPr>
          <w:bCs/>
        </w:rPr>
        <w:t xml:space="preserve">департамент земельных отношений администрации города Перми, местонахождение: 614000, </w:t>
        <w:br/>
        <w:t xml:space="preserve">г. Пермь, ул. Сибирская,15, почтовый адрес: 614000, г. Пермь, ул. Сибирская,15, телефон 212-61-90 (отдел договоров), адрес электронной почты:</w:t>
      </w:r>
      <w:r>
        <w:rPr>
          <w:bCs/>
          <w:sz w:val="24"/>
          <w:szCs w:val="24"/>
        </w:rPr>
        <w:t xml:space="preserve"> </w:t>
      </w:r>
      <w:r>
        <w:rPr>
          <w:rStyle w:val="786"/>
          <w:bCs/>
          <w:sz w:val="24"/>
          <w:szCs w:val="24"/>
          <w:lang w:val="en-US"/>
        </w:rPr>
        <w:t xml:space="preserve">dzo</w:t>
      </w:r>
      <w:r>
        <w:rPr>
          <w:rStyle w:val="786"/>
          <w:bCs/>
          <w:sz w:val="24"/>
          <w:szCs w:val="24"/>
        </w:rPr>
        <w:t xml:space="preserve">@</w:t>
      </w:r>
      <w:r>
        <w:rPr>
          <w:rStyle w:val="786"/>
          <w:bCs/>
          <w:sz w:val="24"/>
          <w:szCs w:val="24"/>
          <w:lang w:val="en-US"/>
        </w:rPr>
        <w:t xml:space="preserve">perm</w:t>
      </w:r>
      <w:r>
        <w:rPr>
          <w:rStyle w:val="786"/>
          <w:bCs/>
          <w:sz w:val="24"/>
          <w:szCs w:val="24"/>
        </w:rPr>
        <w:t xml:space="preserve">.</w:t>
      </w:r>
      <w:r>
        <w:rPr>
          <w:rStyle w:val="786"/>
          <w:bCs/>
          <w:sz w:val="24"/>
          <w:szCs w:val="24"/>
          <w:lang w:val="en-US"/>
        </w:rPr>
        <w:t xml:space="preserve">permkrai</w:t>
      </w:r>
      <w:r>
        <w:rPr>
          <w:rStyle w:val="786"/>
          <w:bCs/>
          <w:sz w:val="24"/>
          <w:szCs w:val="24"/>
        </w:rPr>
        <w:t xml:space="preserve">.</w:t>
      </w:r>
      <w:r>
        <w:rPr>
          <w:rStyle w:val="786"/>
          <w:bCs/>
          <w:sz w:val="24"/>
          <w:szCs w:val="24"/>
          <w:lang w:val="en-US"/>
        </w:rPr>
        <w:t xml:space="preserve">ru.</w:t>
      </w:r>
      <w:r>
        <w:rPr>
          <w:highlight w:val="none"/>
        </w:rPr>
      </w:r>
      <w:r>
        <w:rPr>
          <w:highlight w:val="none"/>
        </w:rPr>
      </w:r>
    </w:p>
    <w:p>
      <w:pPr>
        <w:pStyle w:val="703"/>
        <w:ind w:left="-567" w:firstLine="567"/>
        <w:jc w:val="both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822"/>
        <w:ind w:left="1134" w:hanging="1134"/>
        <w:jc w:val="center"/>
        <w:spacing w:line="240" w:lineRule="exact"/>
        <w:rPr>
          <w:b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Сведения о лоте (предмете аукциона)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703"/>
        <w:ind w:right="-263"/>
        <w:tabs>
          <w:tab w:val="clear" w:pos="708" w:leader="none"/>
          <w:tab w:val="left" w:pos="5103" w:leader="none"/>
        </w:tabs>
        <w:rPr>
          <w:b/>
          <w:bCs/>
        </w:rPr>
      </w:pPr>
      <w:r>
        <w:rPr>
          <w:b/>
          <w:bCs/>
          <w:lang w:val="en-US"/>
        </w:rPr>
        <w:t xml:space="preserve">Лот № 1</w:t>
      </w:r>
      <w:r>
        <w:rPr>
          <w:b/>
          <w:bCs/>
        </w:rPr>
      </w:r>
      <w:r>
        <w:rPr>
          <w:b/>
          <w:bCs/>
        </w:rPr>
      </w:r>
    </w:p>
    <w:tbl>
      <w:tblPr>
        <w:tblW w:w="10485" w:type="dxa"/>
        <w:tblInd w:w="-47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7"/>
        <w:gridCol w:w="3054"/>
        <w:gridCol w:w="6864"/>
      </w:tblGrid>
      <w:tr>
        <w:tblPrEx/>
        <w:trPr>
          <w:trHeight w:val="8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о проведении аукциона,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указанного решения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</w:t>
            </w:r>
            <w:r>
              <w:rPr>
                <w:sz w:val="24"/>
                <w:szCs w:val="24"/>
              </w:rPr>
              <w:t xml:space="preserve"> города Перми, распоряжение начальника департамента земельных отношений администрации города Перми от 12 февраля 2025 г. № 21-01-03-1247 «О проведении аукциона на право заключения договора аренды земельного участка  в Орджоникидзевском районе города Перми»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на право заключения договора аренды земельного участка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2"/>
              </w:numPr>
              <w:ind w:left="419" w:right="-263" w:hanging="2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местоположение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Пермский край, городской округ Пермский, город Пермь, улица Кизеловская, з/у 12б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2"/>
              </w:numPr>
              <w:ind w:left="419" w:right="-263" w:hanging="27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площадь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834 кв. 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2"/>
              </w:numPr>
              <w:ind w:left="419" w:right="-263" w:hanging="27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кадастровый номер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59:01:3812825:169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2"/>
              </w:numPr>
              <w:ind w:left="419" w:right="0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права на земельный участок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государственная собственность не разграничена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11"/>
              </w:numPr>
              <w:ind w:left="419" w:right="0" w:hanging="27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вид разрешенного использования земельного участка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left="419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для индивидуального жилищного строительства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2"/>
              </w:numPr>
              <w:ind w:left="419" w:right="-263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</w:t>
              <w:br/>
              <w:t xml:space="preserve">к определенной  </w:t>
              <w:br/>
              <w:t xml:space="preserve">категории земель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земли населенных пунктов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8"/>
              </w:numPr>
              <w:ind w:left="419" w:right="-263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left="419" w:right="-26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определенной территориальной зоне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Ж-4 «Зона индивидуальной жилой застройки городского типа»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3"/>
              </w:numPr>
              <w:ind w:left="419" w:right="-263" w:hanging="2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ограничение прав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Ограничения прав подробно описаны: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выписке из Единого государственного реестра недвижимости об объекте недвижимости от 21.07.2026г. </w:t>
              <w:br/>
              <w:t xml:space="preserve">№ КУВИ-001/2026-98253296</w:t>
            </w:r>
            <w:r>
              <w:rPr>
                <w:color w:val="auto"/>
                <w:sz w:val="24"/>
                <w:szCs w:val="24"/>
              </w:rPr>
              <w:t xml:space="preserve"> (далее – ЕГРН)</w:t>
            </w:r>
            <w:r>
              <w:rPr>
                <w:sz w:val="24"/>
                <w:szCs w:val="24"/>
              </w:rPr>
              <w:t xml:space="preserve">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градостроительном плане земельного участка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color w:val="auto"/>
                <w:sz w:val="24"/>
                <w:szCs w:val="24"/>
              </w:rPr>
              <w:t xml:space="preserve">22.01.2025 № РФ-59-2-03-0-00-2025-0075-0 (далее – ГПЗУ)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03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(Приложение 2 к настоящему извещению)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6"/>
              <w:ind w:firstLine="31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со сведениями из ЕГРН в границах земельного участка объекты капитального строительства отсутствуют.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данным копии планшета М 1:500 (требующего корректуры) на земельном участке расположен забор.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96"/>
              <w:ind w:firstLine="31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</w:rPr>
              <w:t xml:space="preserve">В ходе визуального осмотра территории установлено, что доступ на земельный участок ограничен, путем установки деревянного ограждения. На земельном участке установлены три теплицы.</w:t>
            </w: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Согласно сведениям, предоставленным отделением надзорной деятельности и профилактической работы г. Перми по Орджоникидзевскому району 1 ОНПР по городу Перми УНПР Главного управления МЧС России по Пермскому краю, близлежащие пожарные гидранты расп</w:t>
            </w:r>
            <w:r>
              <w:rPr>
                <w:color w:val="000000"/>
                <w:sz w:val="24"/>
              </w:rPr>
              <w:t xml:space="preserve">оложены по адресу: Пермский край, г. Пермь, Орджоникидзевский район,</w:t>
              <w:br/>
              <w:t xml:space="preserve">ул. Александра Пархоменко, 21, 25, 31, ул. Чапаева, 6; пожарные водоемы расположены по адресу: Пермский край, г. Пермь, Орджоникидзевский район, ул. Новогодняя, 11,</w:t>
              <w:br/>
              <w:t xml:space="preserve">ул. 2-я Планерная, 19.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(</w:t>
            </w:r>
            <w:r>
              <w:rPr>
                <w:color w:val="000000"/>
                <w:sz w:val="24"/>
                <w:szCs w:val="24"/>
              </w:rPr>
              <w:t xml:space="preserve">Аналогичная информация отражена в письме </w:t>
            </w:r>
            <w:r>
              <w:rPr>
                <w:b/>
                <w:color w:val="000000"/>
                <w:sz w:val="24"/>
                <w:szCs w:val="24"/>
              </w:rPr>
              <w:t xml:space="preserve">администрации Орджоникидзевского района города Перми</w:t>
            </w:r>
            <w:r>
              <w:rPr>
                <w:color w:val="000000"/>
                <w:sz w:val="24"/>
                <w:szCs w:val="24"/>
              </w:rPr>
              <w:br/>
              <w:t xml:space="preserve">от 26.05.2026 № 059-37-01-32/3-2922, в акте обследования</w:t>
              <w:br/>
              <w:t xml:space="preserve">от 22.05.2026 № 50</w:t>
            </w:r>
            <w:r>
              <w:rPr>
                <w:color w:val="000000"/>
                <w:sz w:val="24"/>
              </w:rPr>
              <w:t xml:space="preserve">).</w:t>
            </w:r>
            <w:r>
              <w:rPr>
                <w:color w:val="000000"/>
                <w:sz w:val="24"/>
                <w:szCs w:val="24"/>
                <w:highlight w:val="none"/>
              </w:rPr>
            </w:r>
            <w:r>
              <w:rPr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Согласно сведениям, содержащимся в ГПЗУ, ЕГРН и справке по градостроительным условиям </w:t>
              <w:br/>
              <w:t xml:space="preserve">от 21.07.2026 № 687386, Участок расположен в границах зон с особыми условиями использования территории: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полностью в Приаэродромной территории аэродрома аэропорта Большое Савино, реестровый номер границы 59:32-6.553. Про</w:t>
            </w:r>
            <w:r>
              <w:rPr>
                <w:sz w:val="24"/>
                <w:szCs w:val="24"/>
              </w:rPr>
              <w:t xml:space="preserve">ектирование и строительство вести в соответствии </w:t>
              <w:br/>
              <w:t xml:space="preserve">с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</w:t>
            </w:r>
            <w:r>
              <w:rPr>
                <w:sz w:val="24"/>
                <w:szCs w:val="24"/>
              </w:rPr>
              <w:t xml:space="preserve">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земельном участке произрастает 6 деревьев пород: </w:t>
            </w:r>
            <w:r>
              <w:rPr>
                <w:spacing w:val="-4"/>
                <w:sz w:val="24"/>
                <w:szCs w:val="24"/>
              </w:rPr>
              <w:t xml:space="preserve">ель - 1 шт., лиственница - 1 шт., тополь - 1 шт., клен - 1 шт., береза - 2 шт.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Победителю аукциона необходимо соблюдать условия строительства, перечисленные в перечне мероприятий по охране окружающей среды от 13.01.2025 № 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Победителю аукциона при проектировании </w:t>
              <w:br/>
              <w:t xml:space="preserve">и строительстве необходимо предусмотреть условия, указанные в письме.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(Аналогичная информация отражена в письме  у</w:t>
            </w:r>
            <w:r>
              <w:rPr>
                <w:b/>
                <w:color w:val="000000"/>
                <w:sz w:val="24"/>
              </w:rPr>
              <w:t xml:space="preserve">правления по экологии и природопользованию администрации города Перми </w:t>
            </w:r>
            <w:r>
              <w:rPr>
                <w:color w:val="000000"/>
                <w:sz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13.01.2025 № 059-33-01-10/3-16</w:t>
            </w:r>
            <w:r>
              <w:rPr>
                <w:color w:val="000000"/>
                <w:sz w:val="24"/>
              </w:rPr>
              <w:t xml:space="preserve">).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sz w:val="24"/>
                <w:szCs w:val="24"/>
              </w:rPr>
              <w:t xml:space="preserve">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</w:t>
              <w:br/>
              <w:t xml:space="preserve">№ 1085, на период до 2028 года предусмотрено </w:t>
            </w:r>
            <w:r>
              <w:rPr>
                <w:spacing w:val="-2"/>
                <w:sz w:val="24"/>
                <w:szCs w:val="24"/>
              </w:rPr>
              <w:t xml:space="preserve">строительство сетей водоснабжения и водоотведения в мкр. Чапаевский,</w:t>
            </w:r>
            <w:r>
              <w:rPr>
                <w:sz w:val="24"/>
                <w:szCs w:val="24"/>
              </w:rPr>
              <w:t xml:space="preserve"> мероприятие финансированием не обеспечено.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(Аналогичная информация отражена в письме  </w:t>
            </w:r>
            <w:r>
              <w:rPr>
                <w:b/>
                <w:color w:val="000000"/>
                <w:sz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000000"/>
                <w:sz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09.01.2025 </w:t>
              <w:br/>
              <w:t xml:space="preserve">№ 059-04-17/3-1-ри</w:t>
            </w:r>
            <w:r>
              <w:rPr>
                <w:color w:val="000000"/>
                <w:sz w:val="24"/>
              </w:rPr>
              <w:t xml:space="preserve">).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/>
            <w:r/>
          </w:p>
          <w:p>
            <w:pPr>
              <w:pStyle w:val="703"/>
              <w:ind w:firstLine="317"/>
              <w:jc w:val="both"/>
              <w:spacing w:before="0" w:after="0" w:line="240" w:lineRule="auto"/>
            </w:pPr>
            <w:r>
              <w:rPr>
                <w:sz w:val="24"/>
                <w:szCs w:val="24"/>
              </w:rPr>
              <w:t xml:space="preserve">Муниципальной программой «Дорожная деятельность и благоустрой</w:t>
            </w:r>
            <w:r>
              <w:rPr>
                <w:sz w:val="24"/>
                <w:szCs w:val="24"/>
              </w:rPr>
              <w:t xml:space="preserve">ство города Перми», утвержденной постановлением администрации города Перми от 18.10.2024 № 966, на период 2025-2029 годы мероприятия по строительству, реконструкции, капитальному ремонту улично-дорожной сети </w:t>
              <w:br/>
              <w:t xml:space="preserve">на рассматриваемой территории не предусмотрены.</w:t>
            </w:r>
            <w:r/>
          </w:p>
          <w:p>
            <w:pPr>
              <w:pStyle w:val="703"/>
              <w:ind w:firstLine="317"/>
              <w:jc w:val="both"/>
              <w:spacing w:before="0" w:after="0" w:line="240" w:lineRule="auto"/>
            </w:pPr>
            <w:r>
              <w:rPr>
                <w:sz w:val="24"/>
                <w:szCs w:val="24"/>
              </w:rPr>
              <w:t xml:space="preserve">Программой комплексного развития транспо</w:t>
            </w:r>
            <w:r>
              <w:rPr>
                <w:sz w:val="24"/>
                <w:szCs w:val="24"/>
              </w:rPr>
              <w:t xml:space="preserve">ртной инфраструктуры города Перми на 2025-2043 годы, утвержденной Решением Пермской городской Думы </w:t>
              <w:br/>
              <w:t xml:space="preserve">от 16.12.2025 № 238, мероприятия по строительству, реконструкции, капитальному ремонту улично-дорожной сети на рассматриваемых территориях не предусмотрены.</w:t>
            </w:r>
            <w:r/>
          </w:p>
          <w:p>
            <w:pPr>
              <w:pStyle w:val="703"/>
              <w:ind w:firstLine="317"/>
              <w:jc w:val="both"/>
              <w:spacing w:before="0" w:after="0" w:line="240" w:lineRule="auto"/>
            </w:pPr>
            <w:r>
              <w:rPr>
                <w:sz w:val="24"/>
                <w:szCs w:val="24"/>
              </w:rPr>
              <w:t xml:space="preserve">В отношении территории в границах которой расположен Участок постановлением администрации города Перми от 23.12.2015 № 1102 утверждена документация по планировке территории.</w:t>
            </w:r>
            <w:r/>
          </w:p>
          <w:p>
            <w:pPr>
              <w:pStyle w:val="703"/>
              <w:ind w:firstLine="317"/>
              <w:jc w:val="both"/>
              <w:spacing w:before="0" w:after="0" w:line="240" w:lineRule="auto"/>
            </w:pPr>
            <w:r>
              <w:rPr>
                <w:sz w:val="24"/>
                <w:szCs w:val="24"/>
              </w:rPr>
              <w:t xml:space="preserve">Проектом планировки территории не предусмотрен доступ к Участку. По информации, имеющейся в департаменте </w:t>
            </w:r>
            <w:r>
              <w:rPr>
                <w:sz w:val="24"/>
                <w:szCs w:val="24"/>
              </w:rPr>
              <w:t xml:space="preserve">дорог и благоустройства администрации города Перми, улично-дорожная сеть для обеспечения доступа к Участку отсутствует. Примыкание Участка к улично-дорожной сети города Перми возможно при строительстве улично-дорожной сети, обеспечивающей доступ к Участку.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b w:val="0"/>
                <w:bCs w:val="0"/>
                <w:color w:val="000000"/>
                <w:sz w:val="24"/>
              </w:rPr>
              <w:t xml:space="preserve">(Аналогичная информация отражена в письме </w:t>
            </w:r>
            <w:r>
              <w:rPr>
                <w:b/>
                <w:color w:val="000000"/>
                <w:sz w:val="24"/>
              </w:rPr>
              <w:t xml:space="preserve">департамента дорог и благоустройства администрации города Перми </w:t>
              <w:br/>
            </w:r>
            <w:r>
              <w:rPr>
                <w:b w:val="0"/>
                <w:bCs w:val="0"/>
                <w:color w:val="000000"/>
                <w:sz w:val="24"/>
              </w:rPr>
              <w:t xml:space="preserve">от 07</w:t>
            </w:r>
            <w:r>
              <w:rPr>
                <w:spacing w:val="-4"/>
                <w:sz w:val="24"/>
                <w:szCs w:val="24"/>
              </w:rPr>
              <w:t xml:space="preserve">.07.2026 № 059-24-01-36/3-2225</w:t>
            </w:r>
            <w:r>
              <w:rPr>
                <w:b w:val="0"/>
                <w:bCs w:val="0"/>
                <w:color w:val="000000"/>
                <w:sz w:val="24"/>
              </w:rPr>
              <w:t xml:space="preserve">).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703"/>
              <w:ind w:firstLine="311"/>
              <w:jc w:val="both"/>
              <w:spacing w:before="0" w:after="0" w:line="240" w:lineRule="auto"/>
            </w:pPr>
            <w:r>
              <w:rPr>
                <w:sz w:val="24"/>
              </w:rPr>
              <w:t xml:space="preserve">Источники противопожарного водоснабжения по 8 земельным участкам отсутствуют. Ближайший пожарный водоем расположен на земельном участке с кадастровым номером: 59:3810193:170, напротив дома по ул. Токарная, 39.</w:t>
            </w:r>
            <w:r/>
          </w:p>
          <w:p>
            <w:pPr>
              <w:pStyle w:val="703"/>
              <w:ind w:firstLine="311"/>
              <w:jc w:val="both"/>
              <w:spacing w:before="0" w:after="0" w:line="240" w:lineRule="auto"/>
            </w:pPr>
            <w:r>
              <w:rPr>
                <w:sz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</w:t>
            </w:r>
            <w:r>
              <w:rPr>
                <w:sz w:val="24"/>
              </w:rPr>
              <w:t xml:space="preserve">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</w:t>
            </w:r>
            <w:r/>
          </w:p>
          <w:p>
            <w:pPr>
              <w:pStyle w:val="703"/>
              <w:ind w:firstLine="311"/>
              <w:jc w:val="both"/>
              <w:spacing w:before="0" w:after="0" w:line="240" w:lineRule="auto"/>
            </w:pPr>
            <w:r>
              <w:rPr>
                <w:sz w:val="24"/>
              </w:rPr>
              <w:t xml:space="preserve">Подразделение пожарной охраны расположено по адресу: ул. Волховская, 37 (ПСЧ-57 10-ПСО).</w:t>
            </w:r>
            <w:r/>
          </w:p>
          <w:p>
            <w:pPr>
              <w:pStyle w:val="703"/>
              <w:ind w:firstLine="311"/>
              <w:jc w:val="both"/>
              <w:spacing w:before="0" w:after="0" w:line="240" w:lineRule="auto"/>
            </w:pPr>
            <w:r>
              <w:rPr>
                <w:sz w:val="24"/>
              </w:rPr>
              <w:t xml:space="preserve">Помещения для аварийно-спасательных служб и (или) аварийно-спасательных формирований на указанных территориях отсутствуют.</w:t>
            </w:r>
            <w:r/>
          </w:p>
          <w:p>
            <w:pPr>
              <w:pStyle w:val="703"/>
              <w:ind w:firstLine="311"/>
              <w:jc w:val="both"/>
              <w:spacing w:before="0" w:after="0" w:line="240" w:lineRule="auto"/>
            </w:pPr>
            <w:r>
              <w:rPr>
                <w:sz w:val="24"/>
              </w:rPr>
              <w:t xml:space="preserve">Близлежащий объект общественной безопасно</w:t>
            </w:r>
            <w:r>
              <w:rPr>
                <w:sz w:val="24"/>
              </w:rPr>
              <w:t xml:space="preserve">сти, отнесенный к объектам полиции (участковый пункт полиции), расположен по адресу: г. Пермь, Талицкий переулок, 8 (Орджоникидзевский район). В настоящее время в указанном микрорайоне строительство (приобретение) участковых пунктов полиции не планируется.</w:t>
            </w:r>
            <w:r/>
          </w:p>
          <w:p>
            <w:pPr>
              <w:pStyle w:val="703"/>
              <w:ind w:firstLine="311"/>
              <w:jc w:val="both"/>
              <w:spacing w:before="0" w:after="0" w:line="240" w:lineRule="auto"/>
            </w:pPr>
            <w:r>
              <w:rPr>
                <w:sz w:val="24"/>
              </w:rPr>
              <w:t xml:space="preserve">По информации, предоставленной письмом Министерства территориальной безопасности Пермского края от 07.10.2020 </w:t>
              <w:br/>
              <w:t xml:space="preserve">№ 964с, рассматриваемые территории попадают в зону возможного химического заражения в особый период.</w:t>
            </w:r>
            <w:r/>
          </w:p>
          <w:p>
            <w:pPr>
              <w:pStyle w:val="703"/>
              <w:ind w:firstLine="311"/>
              <w:jc w:val="both"/>
              <w:spacing w:before="0" w:after="0" w:line="240" w:lineRule="auto"/>
            </w:pPr>
            <w:r>
              <w:rPr>
                <w:sz w:val="24"/>
              </w:rPr>
              <w:t xml:space="preserve">Указанные территории находится в зоне действия региональной системы оповещения населения города Перми, установленной по адресу: Еловский переулок, </w:t>
              <w:br/>
              <w:t xml:space="preserve">д. 22 – 600 метров.</w:t>
            </w:r>
            <w:r/>
          </w:p>
          <w:p>
            <w:pPr>
              <w:pStyle w:val="703"/>
              <w:ind w:firstLine="311"/>
              <w:jc w:val="both"/>
              <w:spacing w:before="0" w:after="0" w:line="240" w:lineRule="auto"/>
            </w:pPr>
            <w:r>
              <w:rPr>
                <w:sz w:val="24"/>
              </w:rPr>
              <w:t xml:space="preserve">Иная информация в части полномочий департамента общественной безопасности администрации города Перми отсутствует.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sz w:val="24"/>
                <w:szCs w:val="24"/>
              </w:rPr>
              <w:t xml:space="preserve">(Аналогичная информация отражена в письме</w:t>
            </w:r>
            <w:r>
              <w:t xml:space="preserve">  </w:t>
            </w:r>
            <w:r>
              <w:rPr>
                <w:b/>
                <w:color w:val="000000"/>
                <w:sz w:val="24"/>
              </w:rPr>
              <w:t xml:space="preserve">департамента общественной безопасности администрации города Перми</w:t>
            </w:r>
            <w:r>
              <w:rPr>
                <w:color w:val="000000"/>
              </w:rPr>
              <w:t xml:space="preserve"> </w:t>
            </w:r>
            <w:r>
              <w:rPr>
                <w:sz w:val="24"/>
              </w:rPr>
              <w:t xml:space="preserve">от 02.07.2026 № 059-10-01-27/3-969</w:t>
            </w:r>
            <w:r>
              <w:rPr>
                <w:color w:val="000000"/>
                <w:sz w:val="24"/>
              </w:rPr>
              <w:t xml:space="preserve">).</w:t>
            </w:r>
            <w:r/>
          </w:p>
          <w:p>
            <w:pPr>
              <w:pStyle w:val="796"/>
              <w:ind w:firstLine="312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  <w:r>
              <w:rPr>
                <w:color w:val="000000"/>
                <w:sz w:val="24"/>
              </w:rPr>
            </w:r>
          </w:p>
        </w:tc>
      </w:tr>
      <w:tr>
        <w:tblPrEx/>
        <w:trPr>
          <w:trHeight w:val="10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2"/>
              </w:numPr>
              <w:ind w:left="120" w:right="113" w:firstLine="107"/>
              <w:jc w:val="left"/>
              <w:spacing w:before="0" w:after="0"/>
              <w:widowControl/>
              <w:tabs>
                <w:tab w:val="left" w:pos="480" w:leader="none"/>
                <w:tab w:val="clear" w:pos="70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допустимые параметры разрешенного строительства</w:t>
              <w:br/>
              <w:t xml:space="preserve">объекта капитального строительства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03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val="clear" w:color="auto" w:fill="ffffff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torgi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gov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shd w:val="clear" w:color="auto" w:fill="ffffff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 xml:space="preserve">www.gorodperm.ru.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703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Проектирование и строительство необходимо вести </w:t>
              <w:br/>
              <w:t xml:space="preserve">в соответствии с пунктом 4.5 СП 55.13330.20</w:t>
            </w:r>
            <w:r>
              <w:rPr>
                <w:color w:val="auto"/>
                <w:sz w:val="24"/>
                <w:szCs w:val="24"/>
              </w:rPr>
              <w:t xml:space="preserve">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(ред. от 17.05.2023): Дом должен включать жи</w:t>
            </w:r>
            <w:r>
              <w:rPr>
                <w:color w:val="auto"/>
                <w:sz w:val="24"/>
                <w:szCs w:val="24"/>
              </w:rPr>
              <w:t xml:space="preserve">лые комнаты – одну или несколько (общую комнату </w:t>
              <w:br/>
              <w:t xml:space="preserve">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санузел, переднюю.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пункту 6.1 СП 55.13330.2016 площади помещений строящихся и реконструируемых жил</w:t>
            </w:r>
            <w:r>
              <w:rPr>
                <w:color w:val="auto"/>
                <w:sz w:val="24"/>
                <w:szCs w:val="24"/>
              </w:rPr>
              <w:t xml:space="preserve">ых домов должны быть не менее: общей комнаты в однокомнатном доме – 14 м2, общей комнаты в доме с числом комнат две и более – 16 м2, спальни – 8 м2 (на двух человек – 10 м2); кухни – 8 м2; кухонной зоны </w:t>
              <w:br/>
              <w:t xml:space="preserve">в кухне-столовой – 6 м2. В домах с одной комнатой до</w:t>
            </w:r>
            <w:r>
              <w:rPr>
                <w:color w:val="auto"/>
                <w:sz w:val="24"/>
                <w:szCs w:val="24"/>
              </w:rPr>
              <w:t xml:space="preserve">пускается проектировать кухни или кухни-ниши площадью не менее 5 м2. Площадь спальни и кухни в мансардном этаже (или этаже с наклонными ограждающими конструкциями) допускается не менее 7 м2 при условии, что общая жилая комната имеет площадь не менее 16 м2.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в климатических районах строительства IА, IБ, IГ, IД, опр</w:t>
            </w:r>
            <w:r>
              <w:rPr>
                <w:color w:val="auto"/>
                <w:sz w:val="24"/>
                <w:szCs w:val="24"/>
              </w:rPr>
              <w:t xml:space="preserve">еделяемых по СП 131.13330, должна быть не менее 2,7 м, а в других климатических районах строительства – не менее 2,5 м. Высота внутридомовых коридоров, холлов, передних, антресолей должна составлять не менее 2,1 м, а высота пути эвакуации – не менее 2,2 м.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жилых комнатах и кухнях, расположенных в этажах </w:t>
              <w:br/>
              <w:t xml:space="preserve">с наклонными ограждающими конструкциями </w:t>
              <w:br/>
              <w:t xml:space="preserve">или в мансардном этаже, допускается уменьшение высоты помещений (от пола до потолка), относительно нормируемой </w:t>
              <w:br/>
              <w:t xml:space="preserve">на площади, не превышающей 50%.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информации, содержащейся в ГПЗУ, предельная высота зданий, строений  не более 10,5 м (документация </w:t>
              <w:br/>
              <w:t xml:space="preserve">по планировке территории, утвержденная постановлением администрации города Перми от 23.12.2015 </w:t>
              <w:br/>
              <w:t xml:space="preserve">№ 1102).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Минимальный отступ от границ земельного участка </w:t>
              <w:br/>
              <w:t xml:space="preserve">до места допустимого размещения зданий, строений, сооружений (за исключен</w:t>
            </w:r>
            <w:r>
              <w:rPr>
                <w:color w:val="auto"/>
                <w:sz w:val="24"/>
                <w:szCs w:val="24"/>
              </w:rPr>
              <w:t xml:space="preserve">ием границ со стороны территории общего пользования, где отступ определяется </w:t>
              <w:br/>
              <w:t xml:space="preserve">с учетом красных линий 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</w:t>
            </w:r>
            <w:r>
              <w:rPr>
                <w:color w:val="auto"/>
                <w:sz w:val="24"/>
                <w:szCs w:val="24"/>
              </w:rPr>
              <w:t xml:space="preserve">я на высоте </w:t>
              <w:br/>
              <w:t xml:space="preserve">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процент застройки в границах </w:t>
              <w:br/>
              <w:t xml:space="preserve">Участка – 30%.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703"/>
              <w:ind w:firstLine="362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continue"/>
            <w:textDirection w:val="lrTb"/>
            <w:noWrap w:val="false"/>
          </w:tcPr>
          <w:p>
            <w:pPr>
              <w:pStyle w:val="703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numPr>
                <w:ilvl w:val="0"/>
                <w:numId w:val="2"/>
              </w:numPr>
              <w:ind w:left="120" w:right="23" w:firstLine="6"/>
              <w:tabs>
                <w:tab w:val="left" w:pos="480" w:leader="none"/>
                <w:tab w:val="clear" w:pos="70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ind w:firstLine="252"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03"/>
              <w:ind w:firstLine="252"/>
              <w:jc w:val="both"/>
              <w:rPr>
                <w:highlight w:val="none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val="clear" w:color="auto" w:fill="ffffff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torgi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gov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shd w:val="clear" w:color="auto" w:fill="ffffff"/>
              </w:rPr>
              <w:t xml:space="preserve">, на официальном сайте муниципального образования город Пермь в информационно-телекоммуникационной сети Интернет</w:t>
            </w:r>
            <w:r>
              <w:rPr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hyperlink r:id="rId18" w:tooltip="http://www.gorodperm.ru/" w:history="1">
              <w:r>
                <w:rPr>
                  <w:rStyle w:val="786"/>
                  <w:color w:val="000000"/>
                  <w:sz w:val="24"/>
                  <w:szCs w:val="24"/>
                  <w:u w:val="none"/>
                </w:rPr>
                <w:t xml:space="preserve">www.gorodperm.ru</w:t>
              </w:r>
            </w:hyperlink>
            <w:r>
              <w:rPr>
                <w:color w:val="000000"/>
                <w:sz w:val="24"/>
                <w:szCs w:val="24"/>
                <w:u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03"/>
              <w:ind w:firstLine="2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наличии технической возможности технологического присоединения энергопринимающего устройства объекта </w:t>
              <w:br/>
              <w:t xml:space="preserve">с предполагаемым электоропотреблением 15 кВт сообщается следующее.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sz w:val="24"/>
                <w:szCs w:val="24"/>
              </w:rPr>
              <w:t xml:space="preserve">В соответствии с «Правилами технологического присоединения энергопринимающих устройств потребителей электрической энергии, объектов </w:t>
              <w:br/>
              <w:t xml:space="preserve">по производству электрической энергии, а также объектов электросетевого хозяйства, принадлежащих сетевым органи</w:t>
            </w:r>
            <w:r>
              <w:rPr>
                <w:sz w:val="24"/>
                <w:szCs w:val="24"/>
              </w:rPr>
              <w:t xml:space="preserve">зациям и иным лицам, к электрическим сетям», утвержденных постановлением Правительства Российской Федерации от 27.12.2004 № 861, конкретные технические условия на энергосбережение объекта разрабатываются </w:t>
              <w:br/>
              <w:t xml:space="preserve">в составе договора о технологическом присоединении.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sz w:val="24"/>
                <w:szCs w:val="24"/>
              </w:rPr>
              <w:t xml:space="preserve">Плата за технологическое присоедин</w:t>
            </w:r>
            <w:r>
              <w:rPr>
                <w:sz w:val="24"/>
                <w:szCs w:val="24"/>
              </w:rPr>
              <w:t xml:space="preserve">ение энергопринимающих устройств устанавливается исходя </w:t>
              <w:br/>
              <w:t xml:space="preserve">из стоимости мероприятий по технологическому присоединению, размер платы определяется </w:t>
              <w:br/>
              <w:t xml:space="preserve">по утвержденным тарифам согласно постановлению РСТ Пермского края от 23.11.2023 № 121-тп (в последней редакции).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sz w:val="24"/>
                <w:szCs w:val="24"/>
              </w:rPr>
              <w:t xml:space="preserve">Электроснабжение объекта возможно будет осуществить при условии строительства питающей линии электропередачи 0,4 кВ на основании договора об осуществлении технологического присоединения объекта к электрическим сетям филиала «Пермэнерго».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sz w:val="24"/>
                <w:szCs w:val="24"/>
              </w:rPr>
              <w:t xml:space="preserve">Подать заявку на технологическое присоединение возможно через единый федеральный портал электросетевых услуг группы </w:t>
            </w:r>
            <w:r>
              <w:rPr>
                <w:spacing w:val="-2"/>
                <w:sz w:val="24"/>
                <w:szCs w:val="24"/>
              </w:rPr>
              <w:t xml:space="preserve">компаний «Россети» на сайте: </w:t>
            </w:r>
            <w:hyperlink r:id="rId19" w:tooltip="https://портал-тп.рф" w:history="1">
              <w:r>
                <w:rPr>
                  <w:color w:val="000000"/>
                  <w:spacing w:val="-2"/>
                  <w:sz w:val="24"/>
                  <w:szCs w:val="24"/>
                  <w:u w:val="none"/>
                  <w:lang w:val="en-US"/>
                </w:rPr>
                <w:t xml:space="preserve">https</w:t>
              </w:r>
              <w:r>
                <w:rPr>
                  <w:color w:val="000000"/>
                  <w:spacing w:val="-2"/>
                  <w:sz w:val="24"/>
                  <w:szCs w:val="24"/>
                  <w:u w:val="none"/>
                </w:rPr>
                <w:t xml:space="preserve">://портал-тп.рф</w:t>
              </w:r>
            </w:hyperlink>
            <w:r>
              <w:rPr>
                <w:spacing w:val="-2"/>
                <w:sz w:val="24"/>
                <w:szCs w:val="24"/>
                <w:u w:val="none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или через Мобильное</w:t>
            </w:r>
            <w:r>
              <w:rPr>
                <w:sz w:val="24"/>
                <w:szCs w:val="24"/>
              </w:rPr>
              <w:t xml:space="preserve"> приложение ПАО «Россети».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(Аналогичная информация отражена в письме  </w:t>
            </w:r>
            <w:r>
              <w:rPr>
                <w:b/>
                <w:color w:val="000000"/>
                <w:sz w:val="24"/>
                <w:szCs w:val="24"/>
              </w:rPr>
              <w:t xml:space="preserve">Филиала ПАО «Россети Урал» - «Пермэнерго» </w:t>
            </w:r>
            <w:r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24.01.2025 </w:t>
              <w:br/>
              <w:t xml:space="preserve">№ ПЭ/ПГЭС/01/22/676</w:t>
            </w:r>
            <w:r>
              <w:rPr>
                <w:color w:val="000000"/>
                <w:sz w:val="24"/>
                <w:szCs w:val="24"/>
              </w:rPr>
              <w:t xml:space="preserve">).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sz w:val="24"/>
                <w:szCs w:val="24"/>
              </w:rPr>
              <w:t xml:space="preserve"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szCs w:val="24"/>
                <w:vertAlign w:val="superscript"/>
              </w:rPr>
              <w:t xml:space="preserve">3</w:t>
            </w:r>
            <w:r>
              <w:rPr>
                <w:sz w:val="24"/>
                <w:szCs w:val="24"/>
              </w:rPr>
              <w:t xml:space="preserve">/час к существующим сетям газораспределения имеется.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рассмотрения вопроса о предоставлении технических </w:t>
            </w:r>
            <w:r>
              <w:rPr>
                <w:sz w:val="24"/>
                <w:szCs w:val="24"/>
              </w:rPr>
              <w:t xml:space="preserve">условий на подключение (технологическое присоединение) необходимо направить в адрес филиала </w:t>
              <w:br/>
              <w:t xml:space="preserve">в г. Пермь АО «Газпром газораспределение Пермь» </w:t>
              <w:br/>
              <w:t xml:space="preserve">(на электронную почту post@pf.ugaz.ru, либо почтовым отправлением по адресу: г. Пермь, ул. Уральская, 104, через Е</w:t>
            </w:r>
            <w:r>
              <w:rPr>
                <w:sz w:val="24"/>
                <w:szCs w:val="24"/>
              </w:rPr>
              <w:t xml:space="preserve">диный центр предоставления услуг по адресу: </w:t>
              <w:br/>
              <w:t xml:space="preserve">г. Пермь, ул. Уральская, д. 104, каб. 101) Заявку </w:t>
              <w:br/>
              <w:t xml:space="preserve">о заключении договора о подключении (технологическом присоединении) по типовой форме с пакетом документов </w:t>
              <w:br/>
              <w:t xml:space="preserve">в соответствии с п.11,16 постановления Правительства </w:t>
            </w:r>
            <w:r>
              <w:rPr>
                <w:sz w:val="24"/>
                <w:szCs w:val="24"/>
              </w:rPr>
              <w:t xml:space="preserve">Российской Федерации от 13.09.2021 № 1547 </w:t>
              <w:br/>
              <w:t xml:space="preserve">«Об утверждении Правил подключения газоиспользующего оборудования и объектов капитального строительства </w:t>
              <w:br/>
              <w:t xml:space="preserve">к сетям газораспределения и о признании утратившим силу некоторых актов Правительства Российской Федерации».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(Аналогичная информация отражена в письме  </w:t>
            </w:r>
            <w:r>
              <w:rPr>
                <w:b/>
                <w:color w:val="000000"/>
                <w:sz w:val="24"/>
              </w:rPr>
              <w:t xml:space="preserve">АО «Газпром газораспределение Пермь»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10.01.2025 № ПФ-20</w:t>
            </w:r>
            <w:r>
              <w:rPr>
                <w:color w:val="000000"/>
                <w:sz w:val="24"/>
              </w:rPr>
              <w:t xml:space="preserve">).</w:t>
            </w:r>
            <w:r/>
          </w:p>
          <w:p>
            <w:pPr>
              <w:pStyle w:val="796"/>
              <w:ind w:left="0" w:right="0" w:firstLine="0"/>
              <w:jc w:val="both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Ближайшей точкой подключения к сетям водоснабжения, эксплуатируемой ООО «НОВОГОР-Прикамье», является водовод Д-1000 мм по ул. Чапаева, внутри квартала.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Ближайшей точкой подключения к сетям водоотведения, эксплуатируемой ООО «НОВОГОР-Прикамье», является сеть канализации Д-200 мм по ул. Липовая.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сведения сообщаем, что в границах вышеуказанного земельного участка отсутствуют сети водопровода </w:t>
              <w:br/>
              <w:t xml:space="preserve">и канализации, эксплуатируемые ООО «НОВОГОР-Прикамье».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этом обращаем Ваше внимание, размещение об</w:t>
            </w:r>
            <w:r>
              <w:rPr>
                <w:sz w:val="24"/>
                <w:szCs w:val="24"/>
              </w:rPr>
              <w:t xml:space="preserve">ъекта необходимо предусматривать строго за пределами охранных зон сетей водопровода и канализации в соответствии норм CП, в том числе в соответствии таблицы 12.5 CП 42.13330.2016 «Градостроительство. Планировка и настройка городских </w:t>
              <w:br/>
              <w:t xml:space="preserve">и сельских поселений».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(Аналогичная информация отражена в письме  </w:t>
              <w:br/>
            </w:r>
            <w:r>
              <w:rPr>
                <w:b/>
                <w:color w:val="000000"/>
                <w:sz w:val="24"/>
              </w:rPr>
              <w:t xml:space="preserve">ООО «НОВОГОР-Прикамье» </w:t>
            </w:r>
            <w:r>
              <w:rPr>
                <w:sz w:val="24"/>
                <w:szCs w:val="24"/>
              </w:rPr>
              <w:t xml:space="preserve">от 16.01.2025 № 110-0435</w:t>
            </w:r>
            <w:r>
              <w:rPr>
                <w:color w:val="000000"/>
                <w:sz w:val="24"/>
              </w:rPr>
              <w:t xml:space="preserve">).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796"/>
              <w:ind w:left="0" w:right="0" w:firstLine="452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Участок находится вне зоны теплоснабжения </w:t>
              <w:br/>
              <w:t xml:space="preserve">ПАО «Т Плюс».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(Аналогичная информация отражена в письме </w:t>
            </w:r>
            <w:r>
              <w:rPr>
                <w:b/>
                <w:color w:val="000000"/>
                <w:sz w:val="24"/>
              </w:rPr>
              <w:t xml:space="preserve">Филиала «Пермский ПАО «Т Плюс»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 22.01.2025 № 51000-32-00131</w:t>
            </w:r>
            <w:r>
              <w:rPr>
                <w:color w:val="000000"/>
                <w:sz w:val="24"/>
              </w:rPr>
              <w:t xml:space="preserve">).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  <w:p>
            <w:pPr>
              <w:pStyle w:val="796"/>
              <w:ind w:left="0" w:right="0" w:firstLine="452"/>
              <w:jc w:val="both"/>
              <w:spacing w:before="0" w:after="0"/>
            </w:pPr>
            <w:r>
              <w:rPr>
                <w:sz w:val="24"/>
                <w:szCs w:val="24"/>
              </w:rPr>
              <w:t xml:space="preserve">Техническая возможность подключения объекта капитального строительства к сетям теплоснабжения отсутствует. Рекомендовано рассмотреть альтернативные источники теплоснабжения – газ, пеллеты, дрова и иные источники теплоснабжения.</w:t>
            </w:r>
            <w:r/>
          </w:p>
          <w:p>
            <w:pPr>
              <w:pStyle w:val="796"/>
              <w:ind w:left="0" w:right="0" w:firstLine="311"/>
              <w:jc w:val="both"/>
              <w:spacing w:before="0" w:after="0"/>
            </w:pPr>
            <w:r>
              <w:rPr>
                <w:color w:val="000000"/>
                <w:sz w:val="24"/>
              </w:rPr>
              <w:t xml:space="preserve">(Аналогичная информация отражена в письме д</w:t>
            </w:r>
            <w:r>
              <w:rPr>
                <w:b/>
                <w:color w:val="000000"/>
                <w:sz w:val="24"/>
              </w:rPr>
              <w:t xml:space="preserve">епартамента жилищно-коммунального хозяйства </w:t>
            </w:r>
            <w:r>
              <w:rPr>
                <w:sz w:val="24"/>
                <w:szCs w:val="24"/>
              </w:rPr>
              <w:t xml:space="preserve">07.02.2025 </w:t>
              <w:br/>
              <w:t xml:space="preserve">№ 059-04-25/3-23-ри</w:t>
            </w:r>
            <w:r>
              <w:rPr>
                <w:color w:val="000000"/>
                <w:sz w:val="24"/>
              </w:rPr>
              <w:t xml:space="preserve">).</w:t>
            </w:r>
            <w:r/>
          </w:p>
          <w:p>
            <w:pPr>
              <w:pStyle w:val="796"/>
              <w:ind w:left="0" w:right="0" w:firstLine="452"/>
              <w:jc w:val="both"/>
              <w:spacing w:before="0" w:after="0"/>
            </w:pPr>
            <w:r/>
            <w:r/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sz w:val="24"/>
                <w:szCs w:val="24"/>
              </w:rPr>
              <w:t xml:space="preserve">Технологическое присоединение к сетям связи </w:t>
              <w:br/>
            </w:r>
            <w:r>
              <w:rPr>
                <w:b/>
                <w:bCs/>
                <w:sz w:val="24"/>
                <w:szCs w:val="24"/>
              </w:rPr>
              <w:t xml:space="preserve">ПАО «Ростелеком» </w:t>
            </w:r>
            <w:r>
              <w:rPr>
                <w:sz w:val="24"/>
                <w:szCs w:val="24"/>
              </w:rPr>
              <w:t xml:space="preserve">может быть произведено в точке подключения узел ВОЛС (г. Пермь, ул. Кронита, 8), максимальную нагрузку в точке подключения (технологического подключения) определить на стадии проектирования. В границах Участка сети ПАО «Ростелеком» отсутствуют.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подключения (технологического присоединения) вышеуказанного объекта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</w:r>
            <w:r>
              <w:rPr>
                <w:spacing w:val="-6"/>
                <w:sz w:val="24"/>
                <w:szCs w:val="24"/>
              </w:rPr>
              <w:t xml:space="preserve">о подключении в порядке, определенном действующим законодательством.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Срок действия технических условий составляет 3 года </w:t>
              <w:br/>
              <w:t xml:space="preserve">со дня выдачи.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случае, если в течении 1 года (при комплексном развитии территории – 3 лет) со дня выдачи технических условий заявителем не будет п</w:t>
            </w:r>
            <w:r>
              <w:rPr>
                <w:sz w:val="24"/>
                <w:szCs w:val="24"/>
              </w:rPr>
              <w:t xml:space="preserve">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703"/>
              <w:ind w:firstLine="317"/>
              <w:jc w:val="both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</w:t>
              <w:br/>
              <w:t xml:space="preserve">тел.: +7 (342) 235-57-34 или направить запро</w:t>
            </w:r>
            <w:r>
              <w:rPr>
                <w:color w:val="auto"/>
                <w:sz w:val="24"/>
                <w:szCs w:val="24"/>
              </w:rPr>
              <w:t xml:space="preserve">с на </w:t>
            </w:r>
            <w:hyperlink r:id="rId20" w:tooltip="mailto:perm-mail@ural.rt.ru" w:history="1">
              <w:r>
                <w:rPr>
                  <w:color w:val="auto"/>
                  <w:sz w:val="24"/>
                  <w:szCs w:val="24"/>
                  <w:u w:val="single"/>
                </w:rPr>
                <w:t xml:space="preserve">perm-mail@ural.rt.ru.</w:t>
              </w:r>
            </w:hyperlink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u w:val="none"/>
              </w:rPr>
            </w:pPr>
            <w:r>
              <w:rPr>
                <w:color w:val="000000"/>
                <w:sz w:val="24"/>
                <w:u w:val="none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val="000000"/>
                <w:sz w:val="24"/>
                <w:u w:val="none"/>
              </w:rPr>
              <w:t xml:space="preserve">ПАО «Ростелеком»   </w:t>
            </w:r>
            <w:r>
              <w:rPr>
                <w:sz w:val="24"/>
                <w:szCs w:val="24"/>
              </w:rPr>
              <w:t xml:space="preserve">16.01.2025 № 01/05/4851/25</w:t>
            </w:r>
            <w:r>
              <w:rPr>
                <w:b w:val="0"/>
                <w:bCs w:val="0"/>
                <w:color w:val="000000"/>
                <w:sz w:val="24"/>
                <w:u w:val="none"/>
              </w:rPr>
              <w:t xml:space="preserve">).</w:t>
            </w:r>
            <w:r>
              <w:rPr>
                <w:u w:val="none"/>
              </w:rPr>
            </w:r>
            <w:r>
              <w:rPr>
                <w:u w:val="none"/>
              </w:rPr>
            </w:r>
          </w:p>
          <w:p>
            <w:pPr>
              <w:pStyle w:val="796"/>
              <w:ind w:left="0" w:right="0" w:firstLine="311"/>
              <w:jc w:val="both"/>
              <w:spacing w:before="0" w:after="0"/>
              <w:rPr>
                <w:color w:val="000000"/>
                <w:sz w:val="24"/>
                <w:szCs w:val="24"/>
                <w:u w:val="none"/>
              </w:rPr>
            </w:pPr>
            <w:r>
              <w:rPr>
                <w:color w:val="000000"/>
                <w:sz w:val="24"/>
                <w:szCs w:val="24"/>
                <w:u w:val="none"/>
              </w:rPr>
            </w:r>
            <w:r>
              <w:rPr>
                <w:color w:val="000000"/>
                <w:sz w:val="24"/>
                <w:szCs w:val="24"/>
                <w:u w:val="none"/>
              </w:rPr>
            </w:r>
            <w:r>
              <w:rPr>
                <w:color w:val="000000"/>
                <w:sz w:val="24"/>
                <w:szCs w:val="24"/>
                <w:u w:val="none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(размер ежегодной арендной платы)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0"/>
            </w:pPr>
            <w:r>
              <w:rPr>
                <w:b w:val="0"/>
                <w:bCs w:val="0"/>
                <w:sz w:val="24"/>
                <w:szCs w:val="24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1 к настоящему извещению), победитель аукциона, иное лицо, с которым договор заключается в соответствии </w:t>
            </w:r>
            <w:r>
              <w:rPr>
                <w:b w:val="0"/>
                <w:bCs w:val="0"/>
                <w:sz w:val="24"/>
                <w:szCs w:val="24"/>
              </w:rPr>
              <w:t xml:space="preserve">с п.13, п.14, п. 20 или п. 25  ст. 39.12 Земельного Кодекса Российской Федерации (далее – ЗК РФ), обязан до подписания договора уплатить ежегодный размер арендной платы, указанный в п. 4.2 договора </w:t>
              <w:br/>
              <w:t xml:space="preserve">(за вычетом задатка, внесенного для участия </w:t>
              <w:br/>
              <w:t xml:space="preserve">в аукционе) </w:t>
            </w:r>
            <w:r>
              <w:rPr>
                <w:b/>
                <w:bCs/>
                <w:sz w:val="24"/>
                <w:szCs w:val="24"/>
              </w:rPr>
              <w:t xml:space="preserve">за 1 год </w:t>
            </w:r>
            <w:r>
              <w:rPr>
                <w:b w:val="0"/>
                <w:bCs w:val="0"/>
                <w:sz w:val="24"/>
                <w:szCs w:val="24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</w:t>
            </w:r>
            <w:r>
              <w:rPr>
                <w:b w:val="0"/>
                <w:bCs w:val="0"/>
                <w:sz w:val="24"/>
                <w:szCs w:val="24"/>
                <w:shd w:val="clear" w:color="auto" w:fill="auto"/>
              </w:rPr>
              <w:t xml:space="preserve">реквизиты которого указаны в проекте договора аренды земельного участка (Приложение 1 к настоящему извещению)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156 800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val="clear" w:color="auto" w:fill="auto"/>
              </w:rPr>
              <w:t xml:space="preserve">предмета аукциона)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7 840 </w:t>
            </w:r>
            <w:r>
              <w:rPr>
                <w:sz w:val="24"/>
                <w:szCs w:val="24"/>
              </w:rPr>
              <w:t xml:space="preserve">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left="113" w:right="113" w:firstLine="0"/>
              <w:jc w:val="left"/>
              <w:spacing w:before="0" w:after="0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заявки на участие в аукционе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 xml:space="preserve">в соответствии с законодательством иностранного государства </w:t>
              <w:br/>
              <w:t xml:space="preserve">в слу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  <w:r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r>
          </w:p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каждый лот представляется отдельный пакет документов.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96"/>
              <w:jc w:val="both"/>
              <w:rPr>
                <w:b/>
                <w:bCs/>
                <w:color w:val="000000"/>
                <w:sz w:val="24"/>
                <w:szCs w:val="24"/>
                <w:shd w:val="clear" w:color="auto" w:fill="auto"/>
                <w14:ligatures w14:val="none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auto"/>
              </w:rPr>
              <w:t xml:space="preserve">Решение о проведении аукциона принято в соответствии </w:t>
              <w:br/>
              <w:t xml:space="preserve">со статьей 39.11 Земельного кодекса Российской Федерации, аукцион является открытым по составу участников.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auto"/>
                <w14:ligatures w14:val="none"/>
              </w:rPr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auto"/>
                <w14:ligatures w14:val="none"/>
              </w:rPr>
            </w:r>
          </w:p>
        </w:tc>
      </w:tr>
      <w:tr>
        <w:tblPrEx/>
        <w:trPr>
          <w:trHeight w:val="2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val="clear" w:color="auto" w:fill="auto"/>
              </w:rPr>
              <w:t xml:space="preserve">предмета аукциона)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78 400 р</w:t>
            </w:r>
            <w:r>
              <w:rPr>
                <w:sz w:val="24"/>
                <w:szCs w:val="24"/>
              </w:rPr>
              <w:t xml:space="preserve">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3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аренды земельного участка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03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8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1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torgi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gov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gorodperm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4" w:type="dxa"/>
            <w:textDirection w:val="lrTb"/>
            <w:noWrap w:val="false"/>
          </w:tcPr>
          <w:p>
            <w:pPr>
              <w:pStyle w:val="703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на местности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64" w:type="dxa"/>
            <w:textDirection w:val="lrTb"/>
            <w:noWrap w:val="false"/>
          </w:tcPr>
          <w:p>
            <w:pPr>
              <w:pStyle w:val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самостоятельно в любое время с даты опубликования настоящего извещения.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703"/>
        <w:ind w:right="-263"/>
        <w:tabs>
          <w:tab w:val="clear" w:pos="708" w:leader="none"/>
          <w:tab w:val="left" w:pos="5103" w:leader="none"/>
        </w:tabs>
        <w:rPr>
          <w:rFonts w:eastAsia="Courier New"/>
          <w:b/>
          <w:bCs/>
          <w:highlight w:val="none"/>
          <w:lang w:bidi="ru-RU"/>
        </w:rPr>
      </w:pPr>
      <w:r>
        <w:rPr>
          <w:rFonts w:eastAsia="Courier New"/>
          <w:b/>
          <w:bCs/>
          <w:lang w:bidi="ru-RU"/>
        </w:rPr>
      </w:r>
      <w:r>
        <w:rPr>
          <w:rFonts w:eastAsia="Courier New"/>
          <w:b/>
          <w:bCs/>
          <w:highlight w:val="none"/>
          <w:lang w:bidi="ru-RU"/>
        </w:rPr>
      </w:r>
      <w:r>
        <w:rPr>
          <w:rFonts w:eastAsia="Courier New"/>
          <w:b/>
          <w:bCs/>
          <w:highlight w:val="none"/>
          <w:lang w:bidi="ru-RU"/>
        </w:rPr>
      </w:r>
    </w:p>
    <w:p>
      <w:pPr>
        <w:pStyle w:val="703"/>
        <w:contextualSpacing/>
        <w:ind w:left="0"/>
        <w:jc w:val="center"/>
        <w:spacing w:before="0" w:after="0"/>
        <w:widowControl w:val="off"/>
        <w:rPr>
          <w:rFonts w:eastAsia="Courier New"/>
          <w:b/>
          <w:bCs/>
          <w:highlight w:val="none"/>
          <w:lang w:bidi="ru-RU"/>
        </w:rPr>
      </w:pPr>
      <w:r>
        <w:rPr>
          <w:rFonts w:eastAsia="Courier New"/>
          <w:b/>
          <w:lang w:bidi="ru-RU"/>
        </w:rPr>
        <w:t xml:space="preserve">Сроки, время подачи заявок, рассмотрения заявок, проведения аукциона</w:t>
      </w:r>
      <w:r>
        <w:rPr>
          <w:rFonts w:eastAsia="Courier New"/>
          <w:b/>
          <w:bCs/>
          <w:highlight w:val="none"/>
          <w:lang w:bidi="ru-RU"/>
        </w:rPr>
      </w:r>
      <w:r>
        <w:rPr>
          <w:rFonts w:eastAsia="Courier New"/>
          <w:b/>
          <w:bCs/>
          <w:highlight w:val="none"/>
          <w:lang w:bidi="ru-RU"/>
        </w:rPr>
      </w:r>
    </w:p>
    <w:p>
      <w:pPr>
        <w:pStyle w:val="703"/>
        <w:contextualSpacing/>
        <w:ind w:left="567"/>
        <w:jc w:val="center"/>
        <w:spacing w:before="0" w:after="0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и время начала срока подачи заявок на участие в аукционе – 26.09.2026</w:t>
      </w:r>
      <w:r>
        <w:rPr>
          <w:rFonts w:eastAsia="Courier New"/>
          <w:lang w:bidi="ru-RU"/>
        </w:rPr>
        <w:t xml:space="preserve"> в 9:00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по местному времени (7:00 МСК).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 xml:space="preserve">Дата и время окончания срока подачи заявок на участие в аукционе – 20.10.2026</w:t>
      </w:r>
      <w:r>
        <w:rPr>
          <w:rFonts w:eastAsia="Courier New"/>
          <w:lang w:bidi="ru-RU"/>
        </w:rPr>
        <w:t xml:space="preserve">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 xml:space="preserve"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21.10.2026. </w:t>
      </w:r>
      <w:r>
        <w:rPr>
          <w:rFonts w:eastAsia="Courier New"/>
          <w:lang w:bidi="ru-RU"/>
        </w:rPr>
      </w:r>
      <w:r>
        <w:rPr>
          <w:rFonts w:eastAsia="Courier New"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  <w:r>
        <w:rPr>
          <w:rFonts w:eastAsia="Courier New"/>
          <w:b/>
          <w:bCs/>
          <w:lang w:bidi="ru-RU"/>
        </w:rPr>
      </w:r>
      <w:r>
        <w:rPr>
          <w:rFonts w:eastAsia="Courier New"/>
          <w:b/>
          <w:bCs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 xml:space="preserve">от участников аукциона) – 22.10</w:t>
      </w:r>
      <w:r>
        <w:rPr>
          <w:rFonts w:eastAsia="Courier New"/>
          <w:b/>
          <w:lang w:bidi="ru-RU"/>
        </w:rPr>
        <w:t xml:space="preserve">.2026</w:t>
      </w:r>
      <w:r>
        <w:rPr>
          <w:rFonts w:eastAsia="Courier New"/>
          <w:lang w:bidi="ru-RU"/>
        </w:rPr>
        <w:t xml:space="preserve"> в 09:00 по местному времени (07:00 МСК). </w:t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  <w:r>
        <w:rPr>
          <w:rFonts w:eastAsia="Courier New"/>
          <w:b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highlight w:val="none"/>
        </w:rPr>
      </w:pPr>
      <w:r>
        <w:rPr>
          <w:b/>
        </w:rPr>
        <w:t xml:space="preserve">Место подачи (приема) заявок и место проведения аукциона:</w:t>
      </w:r>
      <w:r>
        <w:t xml:space="preserve"> 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  <w:r>
        <w:rPr>
          <w:highlight w:val="none"/>
        </w:rPr>
      </w:r>
      <w:r>
        <w:rPr>
          <w:highlight w:val="none"/>
        </w:rPr>
      </w:r>
    </w:p>
    <w:p>
      <w:pPr>
        <w:pStyle w:val="703"/>
        <w:jc w:val="both"/>
        <w:widowControl w:val="off"/>
      </w:pPr>
      <w:r/>
      <w:r/>
    </w:p>
    <w:p>
      <w:pPr>
        <w:pStyle w:val="703"/>
        <w:ind w:left="-567" w:firstLine="709"/>
        <w:jc w:val="center"/>
        <w:widowControl w:val="off"/>
        <w:rPr>
          <w:b/>
        </w:rPr>
      </w:pPr>
      <w:r>
        <w:rPr>
          <w:b/>
        </w:rPr>
        <w:t xml:space="preserve">Плата оператору электронной площадки за участие в электронном аукционе</w:t>
      </w:r>
      <w:r>
        <w:rPr>
          <w:b/>
        </w:rPr>
      </w:r>
      <w:r>
        <w:rPr>
          <w:b/>
        </w:rPr>
      </w:r>
    </w:p>
    <w:p>
      <w:pPr>
        <w:pStyle w:val="703"/>
        <w:ind w:left="-567" w:firstLine="709"/>
        <w:jc w:val="center"/>
        <w:widowControl w:val="off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03"/>
        <w:ind w:left="-567" w:firstLine="709"/>
        <w:jc w:val="both"/>
        <w:widowControl w:val="off"/>
      </w:pPr>
      <w:r>
        <w:t xml:space="preserve">В соответствии с постановлением Правительства Российской Федерации от 10 мая 2018 г.</w:t>
      </w:r>
      <w:r>
        <w:br w:type="textWrapping" w:clear="all"/>
      </w:r>
      <w:r>
        <w:t xml:space="preserve">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</w:t>
      </w:r>
      <w:r>
        <w:t xml:space="preserve">роцедуры и установления ее предельных размеров» оператор электронной площадки вправе взимать плату с победителя аукциона или иного лица, с которыми в соответствии с пунктами 13, 14, 20 и 25 статьи 39.12 Земельного кодекса Российской Федерации заключается д</w:t>
      </w:r>
      <w:r>
        <w:t xml:space="preserve">оговор купли-продажи земельного участка, находящегося в государственной или муниципальной собственности, либо договор аренды такого участка, в размере 1% начальной цены предмета аукциона, но не более 5 тыс. рублей без учета налога на добавленную стоимость.</w:t>
      </w:r>
      <w:r/>
    </w:p>
    <w:p>
      <w:pPr>
        <w:pStyle w:val="703"/>
        <w:ind w:left="-567" w:firstLine="709"/>
        <w:jc w:val="both"/>
        <w:widowControl w:val="off"/>
      </w:pPr>
      <w:r>
        <w:t xml:space="preserve">По информации оператора электронной площадки АО «Сбербанк-АСТ» в настоящее время взимание платы не установлено.</w:t>
      </w:r>
      <w:r/>
    </w:p>
    <w:p>
      <w:pPr>
        <w:pStyle w:val="703"/>
        <w:ind w:left="-567" w:firstLine="709"/>
        <w:jc w:val="both"/>
        <w:widowControl w:val="off"/>
      </w:pPr>
      <w:r/>
      <w:r/>
    </w:p>
    <w:p>
      <w:pPr>
        <w:pStyle w:val="703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703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  <w:t xml:space="preserve">Размер задатка для участия в аукционе, порядок его внесения и возврата, реквизиты счета для перечисления задатка</w:t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703"/>
        <w:contextualSpacing/>
        <w:ind w:left="502"/>
        <w:jc w:val="center"/>
        <w:spacing w:before="0" w:after="0"/>
        <w:widowControl w:val="off"/>
        <w:rPr>
          <w:b/>
          <w:bCs/>
          <w:lang w:bidi="ru-RU"/>
        </w:rPr>
      </w:pPr>
      <w:r>
        <w:rPr>
          <w:b/>
          <w:bCs/>
          <w:lang w:bidi="ru-RU"/>
        </w:rPr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bCs/>
          <w:lang w:bidi="ru-RU"/>
        </w:rPr>
        <w:t xml:space="preserve">Заявители, зарегистриров</w:t>
      </w:r>
      <w:r>
        <w:rPr>
          <w:bCs/>
          <w:lang w:bidi="ru-RU"/>
        </w:rPr>
        <w:t xml:space="preserve">анные на электронной площадке в установленном порядке, </w:t>
        <w:br/>
        <w:t xml:space="preserve">до подачи заявки на участие в аукционе (далее – заявка), осуществляют перечисление суммы задатка на участие в аукционе на банковские реквизиты Оператора, размещенные в открытой части торговой секции. 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bCs/>
          <w:lang w:bidi="ru-RU"/>
        </w:rPr>
        <w:t xml:space="preserve">В момент подачи заявки Оператор проверяет наличие денежной суммы в размере задатка </w:t>
      </w:r>
      <w:r>
        <w:rPr>
          <w:bCs/>
          <w:lang w:bidi="ru-RU"/>
        </w:rPr>
        <w:br w:type="textWrapping" w:clear="all"/>
      </w:r>
      <w:r>
        <w:rPr>
          <w:bCs/>
          <w:lang w:bidi="ru-RU"/>
        </w:rPr>
        <w:t xml:space="preserve">на лицевом счете заявителя и осуществляет блокирование необходимой денежной суммы.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bCs/>
          <w:lang w:bidi="ru-RU"/>
        </w:rPr>
        <w:t xml:space="preserve">Представление документов, подтверждающих внесение задатка, признается заключением соглашения о задатке (п.2 ст. 39.12 Земельного кодекса Российской Федерации).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bCs/>
          <w:lang w:bidi="ru-RU"/>
        </w:rPr>
      </w:pPr>
      <w:r>
        <w:rPr>
          <w:bCs/>
          <w:lang w:bidi="ru-RU"/>
        </w:rPr>
        <w:t xml:space="preserve">Сумма задатка для участия в аукционе определяется в размере 50 процентов от начальной цены предмета аукциона. Размер задатка в извещении о проведении аукциона указан по каждому лоту.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b/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  <w:r>
        <w:rPr>
          <w:b/>
          <w:bCs/>
          <w:lang w:bidi="ru-RU"/>
        </w:rPr>
      </w:r>
      <w:r>
        <w:rPr>
          <w:b/>
          <w:bCs/>
          <w:lang w:bidi="ru-RU"/>
        </w:rPr>
      </w:r>
    </w:p>
    <w:p>
      <w:pPr>
        <w:pStyle w:val="703"/>
        <w:ind w:left="-567" w:firstLine="567"/>
        <w:jc w:val="both"/>
        <w:widowControl w:val="off"/>
        <w:rPr>
          <w:rFonts w:eastAsia="Calibri"/>
          <w:bCs/>
          <w:lang w:eastAsia="en-US"/>
        </w:rPr>
      </w:pPr>
      <w:r>
        <w:rPr>
          <w:b/>
          <w:bCs/>
          <w:lang w:bidi="ru-RU"/>
        </w:rPr>
        <w:t xml:space="preserve">Задаток перечисляется на реквизиты Оператора электронной площадки (</w:t>
      </w:r>
      <w:hyperlink r:id="rId21" w:tooltip="http://utp.sberbank-ast.ru/AP/Notice/653/Requisites" w:history="1">
        <w:r>
          <w:rPr>
            <w:rStyle w:val="786"/>
            <w:b/>
            <w:bCs/>
            <w:lang w:bidi="ru-RU"/>
          </w:rPr>
          <w:t xml:space="preserve">http://utp.sberbank-ast.ru/AP/Notice/653/Requisites</w:t>
        </w:r>
      </w:hyperlink>
      <w:r>
        <w:rPr>
          <w:b/>
          <w:bCs/>
          <w:lang w:bidi="ru-RU"/>
        </w:rPr>
        <w:t xml:space="preserve">).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pStyle w:val="703"/>
        <w:spacing w:line="240" w:lineRule="exac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Получатель: АО «Сбербанк-АСТ»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pStyle w:val="703"/>
        <w:spacing w:line="240" w:lineRule="exac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ИНН: 7707308480, КПП: 770401001, 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pStyle w:val="703"/>
        <w:spacing w:line="240" w:lineRule="exact"/>
      </w:pPr>
      <w:r>
        <w:rPr>
          <w:rFonts w:eastAsia="Calibri"/>
          <w:bCs/>
          <w:lang w:eastAsia="en-US"/>
        </w:rPr>
        <w:t xml:space="preserve">Банк получателя: ПАО «СБЕРБАНК РОССИИ» Г. МОСКВА</w:t>
      </w:r>
      <w:r/>
    </w:p>
    <w:p>
      <w:pPr>
        <w:pStyle w:val="703"/>
        <w:spacing w:line="240" w:lineRule="exact"/>
        <w:rPr>
          <w:rFonts w:eastAsia="Calibri"/>
          <w:bCs/>
          <w:lang w:eastAsia="en-US"/>
        </w:rPr>
      </w:pPr>
      <w:r>
        <w:t xml:space="preserve">Расчетный счет: </w:t>
      </w:r>
      <w:r>
        <w:rPr>
          <w:rFonts w:eastAsia="Calibri"/>
          <w:bCs/>
          <w:lang w:eastAsia="en-US"/>
        </w:rPr>
        <w:t xml:space="preserve">40702810300020038047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pStyle w:val="703"/>
        <w:spacing w:line="240" w:lineRule="exac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БИК: 044525225</w:t>
      </w: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pStyle w:val="703"/>
        <w:spacing w:line="240" w:lineRule="exact"/>
        <w:rPr>
          <w:bCs/>
          <w:lang w:bidi="ru-RU"/>
        </w:rPr>
      </w:pPr>
      <w:r>
        <w:rPr>
          <w:rFonts w:eastAsia="Calibri"/>
          <w:bCs/>
          <w:lang w:eastAsia="en-US"/>
        </w:rPr>
        <w:t xml:space="preserve">Корреспондентский счет: 30101810400000000225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703"/>
        <w:ind w:left="-567" w:firstLine="567"/>
        <w:jc w:val="both"/>
        <w:widowControl w:val="off"/>
        <w:rPr>
          <w:b/>
        </w:rPr>
      </w:pPr>
      <w:r>
        <w:rPr>
          <w:bCs/>
          <w:lang w:bidi="ru-RU"/>
        </w:rPr>
        <w:t xml:space="preserve">В платёжном поручении в части «Назначение платежа» необходимо указать: Задаток по лоту  № ___, ИНН плательщика. НДС не облагается.</w:t>
      </w:r>
      <w:r>
        <w:rPr>
          <w:b/>
        </w:rPr>
      </w:r>
      <w:r>
        <w:rPr>
          <w:b/>
        </w:rPr>
      </w:r>
    </w:p>
    <w:p>
      <w:pPr>
        <w:pStyle w:val="703"/>
        <w:ind w:left="-567" w:firstLine="567"/>
        <w:jc w:val="both"/>
        <w:widowControl w:val="off"/>
        <w:rPr>
          <w:bCs/>
          <w:lang w:bidi="ru-RU"/>
        </w:rPr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 xml:space="preserve">Оператора</w:t>
      </w:r>
      <w:r>
        <w:rPr>
          <w:b/>
        </w:rPr>
        <w:t xml:space="preserve">: </w:t>
      </w:r>
      <w:r>
        <w:rPr>
          <w:b/>
        </w:rPr>
        <w:br w:type="textWrapping" w:clear="all"/>
      </w:r>
      <w:r>
        <w:rPr>
          <w:bCs/>
          <w:lang w:bidi="ru-RU"/>
        </w:rPr>
        <w:t xml:space="preserve">c 26.09.2026 по 20.10.2026.</w:t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bCs/>
          <w:lang w:bidi="ru-RU"/>
        </w:rPr>
      </w:pPr>
      <w:r>
        <w:rPr>
          <w:bCs/>
          <w:lang w:bidi="ru-RU"/>
        </w:rPr>
      </w:r>
      <w:r>
        <w:rPr>
          <w:bCs/>
          <w:lang w:bidi="ru-RU"/>
        </w:rPr>
      </w:r>
      <w:r>
        <w:rPr>
          <w:bCs/>
          <w:lang w:bidi="ru-RU"/>
        </w:rPr>
      </w:r>
    </w:p>
    <w:p>
      <w:pPr>
        <w:pStyle w:val="703"/>
        <w:ind w:left="-567" w:firstLine="709"/>
        <w:jc w:val="center"/>
        <w:widowControl w:val="off"/>
        <w:rPr>
          <w:b/>
          <w:lang w:bidi="ru-RU"/>
        </w:rPr>
      </w:pPr>
      <w:r>
        <w:rPr>
          <w:b/>
          <w:lang w:bidi="ru-RU"/>
        </w:rPr>
        <w:t xml:space="preserve">Порядок возврата задатка:</w:t>
      </w:r>
      <w:r>
        <w:rPr>
          <w:b/>
          <w:lang w:bidi="ru-RU"/>
        </w:rPr>
      </w:r>
      <w:r>
        <w:rPr>
          <w:b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b/>
          <w:lang w:bidi="ru-RU"/>
        </w:rPr>
      </w:pPr>
      <w:r>
        <w:rPr>
          <w:b/>
          <w:lang w:bidi="ru-RU"/>
        </w:rPr>
      </w:r>
      <w:r>
        <w:rPr>
          <w:b/>
          <w:lang w:bidi="ru-RU"/>
        </w:rPr>
      </w:r>
      <w:r>
        <w:rPr>
          <w:b/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lang w:bidi="ru-RU"/>
        </w:rPr>
      </w:pPr>
      <w:r>
        <w:rPr>
          <w:bCs/>
          <w:lang w:bidi="ru-RU"/>
        </w:rPr>
        <w:t xml:space="preserve">Задаток возвращается лицам, участвовавшим в аукционе, но не победившим в нем, в течение трех ра</w:t>
      </w:r>
      <w:r>
        <w:rPr>
          <w:bCs/>
          <w:shd w:val="clear" w:color="auto" w:fill="auto"/>
          <w:lang w:bidi="ru-RU"/>
        </w:rPr>
        <w:t xml:space="preserve">бочих дней со дня подписания протокола о результатах аукциона, </w:t>
      </w:r>
      <w:r>
        <w:rPr>
          <w:b w:val="0"/>
          <w:bCs/>
          <w:shd w:val="clear" w:color="auto" w:fill="auto"/>
          <w:lang w:bidi="ru-RU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  <w:r>
        <w:rPr>
          <w:lang w:bidi="ru-RU"/>
        </w:rPr>
      </w:r>
      <w:r>
        <w:rPr>
          <w:lang w:bidi="ru-RU"/>
        </w:rPr>
      </w:r>
    </w:p>
    <w:p>
      <w:pPr>
        <w:pStyle w:val="703"/>
        <w:contextualSpacing/>
        <w:ind w:left="-567" w:firstLine="567"/>
        <w:jc w:val="both"/>
        <w:spacing w:before="0" w:after="0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  <w:lang w:bidi="ru-RU"/>
        </w:rPr>
        <w:t xml:space="preserve">Заявителю, не допущенному к участию в аукционе, внесенный им задаток возвращается </w:t>
      </w:r>
      <w:r>
        <w:rPr>
          <w:shd w:val="clear" w:color="auto" w:fill="auto"/>
          <w:lang w:bidi="ru-RU"/>
        </w:rPr>
        <w:br w:type="textWrapping" w:clear="all"/>
      </w:r>
      <w:r>
        <w:rPr>
          <w:shd w:val="clear" w:color="auto" w:fill="auto"/>
          <w:lang w:bidi="ru-RU"/>
        </w:rPr>
        <w:t xml:space="preserve">в течение трех рабочих дней со дня оформления протокола рассмотрения заявок на участие в аукционе.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  <w:lang w:bidi="ru-RU"/>
        </w:rPr>
        <w:t xml:space="preserve">Оператор прекращает блокирование в отношении денежных средств участников аукциона, заблокированных в размере задатко</w:t>
      </w:r>
      <w:r>
        <w:rPr>
          <w:shd w:val="clear" w:color="auto" w:fill="auto"/>
          <w:lang w:bidi="ru-RU"/>
        </w:rPr>
        <w:t xml:space="preserve">в на их лицевых счетах на электронной площадке после публикации протокола о результатах аукциона, за исключением единственного заявителя, признанного участником аукциона, победителя аукциона, единственного принявшего участие </w:t>
        <w:br/>
        <w:t xml:space="preserve">в аукционе участника, а также </w:t>
      </w:r>
      <w:r>
        <w:rPr>
          <w:b w:val="0"/>
          <w:shd w:val="clear" w:color="auto" w:fill="auto"/>
          <w:lang w:bidi="ru-RU"/>
        </w:rPr>
        <w:t xml:space="preserve">участника аукциона, который сделал предпоследнее предложение о цене предмета аукциона.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  <w:lang w:bidi="ru-RU"/>
        </w:rPr>
        <w:t xml:space="preserve">Организатор аукциона посредством штатного интерфейса торговой секции </w:t>
      </w:r>
      <w:r>
        <w:rPr>
          <w:shd w:val="clear" w:color="auto" w:fill="auto"/>
          <w:lang w:bidi="ru-RU"/>
        </w:rPr>
        <w:br w:type="textWrapping" w:clear="all"/>
      </w:r>
      <w:r>
        <w:rPr>
          <w:shd w:val="clear" w:color="auto" w:fill="auto"/>
          <w:lang w:bidi="ru-RU"/>
        </w:rPr>
        <w:t xml:space="preserve">в установленные сроки формирует поручение Оператору: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  <w:lang w:bidi="ru-RU"/>
        </w:rPr>
        <w:t xml:space="preserve">- о</w:t>
      </w:r>
      <w:r>
        <w:rPr>
          <w:shd w:val="clear" w:color="auto" w:fill="auto"/>
          <w:lang w:bidi="ru-RU"/>
        </w:rPr>
        <w:t xml:space="preserve">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пунктами 13, 14, 20 или 25 ст. 39.12 Земельного кодекса Российской </w:t>
      </w:r>
      <w:r>
        <w:rPr>
          <w:bCs/>
          <w:shd w:val="clear" w:color="auto" w:fill="auto"/>
          <w:lang w:bidi="ru-RU"/>
        </w:rPr>
        <w:t xml:space="preserve">Федерации, засчитываются 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jc w:val="both"/>
        <w:spacing w:line="276" w:lineRule="auto"/>
        <w:widowControl w:val="off"/>
        <w:rPr>
          <w:bCs/>
          <w:highlight w:val="none"/>
          <w:shd w:val="clear" w:color="auto" w:fill="auto"/>
          <w:lang w:bidi="ru-RU"/>
        </w:rPr>
      </w:pPr>
      <w:r>
        <w:rPr>
          <w:bCs/>
          <w:shd w:val="clear" w:color="auto" w:fill="auto"/>
          <w:lang w:bidi="ru-RU"/>
        </w:rPr>
      </w:r>
      <w:r>
        <w:rPr>
          <w:bCs/>
          <w:highlight w:val="none"/>
          <w:shd w:val="clear" w:color="auto" w:fill="auto"/>
          <w:lang w:bidi="ru-RU"/>
        </w:rPr>
      </w:r>
      <w:r>
        <w:rPr>
          <w:bCs/>
          <w:highlight w:val="none"/>
          <w:shd w:val="clear" w:color="auto" w:fill="auto"/>
          <w:lang w:bidi="ru-RU"/>
        </w:rPr>
      </w:r>
    </w:p>
    <w:p>
      <w:pPr>
        <w:pStyle w:val="703"/>
        <w:jc w:val="center"/>
        <w:widowControl w:val="off"/>
        <w:rPr>
          <w:highlight w:val="none"/>
          <w:shd w:val="clear" w:color="auto" w:fill="auto"/>
        </w:rPr>
      </w:pPr>
      <w:r>
        <w:rPr>
          <w:b/>
          <w:shd w:val="clear" w:color="auto" w:fill="auto"/>
        </w:rPr>
        <w:t xml:space="preserve">Организатор аукциона вправе: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jc w:val="center"/>
        <w:widowControl w:val="off"/>
        <w:rPr>
          <w:rFonts w:eastAsia="Courier New"/>
          <w:highlight w:val="none"/>
          <w:shd w:val="clear" w:color="auto" w:fill="auto"/>
          <w:lang w:bidi="ru-RU"/>
        </w:rPr>
      </w:pPr>
      <w:r>
        <w:rPr>
          <w:rFonts w:eastAsia="Courier New"/>
          <w:shd w:val="clear" w:color="auto" w:fill="auto"/>
          <w:lang w:bidi="ru-RU"/>
        </w:rPr>
      </w:r>
      <w:r>
        <w:rPr>
          <w:rFonts w:eastAsia="Courier New"/>
          <w:highlight w:val="none"/>
          <w:shd w:val="clear" w:color="auto" w:fill="auto"/>
          <w:lang w:bidi="ru-RU"/>
        </w:rPr>
      </w:r>
      <w:r>
        <w:rPr>
          <w:rFonts w:eastAsia="Courier New"/>
          <w:highlight w:val="none"/>
          <w:shd w:val="clear" w:color="auto" w:fill="auto"/>
          <w:lang w:bidi="ru-RU"/>
        </w:rPr>
      </w:r>
    </w:p>
    <w:p>
      <w:pPr>
        <w:pStyle w:val="796"/>
        <w:ind w:left="-567" w:firstLine="709"/>
        <w:jc w:val="both"/>
        <w:widowControl w:val="off"/>
        <w:rPr>
          <w:highlight w:val="none"/>
          <w:shd w:val="clear" w:color="auto" w:fill="auto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Не позднее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0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Информация о внесении изменений в извещение</w:t>
        <w:br/>
        <w:t xml:space="preserve">о проведении аукциона размещается на официальных сайтах </w:t>
      </w:r>
      <w:r>
        <w:rPr>
          <w:rFonts w:eastAsia="Droid Sans Fallback" w:cs="Lohit Devanagari"/>
          <w:b w:val="0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www.torgi.gov.ru,  www.gorodperm.ru.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96"/>
        <w:ind w:left="-567" w:firstLine="709"/>
        <w:jc w:val="both"/>
        <w:widowControl w:val="off"/>
        <w:rPr>
          <w:highlight w:val="none"/>
          <w:shd w:val="clear" w:color="auto" w:fill="auto"/>
        </w:rPr>
      </w:pPr>
      <w:r>
        <w:rPr>
          <w:rFonts w:eastAsia="Droid Sans Fallback" w:cs="Lohit Devanagari"/>
          <w:b w:val="0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В случае, если за один рабочий день до даты окончания приема заявок на участие в аукционе не поступило ни од</w:t>
      </w:r>
      <w:r>
        <w:rPr>
          <w:rFonts w:eastAsia="Droid Sans Fallback" w:cs="Lohit Devanagari"/>
          <w:b w:val="0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ной заявки, организатор аукциона до момента окончания срока подачи заявок </w:t>
        <w:br/>
        <w:t xml:space="preserve">на участие в аукционе может принять решение о продлении срока подачи заявок в соответствии </w:t>
        <w:br/>
        <w:t xml:space="preserve">с правилами, предусмотренными п. 22.1  ст. 39.11 Земельного кодекса Российской Федерации.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</w:pPr>
      <w:r>
        <w:rPr>
          <w:shd w:val="clear" w:color="auto" w:fill="auto"/>
        </w:rPr>
        <w:t xml:space="preserve">В соответствии с п. 4 ст. 448 Гражданского кодекса Российской Федерации отказаться </w:t>
      </w:r>
      <w:r>
        <w:br w:type="textWrapping" w:clear="all"/>
      </w:r>
      <w:r>
        <w:t xml:space="preserve">от проведения аукциона в любое время, но не позднее чем за три дня до наступления даты </w:t>
      </w:r>
      <w:r>
        <w:br w:type="textWrapping" w:clear="all"/>
      </w:r>
      <w:r>
        <w:t xml:space="preserve">его проведения, указанной в извещении </w:t>
      </w:r>
      <w:r>
        <w:rPr>
          <w:shd w:val="clear" w:color="auto" w:fill="auto"/>
        </w:rPr>
        <w:t xml:space="preserve">о проведении аукциона. </w:t>
      </w:r>
      <w:r/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jc w:val="center"/>
        <w:widowControl w:val="off"/>
        <w:rPr>
          <w:highlight w:val="none"/>
          <w:shd w:val="clear" w:color="auto" w:fill="auto"/>
        </w:rPr>
      </w:pPr>
      <w:r>
        <w:rPr>
          <w:b/>
          <w:shd w:val="clear" w:color="auto" w:fill="auto"/>
        </w:rPr>
        <w:t xml:space="preserve">Организатор аукциона обязан: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Извещение об отказе в проведении аукциона размещается организатором аукциона на официальных сайтах  </w:t>
      </w:r>
      <w:r>
        <w:rPr>
          <w:rFonts w:eastAsia="Droid Sans Fallback" w:cs="Lohit Devanagari"/>
          <w:b w:val="0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www.torgi.gov.ru,  www.gorodperm.ru </w:t>
      </w:r>
      <w:r>
        <w:rPr>
          <w:shd w:val="clear" w:color="auto" w:fill="auto"/>
        </w:rPr>
        <w:t xml:space="preserve"> и на электронной площадке в течение трех дней со дня принятия данного решения.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 случае отказа от проведения аукциона организатором (в т. ч. одного или нескольких лотов) Оператор в течение одного часа прекращает блокирование денежных средств участников аукциона в размере задатка на их лицевых счетах на электронной площадке.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502"/>
        <w:jc w:val="center"/>
        <w:widowControl w:val="off"/>
        <w:rPr>
          <w:rFonts w:eastAsia="Courier New"/>
          <w:b/>
          <w:bCs/>
          <w:highlight w:val="none"/>
          <w:shd w:val="clear" w:color="auto" w:fill="auto"/>
          <w:lang w:bidi="ru-RU"/>
        </w:rPr>
      </w:pPr>
      <w:r>
        <w:rPr>
          <w:rFonts w:eastAsia="Courier New"/>
          <w:b/>
          <w:shd w:val="clear" w:color="auto" w:fill="auto"/>
          <w:lang w:bidi="ru-RU"/>
        </w:rPr>
        <w:t xml:space="preserve">Порядок регистрации на электронной площадке</w:t>
      </w:r>
      <w:r>
        <w:rPr>
          <w:rFonts w:eastAsia="Courier New"/>
          <w:b/>
          <w:bCs/>
          <w:highlight w:val="none"/>
          <w:shd w:val="clear" w:color="auto" w:fill="auto"/>
          <w:lang w:bidi="ru-RU"/>
        </w:rPr>
      </w:r>
      <w:r>
        <w:rPr>
          <w:rFonts w:eastAsia="Courier New"/>
          <w:b/>
          <w:bCs/>
          <w:highlight w:val="none"/>
          <w:shd w:val="clear" w:color="auto" w:fill="auto"/>
          <w:lang w:bidi="ru-RU"/>
        </w:rPr>
      </w:r>
    </w:p>
    <w:p>
      <w:pPr>
        <w:pStyle w:val="703"/>
        <w:ind w:left="-567" w:firstLine="709"/>
        <w:jc w:val="both"/>
        <w:widowControl w:val="off"/>
        <w:rPr>
          <w:rFonts w:eastAsia="Courier New"/>
          <w:b/>
          <w:bCs/>
          <w:highlight w:val="none"/>
          <w:shd w:val="clear" w:color="auto" w:fill="auto"/>
          <w:lang w:bidi="ru-RU"/>
        </w:rPr>
      </w:pPr>
      <w:r>
        <w:rPr>
          <w:rFonts w:eastAsia="Courier New"/>
          <w:b/>
          <w:bCs/>
          <w:shd w:val="clear" w:color="auto" w:fill="auto"/>
          <w:lang w:bidi="ru-RU"/>
        </w:rPr>
      </w:r>
      <w:r>
        <w:rPr>
          <w:rFonts w:eastAsia="Courier New"/>
          <w:b/>
          <w:bCs/>
          <w:highlight w:val="none"/>
          <w:shd w:val="clear" w:color="auto" w:fill="auto"/>
          <w:lang w:bidi="ru-RU"/>
        </w:rPr>
      </w:r>
      <w:r>
        <w:rPr>
          <w:rFonts w:eastAsia="Courier New"/>
          <w:b/>
          <w:bCs/>
          <w:highlight w:val="none"/>
          <w:shd w:val="clear" w:color="auto" w:fill="auto"/>
          <w:lang w:bidi="ru-RU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Регистрация на электронной площадке проводится в соответствии с регламентом электронной площадки.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26</w:t>
      </w:r>
      <w:r>
        <w:rPr>
          <w:bCs/>
          <w:lang w:bidi="ru-RU"/>
        </w:rPr>
        <w:t xml:space="preserve">.09.2026 по 20.10.2026</w:t>
      </w:r>
      <w:r>
        <w:rPr>
          <w:bCs/>
          <w:shd w:val="clear" w:color="auto" w:fill="auto"/>
          <w:lang w:bidi="ru-RU"/>
        </w:rPr>
        <w:t xml:space="preserve"> с 9.00 до 18.00 по местному времени (7:00 – 16:00 МСК).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33"/>
        <w:jc w:val="center"/>
        <w:rPr>
          <w:highlight w:val="none"/>
          <w:shd w:val="clear" w:color="auto" w:fill="auto"/>
        </w:rPr>
      </w:pPr>
      <w:r>
        <w:rPr>
          <w:b/>
          <w:color w:val="000000"/>
          <w:shd w:val="clear" w:color="auto" w:fill="auto"/>
        </w:rPr>
        <w:t xml:space="preserve">Разъяснение положений извещения о проведении аукциона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00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На этапе приема заявок любое заинтересованное лицо вправе не позднее 10 календарных дней до окончания срока п</w:t>
      </w:r>
      <w:r>
        <w:rPr>
          <w:bCs/>
          <w:shd w:val="clear" w:color="auto" w:fill="auto"/>
          <w:lang w:bidi="ru-RU"/>
        </w:rPr>
        <w:t xml:space="preserve">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</w:t>
        <w:br/>
        <w:t xml:space="preserve">не рассматриваются.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800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bCs/>
          <w:shd w:val="clear" w:color="auto" w:fill="auto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709"/>
        <w:jc w:val="both"/>
        <w:spacing w:line="276" w:lineRule="auto"/>
        <w:widowControl w:val="off"/>
        <w:rPr>
          <w:bCs/>
          <w:highlight w:val="none"/>
          <w:shd w:val="clear" w:color="auto" w:fill="auto"/>
          <w:lang w:bidi="ru-RU"/>
        </w:rPr>
      </w:pPr>
      <w:r>
        <w:rPr>
          <w:bCs/>
          <w:shd w:val="clear" w:color="auto" w:fill="auto"/>
          <w:lang w:bidi="ru-RU"/>
        </w:rPr>
      </w:r>
      <w:r>
        <w:rPr>
          <w:bCs/>
          <w:highlight w:val="none"/>
          <w:shd w:val="clear" w:color="auto" w:fill="auto"/>
          <w:lang w:bidi="ru-RU"/>
        </w:rPr>
      </w:r>
      <w:r>
        <w:rPr>
          <w:bCs/>
          <w:highlight w:val="none"/>
          <w:shd w:val="clear" w:color="auto" w:fill="auto"/>
          <w:lang w:bidi="ru-RU"/>
        </w:rPr>
      </w:r>
    </w:p>
    <w:p>
      <w:pPr>
        <w:pStyle w:val="703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/>
          <w:bCs/>
          <w:shd w:val="clear" w:color="auto" w:fill="auto"/>
        </w:rPr>
        <w:t xml:space="preserve">Требования к содержанию и составу заявки на участие в аукционе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b/>
          <w:bCs/>
          <w:highlight w:val="none"/>
          <w:shd w:val="clear" w:color="auto" w:fill="auto"/>
        </w:rPr>
        <w:outlineLvl w:val="0"/>
      </w:pPr>
      <w:r>
        <w:rPr>
          <w:b/>
          <w:bCs/>
          <w:shd w:val="clear" w:color="auto" w:fill="auto"/>
        </w:rPr>
      </w:r>
      <w:r>
        <w:rPr>
          <w:b/>
          <w:bCs/>
          <w:highlight w:val="none"/>
          <w:shd w:val="clear" w:color="auto" w:fill="auto"/>
        </w:rPr>
      </w:r>
      <w:r>
        <w:rPr>
          <w:b/>
          <w:bCs/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</w:pPr>
      <w:r>
        <w:rPr>
          <w:rFonts w:eastAsia="Courier New"/>
          <w:shd w:val="clear" w:color="auto" w:fill="auto"/>
          <w:lang w:bidi="ru-RU"/>
        </w:rPr>
        <w:t xml:space="preserve">Для участия в аукционе заявители представляют в установленный в извещении </w:t>
      </w:r>
      <w:r>
        <w:rPr>
          <w:rFonts w:eastAsia="Courier New"/>
          <w:shd w:val="clear" w:color="auto" w:fill="auto"/>
          <w:lang w:bidi="ru-RU"/>
        </w:rPr>
        <w:br w:type="textWrapping" w:clear="all"/>
      </w:r>
      <w:r>
        <w:rPr>
          <w:rFonts w:eastAsia="Courier New"/>
          <w:shd w:val="clear" w:color="auto" w:fill="auto"/>
          <w:lang w:bidi="ru-RU"/>
        </w:rPr>
        <w:t xml:space="preserve">о проведении аукциона срок следующие документы:</w:t>
      </w:r>
      <w:r/>
    </w:p>
    <w:p>
      <w:pPr>
        <w:pStyle w:val="703"/>
        <w:jc w:val="both"/>
      </w:pPr>
      <w:r>
        <w:rPr>
          <w:rFonts w:eastAsia="Calibri"/>
          <w:shd w:val="clear" w:color="auto" w:fill="auto"/>
        </w:rPr>
        <w:t xml:space="preserve">1) копии документов, удостоверяющих личность заявителя (для граждан), всех страниц;</w:t>
      </w:r>
      <w:r/>
    </w:p>
    <w:p>
      <w:pPr>
        <w:pStyle w:val="703"/>
        <w:ind w:left="-567" w:firstLine="567"/>
        <w:jc w:val="both"/>
      </w:pPr>
      <w:r>
        <w:rPr>
          <w:rFonts w:eastAsia="Calibri"/>
          <w:shd w:val="clear" w:color="auto" w:fill="auto"/>
        </w:rPr>
        <w:t xml:space="preserve">2) надлежащим образом заверенный перевод на русский язык документов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/>
    </w:p>
    <w:p>
      <w:pPr>
        <w:pStyle w:val="703"/>
        <w:jc w:val="both"/>
      </w:pPr>
      <w:r>
        <w:rPr>
          <w:rFonts w:eastAsia="Calibri"/>
          <w:shd w:val="clear" w:color="auto" w:fill="auto"/>
        </w:rPr>
        <w:t xml:space="preserve">3) документы, подтверждающие внесение задатка.</w:t>
      </w:r>
      <w:r/>
    </w:p>
    <w:p>
      <w:pPr>
        <w:pStyle w:val="703"/>
        <w:jc w:val="both"/>
        <w:rPr>
          <w:rFonts w:eastAsia="Calibri"/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</w:r>
      <w:r>
        <w:rPr>
          <w:rFonts w:eastAsia="Calibri"/>
          <w:highlight w:val="none"/>
          <w:shd w:val="clear" w:color="auto" w:fill="auto"/>
        </w:rPr>
      </w:r>
      <w:r>
        <w:rPr>
          <w:rFonts w:eastAsia="Calibri"/>
          <w:highlight w:val="none"/>
          <w:shd w:val="clear" w:color="auto" w:fill="auto"/>
        </w:rPr>
      </w:r>
    </w:p>
    <w:p>
      <w:pPr>
        <w:pStyle w:val="703"/>
        <w:ind w:firstLine="708"/>
        <w:jc w:val="center"/>
        <w:rPr>
          <w:highlight w:val="none"/>
          <w:shd w:val="clear" w:color="auto" w:fill="auto"/>
        </w:rPr>
      </w:pPr>
      <w:r>
        <w:rPr>
          <w:b/>
          <w:shd w:val="clear" w:color="auto" w:fill="auto"/>
        </w:rPr>
        <w:t xml:space="preserve">Инструкция по заполнению и подаче заявки, порядок приема заявки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firstLine="708"/>
        <w:jc w:val="center"/>
        <w:rPr>
          <w:b/>
          <w:highlight w:val="none"/>
          <w:shd w:val="clear" w:color="auto" w:fill="auto"/>
        </w:rPr>
      </w:pPr>
      <w:r>
        <w:rPr>
          <w:b/>
          <w:shd w:val="clear" w:color="auto" w:fill="auto"/>
        </w:rPr>
      </w:r>
      <w:r>
        <w:rPr>
          <w:b/>
          <w:highlight w:val="none"/>
          <w:shd w:val="clear" w:color="auto" w:fill="auto"/>
        </w:rPr>
      </w:r>
      <w:r>
        <w:rPr>
          <w:b/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Заявка на участие в электронном аукционе с указанием банко</w:t>
      </w:r>
      <w:r>
        <w:rPr>
          <w:shd w:val="clear" w:color="auto" w:fill="auto"/>
        </w:rPr>
        <w:t xml:space="preserve">вских реквизитов счета для возврата задатка направляется оператору электронной площадки в форме электронного документа </w:t>
        <w:br/>
        <w:t xml:space="preserve">с приложением документов, указанных в подпунктах 2 - 4 пункта 1, пункте 1.1 статьи 39.12 Земельного кодекса Российской Федерации (копии </w:t>
      </w:r>
      <w:r>
        <w:rPr>
          <w:b w:val="0"/>
          <w:shd w:val="clear" w:color="auto" w:fill="auto"/>
        </w:rPr>
        <w:t xml:space="preserve">документов, удостоверяющих личность заявителя (для граждан); </w:t>
      </w:r>
      <w:r>
        <w:rPr>
          <w:b w:val="0"/>
        </w:rPr>
        <w:t xml:space="preserve">надлежащим образом заверенн</w:t>
      </w:r>
      <w:r>
        <w:rPr>
          <w:b w:val="0"/>
        </w:rPr>
        <w:t xml:space="preserve">ый перевод на русский язык документов</w:t>
        <w:br/>
        <w:t xml:space="preserve"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</w:rPr>
      </w:pPr>
      <w:r>
        <w:rPr>
          <w:sz w:val="24"/>
          <w:szCs w:val="24"/>
        </w:rPr>
        <w:t xml:space="preserve">На каждый лот представляется отдельный пакет документов.</w:t>
      </w:r>
      <w:r>
        <w:rPr>
          <w:highlight w:val="none"/>
        </w:rPr>
      </w:r>
      <w:r>
        <w:rPr>
          <w:highlight w:val="none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Заполнение заявки осуществляется в соответствии с порядком, определенным регламентом электронной площадки АО «Сбербанк-АСТ».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Все документы и сведения, связанные с получением регистрации на универсальной торговой пла</w:t>
      </w:r>
      <w:r>
        <w:rPr>
          <w:shd w:val="clear" w:color="auto" w:fill="auto"/>
        </w:rPr>
        <w:t xml:space="preserve">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 Регламента Универсальной торговой платформы).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Заявка подается в виде электронного документа, подписанного электронной подписью заявителя (п. 3.2.2. Регламента торговой секции).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Заявитель заполняет электронную форму заявки, при</w:t>
      </w:r>
      <w:r>
        <w:rPr>
          <w:shd w:val="clear" w:color="auto" w:fill="auto"/>
        </w:rPr>
        <w:t xml:space="preserve">кладывает предусмотренные извещением </w:t>
        <w:br/>
        <w:t xml:space="preserve">о проведении аукциона файлы документов (при необходимости). Документы и сведения</w:t>
        <w:br/>
        <w:t xml:space="preserve">из регистрационных дан</w:t>
      </w:r>
      <w:r>
        <w:rPr>
          <w:shd w:val="clear" w:color="auto" w:fill="auto"/>
        </w:rPr>
        <w:t xml:space="preserve">ных заявителя на универсальной торговой платформе, актуальные на дату</w:t>
        <w:br/>
        <w:t xml:space="preserve">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Подача заявки осуществляется заявителем, зарегистрированным в торговой секции,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из личного кабинета посредством штатного интерфейса отдельно по каждому лоту в сроки, установленные в извещении о проведении аукциона.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Заявитель вправе подать заявку в любое время с момента размещения извещения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о проведении аукциона до предусмотренных указанным извещением даты и времени окончания срока подачи заявок.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Один заявитель вправе подать только одну заявку на участие в аукционе в отношении каждого лота.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Заявка на участие в аукционе, поступившая по истечении срока приема заявок, возвращается заявителю в день ее поступления.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Участие в аукционе возможно при наличии на лицевом счете заявителя денежных средств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в размере не менее чем размер задатка на участие в аукционе, предусмотренный извещением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о проведении аукциона.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Все документы, входящие в состав заявки, должны иметь четко читаемый текст.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Заявка предоставляется организатору аукциона через Оператора.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0" w:firstLine="0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Заявка не может быть принята Оператором в случае: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а) отсутствия на лицевом счете заявителя достаточной суммы денежных средств</w:t>
      </w:r>
      <w:r>
        <w:rPr>
          <w:bCs/>
          <w:shd w:val="clear" w:color="auto" w:fill="auto"/>
        </w:rPr>
        <w:br w:type="textWrapping" w:clear="all"/>
      </w:r>
      <w:r>
        <w:rPr>
          <w:bCs/>
          <w:shd w:val="clear" w:color="auto" w:fill="auto"/>
        </w:rPr>
        <w:t xml:space="preserve">в размере задатка;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0" w:firstLine="0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в) подачи заявки по истечении установленного срока подачи заявок;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г) некорректного заполнения формы заявки, в том числе незаполнения полей, являющихся обязательными для заполнения.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enter" w:pos="284" w:leader="none"/>
          <w:tab w:val="clear" w:pos="708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Заявителям, признанным участниками аукциона, и з</w:t>
      </w:r>
      <w:r>
        <w:rPr>
          <w:bCs/>
          <w:shd w:val="clear" w:color="auto" w:fill="auto"/>
        </w:rPr>
        <w:t xml:space="preserve">аявителям, не допущенным к участию</w:t>
        <w:br/>
        <w:t xml:space="preserve">в аукционе, оператор электронной площадки направляет в электронной форме уведомления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spacing w:line="276" w:lineRule="auto"/>
        <w:tabs>
          <w:tab w:val="center" w:pos="284" w:leader="none"/>
          <w:tab w:val="clear" w:pos="708" w:leader="none"/>
        </w:tabs>
        <w:rPr>
          <w:bCs/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</w:r>
      <w:r>
        <w:rPr>
          <w:bCs/>
          <w:highlight w:val="none"/>
          <w:shd w:val="clear" w:color="auto" w:fill="auto"/>
        </w:rPr>
      </w:r>
      <w:r>
        <w:rPr>
          <w:bCs/>
          <w:highlight w:val="none"/>
          <w:shd w:val="clear" w:color="auto" w:fill="auto"/>
        </w:rPr>
      </w:r>
    </w:p>
    <w:p>
      <w:pPr>
        <w:pStyle w:val="703"/>
        <w:ind w:left="502"/>
        <w:jc w:val="center"/>
        <w:widowControl w:val="off"/>
        <w:rPr>
          <w:highlight w:val="none"/>
          <w:shd w:val="clear" w:color="auto" w:fill="auto"/>
        </w:rPr>
      </w:pPr>
      <w:r>
        <w:rPr>
          <w:b/>
          <w:bCs/>
          <w:shd w:val="clear" w:color="auto" w:fill="auto"/>
          <w:lang w:bidi="ru-RU"/>
        </w:rPr>
        <w:t xml:space="preserve">Порядок и срок изменения, отзыва заявки на участие в аукционе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502"/>
        <w:widowControl w:val="off"/>
        <w:rPr>
          <w:b/>
          <w:bCs/>
          <w:highlight w:val="none"/>
          <w:shd w:val="clear" w:color="auto" w:fill="auto"/>
          <w:lang w:bidi="ru-RU"/>
        </w:rPr>
      </w:pPr>
      <w:r>
        <w:rPr>
          <w:b/>
          <w:bCs/>
          <w:shd w:val="clear" w:color="auto" w:fill="auto"/>
          <w:lang w:bidi="ru-RU"/>
        </w:rPr>
      </w:r>
      <w:r>
        <w:rPr>
          <w:b/>
          <w:bCs/>
          <w:highlight w:val="none"/>
          <w:shd w:val="clear" w:color="auto" w:fill="auto"/>
          <w:lang w:bidi="ru-RU"/>
        </w:rPr>
      </w:r>
      <w:r>
        <w:rPr>
          <w:b/>
          <w:bCs/>
          <w:highlight w:val="none"/>
          <w:shd w:val="clear" w:color="auto" w:fill="auto"/>
          <w:lang w:bidi="ru-RU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Заявитель имеет право отозвать принятую организатором аукциона заявку на участие</w:t>
      </w:r>
      <w:r>
        <w:rPr>
          <w:shd w:val="clear" w:color="auto" w:fill="auto"/>
        </w:rPr>
        <w:br w:type="textWrapping" w:clear="all"/>
      </w:r>
      <w:r>
        <w:rPr>
          <w:shd w:val="clear" w:color="auto" w:fill="auto"/>
        </w:rPr>
        <w:t xml:space="preserve">в аукционе до дня окончания срока приема заявок, путем направлен</w:t>
      </w:r>
      <w:r>
        <w:rPr>
          <w:shd w:val="clear" w:color="auto" w:fill="auto"/>
        </w:rPr>
        <w:t xml:space="preserve">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Заявителю вн</w:t>
      </w:r>
      <w:r>
        <w:rPr>
          <w:shd w:val="clear" w:color="auto" w:fill="auto"/>
        </w:rPr>
        <w:t xml:space="preserve">есенный им задаток возвращается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jc w:val="center"/>
        <w:rPr>
          <w:highlight w:val="none"/>
          <w:shd w:val="clear" w:color="auto" w:fill="auto"/>
        </w:rPr>
      </w:pPr>
      <w:r>
        <w:rPr>
          <w:b/>
          <w:bCs/>
          <w:shd w:val="clear" w:color="auto" w:fill="auto"/>
        </w:rPr>
        <w:t xml:space="preserve">Определение участников аукциона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jc w:val="center"/>
        <w:rPr>
          <w:b/>
          <w:bCs/>
          <w:highlight w:val="none"/>
          <w:shd w:val="clear" w:color="auto" w:fill="auto"/>
        </w:rPr>
      </w:pPr>
      <w:r>
        <w:rPr>
          <w:b/>
          <w:bCs/>
          <w:shd w:val="clear" w:color="auto" w:fill="auto"/>
        </w:rPr>
      </w:r>
      <w:r>
        <w:rPr>
          <w:b/>
          <w:bCs/>
          <w:highlight w:val="none"/>
          <w:shd w:val="clear" w:color="auto" w:fill="auto"/>
        </w:rPr>
      </w:r>
      <w:r>
        <w:rPr>
          <w:b/>
          <w:bCs/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bCs/>
          <w:shd w:val="clear" w:color="auto" w:fill="auto"/>
        </w:rPr>
        <w:t xml:space="preserve">По результатам рассмотрения заявок комиссия принимает решение о допуске заявителей </w:t>
      </w:r>
      <w:r>
        <w:rPr>
          <w:bCs/>
          <w:shd w:val="clear" w:color="auto" w:fill="auto"/>
        </w:rPr>
        <w:br w:type="textWrapping" w:clear="all"/>
      </w:r>
      <w:r>
        <w:rPr>
          <w:bCs/>
          <w:shd w:val="clear" w:color="auto" w:fill="auto"/>
        </w:rPr>
        <w:t xml:space="preserve">к участию в аукционе или об отказе в допуске к участию в аукционе.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jc w:val="both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Заявитель не допускается к участию в аукционе в следующих случаях: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z w:val="20"/>
          <w:shd w:val="clear" w:color="auto" w:fill="auto"/>
        </w:rPr>
        <w:t xml:space="preserve">1) </w:t>
      </w:r>
      <w:r>
        <w:rPr>
          <w:shd w:val="clear" w:color="auto" w:fill="auto"/>
        </w:rPr>
        <w:t xml:space="preserve">непредставление необходимых для участия в аукционе документов или представление недостоверных сведений;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2) непоступление задатка на дату рассмотрения заявок на участие в аукционе;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3) подача зая</w:t>
      </w:r>
      <w:r>
        <w:rPr>
          <w:shd w:val="clear" w:color="auto" w:fill="auto"/>
        </w:rPr>
        <w:t xml:space="preserve">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</w:t>
        <w:br/>
        <w:t xml:space="preserve">в аренду;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4) наличие свед</w:t>
      </w:r>
      <w:r>
        <w:rPr>
          <w:shd w:val="clear" w:color="auto" w:fill="auto"/>
        </w:rPr>
        <w:t xml:space="preserve">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В день при</w:t>
      </w:r>
      <w:r>
        <w:rPr>
          <w:shd w:val="clear" w:color="auto" w:fill="auto"/>
        </w:rPr>
        <w:t xml:space="preserve">знания заявителей участниками аукциона, указанный в извещении </w:t>
        <w:br/>
        <w:t xml:space="preserve"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Заявитель приобретает статус участника аукциона с момента подписания протокола рассмотрения заявок.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shd w:val="clear" w:color="auto" w:fill="auto"/>
        </w:rPr>
        <w:t xml:space="preserve">Не позднее следующего рабочего дня п</w:t>
      </w:r>
      <w:r>
        <w:rPr>
          <w:shd w:val="clear" w:color="auto" w:fill="auto"/>
        </w:rPr>
        <w:t xml:space="preserve">осле дня подписания протокола рассмотрения заявок, всем заявителям оператором электронной площадки направляется в личные кабинеты уведомления </w:t>
        <w:br/>
        <w:t xml:space="preserve">о признании их участниками аукциона или об отказе в признании участниками аукциона с указанием оснований отказа.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96"/>
        <w:ind w:left="-567" w:firstLine="567"/>
        <w:jc w:val="both"/>
        <w:widowControl w:val="off"/>
        <w:rPr>
          <w:highlight w:val="none"/>
          <w:shd w:val="clear" w:color="auto" w:fill="auto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В случае, если по окончании срока подачи заявок на участие в аукционе не подано ни одной заявки на участие в аукционе, подана только одна 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заявка на участие в аукционе либо по результатам рассмотрения заявок на участие в аукционе принято решение об отказе в допуске к участию </w:t>
        <w:br/>
        <w:t xml:space="preserve">в аукционе всех заявителей или о допуске к участию в аукционе и признании участником аукциона только одного заявителя,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</w:t>
        <w:br/>
        <w:t xml:space="preserve">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емельного кодекса Российской Федерации.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widowControl w:val="off"/>
        <w:rPr>
          <w:rFonts w:ascii="Times New Roman" w:hAnsi="Times New Roman" w:eastAsia="Droid Sans Fallback" w:cs="Lohit Devanagari"/>
          <w:color w:val="auto"/>
          <w:sz w:val="24"/>
          <w:szCs w:val="24"/>
          <w:highlight w:val="none"/>
          <w:shd w:val="clear" w:color="auto" w:fill="auto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val="clear" w:color="auto" w:fill="auto"/>
          <w:lang w:val="ru-RU" w:eastAsia="zh-CN" w:bidi="ar-SA"/>
        </w:rPr>
      </w:r>
      <w:r>
        <w:rPr>
          <w:rFonts w:ascii="Times New Roman" w:hAnsi="Times New Roman" w:eastAsia="Droid Sans Fallback" w:cs="Lohit Devanagari"/>
          <w:color w:val="auto"/>
          <w:sz w:val="24"/>
          <w:szCs w:val="24"/>
          <w:highlight w:val="none"/>
          <w:shd w:val="clear" w:color="auto" w:fill="auto"/>
          <w:lang w:val="ru-RU" w:eastAsia="zh-CN" w:bidi="ar-SA"/>
        </w:rPr>
      </w:r>
      <w:r>
        <w:rPr>
          <w:rFonts w:ascii="Times New Roman" w:hAnsi="Times New Roman" w:eastAsia="Droid Sans Fallback" w:cs="Lohit Devanagari"/>
          <w:color w:val="auto"/>
          <w:sz w:val="24"/>
          <w:szCs w:val="24"/>
          <w:highlight w:val="none"/>
          <w:shd w:val="clear" w:color="auto" w:fill="auto"/>
          <w:lang w:val="ru-RU" w:eastAsia="zh-CN" w:bidi="ar-SA"/>
        </w:rPr>
      </w:r>
    </w:p>
    <w:p>
      <w:pPr>
        <w:pStyle w:val="703"/>
        <w:jc w:val="center"/>
        <w:rPr>
          <w:highlight w:val="none"/>
          <w:shd w:val="clear" w:color="auto" w:fill="auto"/>
        </w:rPr>
      </w:pPr>
      <w:r>
        <w:rPr>
          <w:b/>
          <w:bCs/>
          <w:shd w:val="clear" w:color="auto" w:fill="auto"/>
        </w:rPr>
        <w:t xml:space="preserve">Порядок проведения аукциона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502"/>
        <w:jc w:val="center"/>
        <w:widowControl w:val="off"/>
        <w:rPr>
          <w:rFonts w:eastAsia="Courier New"/>
          <w:b/>
          <w:bCs/>
          <w:highlight w:val="none"/>
          <w:shd w:val="clear" w:color="auto" w:fill="auto"/>
          <w:lang w:bidi="ru-RU"/>
        </w:rPr>
      </w:pPr>
      <w:r>
        <w:rPr>
          <w:rFonts w:eastAsia="Courier New"/>
          <w:b/>
          <w:bCs/>
          <w:shd w:val="clear" w:color="auto" w:fill="auto"/>
          <w:lang w:bidi="ru-RU"/>
        </w:rPr>
      </w:r>
      <w:r>
        <w:rPr>
          <w:rFonts w:eastAsia="Courier New"/>
          <w:b/>
          <w:bCs/>
          <w:highlight w:val="none"/>
          <w:shd w:val="clear" w:color="auto" w:fill="auto"/>
          <w:lang w:bidi="ru-RU"/>
        </w:rPr>
      </w:r>
      <w:r>
        <w:rPr>
          <w:rFonts w:eastAsia="Courier New"/>
          <w:b/>
          <w:bCs/>
          <w:highlight w:val="none"/>
          <w:shd w:val="clear" w:color="auto" w:fill="auto"/>
          <w:lang w:bidi="ru-RU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5% от начальной цены предмета аукциона</w:t>
      </w:r>
      <w:r>
        <w:rPr>
          <w:rFonts w:eastAsia="Calibri"/>
          <w:shd w:val="clear" w:color="auto" w:fill="auto"/>
        </w:rPr>
        <w:t xml:space="preserve">, и не изменяется в течение всего времени подачи предложений о цене.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 ходе проведения аукциона участники аукциона подают предложения о цене предмета аукциона в соответствии со следующими требованиями: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1) предложение о цене предмета аукциона увеличивает текущее максимальное предложение 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о цене предмета аукциона на величину «шага аукциона»;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Время для подачи предложений о цене аукциона определяется в следующем порядке: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Время ожидания предложения участника аукциона о цене предмета аукциона составляет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10 (десять) минут. При поступлении предложения участ</w:t>
      </w:r>
      <w:r>
        <w:rPr>
          <w:rFonts w:eastAsia="Calibri"/>
          <w:shd w:val="clear" w:color="auto" w:fill="auto"/>
        </w:rPr>
        <w:t xml:space="preserve">ника аукциона</w:t>
        <w:br/>
        <w:t xml:space="preserve"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Срок для подачи предложений о цене обновляется автоматически после улучшения текущего предложения о цене. Время срока подачи предложений </w:t>
      </w:r>
      <w:r>
        <w:rPr>
          <w:rFonts w:eastAsia="Calibri"/>
          <w:shd w:val="clear" w:color="auto" w:fill="auto"/>
        </w:rPr>
        <w:t xml:space="preserve">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в момент его поступления и соответствующее уведомление участника аукциона, в случаях, если: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предложение о цене аукциона предоставлено до начала или по истечении установленного времени для подачи предложений о цене аукциона;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представленное предложение о цене аукциона ниже начальной цены;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представленное предложение о цене аукциона равно нулю;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представленное предложение о цене аукциона не соответствует увеличению текущей цены на величину «шага аукциона»;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предыдущее представленное данным участником аукциона предложение о цене аукциона является лучшим текущим предложением о цене;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- представленное участником аукциона предложение о цене аукциона меньше ранее представленных предложений.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Победителем аукциона признается участник аукциона, предложивший наибольшую цену</w:t>
      </w:r>
      <w:r>
        <w:rPr>
          <w:rFonts w:eastAsia="Calibri"/>
          <w:shd w:val="clear" w:color="auto" w:fill="auto"/>
        </w:rPr>
        <w:br w:type="textWrapping" w:clear="all"/>
      </w:r>
      <w:r>
        <w:rPr>
          <w:rFonts w:eastAsia="Calibri"/>
          <w:shd w:val="clear" w:color="auto" w:fill="auto"/>
        </w:rPr>
        <w:t xml:space="preserve">за земельный участок или наибольший размер ежегодной арендной платы за земельный участок.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  <w:t xml:space="preserve"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rFonts w:eastAsia="Calibri"/>
          <w:highlight w:val="none"/>
          <w:shd w:val="clear" w:color="auto" w:fill="auto"/>
        </w:rPr>
      </w:pPr>
      <w:r>
        <w:rPr>
          <w:rFonts w:eastAsia="Calibri"/>
          <w:shd w:val="clear" w:color="auto" w:fill="auto"/>
        </w:rPr>
      </w:r>
      <w:r>
        <w:rPr>
          <w:rFonts w:eastAsia="Calibri"/>
          <w:highlight w:val="none"/>
          <w:shd w:val="clear" w:color="auto" w:fill="auto"/>
        </w:rPr>
      </w:r>
      <w:r>
        <w:rPr>
          <w:rFonts w:eastAsia="Calibri"/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0" w:firstLine="0"/>
        <w:jc w:val="center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/>
          <w:bCs/>
          <w:shd w:val="clear" w:color="auto" w:fill="auto"/>
        </w:rPr>
        <w:t xml:space="preserve">Порядок и срок заключения договора</w:t>
      </w:r>
      <w:r>
        <w:rPr>
          <w:b/>
          <w:bCs/>
          <w:shd w:val="clear" w:color="auto" w:fill="auto"/>
        </w:rPr>
        <w:br w:type="textWrapping" w:clear="all"/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По результатам проведения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</w:t>
        <w:br/>
        <w:t xml:space="preserve">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val="clear" w:color="auto" w:fill="auto"/>
          <w:lang w:val="ru-RU" w:eastAsia="zh-CN" w:bidi="ar-SA"/>
        </w:rPr>
        <w:t xml:space="preserve">ли аукцион признан несостоявшимся, либо протокола о результатах аукциона на официальных сайтах www.torgi.gov.ru,  www.gorodperm.ru.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</w:t>
      </w:r>
      <w:r>
        <w:rPr>
          <w:bCs/>
          <w:shd w:val="clear" w:color="auto" w:fill="auto"/>
        </w:rPr>
        <w:t xml:space="preserve"> направить победителю аукциона или иным лицам, с которыми в соответствии</w:t>
        <w:br/>
        <w:t xml:space="preserve">с пунктами 13, 14, 20 и 25 статьи 39.12 Земельного кодекса Российской Федерации заключается  договор аренды земельного участка, подписанный проект договора  аренды земельного участка.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lear" w:pos="708" w:leader="none"/>
          <w:tab w:val="center" w:pos="5076" w:leader="none"/>
        </w:tabs>
        <w:rPr>
          <w:highlight w:val="none"/>
          <w:shd w:val="clear" w:color="auto" w:fill="auto"/>
        </w:rPr>
        <w:outlineLvl w:val="0"/>
      </w:pPr>
      <w:r>
        <w:rPr>
          <w:bCs/>
          <w:shd w:val="clear" w:color="auto" w:fill="auto"/>
        </w:rPr>
        <w:t xml:space="preserve">По результатам проведения аукциона договор аренды земельного участка заключается</w:t>
        <w:br/>
        <w:t xml:space="preserve">в электронной форме и подписывается усиленной квалифицированной электронной подписью сторон такого договора.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bCs/>
          <w:shd w:val="clear" w:color="auto" w:fill="auto"/>
        </w:rPr>
        <w:t xml:space="preserve">Проект договора является частью извещения и представлен в Приложении 1к настоящему извещению.</w:t>
        <w:tab/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ind w:left="-567" w:firstLine="567"/>
        <w:jc w:val="both"/>
        <w:rPr>
          <w:highlight w:val="none"/>
          <w:shd w:val="clear" w:color="auto" w:fill="auto"/>
        </w:rPr>
      </w:pPr>
      <w:r>
        <w:rPr>
          <w:bCs/>
          <w:shd w:val="clear" w:color="auto" w:fill="auto"/>
        </w:rPr>
        <w:t xml:space="preserve">Если договор аренды земельного участка </w:t>
      </w:r>
      <w:r>
        <w:rPr>
          <w:b w:val="0"/>
          <w:bCs/>
          <w:shd w:val="clear" w:color="auto" w:fill="auto"/>
        </w:rPr>
        <w:t xml:space="preserve">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</w:t>
      </w:r>
      <w:r>
        <w:rPr>
          <w:b w:val="0"/>
          <w:bCs/>
          <w:shd w:val="clear" w:color="auto" w:fill="auto"/>
        </w:rPr>
        <w:t xml:space="preserve">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703"/>
        <w:numPr>
          <w:ilvl w:val="0"/>
          <w:numId w:val="0"/>
        </w:numPr>
        <w:ind w:left="-567" w:firstLine="567"/>
        <w:jc w:val="both"/>
        <w:tabs>
          <w:tab w:val="center" w:pos="567" w:leader="none"/>
          <w:tab w:val="clear" w:pos="708" w:leader="none"/>
        </w:tabs>
        <w:rPr>
          <w:highlight w:val="none"/>
          <w:shd w:val="clear" w:color="auto" w:fill="auto"/>
        </w:rPr>
        <w:outlineLvl w:val="0"/>
      </w:pPr>
      <w:r>
        <w:rPr>
          <w:rFonts w:eastAsia="Courier New"/>
          <w:shd w:val="clear" w:color="auto" w:fill="auto"/>
          <w:lang w:bidi="ru-RU"/>
        </w:rPr>
        <w:t xml:space="preserve">Сведения о победителях аукционов, уклонившихся от заключения договора  аренды земельного участка, являющегося предмето</w:t>
      </w:r>
      <w:r>
        <w:rPr>
          <w:rFonts w:eastAsia="Courier New"/>
          <w:shd w:val="clear" w:color="auto" w:fill="auto"/>
          <w:lang w:bidi="ru-RU"/>
        </w:rPr>
        <w:t xml:space="preserve">м аукциона,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заключения, включаются в реестр недобросовестных участников аукциона.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420" w:right="567" w:bottom="1134" w:left="1418" w:header="363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alibri">
    <w:panose1 w:val="020F0502020204030204"/>
  </w:font>
  <w:font w:name="Verdana">
    <w:panose1 w:val="020B0604030504040204"/>
  </w:font>
  <w:font w:name="Tahoma">
    <w:panose1 w:val="020B0604030504040204"/>
  </w:font>
  <w:font w:name="Open Sans">
    <w:panose1 w:val="020B0606030504020204"/>
  </w:font>
  <w:font w:name="Calibri Light">
    <w:panose1 w:val="020F0502020204030204"/>
  </w:font>
  <w:font w:name="Symbol">
    <w:panose1 w:val="05010000000000000000"/>
  </w:font>
  <w:font w:name="Arial">
    <w:panose1 w:val="020B0604020202020204"/>
  </w:font>
  <w:font w:name="Droid Sans Fallback">
    <w:panose1 w:val="020B0502000000000001"/>
  </w:font>
  <w:font w:name="Courier New">
    <w:panose1 w:val="02070309020205020404"/>
  </w:font>
  <w:font w:name="Lohit Devanagari">
    <w:panose1 w:val="020B0600000000000000"/>
  </w:font>
  <w:font w:name="Consultant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1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 xml:space="preserve">2</w:t>
    </w:r>
    <w:r>
      <w:rPr>
        <w:sz w:val="20"/>
        <w:szCs w:val="28"/>
      </w:rPr>
      <w:fldChar w:fldCharType="end"/>
    </w:r>
    <w:r>
      <w:rPr>
        <w:sz w:val="20"/>
        <w:szCs w:val="28"/>
      </w:rPr>
    </w:r>
    <w:r>
      <w:rPr>
        <w:sz w:val="20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0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pStyle w:val="709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4"/>
        <w:szCs w:val="24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  <w:color w:val="000000"/>
        <w:sz w:val="24"/>
        <w:szCs w:val="24"/>
        <w:u w:val="none"/>
        <w:lang w:val="ru-RU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  <w:sz w:val="24"/>
        <w:szCs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  <w:sz w:val="24"/>
        <w:szCs w:val="24"/>
        <w:lang w:val="ru-RU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  <w:lang w:bidi="ru-RU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  <w:lang w:eastAsia="en-U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  <w:bCs/>
        <w:lang w:eastAsia="en-US" w:bidi="ru-RU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  <w:b/>
        <w:bCs/>
        <w:lang w:bidi="ru-RU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4"/>
        <w:szCs w:val="24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  <w:color w:val="000000"/>
        <w:sz w:val="24"/>
        <w:szCs w:val="24"/>
        <w:u w:val="none"/>
        <w:lang w:val="ru-RU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  <w:sz w:val="24"/>
        <w:szCs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  <w:sz w:val="24"/>
        <w:szCs w:val="24"/>
        <w:lang w:val="ru-RU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  <w:lang w:bidi="ru-RU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  <w:lang w:eastAsia="en-U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  <w:bCs/>
        <w:lang w:eastAsia="en-US" w:bidi="ru-RU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  <w:b/>
        <w:bCs/>
        <w:lang w:bidi="ru-RU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  <w:color w:val="000000"/>
        <w:sz w:val="24"/>
        <w:szCs w:val="24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  <w:color w:val="000000"/>
        <w:sz w:val="24"/>
        <w:szCs w:val="24"/>
        <w:u w:val="none"/>
        <w:lang w:val="ru-RU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  <w:sz w:val="24"/>
        <w:szCs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  <w:sz w:val="24"/>
        <w:szCs w:val="24"/>
        <w:lang w:val="ru-RU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  <w:lang w:bidi="ru-RU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  <w:lang w:eastAsia="en-U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  <w:bCs/>
        <w:lang w:eastAsia="en-US" w:bidi="ru-RU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  <w:b/>
        <w:bCs/>
        <w:lang w:bidi="ru-RU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Lohit Devanaga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3" w:default="1">
    <w:name w:val="Normal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4"/>
      <w:szCs w:val="24"/>
      <w:lang w:val="ru-RU" w:eastAsia="zh-CN" w:bidi="ar-SA"/>
    </w:rPr>
  </w:style>
  <w:style w:type="paragraph" w:styleId="704">
    <w:name w:val="Heading 1"/>
    <w:basedOn w:val="703"/>
    <w:qFormat/>
    <w:pPr>
      <w:numPr>
        <w:ilvl w:val="0"/>
        <w:numId w:val="1"/>
      </w:numPr>
      <w:jc w:val="center"/>
      <w:keepNext/>
      <w:outlineLvl w:val="0"/>
    </w:pPr>
    <w:rPr>
      <w:b/>
      <w:sz w:val="28"/>
      <w:szCs w:val="20"/>
    </w:rPr>
  </w:style>
  <w:style w:type="paragraph" w:styleId="705">
    <w:name w:val="Heading 2"/>
    <w:basedOn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9">
    <w:name w:val="Heading 6"/>
    <w:basedOn w:val="703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10">
    <w:name w:val="Heading 7"/>
    <w:basedOn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1 Char"/>
    <w:basedOn w:val="730"/>
    <w:uiPriority w:val="9"/>
    <w:qFormat/>
    <w:rPr>
      <w:rFonts w:ascii="Arial" w:hAnsi="Arial" w:eastAsia="Arial" w:cs="Arial"/>
      <w:sz w:val="40"/>
      <w:szCs w:val="40"/>
    </w:rPr>
  </w:style>
  <w:style w:type="character" w:styleId="714">
    <w:name w:val="Heading 2 Char"/>
    <w:basedOn w:val="730"/>
    <w:uiPriority w:val="9"/>
    <w:qFormat/>
    <w:rPr>
      <w:rFonts w:ascii="Arial" w:hAnsi="Arial" w:eastAsia="Arial" w:cs="Arial"/>
      <w:sz w:val="34"/>
    </w:rPr>
  </w:style>
  <w:style w:type="character" w:styleId="715">
    <w:name w:val="Heading 3 Char"/>
    <w:basedOn w:val="730"/>
    <w:uiPriority w:val="9"/>
    <w:qFormat/>
    <w:rPr>
      <w:rFonts w:ascii="Arial" w:hAnsi="Arial" w:eastAsia="Arial" w:cs="Arial"/>
      <w:sz w:val="30"/>
      <w:szCs w:val="30"/>
    </w:rPr>
  </w:style>
  <w:style w:type="character" w:styleId="716">
    <w:name w:val="Heading 4 Char"/>
    <w:basedOn w:val="73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17">
    <w:name w:val="Heading 5 Char"/>
    <w:basedOn w:val="730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18">
    <w:name w:val="Heading 6 Char"/>
    <w:basedOn w:val="73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9">
    <w:name w:val="Heading 7 Char"/>
    <w:basedOn w:val="73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0">
    <w:name w:val="Heading 8 Char"/>
    <w:basedOn w:val="73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21">
    <w:name w:val="Heading 9 Char"/>
    <w:basedOn w:val="73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22">
    <w:name w:val="Title Char"/>
    <w:basedOn w:val="730"/>
    <w:uiPriority w:val="10"/>
    <w:qFormat/>
    <w:rPr>
      <w:sz w:val="48"/>
      <w:szCs w:val="48"/>
    </w:rPr>
  </w:style>
  <w:style w:type="character" w:styleId="723">
    <w:name w:val="Subtitle Char"/>
    <w:basedOn w:val="730"/>
    <w:uiPriority w:val="11"/>
    <w:qFormat/>
    <w:rPr>
      <w:sz w:val="24"/>
      <w:szCs w:val="24"/>
    </w:rPr>
  </w:style>
  <w:style w:type="character" w:styleId="724">
    <w:name w:val="Quote Char"/>
    <w:uiPriority w:val="29"/>
    <w:qFormat/>
    <w:rPr>
      <w:i/>
    </w:rPr>
  </w:style>
  <w:style w:type="character" w:styleId="725">
    <w:name w:val="Intense Quote Char"/>
    <w:uiPriority w:val="30"/>
    <w:qFormat/>
    <w:rPr>
      <w:i/>
    </w:rPr>
  </w:style>
  <w:style w:type="character" w:styleId="726">
    <w:name w:val="Header Char"/>
    <w:basedOn w:val="730"/>
    <w:uiPriority w:val="99"/>
    <w:qFormat/>
  </w:style>
  <w:style w:type="character" w:styleId="727">
    <w:name w:val="Caption Char"/>
    <w:uiPriority w:val="99"/>
    <w:qFormat/>
  </w:style>
  <w:style w:type="character" w:styleId="728">
    <w:name w:val="Footnote Text Char"/>
    <w:uiPriority w:val="99"/>
    <w:qFormat/>
    <w:rPr>
      <w:sz w:val="18"/>
    </w:rPr>
  </w:style>
  <w:style w:type="character" w:styleId="729">
    <w:name w:val="Endnote Text Char"/>
    <w:uiPriority w:val="99"/>
    <w:qFormat/>
    <w:rPr>
      <w:sz w:val="20"/>
    </w:rPr>
  </w:style>
  <w:style w:type="character" w:styleId="730" w:default="1">
    <w:name w:val="Default Paragraph Font"/>
    <w:uiPriority w:val="1"/>
    <w:semiHidden/>
    <w:unhideWhenUsed/>
    <w:qFormat/>
  </w:style>
  <w:style w:type="character" w:styleId="73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73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73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73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Заголовок Знак1"/>
    <w:uiPriority w:val="10"/>
    <w:qFormat/>
    <w:rPr>
      <w:sz w:val="48"/>
      <w:szCs w:val="48"/>
    </w:rPr>
  </w:style>
  <w:style w:type="character" w:styleId="741" w:customStyle="1">
    <w:name w:val="Подзаголовок Знак"/>
    <w:uiPriority w:val="11"/>
    <w:qFormat/>
    <w:rPr>
      <w:sz w:val="24"/>
      <w:szCs w:val="24"/>
    </w:rPr>
  </w:style>
  <w:style w:type="character" w:styleId="742" w:customStyle="1">
    <w:name w:val="Цитата 2 Знак"/>
    <w:uiPriority w:val="29"/>
    <w:qFormat/>
    <w:rPr>
      <w:i/>
    </w:rPr>
  </w:style>
  <w:style w:type="character" w:styleId="743" w:customStyle="1">
    <w:name w:val="Выделенная цитата Знак"/>
    <w:uiPriority w:val="30"/>
    <w:qFormat/>
    <w:rPr>
      <w:i/>
    </w:rPr>
  </w:style>
  <w:style w:type="character" w:styleId="744" w:customStyle="1">
    <w:name w:val="Верхний колонтитул Знак1"/>
    <w:uiPriority w:val="99"/>
    <w:qFormat/>
  </w:style>
  <w:style w:type="character" w:styleId="745" w:customStyle="1">
    <w:name w:val="Footer Char"/>
    <w:uiPriority w:val="99"/>
    <w:qFormat/>
  </w:style>
  <w:style w:type="character" w:styleId="746" w:customStyle="1">
    <w:name w:val="Нижний колонтитул Знак1"/>
    <w:uiPriority w:val="99"/>
    <w:qFormat/>
  </w:style>
  <w:style w:type="character" w:styleId="747" w:customStyle="1">
    <w:name w:val="Текст сноски Знак"/>
    <w:uiPriority w:val="99"/>
    <w:qFormat/>
    <w:rPr>
      <w:sz w:val="18"/>
    </w:rPr>
  </w:style>
  <w:style w:type="character" w:styleId="748">
    <w:name w:val="Символ сноски"/>
    <w:uiPriority w:val="99"/>
    <w:unhideWhenUsed/>
    <w:qFormat/>
    <w:rPr>
      <w:vertAlign w:val="superscript"/>
    </w:rPr>
  </w:style>
  <w:style w:type="character" w:styleId="749">
    <w:name w:val="footnote reference"/>
    <w:rPr>
      <w:vertAlign w:val="superscript"/>
    </w:rPr>
  </w:style>
  <w:style w:type="character" w:styleId="750" w:customStyle="1">
    <w:name w:val="Текст концевой сноски Знак"/>
    <w:uiPriority w:val="99"/>
    <w:qFormat/>
    <w:rPr>
      <w:sz w:val="20"/>
    </w:rPr>
  </w:style>
  <w:style w:type="character" w:styleId="75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752">
    <w:name w:val="endnote reference"/>
    <w:rPr>
      <w:vertAlign w:val="superscript"/>
    </w:rPr>
  </w:style>
  <w:style w:type="character" w:styleId="753" w:customStyle="1">
    <w:name w:val="WW8Num2z0"/>
    <w:qFormat/>
    <w:rPr>
      <w:rFonts w:ascii="Symbol" w:hAnsi="Symbol" w:cs="Symbol"/>
    </w:rPr>
  </w:style>
  <w:style w:type="character" w:styleId="754" w:customStyle="1">
    <w:name w:val="WW8Num3z0"/>
    <w:qFormat/>
  </w:style>
  <w:style w:type="character" w:styleId="755" w:customStyle="1">
    <w:name w:val="WW8Num4z0"/>
    <w:qFormat/>
  </w:style>
  <w:style w:type="character" w:styleId="756" w:customStyle="1">
    <w:name w:val="WW8Num5z0"/>
    <w:qFormat/>
    <w:rPr>
      <w:sz w:val="16"/>
      <w:szCs w:val="16"/>
    </w:rPr>
  </w:style>
  <w:style w:type="character" w:styleId="757" w:customStyle="1">
    <w:name w:val="WW8Num6z0"/>
    <w:qFormat/>
  </w:style>
  <w:style w:type="character" w:styleId="758" w:customStyle="1">
    <w:name w:val="WW8Num7z0"/>
    <w:qFormat/>
  </w:style>
  <w:style w:type="character" w:styleId="759" w:customStyle="1">
    <w:name w:val="WW8Num8z0"/>
    <w:qFormat/>
  </w:style>
  <w:style w:type="character" w:styleId="760" w:customStyle="1">
    <w:name w:val="WW8Num9z0"/>
    <w:qFormat/>
  </w:style>
  <w:style w:type="character" w:styleId="761" w:customStyle="1">
    <w:name w:val="WW8Num10z0"/>
    <w:qFormat/>
  </w:style>
  <w:style w:type="character" w:styleId="762" w:customStyle="1">
    <w:name w:val="WW8Num11z0"/>
    <w:qFormat/>
  </w:style>
  <w:style w:type="character" w:styleId="763" w:customStyle="1">
    <w:name w:val="WW8Num12z0"/>
    <w:qFormat/>
  </w:style>
  <w:style w:type="character" w:styleId="764" w:customStyle="1">
    <w:name w:val="WW8Num13z0"/>
    <w:qFormat/>
  </w:style>
  <w:style w:type="character" w:styleId="765" w:customStyle="1">
    <w:name w:val="WW8Num14z0"/>
    <w:qFormat/>
  </w:style>
  <w:style w:type="character" w:styleId="766" w:customStyle="1">
    <w:name w:val="WW8Num15z0"/>
    <w:qFormat/>
  </w:style>
  <w:style w:type="character" w:styleId="767" w:customStyle="1">
    <w:name w:val="WW8Num18z0"/>
    <w:qFormat/>
  </w:style>
  <w:style w:type="character" w:styleId="768" w:customStyle="1">
    <w:name w:val="WW8Num19z0"/>
    <w:qFormat/>
  </w:style>
  <w:style w:type="character" w:styleId="769" w:customStyle="1">
    <w:name w:val="WW8Num20z0"/>
    <w:qFormat/>
  </w:style>
  <w:style w:type="character" w:styleId="770" w:customStyle="1">
    <w:name w:val="WW8Num21z0"/>
    <w:qFormat/>
  </w:style>
  <w:style w:type="character" w:styleId="771" w:customStyle="1">
    <w:name w:val="WW8Num22z0"/>
    <w:qFormat/>
  </w:style>
  <w:style w:type="character" w:styleId="772" w:customStyle="1">
    <w:name w:val="WW8Num23z0"/>
    <w:qFormat/>
  </w:style>
  <w:style w:type="character" w:styleId="773" w:customStyle="1">
    <w:name w:val="WW8Num25z0"/>
    <w:qFormat/>
  </w:style>
  <w:style w:type="character" w:styleId="774" w:customStyle="1">
    <w:name w:val="WW8Num26z0"/>
    <w:qFormat/>
  </w:style>
  <w:style w:type="character" w:styleId="775" w:customStyle="1">
    <w:name w:val="WW8Num27z0"/>
    <w:qFormat/>
  </w:style>
  <w:style w:type="character" w:styleId="776" w:customStyle="1">
    <w:name w:val="WW8Num29z0"/>
    <w:qFormat/>
    <w:rPr>
      <w:rFonts w:ascii="Symbol" w:hAnsi="Symbol" w:cs="Symbol"/>
    </w:rPr>
  </w:style>
  <w:style w:type="character" w:styleId="777" w:customStyle="1">
    <w:name w:val="WW8Num30z0"/>
    <w:qFormat/>
  </w:style>
  <w:style w:type="character" w:styleId="778" w:customStyle="1">
    <w:name w:val="WW8Num31z0"/>
    <w:qFormat/>
  </w:style>
  <w:style w:type="character" w:styleId="779" w:customStyle="1">
    <w:name w:val="WW8Num32z0"/>
    <w:qFormat/>
  </w:style>
  <w:style w:type="character" w:styleId="780" w:customStyle="1">
    <w:name w:val="WW8Num33z0"/>
    <w:qFormat/>
  </w:style>
  <w:style w:type="character" w:styleId="781" w:customStyle="1">
    <w:name w:val="WW8Num34z0"/>
    <w:qFormat/>
  </w:style>
  <w:style w:type="character" w:styleId="782">
    <w:name w:val="page number"/>
    <w:basedOn w:val="730"/>
    <w:qFormat/>
  </w:style>
  <w:style w:type="character" w:styleId="783" w:customStyle="1">
    <w:name w:val="Текст Знак"/>
    <w:qFormat/>
    <w:rPr>
      <w:rFonts w:ascii="Courier New" w:hAnsi="Courier New" w:cs="Courier New"/>
    </w:rPr>
  </w:style>
  <w:style w:type="character" w:styleId="784" w:customStyle="1">
    <w:name w:val="Верхний колонтитул Знак"/>
    <w:qFormat/>
    <w:rPr>
      <w:sz w:val="16"/>
      <w:lang w:val="ru-RU" w:bidi="ar-SA"/>
    </w:rPr>
  </w:style>
  <w:style w:type="character" w:styleId="785" w:customStyle="1">
    <w:name w:val="Основной текст с отступом 3 Знак"/>
    <w:qFormat/>
    <w:rPr>
      <w:sz w:val="16"/>
      <w:szCs w:val="16"/>
    </w:rPr>
  </w:style>
  <w:style w:type="character" w:styleId="786">
    <w:name w:val="Hyperlink"/>
    <w:rPr>
      <w:color w:val="0563c1"/>
      <w:u w:val="single"/>
    </w:rPr>
  </w:style>
  <w:style w:type="character" w:styleId="787" w:customStyle="1">
    <w:name w:val="Абзац списка Знак"/>
    <w:qFormat/>
    <w:rPr>
      <w:sz w:val="24"/>
      <w:szCs w:val="24"/>
    </w:rPr>
  </w:style>
  <w:style w:type="character" w:styleId="788" w:customStyle="1">
    <w:name w:val="Заголовок 6 Знак"/>
    <w:qFormat/>
    <w:rPr>
      <w:b/>
      <w:bCs/>
      <w:sz w:val="22"/>
      <w:szCs w:val="22"/>
    </w:rPr>
  </w:style>
  <w:style w:type="character" w:styleId="789" w:customStyle="1">
    <w:name w:val="Название Знак"/>
    <w:qFormat/>
    <w:rPr>
      <w:sz w:val="28"/>
      <w:lang w:val="ru-RU" w:bidi="ar-SA"/>
    </w:rPr>
  </w:style>
  <w:style w:type="character" w:styleId="790" w:customStyle="1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791" w:customStyle="1">
    <w:name w:val="Нижний колонтитул Знак"/>
    <w:qFormat/>
  </w:style>
  <w:style w:type="character" w:styleId="792">
    <w:name w:val="FollowedHyperlink"/>
    <w:rPr>
      <w:color w:val="954f72"/>
      <w:u w:val="single"/>
    </w:rPr>
  </w:style>
  <w:style w:type="character" w:styleId="793" w:customStyle="1">
    <w:name w:val="Гиперссылка"/>
    <w:qFormat/>
    <w:rPr>
      <w:color w:val="0000ff"/>
      <w:u w:val="single"/>
    </w:rPr>
  </w:style>
  <w:style w:type="character" w:styleId="794">
    <w:name w:val="Символ нумерации"/>
    <w:qFormat/>
  </w:style>
  <w:style w:type="paragraph" w:styleId="795">
    <w:name w:val="Заголовок"/>
    <w:basedOn w:val="703"/>
    <w:next w:val="796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796">
    <w:name w:val="Body Text"/>
    <w:basedOn w:val="703"/>
    <w:pPr>
      <w:jc w:val="right"/>
    </w:pPr>
    <w:rPr>
      <w:sz w:val="28"/>
    </w:rPr>
  </w:style>
  <w:style w:type="paragraph" w:styleId="797">
    <w:name w:val="List"/>
    <w:basedOn w:val="796"/>
    <w:rPr>
      <w:rFonts w:cs="Lohit Devanagari"/>
    </w:rPr>
  </w:style>
  <w:style w:type="paragraph" w:styleId="798">
    <w:name w:val="Caption"/>
    <w:basedOn w:val="703"/>
    <w:link w:val="727"/>
    <w:qFormat/>
    <w:pPr>
      <w:spacing w:before="120" w:after="120"/>
      <w:suppressLineNumbers/>
    </w:pPr>
    <w:rPr>
      <w:rFonts w:cs="Lohit Devanagari"/>
      <w:i/>
      <w:iCs/>
    </w:rPr>
  </w:style>
  <w:style w:type="paragraph" w:styleId="799">
    <w:name w:val="Указатель"/>
    <w:basedOn w:val="703"/>
    <w:qFormat/>
    <w:pPr>
      <w:suppressLineNumbers/>
    </w:pPr>
    <w:rPr>
      <w:rFonts w:cs="Lohit Devanagari"/>
    </w:rPr>
  </w:style>
  <w:style w:type="paragraph" w:styleId="800">
    <w:name w:val="List Paragraph"/>
    <w:basedOn w:val="703"/>
    <w:qFormat/>
    <w:pPr>
      <w:ind w:left="708"/>
    </w:pPr>
  </w:style>
  <w:style w:type="paragraph" w:styleId="801">
    <w:name w:val="No Spacing"/>
    <w:uiPriority w:val="1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802">
    <w:name w:val="Title"/>
    <w:basedOn w:val="703"/>
    <w:qFormat/>
    <w:pPr>
      <w:jc w:val="center"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803">
    <w:name w:val="Subtitle"/>
    <w:basedOn w:val="703"/>
    <w:uiPriority w:val="11"/>
    <w:qFormat/>
    <w:pPr>
      <w:spacing w:before="200" w:after="200"/>
    </w:pPr>
  </w:style>
  <w:style w:type="paragraph" w:styleId="804">
    <w:name w:val="Quote"/>
    <w:basedOn w:val="703"/>
    <w:uiPriority w:val="29"/>
    <w:qFormat/>
    <w:pPr>
      <w:ind w:left="720" w:right="720"/>
    </w:pPr>
    <w:rPr>
      <w:i/>
    </w:rPr>
  </w:style>
  <w:style w:type="paragraph" w:styleId="805">
    <w:name w:val="Intense Quote"/>
    <w:basedOn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06">
    <w:name w:val="footnote text"/>
    <w:basedOn w:val="703"/>
    <w:uiPriority w:val="99"/>
    <w:semiHidden/>
    <w:unhideWhenUsed/>
    <w:pPr>
      <w:spacing w:before="0" w:after="40"/>
    </w:pPr>
    <w:rPr>
      <w:sz w:val="18"/>
    </w:rPr>
  </w:style>
  <w:style w:type="paragraph" w:styleId="807">
    <w:name w:val="endnote text"/>
    <w:basedOn w:val="703"/>
    <w:uiPriority w:val="99"/>
    <w:semiHidden/>
    <w:unhideWhenUsed/>
    <w:rPr>
      <w:sz w:val="20"/>
    </w:rPr>
  </w:style>
  <w:style w:type="paragraph" w:styleId="808">
    <w:name w:val="toc 1"/>
    <w:basedOn w:val="703"/>
    <w:uiPriority w:val="39"/>
    <w:unhideWhenUsed/>
    <w:pPr>
      <w:spacing w:before="0" w:after="57"/>
    </w:pPr>
  </w:style>
  <w:style w:type="paragraph" w:styleId="809">
    <w:name w:val="toc 2"/>
    <w:basedOn w:val="703"/>
    <w:uiPriority w:val="39"/>
    <w:unhideWhenUsed/>
    <w:pPr>
      <w:ind w:left="283"/>
      <w:spacing w:before="0" w:after="57"/>
    </w:pPr>
  </w:style>
  <w:style w:type="paragraph" w:styleId="810">
    <w:name w:val="toc 3"/>
    <w:basedOn w:val="703"/>
    <w:uiPriority w:val="39"/>
    <w:unhideWhenUsed/>
    <w:pPr>
      <w:ind w:left="567"/>
      <w:spacing w:before="0" w:after="57"/>
    </w:pPr>
  </w:style>
  <w:style w:type="paragraph" w:styleId="811">
    <w:name w:val="toc 4"/>
    <w:basedOn w:val="703"/>
    <w:uiPriority w:val="39"/>
    <w:unhideWhenUsed/>
    <w:pPr>
      <w:ind w:left="850"/>
      <w:spacing w:before="0" w:after="57"/>
    </w:pPr>
  </w:style>
  <w:style w:type="paragraph" w:styleId="812">
    <w:name w:val="toc 5"/>
    <w:basedOn w:val="703"/>
    <w:uiPriority w:val="39"/>
    <w:unhideWhenUsed/>
    <w:pPr>
      <w:ind w:left="1134"/>
      <w:spacing w:before="0" w:after="57"/>
    </w:pPr>
  </w:style>
  <w:style w:type="paragraph" w:styleId="813">
    <w:name w:val="toc 6"/>
    <w:basedOn w:val="703"/>
    <w:uiPriority w:val="39"/>
    <w:unhideWhenUsed/>
    <w:pPr>
      <w:ind w:left="1417"/>
      <w:spacing w:before="0" w:after="57"/>
    </w:pPr>
  </w:style>
  <w:style w:type="paragraph" w:styleId="814">
    <w:name w:val="toc 7"/>
    <w:basedOn w:val="703"/>
    <w:uiPriority w:val="39"/>
    <w:unhideWhenUsed/>
    <w:pPr>
      <w:ind w:left="1701"/>
      <w:spacing w:before="0" w:after="57"/>
    </w:pPr>
  </w:style>
  <w:style w:type="paragraph" w:styleId="815">
    <w:name w:val="toc 8"/>
    <w:basedOn w:val="703"/>
    <w:uiPriority w:val="39"/>
    <w:unhideWhenUsed/>
    <w:pPr>
      <w:ind w:left="1984"/>
      <w:spacing w:before="0" w:after="57"/>
    </w:pPr>
  </w:style>
  <w:style w:type="paragraph" w:styleId="816">
    <w:name w:val="toc 9"/>
    <w:basedOn w:val="703"/>
    <w:uiPriority w:val="39"/>
    <w:unhideWhenUsed/>
    <w:pPr>
      <w:ind w:left="2268"/>
      <w:spacing w:before="0" w:after="57"/>
    </w:pPr>
  </w:style>
  <w:style w:type="paragraph" w:styleId="817">
    <w:name w:val="Index Heading"/>
    <w:basedOn w:val="795"/>
  </w:style>
  <w:style w:type="paragraph" w:styleId="818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auto"/>
      <w:sz w:val="20"/>
      <w:szCs w:val="20"/>
      <w:lang w:val="ru-RU" w:eastAsia="ru-RU" w:bidi="ar-SA"/>
    </w:rPr>
  </w:style>
  <w:style w:type="paragraph" w:styleId="819">
    <w:name w:val="table of figures"/>
    <w:basedOn w:val="703"/>
    <w:uiPriority w:val="99"/>
    <w:unhideWhenUsed/>
  </w:style>
  <w:style w:type="paragraph" w:styleId="820">
    <w:name w:val="index heading1"/>
    <w:basedOn w:val="703"/>
    <w:qFormat/>
    <w:pPr>
      <w:suppressLineNumbers/>
    </w:pPr>
    <w:rPr>
      <w:rFonts w:cs="Lohit Devanagari"/>
    </w:rPr>
  </w:style>
  <w:style w:type="paragraph" w:styleId="821" w:customStyle="1">
    <w:name w:val="Caption1"/>
    <w:basedOn w:val="703"/>
    <w:qFormat/>
    <w:pPr>
      <w:spacing w:before="120" w:after="120"/>
      <w:suppressLineNumbers/>
    </w:pPr>
    <w:rPr>
      <w:rFonts w:cs="Lohit Devanagari"/>
      <w:i/>
      <w:iCs/>
    </w:rPr>
  </w:style>
  <w:style w:type="paragraph" w:styleId="822">
    <w:name w:val="Plain Text"/>
    <w:basedOn w:val="703"/>
    <w:qFormat/>
    <w:rPr>
      <w:rFonts w:ascii="Courier New" w:hAnsi="Courier New" w:cs="Courier New"/>
      <w:sz w:val="20"/>
      <w:szCs w:val="20"/>
      <w:lang w:val="en-US"/>
    </w:rPr>
  </w:style>
  <w:style w:type="paragraph" w:styleId="823" w:customStyle="1">
    <w:name w:val="ConsNormal"/>
    <w:qFormat/>
    <w:pPr>
      <w:ind w:firstLine="720"/>
      <w:jc w:val="left"/>
      <w:spacing w:before="0" w:after="0"/>
      <w:widowControl/>
    </w:pPr>
    <w:rPr>
      <w:rFonts w:ascii="Consultant" w:hAnsi="Consultant" w:eastAsia="Droid Sans Fallback" w:cs="Consultant"/>
      <w:color w:val="auto"/>
      <w:sz w:val="20"/>
      <w:szCs w:val="20"/>
      <w:lang w:val="ru-RU" w:eastAsia="zh-CN" w:bidi="ar-SA"/>
    </w:rPr>
  </w:style>
  <w:style w:type="paragraph" w:styleId="824">
    <w:name w:val="Body Text 2"/>
    <w:basedOn w:val="703"/>
    <w:qFormat/>
    <w:pPr>
      <w:spacing w:before="0" w:after="120" w:line="480" w:lineRule="auto"/>
    </w:pPr>
  </w:style>
  <w:style w:type="paragraph" w:styleId="825">
    <w:name w:val="Body Text 3"/>
    <w:basedOn w:val="703"/>
    <w:qFormat/>
    <w:pPr>
      <w:spacing w:before="0" w:after="120"/>
    </w:pPr>
    <w:rPr>
      <w:sz w:val="16"/>
      <w:szCs w:val="16"/>
    </w:rPr>
  </w:style>
  <w:style w:type="paragraph" w:styleId="826" w:customStyle="1">
    <w:name w:val="Колонтитул"/>
    <w:basedOn w:val="703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27">
    <w:name w:val="Footer"/>
    <w:basedOn w:val="703"/>
    <w:pPr>
      <w:tabs>
        <w:tab w:val="clear" w:pos="708" w:leader="none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828">
    <w:name w:val="Balloon Text"/>
    <w:basedOn w:val="703"/>
    <w:qFormat/>
    <w:rPr>
      <w:rFonts w:ascii="Tahoma" w:hAnsi="Tahoma" w:cs="Tahoma"/>
      <w:sz w:val="16"/>
      <w:szCs w:val="16"/>
    </w:rPr>
  </w:style>
  <w:style w:type="paragraph" w:styleId="829" w:customStyle="1">
    <w:name w:val="Знак Знак Знак Знак Знак Знак Знак Знак Знак Знак Знак Знак"/>
    <w:basedOn w:val="703"/>
    <w:qFormat/>
    <w:rPr>
      <w:rFonts w:ascii="Verdana" w:hAnsi="Verdana" w:cs="Verdana"/>
      <w:sz w:val="20"/>
      <w:szCs w:val="20"/>
      <w:lang w:val="en-US"/>
    </w:rPr>
  </w:style>
  <w:style w:type="paragraph" w:styleId="830" w:customStyle="1">
    <w:name w:val="ConsPlusNormal"/>
    <w:qFormat/>
    <w:pPr>
      <w:jc w:val="left"/>
      <w:spacing w:before="0" w:after="0"/>
      <w:widowControl/>
    </w:pPr>
    <w:rPr>
      <w:rFonts w:ascii="Times New Roman" w:hAnsi="Times New Roman" w:eastAsia="Calibri" w:cs="Lohit Devanagari"/>
      <w:color w:val="auto"/>
      <w:sz w:val="20"/>
      <w:szCs w:val="20"/>
      <w:lang w:val="ru-RU" w:eastAsia="zh-CN" w:bidi="ar-SA"/>
    </w:rPr>
  </w:style>
  <w:style w:type="paragraph" w:styleId="831">
    <w:name w:val="Header"/>
    <w:pPr>
      <w:jc w:val="center"/>
      <w:spacing w:before="0" w:after="0"/>
      <w:widowControl/>
      <w:tabs>
        <w:tab w:val="clear" w:pos="708" w:leader="none"/>
        <w:tab w:val="center" w:pos="4153" w:leader="none"/>
        <w:tab w:val="right" w:pos="8306" w:leader="none"/>
      </w:tabs>
    </w:pPr>
    <w:rPr>
      <w:rFonts w:ascii="Times New Roman" w:hAnsi="Times New Roman" w:eastAsia="Droid Sans Fallback" w:cs="Lohit Devanagari"/>
      <w:color w:val="auto"/>
      <w:sz w:val="16"/>
      <w:szCs w:val="20"/>
      <w:lang w:val="ru-RU" w:eastAsia="zh-CN" w:bidi="ar-SA"/>
    </w:rPr>
  </w:style>
  <w:style w:type="paragraph" w:styleId="832">
    <w:name w:val="Body Text Indent 3"/>
    <w:basedOn w:val="703"/>
    <w:qFormat/>
    <w:pPr>
      <w:ind w:left="283"/>
      <w:spacing w:before="0" w:after="120"/>
    </w:pPr>
    <w:rPr>
      <w:sz w:val="16"/>
      <w:szCs w:val="16"/>
      <w:lang w:val="en-US"/>
    </w:rPr>
  </w:style>
  <w:style w:type="paragraph" w:styleId="833">
    <w:name w:val="Normal (Web)"/>
    <w:basedOn w:val="703"/>
    <w:qFormat/>
    <w:pPr>
      <w:spacing w:before="280" w:after="280"/>
    </w:pPr>
  </w:style>
  <w:style w:type="paragraph" w:styleId="834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Droid Sans Fallback" w:cs="Lohit Devanagari"/>
      <w:color w:val="000000"/>
      <w:sz w:val="24"/>
      <w:szCs w:val="24"/>
      <w:lang w:val="ru-RU" w:eastAsia="zh-CN" w:bidi="ar-SA"/>
    </w:rPr>
  </w:style>
  <w:style w:type="paragraph" w:styleId="835" w:customStyle="1">
    <w:name w:val="Содержимое таблицы"/>
    <w:basedOn w:val="703"/>
    <w:qFormat/>
    <w:pPr>
      <w:widowControl w:val="off"/>
      <w:suppressLineNumbers/>
    </w:pPr>
  </w:style>
  <w:style w:type="paragraph" w:styleId="836" w:customStyle="1">
    <w:name w:val="Заголовок таблицы"/>
    <w:basedOn w:val="835"/>
    <w:qFormat/>
    <w:pPr>
      <w:jc w:val="center"/>
    </w:pPr>
    <w:rPr>
      <w:b/>
      <w:bCs/>
    </w:rPr>
  </w:style>
  <w:style w:type="paragraph" w:styleId="837">
    <w:name w:val="Times New Roman"/>
    <w:qFormat/>
    <w:pPr>
      <w:ind w:left="0" w:right="0" w:firstLine="311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838" w:default="1">
    <w:name w:val="No List"/>
    <w:uiPriority w:val="99"/>
    <w:semiHidden/>
    <w:unhideWhenUsed/>
    <w:qFormat/>
  </w:style>
  <w:style w:type="table" w:styleId="83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4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4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4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6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7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7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7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8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8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8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8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8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0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0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0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0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0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0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0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2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3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3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3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3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3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3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3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4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4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4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4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44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45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46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47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48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49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50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51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52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53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54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55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56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57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5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5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6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6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6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6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://www.torgi.gov.ru/" TargetMode="External"/><Relationship Id="rId12" Type="http://schemas.openxmlformats.org/officeDocument/2006/relationships/hyperlink" Target="http://www.gorodperm.ru/" TargetMode="External"/><Relationship Id="rId13" Type="http://schemas.openxmlformats.org/officeDocument/2006/relationships/hyperlink" Target="http://utp.sberbank-ast.ru/" TargetMode="External"/><Relationship Id="rId14" Type="http://schemas.openxmlformats.org/officeDocument/2006/relationships/hyperlink" Target="http://utp.sberbank-ast.ru/" TargetMode="External"/><Relationship Id="rId15" Type="http://schemas.openxmlformats.org/officeDocument/2006/relationships/hyperlink" Target="https://utp.sberbank-ast.ru/Main/Notice/988/Reglament" TargetMode="External"/><Relationship Id="rId16" Type="http://schemas.openxmlformats.org/officeDocument/2006/relationships/hyperlink" Target="https://utp.sberbank-ast.ru/AP/Notice/1027/Instructions" TargetMode="External"/><Relationship Id="rId17" Type="http://schemas.openxmlformats.org/officeDocument/2006/relationships/hyperlink" Target="https://utp.sberbank-ast.ru/AP/Notice/652/Instructions" TargetMode="External"/><Relationship Id="rId18" Type="http://schemas.openxmlformats.org/officeDocument/2006/relationships/hyperlink" Target="http://www.gorodperm.ru/" TargetMode="External"/><Relationship Id="rId19" Type="http://schemas.openxmlformats.org/officeDocument/2006/relationships/hyperlink" Target="https://&#1087;&#1086;&#1088;&#1090;&#1072;&#1083;-&#1090;&#1087;.&#1088;&#1092;" TargetMode="External"/><Relationship Id="rId20" Type="http://schemas.openxmlformats.org/officeDocument/2006/relationships/hyperlink" Target="mailto:perm-mail@ural.rt.ru" TargetMode="External"/><Relationship Id="rId21" Type="http://schemas.openxmlformats.org/officeDocument/2006/relationships/hyperlink" Target="http://utp.sberbank-ast.ru/AP/Notice/653/Requisite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имущественных отношений администрации города Перми</dc:title>
  <dc:subject/>
  <dc:creator>Tatyannikova</dc:creator>
  <dc:description/>
  <dc:language>ru-RU</dc:language>
  <cp:lastModifiedBy>chetina-yui</cp:lastModifiedBy>
  <cp:revision>341</cp:revision>
  <dcterms:created xsi:type="dcterms:W3CDTF">2023-10-30T09:15:00Z</dcterms:created>
  <dcterms:modified xsi:type="dcterms:W3CDTF">2026-09-23T09:35:57Z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