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PlainText"/>
        <w:ind w:hanging="1134" w:left="1134" w:right="-261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sz w:val="24"/>
          <w:szCs w:val="24"/>
          <w:lang w:val="ru-RU"/>
        </w:rPr>
      </w:r>
    </w:p>
    <w:p>
      <w:pPr>
        <w:pStyle w:val="PlainText"/>
        <w:ind w:hanging="1134" w:left="1134" w:right="-26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4732" w:leader="none"/>
          <w:tab w:val="left" w:pos="5812" w:leader="none"/>
        </w:tabs>
        <w:spacing w:lineRule="exact" w:line="240"/>
        <w:ind w:firstLine="5670" w:left="0"/>
        <w:jc w:val="both"/>
        <w:outlineLvl w:val="5"/>
        <w:rPr>
          <w:sz w:val="28"/>
          <w:szCs w:val="28"/>
        </w:rPr>
      </w:pPr>
      <w:r>
        <w:rPr>
          <w:bCs/>
          <w:sz w:val="28"/>
          <w:szCs w:val="28"/>
        </w:rPr>
        <w:t>Приложение 2</w:t>
      </w:r>
    </w:p>
    <w:p>
      <w:pPr>
        <w:pStyle w:val="Normal"/>
        <w:tabs>
          <w:tab w:val="clear" w:pos="708"/>
          <w:tab w:val="left" w:pos="4732" w:leader="none"/>
        </w:tabs>
        <w:spacing w:lineRule="exact" w:line="240"/>
        <w:ind w:firstLine="6" w:left="5664"/>
        <w:rPr>
          <w:sz w:val="28"/>
          <w:szCs w:val="28"/>
        </w:rPr>
      </w:pPr>
      <w:r>
        <w:rPr>
          <w:sz w:val="28"/>
          <w:szCs w:val="28"/>
        </w:rPr>
        <w:t>к приказу начальника департамента имущественных отношений</w:t>
      </w:r>
    </w:p>
    <w:p>
      <w:pPr>
        <w:pStyle w:val="Normal"/>
        <w:tabs>
          <w:tab w:val="clear" w:pos="708"/>
          <w:tab w:val="left" w:pos="4732" w:leader="none"/>
        </w:tabs>
        <w:spacing w:lineRule="exact" w:line="240"/>
        <w:ind w:firstLine="5670"/>
        <w:rPr>
          <w:sz w:val="28"/>
          <w:szCs w:val="28"/>
        </w:rPr>
      </w:pPr>
      <w:r>
        <w:rPr>
          <w:sz w:val="28"/>
          <w:szCs w:val="28"/>
        </w:rPr>
        <w:t>администрации города Перми</w:t>
      </w:r>
    </w:p>
    <w:p>
      <w:pPr>
        <w:pStyle w:val="Normal"/>
        <w:tabs>
          <w:tab w:val="clear" w:pos="708"/>
          <w:tab w:val="left" w:pos="4732" w:leader="none"/>
        </w:tabs>
        <w:spacing w:lineRule="exact" w:line="240"/>
        <w:ind w:firstLine="567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23.09.2026 № 059-19-01-11-156</w:t>
      </w:r>
    </w:p>
    <w:p>
      <w:pPr>
        <w:pStyle w:val="Normal"/>
        <w:tabs>
          <w:tab w:val="clear" w:pos="708"/>
          <w:tab w:val="left" w:pos="4732" w:leader="none"/>
        </w:tabs>
        <w:ind w:left="283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4732" w:leader="none"/>
        </w:tabs>
        <w:ind w:left="28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PlainText"/>
        <w:spacing w:lineRule="exact" w:line="240"/>
        <w:ind w:hanging="1134" w:left="113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 xml:space="preserve">Извещение о проведении 15.10.2026 электронных аукционов на право </w:t>
      </w:r>
    </w:p>
    <w:p>
      <w:pPr>
        <w:pStyle w:val="PlainText"/>
        <w:spacing w:lineRule="exact" w:line="240"/>
        <w:ind w:hanging="1134" w:left="113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>заключения договоров аренды земельных участков</w:t>
      </w:r>
    </w:p>
    <w:p>
      <w:pPr>
        <w:pStyle w:val="PlainText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</w:r>
    </w:p>
    <w:p>
      <w:pPr>
        <w:pStyle w:val="Normal"/>
        <w:widowControl w:val="false"/>
        <w:ind w:firstLine="567" w:left="-567"/>
        <w:jc w:val="both"/>
        <w:rPr>
          <w:b/>
          <w:bCs/>
        </w:rPr>
      </w:pPr>
      <w:r>
        <w:rPr>
          <w:shd w:fill="FFFFFF" w:val="clear"/>
        </w:rPr>
        <w:t xml:space="preserve">Электронные аукционы на право заключения договоров аренды земельных участков </w:t>
        <w:br/>
        <w:t xml:space="preserve">(далее – аукцион) проводятся в соответствии со статьями 39.11, 39.12, 39.13 Земельного кодекса Российской Федерации, Положением о департаменте имущественных отношений администрации города Перми, утвержденным решением Пермской городской Думы от 12 сентября 2006 г. № 210, постановлением администрации города Перми от 20 ноября 2008 г. № 1089 «О комиссии по проведению аукционов по продаже земельных участков, находящихся в муниципальной собственности города Перми, и участков, собственность на которые не разграничена, объектов незавершенного строительства, расположенных на земельных участках, находящихся в муниципальной собственности города Перми, и участках, собственность на которые                           не разграничена, или на право заключения договоров аренды земельных участков, находящихся                    в муниципальной собственности города Перми, </w:t>
      </w:r>
      <w:r>
        <w:rPr>
          <w:rFonts w:eastAsia="Droid Sans Fallback" w:cs="Lohit Devanagari"/>
          <w:color w:val="000000"/>
          <w:sz w:val="24"/>
          <w:szCs w:val="24"/>
          <w:shd w:fill="FFFFFF" w:val="clear"/>
          <w:lang w:val="ru-RU" w:eastAsia="zh-CN" w:bidi="ar-SA"/>
        </w:rPr>
        <w:t>и участков, собственность на которые                               не разграничена» (далее – комиссия), регламентом работы электронной площадки АО «Сбербанк-АСТ», регламентом работы торговой секции АО «Сбербанк-АСТ».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9355" w:leader="none"/>
        </w:tabs>
        <w:ind w:firstLine="567" w:left="-567"/>
        <w:jc w:val="both"/>
        <w:outlineLvl w:val="0"/>
        <w:rPr>
          <w:b/>
          <w:bCs/>
        </w:rPr>
      </w:pPr>
      <w:r>
        <w:rPr>
          <w:b/>
          <w:bCs/>
        </w:rPr>
        <w:t xml:space="preserve">Орган, принявший решение о проведении аукциона: </w:t>
      </w:r>
      <w:r>
        <w:rPr>
          <w:bCs/>
        </w:rPr>
        <w:t xml:space="preserve">департамент земельных отношений администрации города Перми, местонахождение: 614000, г. Пермь, ул. Сибирская,15, почтовый адрес: 614000, г. Пермь, ул. Сибирская,15, телефон 212-33-48 (аналитический отдел), адрес электронной почты: </w:t>
      </w:r>
      <w:r>
        <w:rPr>
          <w:rStyle w:val="Hyperlink"/>
          <w:bCs/>
          <w:sz w:val="24"/>
          <w:szCs w:val="24"/>
          <w:lang w:val="en-US"/>
        </w:rPr>
        <w:t>dzo@perm.permkrai.ru.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9355" w:leader="none"/>
        </w:tabs>
        <w:ind w:firstLine="567" w:left="-567"/>
        <w:jc w:val="both"/>
        <w:outlineLvl w:val="0"/>
        <w:rPr>
          <w:b/>
          <w:bCs/>
          <w:sz w:val="24"/>
          <w:szCs w:val="24"/>
        </w:rPr>
      </w:pPr>
      <w:r>
        <w:rPr>
          <w:b/>
          <w:bCs/>
        </w:rPr>
        <w:t xml:space="preserve">Организатор аукциона </w:t>
      </w:r>
      <w:r>
        <w:rPr>
          <w:bCs/>
        </w:rPr>
        <w:t>(далее – Организатор аукциона)</w:t>
      </w:r>
      <w:r>
        <w:rPr>
          <w:b/>
          <w:bCs/>
        </w:rPr>
        <w:t xml:space="preserve">: </w:t>
      </w:r>
      <w:r>
        <w:rPr>
          <w:bCs/>
        </w:rPr>
        <w:t>департамент имущественных отношений администрации города Перми, местонахождение: 614000, г. Пермь, ул. Сибирская,14, почтовый адрес: 614000, г. Пермь, ул. Сибирская,14, телефон 212-77-24 (отдел по распоряжению муниципальным имуществом), адрес электронной почты:</w:t>
      </w:r>
      <w:r>
        <w:rPr>
          <w:b/>
          <w:bCs/>
        </w:rPr>
        <w:t xml:space="preserve"> </w:t>
      </w:r>
      <w:r>
        <w:rPr>
          <w:sz w:val="24"/>
          <w:szCs w:val="24"/>
          <w:lang w:val="en-US"/>
        </w:rPr>
        <w:t>dio</w:t>
      </w:r>
      <w:r>
        <w:rPr>
          <w:sz w:val="24"/>
          <w:szCs w:val="24"/>
        </w:rPr>
        <w:t>@</w:t>
      </w:r>
      <w:r>
        <w:rPr>
          <w:sz w:val="24"/>
          <w:szCs w:val="24"/>
          <w:lang w:val="en-US"/>
        </w:rPr>
        <w:t>perm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permkrai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ru</w:t>
      </w:r>
      <w:r>
        <w:rPr>
          <w:b/>
          <w:bCs/>
          <w:sz w:val="24"/>
          <w:szCs w:val="24"/>
        </w:rPr>
        <w:t>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9355" w:leader="none"/>
        </w:tabs>
        <w:ind w:firstLine="567" w:left="-567"/>
        <w:jc w:val="both"/>
        <w:outlineLvl w:val="0"/>
        <w:rPr>
          <w:sz w:val="24"/>
          <w:szCs w:val="24"/>
        </w:rPr>
      </w:pPr>
      <w:r>
        <w:rPr>
          <w:b/>
          <w:bCs/>
        </w:rPr>
        <w:t>Реквизиты приказа об организации проведения аукциона:</w:t>
      </w:r>
      <w:r>
        <w:rPr>
          <w:bCs/>
        </w:rPr>
        <w:t xml:space="preserve"> приказ начальника департамента имущественных отношений администрации города Перми от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8"/>
        </w:rPr>
        <w:t>23.09.2026 № 059-19-01-11-156</w:t>
      </w:r>
      <w:r>
        <w:rPr>
          <w:bCs/>
          <w:sz w:val="28"/>
          <w:szCs w:val="28"/>
        </w:rPr>
        <w:t>.</w:t>
      </w:r>
    </w:p>
    <w:p>
      <w:pPr>
        <w:pStyle w:val="BodyTextIndent3"/>
        <w:numPr>
          <w:ilvl w:val="0"/>
          <w:numId w:val="0"/>
        </w:numPr>
        <w:spacing w:before="0" w:after="0"/>
        <w:ind w:firstLine="567" w:left="-567"/>
        <w:jc w:val="both"/>
        <w:outlineLvl w:val="0"/>
        <w:rPr>
          <w:rFonts w:eastAsia="Courier New"/>
          <w:b/>
          <w:color w:val="000000"/>
          <w:lang w:val="ru-RU" w:bidi="ru-RU"/>
        </w:rPr>
      </w:pPr>
      <w:r>
        <w:rPr>
          <w:sz w:val="24"/>
          <w:szCs w:val="24"/>
          <w:lang w:val="ru-RU"/>
        </w:rPr>
        <w:t xml:space="preserve">Извещение о проведение электронных аукционов размещается на официальном сайте Российской Федерации для размещения информации о проведении торгов </w:t>
      </w:r>
      <w:hyperlink r:id="rId2" w:tgtFrame="http://www.torgi.gov.ru/">
        <w:r>
          <w:rPr>
            <w:rStyle w:val="Hyperlink"/>
            <w:color w:val="000000"/>
            <w:sz w:val="24"/>
            <w:szCs w:val="24"/>
            <w:u w:val="none"/>
          </w:rPr>
          <w:t>www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torgi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gov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ru</w:t>
        </w:r>
      </w:hyperlink>
      <w:r>
        <w:rPr>
          <w:color w:val="000000"/>
          <w:sz w:val="24"/>
          <w:szCs w:val="24"/>
          <w:u w:val="none"/>
        </w:rPr>
        <w:t xml:space="preserve"> (далее – ГИС Торги)</w:t>
      </w:r>
      <w:r>
        <w:rPr>
          <w:b/>
          <w:sz w:val="24"/>
          <w:szCs w:val="24"/>
          <w:lang w:val="ru-RU"/>
        </w:rPr>
        <w:t>,</w:t>
      </w:r>
      <w:r>
        <w:rPr>
          <w:b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официальном сайте муниципального образования город Пермь в информационно-телекоммуникационной сети «Интернет» </w:t>
      </w:r>
      <w:hyperlink r:id="rId3" w:tgtFrame="http://www.gorodperm.ru/">
        <w:r>
          <w:rPr>
            <w:rStyle w:val="Hyperlink"/>
            <w:color w:val="000000"/>
            <w:sz w:val="24"/>
            <w:szCs w:val="24"/>
            <w:u w:val="none"/>
          </w:rPr>
          <w:t>www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gorodperm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ru</w:t>
        </w:r>
      </w:hyperlink>
      <w:r>
        <w:rPr>
          <w:sz w:val="24"/>
          <w:szCs w:val="24"/>
          <w:lang w:val="ru-RU"/>
        </w:rPr>
        <w:t xml:space="preserve"> и на электронной </w:t>
      </w:r>
      <w:r>
        <w:rPr>
          <w:bCs/>
          <w:sz w:val="24"/>
          <w:szCs w:val="24"/>
          <w:lang w:val="ru-RU" w:bidi="ru-RU"/>
        </w:rPr>
        <w:t xml:space="preserve">площадке </w:t>
      </w:r>
      <w:hyperlink r:id="rId4" w:tgtFrame="http://utp.sberbank-ast.ru/">
        <w:r>
          <w:rPr>
            <w:rStyle w:val="Hyperlink"/>
            <w:sz w:val="24"/>
            <w:szCs w:val="24"/>
          </w:rPr>
          <w:t>http</w:t>
        </w:r>
        <w:r>
          <w:rPr>
            <w:rStyle w:val="Hyperlink"/>
            <w:sz w:val="24"/>
            <w:szCs w:val="24"/>
            <w:lang w:val="ru-RU"/>
          </w:rPr>
          <w:t>://</w:t>
        </w:r>
        <w:r>
          <w:rPr>
            <w:rStyle w:val="Hyperlink"/>
            <w:sz w:val="24"/>
            <w:szCs w:val="24"/>
          </w:rPr>
          <w:t>utp</w:t>
        </w:r>
        <w:r>
          <w:rPr>
            <w:rStyle w:val="Hyperlink"/>
            <w:sz w:val="24"/>
            <w:szCs w:val="24"/>
            <w:lang w:val="ru-RU"/>
          </w:rPr>
          <w:t>.</w:t>
        </w:r>
        <w:r>
          <w:rPr>
            <w:rStyle w:val="Hyperlink"/>
            <w:sz w:val="24"/>
            <w:szCs w:val="24"/>
          </w:rPr>
          <w:t>sberbank</w:t>
        </w:r>
        <w:r>
          <w:rPr>
            <w:rStyle w:val="Hyperlink"/>
            <w:sz w:val="24"/>
            <w:szCs w:val="24"/>
            <w:lang w:val="ru-RU"/>
          </w:rPr>
          <w:t>-</w:t>
        </w:r>
        <w:r>
          <w:rPr>
            <w:rStyle w:val="Hyperlink"/>
            <w:sz w:val="24"/>
            <w:szCs w:val="24"/>
          </w:rPr>
          <w:t>ast</w:t>
        </w:r>
        <w:r>
          <w:rPr>
            <w:rStyle w:val="Hyperlink"/>
            <w:sz w:val="24"/>
            <w:szCs w:val="24"/>
            <w:lang w:val="ru-RU"/>
          </w:rPr>
          <w:t>.</w:t>
        </w:r>
        <w:r>
          <w:rPr>
            <w:rStyle w:val="Hyperlink"/>
            <w:sz w:val="24"/>
            <w:szCs w:val="24"/>
          </w:rPr>
          <w:t>ru</w:t>
        </w:r>
      </w:hyperlink>
      <w:r>
        <w:rPr>
          <w:bCs/>
          <w:sz w:val="24"/>
          <w:szCs w:val="24"/>
          <w:lang w:val="ru-RU" w:bidi="ru-RU"/>
        </w:rPr>
        <w:t>.</w:t>
      </w:r>
    </w:p>
    <w:p>
      <w:pPr>
        <w:pStyle w:val="Normal"/>
        <w:widowControl w:val="false"/>
        <w:ind w:firstLine="567" w:left="-567"/>
        <w:jc w:val="both"/>
        <w:rPr>
          <w:rFonts w:eastAsia="Courier New"/>
          <w:b/>
          <w:color w:val="000000"/>
          <w:lang w:eastAsia="en-US" w:bidi="ru-RU"/>
        </w:rPr>
      </w:pPr>
      <w:r>
        <w:rPr>
          <w:rFonts w:eastAsia="Courier New"/>
          <w:b/>
          <w:color w:val="000000"/>
          <w:lang w:bidi="ru-RU"/>
        </w:rPr>
        <w:t>Адрес электронной площадки в информационно-телекоммуникационной сети «Интернет», на которой будет проводиться аукцион</w:t>
      </w:r>
      <w:r>
        <w:rPr>
          <w:rFonts w:eastAsia="Courier New"/>
          <w:color w:val="000000"/>
          <w:lang w:bidi="ru-RU"/>
        </w:rPr>
        <w:t>:</w:t>
      </w:r>
      <w:r>
        <w:rPr>
          <w:rFonts w:eastAsia="Courier New" w:cs="Courier New" w:ascii="Courier New" w:hAnsi="Courier New"/>
          <w:color w:val="000000"/>
          <w:lang w:bidi="ru-RU"/>
        </w:rPr>
        <w:t xml:space="preserve"> </w:t>
      </w:r>
      <w:hyperlink r:id="rId5" w:tgtFrame="http://utp.sberbank-ast.ru/">
        <w:r>
          <w:rPr>
            <w:rStyle w:val="Hyperlink"/>
          </w:rPr>
          <w:t>http://utp.sberbank-ast.ru</w:t>
        </w:r>
      </w:hyperlink>
      <w:r>
        <w:rPr>
          <w:rFonts w:eastAsia="Courier New"/>
          <w:lang w:bidi="ru-RU"/>
        </w:rPr>
        <w:t xml:space="preserve"> </w:t>
        <w:br/>
      </w:r>
      <w:r>
        <w:rPr>
          <w:rFonts w:eastAsia="Courier New"/>
          <w:color w:val="000000"/>
          <w:lang w:bidi="ru-RU"/>
        </w:rPr>
        <w:t xml:space="preserve">(далее – электронная площадка), торговая секция «Приватизация, аренда и продажа прав» (далее – торговая секция). 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rFonts w:eastAsia="Courier New"/>
          <w:color w:val="000000"/>
          <w:lang w:bidi="ru-RU"/>
        </w:rPr>
      </w:pPr>
      <w:r>
        <w:rPr>
          <w:rFonts w:eastAsia="Courier New"/>
          <w:b/>
          <w:color w:val="000000"/>
          <w:lang w:eastAsia="en-US" w:bidi="ru-RU"/>
        </w:rPr>
        <w:t>Владелец электронной площадки</w:t>
      </w:r>
      <w:r>
        <w:rPr>
          <w:rFonts w:eastAsia="Courier New"/>
          <w:color w:val="000000"/>
          <w:lang w:eastAsia="en-US" w:bidi="ru-RU"/>
        </w:rPr>
        <w:t>:</w:t>
      </w:r>
      <w:r>
        <w:rPr>
          <w:rFonts w:eastAsia="Calibri"/>
          <w:lang w:eastAsia="en-US"/>
        </w:rPr>
        <w:t xml:space="preserve"> АО «Сбербанк-АСТ» (далее – Оператор)</w:t>
      </w:r>
      <w:r>
        <w:rPr>
          <w:rFonts w:eastAsia="Courier New"/>
          <w:color w:val="000000"/>
          <w:lang w:eastAsia="en-US" w:bidi="ru-RU"/>
        </w:rPr>
        <w:t>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bCs/>
          <w:lang w:bidi="ru-RU"/>
        </w:rPr>
      </w:pPr>
      <w:r>
        <w:rPr>
          <w:rFonts w:eastAsia="Courier New"/>
          <w:color w:val="000000"/>
          <w:lang w:bidi="ru-RU"/>
        </w:rPr>
        <w:t xml:space="preserve">Регламент работы электронной площадки размещён по </w:t>
      </w:r>
      <w:r>
        <w:rPr>
          <w:rFonts w:eastAsia="Courier New"/>
          <w:lang w:bidi="ru-RU"/>
        </w:rPr>
        <w:t xml:space="preserve">адресу: </w:t>
      </w:r>
      <w:hyperlink r:id="rId6" w:tgtFrame="https://utp.sberbank-ast.ru/Main/Notice/988/Reglament">
        <w:r>
          <w:rPr>
            <w:rStyle w:val="Hyperlink"/>
            <w:rFonts w:eastAsia="Courier New"/>
            <w:lang w:bidi="ru-RU"/>
          </w:rPr>
          <w:t>https://utp.sberbank-ast.ru/Main/Notice/988/Reglament</w:t>
        </w:r>
      </w:hyperlink>
      <w:r>
        <w:rPr>
          <w:rFonts w:eastAsia="Courier New"/>
          <w:lang w:bidi="ru-RU"/>
        </w:rPr>
        <w:t>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rFonts w:eastAsia="Courier New"/>
          <w:lang w:bidi="ru-RU"/>
        </w:rPr>
      </w:pPr>
      <w:r>
        <w:rPr>
          <w:bCs/>
          <w:lang w:bidi="ru-RU"/>
        </w:rPr>
        <w:t xml:space="preserve">Регламент работы </w:t>
      </w:r>
      <w:r>
        <w:rPr>
          <w:rFonts w:eastAsia="Courier New"/>
          <w:lang w:bidi="ru-RU"/>
        </w:rPr>
        <w:t xml:space="preserve">торговой секции </w:t>
      </w:r>
      <w:r>
        <w:rPr>
          <w:bCs/>
          <w:lang w:eastAsia="en-US" w:bidi="ru-RU"/>
        </w:rPr>
        <w:t xml:space="preserve">размещен по адресу: </w:t>
      </w:r>
      <w:r>
        <w:rPr>
          <w:rFonts w:eastAsia="Calibri"/>
          <w:lang w:eastAsia="en-US"/>
        </w:rPr>
        <w:t xml:space="preserve"> </w:t>
      </w:r>
      <w:r>
        <w:rPr/>
        <w:br w:type="textWrapping" w:clear="all"/>
      </w:r>
      <w:hyperlink r:id="rId7" w:tgtFrame="https://utp.sberbank-ast.ru/AP/Notice/1027/Instructions">
        <w:r>
          <w:rPr>
            <w:rStyle w:val="Hyperlink"/>
            <w:rFonts w:eastAsia="Calibri"/>
            <w:lang w:eastAsia="en-US"/>
          </w:rPr>
          <w:t>https://utp.sberbank-ast.ru/AP/Notice/1027/Instructions</w:t>
        </w:r>
      </w:hyperlink>
      <w:r>
        <w:rPr>
          <w:rFonts w:eastAsia="Calibri"/>
          <w:lang w:eastAsia="en-US"/>
        </w:rPr>
        <w:t>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b/>
          <w:bCs/>
        </w:rPr>
      </w:pPr>
      <w:r>
        <w:rPr>
          <w:rFonts w:eastAsia="Courier New"/>
          <w:lang w:bidi="ru-RU"/>
        </w:rPr>
        <w:t xml:space="preserve">Инструкция по работе в торговой секции электронной площадки  </w:t>
      </w:r>
      <w:r>
        <w:rPr/>
        <w:br w:type="textWrapping" w:clear="all"/>
      </w:r>
      <w:r>
        <w:rPr>
          <w:bCs/>
          <w:lang w:eastAsia="en-US" w:bidi="ru-RU"/>
        </w:rPr>
        <w:t>размещена по адресу:</w:t>
      </w:r>
      <w:r>
        <w:rPr>
          <w:rFonts w:eastAsia="Calibri" w:cs="Calibri" w:ascii="Calibri" w:hAnsi="Calibri"/>
          <w:sz w:val="22"/>
          <w:szCs w:val="22"/>
          <w:lang w:eastAsia="en-US"/>
        </w:rPr>
        <w:t xml:space="preserve"> </w:t>
      </w:r>
      <w:hyperlink r:id="rId8" w:tgtFrame="https://utp.sberbank-ast.ru/AP/Notice/652/Instructions">
        <w:r>
          <w:rPr>
            <w:rStyle w:val="Hyperlink"/>
            <w:bCs/>
            <w:lang w:eastAsia="en-US" w:bidi="ru-RU"/>
          </w:rPr>
          <w:t>https://utp.sberbank-ast.ru/AP/Notice/652/Instructions</w:t>
        </w:r>
      </w:hyperlink>
      <w:r>
        <w:rPr>
          <w:bCs/>
          <w:lang w:eastAsia="en-US" w:bidi="ru-RU"/>
        </w:rPr>
        <w:t>.</w:t>
      </w:r>
    </w:p>
    <w:p>
      <w:pPr>
        <w:pStyle w:val="Normal"/>
        <w:widowControl w:val="false"/>
        <w:ind w:firstLine="567" w:left="-567"/>
        <w:jc w:val="both"/>
        <w:rPr/>
      </w:pPr>
      <w:r>
        <w:rPr>
          <w:b/>
          <w:bCs/>
        </w:rPr>
        <w:t xml:space="preserve">Орган, уполномоченный на право заключение договора аренды земельного участка: </w:t>
      </w:r>
      <w:r>
        <w:rPr>
          <w:bCs/>
        </w:rPr>
        <w:t>департамент земельных отношений администрации города Перми, местонахождение: 614000, г. Пермь, ул. Сибирская,15, почтовый адрес: 614000, г. Пермь, ул. Сибирская,15, телефон 212-61-90 (отдел договоров), адрес электронной почты:</w:t>
      </w:r>
      <w:r>
        <w:rPr>
          <w:bCs/>
          <w:sz w:val="24"/>
          <w:szCs w:val="24"/>
        </w:rPr>
        <w:t xml:space="preserve"> </w:t>
      </w:r>
      <w:r>
        <w:rPr>
          <w:rStyle w:val="Hyperlink"/>
          <w:bCs/>
          <w:sz w:val="24"/>
          <w:szCs w:val="24"/>
          <w:lang w:val="en-US"/>
        </w:rPr>
        <w:t>dzo</w:t>
      </w:r>
      <w:r>
        <w:rPr>
          <w:rStyle w:val="Hyperlink"/>
          <w:bCs/>
          <w:sz w:val="24"/>
          <w:szCs w:val="24"/>
        </w:rPr>
        <w:t>@</w:t>
      </w:r>
      <w:r>
        <w:rPr>
          <w:rStyle w:val="Hyperlink"/>
          <w:bCs/>
          <w:sz w:val="24"/>
          <w:szCs w:val="24"/>
          <w:lang w:val="en-US"/>
        </w:rPr>
        <w:t>perm</w:t>
      </w:r>
      <w:r>
        <w:rPr>
          <w:rStyle w:val="Hyperlink"/>
          <w:bCs/>
          <w:sz w:val="24"/>
          <w:szCs w:val="24"/>
        </w:rPr>
        <w:t>.</w:t>
      </w:r>
      <w:r>
        <w:rPr>
          <w:rStyle w:val="Hyperlink"/>
          <w:bCs/>
          <w:sz w:val="24"/>
          <w:szCs w:val="24"/>
          <w:lang w:val="en-US"/>
        </w:rPr>
        <w:t>permkrai</w:t>
      </w:r>
      <w:r>
        <w:rPr>
          <w:rStyle w:val="Hyperlink"/>
          <w:bCs/>
          <w:sz w:val="24"/>
          <w:szCs w:val="24"/>
        </w:rPr>
        <w:t>.</w:t>
      </w:r>
      <w:r>
        <w:rPr>
          <w:rStyle w:val="Hyperlink"/>
          <w:bCs/>
          <w:sz w:val="24"/>
          <w:szCs w:val="24"/>
          <w:lang w:val="en-US"/>
        </w:rPr>
        <w:t>ru.</w:t>
      </w:r>
    </w:p>
    <w:p>
      <w:pPr>
        <w:pStyle w:val="Normal"/>
        <w:widowControl w:val="false"/>
        <w:ind w:firstLine="567" w:left="-567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widowControl w:val="false"/>
        <w:ind w:firstLine="567" w:left="-567"/>
        <w:jc w:val="both"/>
        <w:rPr>
          <w:b/>
          <w:bCs/>
        </w:rPr>
      </w:pPr>
      <w:r>
        <w:rPr>
          <w:b/>
          <w:bCs/>
        </w:rPr>
      </w:r>
    </w:p>
    <w:p>
      <w:pPr>
        <w:pStyle w:val="PlainText"/>
        <w:spacing w:lineRule="exact" w:line="240"/>
        <w:ind w:hanging="1134" w:left="1134"/>
        <w:jc w:val="center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val="ru-RU"/>
        </w:rPr>
        <w:t>Сведения о лотах (предметах аукциона)</w:t>
      </w:r>
    </w:p>
    <w:p>
      <w:pPr>
        <w:pStyle w:val="PlainText"/>
        <w:spacing w:lineRule="exact" w:line="240"/>
        <w:ind w:hanging="1134" w:left="1134"/>
        <w:jc w:val="left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val="ru-RU"/>
        </w:rPr>
        <w:t>Лот № 1</w:t>
      </w:r>
    </w:p>
    <w:tbl>
      <w:tblPr>
        <w:tblW w:w="10485" w:type="dxa"/>
        <w:jc w:val="left"/>
        <w:tblInd w:w="-58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3054"/>
        <w:gridCol w:w="6864"/>
      </w:tblGrid>
      <w:tr>
        <w:trPr>
          <w:trHeight w:val="87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органа местного самоуправления, принявшего решение о проведении аукциона,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реквизиты указанного решения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города Перми, распоряжение начальника департамента земельных отношений администрации города Перми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:shd w:fill="FFFFFF" w:val="clear"/>
                <w:lang w:val="ru-RU" w:eastAsia="ru-RU" w:bidi="ar-SA"/>
              </w:rPr>
              <w:t>от 25 ноября 2025 г. № 21-01-03-9095 «О проведении аукциона на право заключения договора аренды земельного участка в Кировском районе города Перми»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 аукциона на право заключения 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3" w:hRule="atLeast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Пермский край, городской округ Пермский, город Пермь, улица Воронежская, з/у 60б</w:t>
            </w:r>
          </w:p>
        </w:tc>
      </w:tr>
      <w:tr>
        <w:trPr>
          <w:trHeight w:val="148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площадь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7441 кв. м</w:t>
            </w:r>
          </w:p>
        </w:tc>
      </w:tr>
      <w:tr>
        <w:trPr>
          <w:trHeight w:val="155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кадастровый номер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59:01:1717124:341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права на земельный участок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государственная собственность не разграничена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вид разрешенного использования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легкая промышленность, склады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категории земель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земли населенных пунктов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/>
              <w:t>принадлежность к определенной территориальной зоне</w:t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ПК-5 «Зона производственно-коммунальных</w:t>
            </w:r>
          </w:p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объектов V класса вредности»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прав</w:t>
            </w:r>
          </w:p>
          <w:p>
            <w:pPr>
              <w:pStyle w:val="Normal"/>
              <w:ind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Ограничения прав подробно описаны: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выписке из Единого государственного реестра недвижимости об объекте недвижимости  от 07.08.2026г. No КУВИ-001/2026-106430683 (далее - ЕГРН);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градостроительном плане земельного участка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12.11.2025 № РФ-59-2-03-0-00-2025-2777-0 (далее – ГПЗУ) (приложение 2 к настоящему извещению).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3" w:themeShade="80"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Территория не огорожена, незаконно установленные объекты отсутствуют,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капитальных/некапитальных объектов не выявлено, на территории произрастают кустарники, деревья.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Близлежащий источник противопожарного водоснабжения относительно земельного участка расположен по ул. Воронежская, 56 (пожарный гидрант).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 администрации Кировского района города Перми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от 07.1</w:t>
            </w:r>
            <w:r>
              <w:rPr>
                <w:color w:val="auto"/>
                <w:sz w:val="24"/>
                <w:szCs w:val="24"/>
              </w:rPr>
              <w:t xml:space="preserve">0.2025 № 059-23-01-25/3-459, в  акте обследования </w:t>
            </w:r>
            <w:r>
              <w:rPr>
                <w:color w:val="auto"/>
                <w:sz w:val="24"/>
                <w:szCs w:val="24"/>
                <w:highlight w:val="white"/>
              </w:rPr>
              <w:t>от 03.10.2025 №</w:t>
            </w:r>
            <w:r>
              <w:rPr>
                <w:color w:val="auto"/>
                <w:sz w:val="24"/>
                <w:szCs w:val="24"/>
              </w:rPr>
              <w:t xml:space="preserve"> б/н).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themeColor="accent3" w:themeShade="80"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В соответствии с копией планшета М 1:500 (требующей корректуры), в границах Участка расположены сети электроснабжения, теплоснабжения, рассолопроводы.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themeColor="accent3" w:themeShade="80"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 xml:space="preserve">Размещение объекта капитального строительства необходимо предусматривать строго за пределами охранных зон сетей электроснабжения, теплоснабжения, водоснабжения, водоотведения в соответствии с нормами СП 42.13330.2016 «Градостроительство планировка и застройка городских и сельских поселений», в том числе в соответствии с таблицей 12.5 СП 42.13330.2016 «Градостроительство планировка и застройка городских и сельских поселений»; учитывать нормы постановления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(вместе </w:t>
              <w:br/>
              <w:t>с «Правилами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зон»).</w:t>
            </w:r>
          </w:p>
          <w:p>
            <w:pPr>
              <w:pStyle w:val="Normal"/>
              <w:spacing w:lineRule="auto" w:line="240" w:before="0" w:after="0"/>
              <w:ind w:hanging="0" w:left="0" w:right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3" w:themeShade="80" w:val="auto"/>
                <w:sz w:val="24"/>
                <w:szCs w:val="24"/>
                <w:highlight w:val="whit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Согласно сведениям ЕГРН, ГПЗУ и справке </w:t>
              <w:br/>
              <w:t xml:space="preserve">по градостроительным условиям участка от 15.12.2025 </w:t>
              <w:br/>
              <w:t>№ 658602 Участок расположен в границах зон с особыми условиями использования территории: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частично охранная зона ПС "ВЫШКА" 35/6 кВ,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частично охранная зона ВЛ 35 КВ ТЭЦ-5-ВЫШКА </w:t>
              <w:br/>
              <w:t>№ 1,2 С ОТПАЙКОЙ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НА ПС НАСОСНАЯ ОТ Ц.1,2,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частично охранная зона ВЛ-6 КВ Ф. СОВХОЗ ПС ВЫШКА,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частично зона затопления территорий, прилегающих </w:t>
              <w:br/>
              <w:t>к зарегулированной р. Кама (Воткинскому водохранилищу) в нижнем бьефе Камского гидроузла в г. Перми Пермского края, затапливаемых при пропуске Камским гидроузлом паводков расчетной обеспеченности расчетной обеспеченности 1%,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3" w:themeShade="80"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приаэродромная территория аэродрома аэропорта Большое Савино</w:t>
            </w:r>
            <w:r>
              <w:rPr>
                <w:color w:val="auto"/>
                <w:sz w:val="24"/>
                <w:szCs w:val="24"/>
                <w14:ligatures w14:val="none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Земельный участок расположен в санитарно-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защитных зонах предприятий: частично ПЕРМХИМ ООО, ООО «Пермская химическая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компания», Пермский филиал ФГУП «Российский научный центр «Прикладная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химия», ПЕРМХИМ ЗАО.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3" w:themeShade="80"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Проектирование и строительство вести в соответствии: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themeColor="accent3" w:themeShade="80"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с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постановлением Правительства Российской Федерации от 11.03.2010 № 138 «Об утверждении Федеральных правил использования воздушного пространства Российской Федерации»: «Запрещается размещать в полосах воздушных подходов на удалении до 30 км, а вне полос воздушных подходов – до 15 км от контрольной точки аэродрома объекты выбросов (размещения) отходов, животноводческие фермы, скотобойни и другие объекты, способствующие привлечению и массовому скоплению птиц»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3" w:themeShade="80"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с п</w:t>
            </w:r>
            <w:r>
              <w:rPr>
                <w:color w:val="auto"/>
                <w:sz w:val="24"/>
                <w:szCs w:val="24"/>
                <w:highlight w:val="white"/>
              </w:rPr>
              <w:t>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3" w:themeShade="80"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с </w:t>
            </w:r>
            <w:r>
              <w:rPr>
                <w:color w:val="auto"/>
                <w:sz w:val="24"/>
                <w:szCs w:val="24"/>
              </w:rPr>
              <w:t>р</w:t>
            </w:r>
            <w:r>
              <w:rPr>
                <w:color w:val="auto"/>
                <w:sz w:val="24"/>
                <w:szCs w:val="24"/>
                <w:highlight w:val="white"/>
              </w:rPr>
              <w:t>ешением Федеральной службы по надзору в сфере защиты прав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потребителей и благополучия человека Об установлении санитарно 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защитной зоны для ООО «Пермская химическая компания» от 20.01.2023 № 11-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РС33 </w:t>
            </w:r>
            <w:r>
              <w:rPr>
                <w:color w:val="auto"/>
                <w:sz w:val="24"/>
                <w:szCs w:val="24"/>
              </w:rPr>
              <w:t>, реестровый номер 59:01-6.</w:t>
            </w:r>
            <w:r>
              <w:rPr>
                <w:color w:val="auto"/>
                <w:sz w:val="24"/>
                <w:szCs w:val="24"/>
                <w:highlight w:val="white"/>
              </w:rPr>
              <w:t>9608;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themeColor="accent3" w:themeShade="80"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с р</w:t>
            </w:r>
            <w:r>
              <w:rPr>
                <w:color w:val="auto"/>
                <w:sz w:val="24"/>
                <w:szCs w:val="24"/>
                <w:highlight w:val="white"/>
              </w:rPr>
              <w:t>ешением Федеральной службы по надзору в сфере защиты прав потребителей и благополучия человека Об установлении санитарно- защитной зоны для Пермского филиала ФГУП «Российский научный центр «Прикладная химия» г. Пермь, ул. Во</w:t>
            </w:r>
            <w:r>
              <w:rPr>
                <w:b w:val="false"/>
                <w:bCs w:val="false"/>
                <w:color w:val="auto"/>
                <w:sz w:val="24"/>
                <w:szCs w:val="24"/>
                <w:highlight w:val="white"/>
              </w:rPr>
              <w:t>ронежская, 41 от 19.04.2019 № 46-РСЗЗ</w:t>
            </w:r>
            <w:r>
              <w:rPr>
                <w:b w:val="false"/>
                <w:bCs w:val="false"/>
                <w:color w:val="auto"/>
                <w:sz w:val="24"/>
                <w:szCs w:val="24"/>
                <w14:ligatures w14:val="none"/>
              </w:rPr>
              <w:t>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b w:val="false"/>
                <w:bCs w:val="false"/>
                <w:color w:val="auto"/>
                <w14:ligatures w14:val="none"/>
              </w:rPr>
              <w:t xml:space="preserve">приказом Камского бассейнового водного управления Федерального агентства водных ресурсов от 21.11.2022 </w:t>
              <w:br/>
              <w:t xml:space="preserve">№ 239 «Об установлении границ зон затопления </w:t>
              <w:br/>
              <w:t xml:space="preserve">на территориях, прилегающих к зарегулированной </w:t>
              <w:br/>
              <w:t>р. Кама (Воткинскому водохранилищу) в нижнем бьефе Камского гидроузла в г. Перми Пермского края, затапливаемых при пропуске Камским гидроузлом паводков расчетной обеспеченности 1%»; Ограничения использования объектов недвижимости в соответствии с частью 3 статьи 67.1 Водного кодекса РФ.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На испрашиваемом земельном участке произрастает 56 деревьев пород – береза 37 шт., ива 10 шт., осина 9 шт.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4" w:themeShade="bf"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Средняя стоимость в ценах 2025 года одного дерева лиственной породы от 25 тыс. руб., а хвойной – от 30 тыс. руб.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themeColor="accent4" w:themeShade="bf" w:val="auto"/>
                <w:spacing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spacing w:val="0"/>
                <w:sz w:val="24"/>
              </w:rPr>
              <w:t xml:space="preserve">Победителю аукциона необходимо соблюдать условия строительства, перечисленные в </w:t>
            </w: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</w:rPr>
              <w:t xml:space="preserve">перечне мероприятий </w:t>
              <w:br/>
              <w:t>по охране окружающей среды от 14.10.2025 № 360.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Управления по экологии и природопользованию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14.10.2025 № 059-33-01-10/3-70).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4" w:themeShade="bf"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Муниципальной программой «Дорожная деятельность и благоустройство города Перми», утвержденной постановлением администрации города Перми от 18.10.2024 № 966 «Об утверждении муниципальной программы «Дорожная деятельность и благоустройство города Перми»,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бюджетом города Перми на период 2025-2029 годы мероприятия по строительству, реконструкции, капитальному ремонту улично-дорожной сети на рассматриваемой территории не предусмотрены.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283" w:left="0" w:right="0"/>
              <w:jc w:val="both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</w:rPr>
              <w:t xml:space="preserve">По информации, имеющейся в департаменте дорог и благоустройства администрации города Перми, </w:t>
              <w:br/>
              <w:t xml:space="preserve">в настоящее время отсутствует улично-дорожная сеть для примыкания земельных участков. Рассмотрение данного вопроса возможно после принятия решения </w:t>
              <w:br/>
              <w:t>о строительстве улично-дорожной сети для обеспечения доступа к земельным участкам.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accent4" w:themeShade="bf" w:val="auto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В соответствии с Федеральным З</w:t>
            </w:r>
            <w:r>
              <w:rPr>
                <w:color w:val="auto"/>
                <w:sz w:val="24"/>
                <w:szCs w:val="24"/>
              </w:rPr>
              <w:t xml:space="preserve">аконом от 08.11.2007 </w:t>
              <w:br/>
              <w:t xml:space="preserve">№ 257-ФЗ «Об автомобильных дорогах и о дорожной деятельности в Российской Федерации и о внесении изменений </w:t>
              <w:br/>
              <w:t xml:space="preserve">в отдельные законодательные акты Российской Федерации», расходы на строительство, реконструкцию, капитальный ремонт, ремонт пересечений и примыканий, в том числе расходы на выполнение дополнительных работ, связанных с обеспечением безопасности дорожного движения, водоотведения и исполнением других установленных техническими регламентами требований, несут лица, в интересах которых осуществляются строительство, реконструкция, капитальный ремонт, ремонт пересечений </w:t>
              <w:br/>
              <w:t>или примыканий.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Департамента дорог и благоустройства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07.10.2025 № 059-24-01-36/3-3670).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themeColor="accent4" w:themeShade="bf" w:val="auto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Источники противопожарного водоснабжения (пожарные водоемы и пожарные гидранты на сети водоснабжения) на указанных территориях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При планировке и размещении объектов на вышеуказанной территории необходимо соблюдать нормы и требования действующего законодательства: Федеральных законов от 21 декабря 1994 г. № 69-ФЗ «О пожарной безопасности» и от 22 июля 2008 г. № 123-ФЗ «Технический регламент о требованиях пожарной безопасности», Региональных нормативов градостроительного проектирования «Расчетные показатели обеспеченности населения Пермского края объектами пожарной охраны», утвержденных приказом Министерства по управлению имуществом и градостроительной деятельности Пермского края от 25.02.2021 № 31-02-1-4-248, а также Свода правил 8.13130 «Системы противопожарной защиты. Источники наружного противопожарного водоснабжения. Требования пожарной безопасности», утвержденных приказом МЧС России от 30.03.2020 № 225, Свода правил 4.13130 «Системы противопожарной защиты. Ограничение распространения пожара на объектах защиты. Требования к объемно-планировочным и конструктивным решениям», утвержденных Приказом МЧС России от 24.04.2013 № 288 и иной документации, касающейся норм противопожарной безопасности.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accent4" w:themeShade="bf" w:val="auto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Информация о подразделениях пожарной охраны </w:t>
              <w:br/>
              <w:t xml:space="preserve">и времени их прибытия содержится в «Расписании выезда подразделений Пермского местного пожарно-спасательного гарнизона для тушения пожаров и проведения аварийно-спасательных работ на территории Пермского городского округа, Пермского муниципального района», утвержденном Главой города Перми 26.04.2024. Подразделение пожарной охраны расположено по адресу: ул. Сысольская, 16 (ПСЧ-6 </w:t>
              <w:br/>
              <w:t>10-ПСО).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accent4" w:themeShade="bf" w:val="auto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Помещения для аварийно-спасательных служб и (или) аварийно-спасательных формирований на указанной территории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themeColor="accent4" w:themeShade="bf"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Объект общественной безопасности, отнесенный </w:t>
              <w:br/>
              <w:t xml:space="preserve">к объектам полиции (участковые пункты полиции), </w:t>
              <w:br/>
              <w:t xml:space="preserve">в данном микрорайоне расположен по адресу: г. Пермь, ул. Генерала Панфилова, 6/1 (микрорайон Крым, Кировский район). В настоящее время в указанном микрорайоне строительство (приобретение) участковых пунктов полиции не планируется. По информации, предоставленной Министерством территориальной безопасности Пермского края (письмо от 07.10.2020 </w:t>
              <w:br/>
              <w:t xml:space="preserve">№ 964с), рассматриваемые земельные участки попадают </w:t>
              <w:br/>
              <w:t>в зону возможного химического заражения в особый период.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themeColor="accent4" w:themeShade="bf"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Указанные земельные участки находятся в зоне действия системы оповещения населения города Перми, установленной по ул. Генерала Панфилова, 10 – 1500 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rFonts w:eastAsia="Times New Roman" w:cs="Times New Roman"/>
                <w:b/>
                <w:color w:val="auto"/>
                <w:sz w:val="24"/>
                <w:szCs w:val="24"/>
              </w:rPr>
              <w:t>департамента общественной безопасности администрации города Перми</w:t>
            </w: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 от 06.10.2025 № 059-10-01-27/3-2189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themeColor="accent4" w:themeShade="bf"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4"/>
                <w:szCs w:val="24"/>
              </w:rPr>
              <w:t>Согласно протоколу заседания координационного совещания по обеспечению правопорядка в Пермском крае от 16.03.2022 №74-гс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  <w:szCs w:val="24"/>
              </w:rPr>
              <w:t xml:space="preserve"> для строительства объектов городской инфраструктуры (парков, скверов, торгово-развлекательных комплексов, иных зданий и сооружений) обязательным является условие по установке камер видеонаблюдения.</w:t>
            </w:r>
          </w:p>
        </w:tc>
      </w:tr>
      <w:tr>
        <w:trPr>
          <w:trHeight w:val="1087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283" w:left="51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максимально и (или) минимально допустимые параметры разрешенного строительства</w:t>
              <w:br/>
              <w:t>объекта капитального строительства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9" w:tgtFrame="http://www.gorodperm.ru/">
              <w:r>
                <w:rPr>
                  <w:rStyle w:val="Hyperlink"/>
                  <w:sz w:val="24"/>
                  <w:szCs w:val="24"/>
                </w:rPr>
                <w:t>www.gorodperm.ru</w:t>
              </w:r>
            </w:hyperlink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themeColor="accent4" w:themeShade="bf"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 xml:space="preserve">Предельные (минимальные и (или) максимальные) размеры земельного участка и предельные параметры разрешенного строительства, реконструкции объекта капитального строительства, установленные градостроительным регламентом для территориальной зоны, в которой расположен земельный участок, указаны в </w:t>
            </w:r>
            <w:r>
              <w:rPr>
                <w:color w:val="auto"/>
                <w:sz w:val="24"/>
                <w:szCs w:val="24"/>
              </w:rPr>
              <w:t>ГПЗУ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 (пункт 3 статьи 57.3 Градостроительного кодекса Российской Федерации).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4" w:themeShade="bf"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Согласно ГПЗУ: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4" w:themeShade="bf"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максимальный выступ за красную линию нависающих частей здания наземных уровней, выступающих из плоскости наружной стены фасада здания на высоте не менее 4,5 м над территорией общего пользования, составляет не более 1,2 м от красной линии. В случаях когда линия регулирования застройки отличается от красной линии, указанный выступ может быть произведен за линию регулирования застройки;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4" w:themeShade="bf"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 xml:space="preserve">максимальный класс опасности (в соответствии </w:t>
              <w:br/>
              <w:t>с санитарно- эпидемиологическими правилами) объектов капитального строительства, размещаемых на земельных участках – V;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4" w:themeShade="bf"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минимальный отступ от границ Участка до места допустимого размещения зданий, строений – 0 м;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themeColor="accent4" w:themeShade="bf"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Предельное количество этажей и (или) предельная высота зданий, строений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themeColor="accent4" w:themeShade="bf"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отношений суммарной площади земельного участка, которая может быть застроена, ко всей площади земельного участка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themeColor="accent4" w:themeShade="bf"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Требования к архитектурным решениям объектов капитального строительства, расположенным в границах территории исторического поселения федерального или регионального значения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themeColor="accent4" w:themeShade="bf"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В соответствии с таблицей Б.1 «Показатели плотности застройки участков территориальных зон» СП 42.13330.2016. Свод правил. Градостроительство. Планировка и застройка городских и сельских поселений. Актуализированная редакция СНиП 2.07.01-89* коэффициент плотности застройки земельного участка в производственной промышленной зоне составляет 2,4.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themeColor="accent4" w:themeShade="bf" w:val="auto"/>
                <w:sz w:val="28"/>
                <w:szCs w:val="28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 xml:space="preserve">В соответствии копией планшета М 1:500, требующего корректуры, в границах земельного участка </w:t>
              <w:br/>
              <w:t>с кадастровым номером 59:01:1717124:341 расположены сети электроснабжения 6 кВ.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(вместе с «Правилами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зон») установлено, что расстояние по горизонтали от элементов зданий и сооружений до проводов воздушных линий электропередачи напряжением свыше 1 кВ до 20 кВ (при наибольшем их отклонении) должно быть не менее2 метров.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themeColor="accent4" w:themeShade="bf"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Таким образом, предельные параметры разрешенного строительства на земельном участке составляют 8220 кв. м (3425*2,4).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themeColor="accent4" w:themeShade="bf" w:val="auto"/>
                <w:sz w:val="24"/>
                <w:szCs w:val="24"/>
                <w14:ligatures w14:val="none"/>
              </w:rPr>
            </w:pPr>
            <w:r>
              <w:rPr>
                <w:color w:val="auto"/>
              </w:rPr>
              <w:t xml:space="preserve">Учитывая конфигурацию Участка, расположенные </w:t>
              <w:br/>
              <w:t xml:space="preserve">в границах Участка сети и зоны с особыми условиями использования территории, информация о которых </w:t>
              <w:br/>
              <w:t>не содержится в ЕГРН, в соответствии с приложением Г «Площадь и размеры земельных участков складов» СП 42.13330.2016. Свод правил. Градостроительство. Планировка и застройка городских и сельских поселений. Актуализированная редакция СНиП 2.07.01-89* минимальная площадь склада на Участке для складов непродовольственных товаров составляет: 1004 кв. м для одноэтажных объектов капитального строительства, 1516 кв. м для многоэтажных объектов капитального строительства</w:t>
            </w:r>
            <w:r>
              <w:rPr/>
              <w:t xml:space="preserve"> (если</w:t>
            </w:r>
            <w:r>
              <w:rPr>
                <w14:ligatures w14:val="none"/>
              </w:rPr>
              <w:t xml:space="preserve"> на земельном участке не планируется строительство объектов согласно установленному виду разрешенного использования «легкая промышленность (6.3)).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themeColor="accent3" w:themeShade="80"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В соответствии с пунктом 2.1.34. Решения Пермской городской Думы от 15.12.2020 № 277 «Об утверждении Правил благоустройства территории города Перми» при проектировании и строительстве объекта капитального строительства необходимо соблюдать требования по разработке паспорта внешнего облика объекта капитального строительства (далее –  колерный паспорт, Правила).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themeColor="accent3" w:themeShade="80"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Колерный паспорт – документ, разрабатываемый </w:t>
              <w:br/>
              <w:t xml:space="preserve">в случаях, предусмотренных действующим законодательством, Правилами, для фасада здания, строения, сооружения при планируемом строительстве, реконструкции, капитальном ремонте, реставрации, приспособлении объекта культурного наследия для современного использования, а также при изменении внешнего вида здания, строения, сооружения, который устанавливает внешний облик (вид) фасада здания, строения, сооружения, включая требования </w:t>
              <w:br/>
              <w:t>в отношении материалов, способов отделки и цветов фасадов, ограждающих конструкций (крыш (кровельного покрытия), ограждений балконов, лоджий), мест для размещения средств размещения информации (вывесок, указателей с наименованиями улиц и номерами домов (зданий)), рекламных конструкций, а также мест для размещения, вида, цветового решения архитектурно-художественной подсветки.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themeColor="accent3" w:themeShade="80"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Колерный паспорт подлежит согласованию </w:t>
              <w:br/>
              <w:t>с функциональным органом администрации города Перми, осуществляющим функции управления в сфере градостроительства.</w:t>
            </w:r>
          </w:p>
        </w:tc>
      </w:tr>
      <w:tr>
        <w:trPr>
          <w:trHeight w:val="2820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0"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10" w:tgtFrame="http://www.gorodperm.ru/">
              <w:r>
                <w:rPr>
                  <w:rStyle w:val="Hyperlink"/>
                  <w:sz w:val="24"/>
                  <w:szCs w:val="24"/>
                </w:rPr>
                <w:t>www.gorodperm.ru</w:t>
              </w:r>
            </w:hyperlink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4" w:themeShade="bf"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О наличии технической возможности технологического присоединения к электросетям филиала энергопринимающего устройства объекта капитального строительства с предполагаемой максимальной мощностью 1607 кВт сообщает следующее.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Процедура технологического присоединения осуществляется в соответствии с нормами действующего законодательства: Федеральным законом от 26.03.2003 № 35 - ФЗ «Об электроэнергетике»,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 (далее - Правила ТП), утвержденными постановлением Правительства РФ от 27.12.2004 № 861.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Сетевая организация обязана соблюдать единые стандарты качества обслуживания сетевыми организациями потребителей услуг сетевых организаций, утверждаемые федеральным органом исполнительной власти, осуществляющим функции по выработке </w:t>
              <w:br/>
              <w:t>и реализации государственной политики и нормативно- правовому регулированию в сфере топливно-энергетического комплекса, в отношении лица, обратившегося к ней с целью осуществления технологического присоединения энергопринимающих устройств.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Информация о наличии объема свободной </w:t>
              <w:br/>
              <w:t>для технологического присоединения потребителей трансформаторной мощности по подстанциям и распределительным пунктам с дифференциацией по всем уровням напряжения в соответствии с абз. 7-8 подп. «г» п. 19 Стандартов раскрытия информации субъектами оптового и розничных рынков электрической энергии, утвержденных постановлением Правительства РФ от 21.01.2004 № 24, размещена на официальном сайте ПАО «Россети Урал» по адресу: https: //rosseti- ural.ru/disclosure/monopoly/characteristic/bandwidth/.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K земельному участку ближайшим центром питания ПАО «Россети Урал» является ПС 35/6 Вышка, резерв электрической мощности на которой составляет 2,27 МВт на 25.09.2025.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Ввиду отсутствия резерва необходимой электрической мощности осуществление технологического присоединения энергопринимающих устройств возможно в рамках заключения договора по индивидуальному проекту, в порядке, установленном Правилами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Согласно пункту 3 Правил ТП сетевая организация обязана выполнить в отношении любого обратившегося</w:t>
              <w:br/>
              <w:t>к ней лица мероприятия по технологическому присоединению при условии соблюдения им Правил ТП и наличии технической возможности технологического присоединения.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В силу пункта 6 Правил ТП технологическое присоединение осуществляется на основании договора, заключаемого между сетевой организацией и юридическим или физическим лицом. Перечень мероприятий по технологическому присоединению определяется в технических условиях.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Согласно пунктам 15, 25, 25.1 Правил ТП технические условия являются неотъемлемым приложением к соответствующему договору технологического присоединения и представляют собой техническое решение присоединения конкретного энергопринимающего устройства к сетям электросетевой организации, которое предусматривает точки присоединения, требования к усилению существующей сети, иные технические требования.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Следовательно, технические условия для технологического присоединения предоставляются заявителю сетевой организацией вместе с договором о технологическом присоединении.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При этом Правилами ТП не предусмотрена подготовка и выдача сетевой организацией частным лицам либо органам государственной власти (местного самоуправления) каких-либо предварительных технических условий на подключение к электрическим сетям без подачи заявки на технологическое присоединение.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На основании вышеизложенного, для получения технических условий и заключения договора на технологическое присоединение необходимо направить в адрес филиала ПАО «Россети Урал» - «Пермэнерго» соответствующую заявку </w:t>
              <w:br/>
              <w:t>на технологическое присоединение с указанием сведений и приложением необходимых документов в соответствии с Правилами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Размер платы, объем мероприятий и сроки исполнения данных мероприятий будут определены договором </w:t>
              <w:br/>
              <w:t xml:space="preserve">об осуществлении технологического присоединения, подготовленном на основании заявки на технологическое присоединение, отвечающей требованиям, изложенным </w:t>
              <w:br/>
              <w:t>в пунктах 9, 10 Правил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Заявку на технологическое присоединение можно подать через единый федеральный портал электросетевых услуг группы компаний «Россети» - ПОРТАЛ - ТП. РФ.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>ПАО «Россети Урал» - «Пермэнерго» Пермские городские электрические сети»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 от </w:t>
            </w:r>
            <w:r>
              <w:rPr>
                <w:color w:val="auto"/>
                <w:sz w:val="24"/>
                <w:szCs w:val="24"/>
              </w:rPr>
              <w:t>30.10.2025 № ПЭ/22/1562).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4" w:themeShade="bf"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к сетям теплоснабжения с присоединяемой нагрузкой 0,11 Гккал/час возможность имеется. Возможные точки присоединения на существующих тепловых сетях: T-30-22 на М4-02 (разв.) 2Ду200мм. Источник теплоснабжения: ТЭЦ-14. Сведения о размере подключаемой тепловой нагрузки: 1,54 Гкал/ч.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4" w:themeShade="bf"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Уточнение объема и перечня необходимых мероприятий для подключения объекта к системе теплоснабжения возможно после подачи заявки и предоставления полного пакета документов для заключения договора о подключении (технологическом присоединении).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ПАО «Т Плюс»</w:t>
            </w:r>
            <w:r>
              <w:rPr>
                <w:color w:val="auto"/>
                <w:sz w:val="24"/>
                <w:szCs w:val="24"/>
              </w:rPr>
              <w:t xml:space="preserve"> от 10.10.2025 № 51030-01-06295).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4" w:themeShade="bf"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объекта капитального строительства с предполагаемой максимальной нагрузкой 26 куб.м/час к существующим сетям газораспределения имеется.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14:ligatures w14:val="none"/>
              </w:rPr>
              <w:t>Для определения месторасположения газораспределительных сетей на интересуемом земельном участке необходимо направить в адрес Филиала в г. Пермь АО «Газпром газораспределение Пермь» инженерно-топографический план на бумажном носителе, выполненный в масштабе 1:500, в координатах г. Перми, на котором отображены рельеф местности, объекты ситуации и границы интересующей территории.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14:ligatures w14:val="none"/>
              </w:rPr>
              <w:t xml:space="preserve">Для рассмотрения вопроса о предоставлении технических условий на подключение (технологическое присоединение) Заявителю, намеревающемуся осуществить подключение к газораспределительным сетям объектов капитального строительства необходимо направить в адрес Пермского филиала АО «Газпром газораспределение Пермь» (на электронную почту post@pf.ugaz.ru ; почтой России по адресу: 614107, Пермский край, г. Пермь, ул. Уральская, д. 104; через Единый центр предоставления услуг по адресу: г. Пермь, ул. Уральская, д. 104, каб. 101, график работы: пн-ср </w:t>
              <w:br/>
              <w:t>с 8:00 до 17:00, чт с 11:00 до 20:00, пт с 8:00 до 16:00, вторая суббота месяца с 08:00 до 16:00)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14:ligatures w14:val="none"/>
              </w:rPr>
              <w:t xml:space="preserve">Заявку о заключении договора о подключении (технологическом присоединении) по типовой форме </w:t>
              <w:br/>
              <w:t xml:space="preserve">с пакетом документов в соответствии с п. 11, 16 Постановления Правительства Российской федерации № 1547 от 13.09.2021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</w:t>
              <w:br/>
              <w:t>и о признании утратившими силу некоторых актов Правительства Российской Федерации».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>АО «Газпром газораспределение Пермь»</w:t>
            </w:r>
            <w:r>
              <w:rPr>
                <w:color w:val="auto"/>
                <w:sz w:val="24"/>
                <w:szCs w:val="24"/>
              </w:rPr>
              <w:t xml:space="preserve"> от 09.10.2025 № ПФ-7372).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Технологическое присоединение к сетям связи ПАО «Ростелеком» может быть произведено в точке подключения узел ВОЛС (г. Пермь, ул. Генерала Панфилова, 8В), максимальную нагрузку в точке подключения (технологического присоединения) определить на стадии проектирования.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Для подключения (технологического присоединения) вышеуказанных объектов к сетям электросвязи </w:t>
              <w:br/>
              <w:t xml:space="preserve">ПАО «Ростелеком» необходим запрос правообладателя земельного участка на выдачу технических условий подключения или заявки о заключении договора </w:t>
              <w:br/>
              <w:t>о подключении в порядке, определенном действующим законодательством.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Срок действия технических условий составляет 3 года (при комплексном развитии территории 5 лет) со дня выдачи технических условий. В случае, если в течение </w:t>
              <w:br/>
              <w:t xml:space="preserve">1 года (при комплексном развитии территории – 3 лет) </w:t>
              <w:br/>
              <w:t>со дня выдачи технических условий заявителем не будет подана заявка о подключении, срок действия технических условий прекращается («Правила подключения (технологического присоединения) объектов капитального строительства к сетям электросвязи», утвержденные постановлением Правительства РФ от 01.07.2022 № 1196).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4" w:themeShade="bf"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 xml:space="preserve">Для получения ТУ на подключение к сетям связи </w:t>
              <w:br/>
              <w:t xml:space="preserve">ПАО «Ростелеком» необходимо обратиться в Отдел продаж и обслуживания по адресу: г. Пермь, ул. Крупской, 2, тел.: +7 (342) 235-57-34 или направить запрос на </w:t>
            </w:r>
            <w:hyperlink r:id="rId11">
              <w:r>
                <w:rPr>
                  <w:rStyle w:val="Hyperlink"/>
                  <w:color w:val="auto"/>
                  <w:sz w:val="24"/>
                  <w:szCs w:val="24"/>
                </w:rPr>
                <w:t>perm-mail@ural.rt.ru</w:t>
              </w:r>
            </w:hyperlink>
            <w:hyperlink r:id="rId12" w:tgtFrame="mailto:perm-mail@ural.rt.ru.">
              <w:r>
                <w:rPr>
                  <w:rStyle w:val="ListLabel37"/>
                  <w:color w:val="auto"/>
                  <w:sz w:val="24"/>
                  <w:szCs w:val="24"/>
                </w:rPr>
                <w:t>.</w:t>
              </w:r>
            </w:hyperlink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ПАО «Ростелеком»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от 09.10.2025 № 01/05/149268/25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color w:themeColor="accent4" w:themeShade="bf"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О возможности подключения планируемого к строительству объекта на Участке сообщается, что в районе вышеуказанных земельных участков, расположенных по ул. Воронежская отсутствуют централизованные сети водоснабжения и водоотведения, эксплуатируемые ООО «Новогор-Прикамье».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color w:themeColor="accent4" w:themeShade="bf"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Ближайшие сети водоснабжения, эксплуатируемые ООО «НОВОГОР-Прикамье», располагаются в районе здания по ул. Воронежская, 39 ориентировочно на расстоянии - 2 км от выше 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Ближайшие сети водоотведения, эксплуатируемые ООО «НОВОГОР- Прикамье», располагаются в районе здания по ул. Воронежская, 37 ориентировочно на расстоянии - 2 км от выше 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Виду отсутствия данных о посадке проектируемых объектов, длины технологических разрывов до сетей водоснабжения и водоотведения указаны ориентировочно.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color w:themeColor="accent4" w:themeShade="bf"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 xml:space="preserve">При проектировании может быть применен альтернативный способ водоснабжения без подключения к централизованной системе водоснабжения </w:t>
              <w:br/>
              <w:t>(от скважины) и альтернативный способ канализования, без подключения к централизованной системе канализации г. Перми (отвод стоков на локальные очистные сооружения), при этом состав канализационных стоков должен соответствовать всем нормативным требованиям Российской Федерации.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Для сведения сообщаем, в связи с тем, что ООО «НОВОГОР-Прикамье» эксплуатирует только централизованные системы водоснабжения и водоотведения, по вопросу возможности обеспечения индивидуального жилого дома холодным водоснабжением от скважины и отвода канализационных стоков локально, предлагаем вам обратиться </w:t>
              <w:br/>
              <w:t>в соответствующие организации, регулирующие недропользование.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Кроме того, ООО «НОВОГОР-Прикамье» не располагает сведениями о наличии сетей 3-х лиц в границах вышеуказанных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ООО «Новогор-Прикамье» </w:t>
            </w:r>
            <w:r>
              <w:rPr>
                <w:color w:val="auto"/>
                <w:sz w:val="24"/>
                <w:szCs w:val="24"/>
              </w:rPr>
              <w:t>от 07.10.2025 № 110-15615).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4" w:themeShade="bf" w:val="auto"/>
                <w:sz w:val="24"/>
                <w:szCs w:val="24"/>
                <w14:ligatures w14:val="none"/>
              </w:rPr>
            </w:pPr>
            <w:r>
              <w:rPr>
                <w:color w:val="auto"/>
              </w:rPr>
              <w:t>На период до 2028 года на территории, где расположен Участок, схемами водоснабжения и водоотведения города Перми, утвержденными постановлением администрации города Перми от 28.12.2018 № 1085, предусмотрено строительство сетей водоснабжения и водоотведения в мкр. Крым поселок.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департамента жилищно-коммунального хозяйства администрации города Перми </w:t>
            </w:r>
            <w:r>
              <w:rPr>
                <w:color w:val="auto"/>
                <w:sz w:val="24"/>
                <w:szCs w:val="24"/>
              </w:rPr>
              <w:t>от 07.10.2025 № 059-04-17/3-959-ри).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Начальная цена предмета аукциона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(размер ежегодной арендной платы)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right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 xml:space="preserve">По условиям пункта 4.3 проекта договора аренды земельного участка, приобретаемого на торгах в форме аукциона, для строительства (Приложение 1 к настоящему извещению), победитель аукциона, иное лицо, с которым договор заключается в соответствии с п.13, п.14, п. 20 или п. 25  ст. 39.12 Земельного Кодекса Российской Федерации </w:t>
              <w:br/>
              <w:t xml:space="preserve">(далее – ЗК РФ), обязан до подписания договора уплатить ежегодный размер арендной платы, указанный в п. 4.2 договора (за вычетом задатка, внесенного для участия в аукционе) </w:t>
            </w:r>
            <w:r>
              <w:rPr>
                <w:b/>
                <w:bCs w:val="false"/>
                <w:color w:val="000000"/>
                <w:sz w:val="24"/>
                <w:szCs w:val="24"/>
                <w:shd w:fill="auto" w:val="clear"/>
              </w:rPr>
              <w:t xml:space="preserve">однократно за первые 3 года </w:t>
            </w: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>на счет департамента земельных отношений администрации города Перми, 614000, ул. Сибирская,15, тел. 212-61-90 (отдел договоров)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756 401 руб.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«Шаг аукциона» (5%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37 820,05 руб.</w:t>
            </w:r>
          </w:p>
        </w:tc>
      </w:tr>
      <w:tr>
        <w:trPr>
          <w:trHeight w:val="41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заявки на участие в аукционе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rFonts w:eastAsia="Droid Sans Fallback" w:cs="Lohit Devanagari"/>
                <w:color w:val="auto"/>
                <w:kern w:val="0"/>
                <w:sz w:val="24"/>
                <w:szCs w:val="24"/>
                <w:lang w:val="ru-RU" w:eastAsia="zh-CN" w:bidi="ar-SA"/>
              </w:rPr>
      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2-4 пункта 1, пункте 1.1 статьи 39.12 Земельного кодекса Российской Федерации (копии документов, удостоверяющих личность заявителя (для граждан);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документы, подтверждающие внесение задатка).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каждый лот представляется отдельный пакет документов.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BodyText"/>
              <w:jc w:val="both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shd w:fill="auto" w:val="clear"/>
              </w:rPr>
              <w:t xml:space="preserve">Решение о проведении аукциона принято </w:t>
              <w:br/>
              <w:t>в соответствии со статьей 39.11 Земельного кодекса Российской Федерации. Аукцион является открытым по составу участников.</w:t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 задатка (50%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378 200,5 руб.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аренды земельного участка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лет 6 месяцев</w:t>
            </w:r>
          </w:p>
        </w:tc>
      </w:tr>
      <w:tr>
        <w:trPr>
          <w:trHeight w:val="188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договора аренды земельного участка, приобретаемого на торгах в форме аукциона, для строительства,  является Приложением 1 к настоящему извещению и размещен на сайтах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gorodperm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 (раздел Деятельность/ муниципальная собственность/ Торговая площадка/Вид торгов Продажа и аренда земельных участков).</w:t>
            </w:r>
          </w:p>
        </w:tc>
      </w:tr>
      <w:tr>
        <w:trPr>
          <w:trHeight w:val="14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осмотра земельного участка </w:t>
              <w:br/>
              <w:t>на местности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Осмотр земельного участка производится заявителем самостоятельно в любое время с даты опубликования настоящего извещения.</w:t>
            </w:r>
          </w:p>
        </w:tc>
      </w:tr>
    </w:tbl>
    <w:p>
      <w:pPr>
        <w:pStyle w:val="Normal"/>
        <w:spacing w:lineRule="exact" w:line="240"/>
        <w:ind w:hanging="1134" w:left="113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</w:r>
    </w:p>
    <w:p>
      <w:pPr>
        <w:pStyle w:val="PlainText"/>
        <w:spacing w:lineRule="exact" w:line="240"/>
        <w:ind w:hanging="1134" w:left="113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</w:r>
    </w:p>
    <w:p>
      <w:pPr>
        <w:pStyle w:val="PlainText"/>
        <w:spacing w:lineRule="exact" w:line="240"/>
        <w:ind w:hanging="1134" w:left="1134"/>
        <w:jc w:val="left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val="ru-RU"/>
        </w:rPr>
        <w:t>Лот № 2</w:t>
      </w:r>
    </w:p>
    <w:tbl>
      <w:tblPr>
        <w:tblW w:w="10485" w:type="dxa"/>
        <w:jc w:val="left"/>
        <w:tblInd w:w="-58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3054"/>
        <w:gridCol w:w="6864"/>
      </w:tblGrid>
      <w:tr>
        <w:trPr>
          <w:trHeight w:val="87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органа местного самоуправления, принявшего решение о проведении аукциона,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реквизиты указанного решения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города Перми, распоряжение начальника департамента земельных отношений администрации города Перми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:shd w:fill="FFFFFF" w:val="clear"/>
                <w:lang w:val="ru-RU" w:eastAsia="ru-RU" w:bidi="ar-SA"/>
              </w:rPr>
              <w:t>от 24 ноября 2025 г. № 21-01-03-9062 «О проведении аукциона на право заключения договора аренды земельного участка в Кировском районе города Перми»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 аукциона на право заключения 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3" w:hRule="atLeast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Пермский край, городской округ Пермский, город Пермь, улица Воронежская, з/у 60в</w:t>
            </w:r>
          </w:p>
        </w:tc>
      </w:tr>
      <w:tr>
        <w:trPr>
          <w:trHeight w:val="148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площадь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4815 кв. м</w:t>
            </w:r>
          </w:p>
        </w:tc>
      </w:tr>
      <w:tr>
        <w:trPr>
          <w:trHeight w:val="155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кадастровый номер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59:01:1717124:342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права на земельный участок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государственная собственность не разграничена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вид разрешенного использования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легкая промышленность, склады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категории земель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земли населенных пунктов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/>
              <w:t>принадлежность к определенной территориальной зоне</w:t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ПК-5 «Зона производственно-коммунальных</w:t>
            </w:r>
          </w:p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объектов V класса вредности».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прав</w:t>
            </w:r>
          </w:p>
          <w:p>
            <w:pPr>
              <w:pStyle w:val="Normal"/>
              <w:ind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Ограничения прав подробно описаны: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выписке из Единого государственного реестра недвижимости об объекте недвижимости  от 07.08.2026г. No КУВИ-001/2026-106430680 (далее - ЕГРН);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градостроительном плане земельного участка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12.11.2025 № РФ-59-2-03-0-00-2025-2778-0 (далее – ГПЗУ) (приложение 4 к настоящему извещению).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3" w:themeShade="bf"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Территория не огорожена, незаконно установленные объекты отсутствуют,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капитальных/некапитальных объектов не выявлено, на территории произрастают кустарники, деревья.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Близлежащий источник противопожарного водоснабжения относительно земельного участка расположен по ул. Воронежская, 56 (пожарный гидрант).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администрации Кировского района города Перми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от 07.1</w:t>
            </w:r>
            <w:r>
              <w:rPr>
                <w:color w:val="auto"/>
                <w:sz w:val="24"/>
                <w:szCs w:val="24"/>
              </w:rPr>
              <w:t xml:space="preserve">0.2025 № 059-23-01-25/3-459, в акте обследования </w:t>
            </w:r>
            <w:r>
              <w:rPr>
                <w:color w:val="auto"/>
                <w:sz w:val="24"/>
                <w:szCs w:val="24"/>
                <w:highlight w:val="white"/>
              </w:rPr>
              <w:t>от 03.10.2025 №</w:t>
            </w:r>
            <w:r>
              <w:rPr>
                <w:color w:val="auto"/>
                <w:sz w:val="24"/>
                <w:szCs w:val="24"/>
              </w:rPr>
              <w:t xml:space="preserve"> б/н).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themeColor="accent3" w:themeShade="bf"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В соответствии с копией планшета М 1:500 (требующей корректуры), в границах Участка расположен рассолопровод, сети теплоснабжения.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3" w:themeShade="bf" w:val="auto"/>
                <w:sz w:val="24"/>
                <w:szCs w:val="24"/>
                <w:highlight w:val="white"/>
              </w:rPr>
            </w:pPr>
            <w:r>
              <w:rPr>
                <w:color w:themeColor="accent3" w:themeShade="bf" w:val="auto"/>
                <w:sz w:val="24"/>
                <w:szCs w:val="24"/>
                <w:highlight w:val="white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themeColor="accent3" w:themeShade="bf"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Размещение объекта капитального строительства необходимо предусматривать строго за пределами охранных зон сетей электроснабжения, теплоснабжения, водоснабжения, водоотведения в соответствии с нормами СП 42.13330.2016 «Градостроительство планировка и застройка городских и сельских поселений», в том числе в соответствии с таблицей 12.5 СП 42.13330.2016 «Градостроительство планировка и застройка городских и сельских поселений»; учитывать нормы приказа Минстроя РФ от 17.08.1992 № 197 «О типовых правилах охраны коммунальных тепловых сетей».</w:t>
            </w:r>
          </w:p>
          <w:p>
            <w:pPr>
              <w:pStyle w:val="Normal"/>
              <w:spacing w:lineRule="auto" w:line="240" w:before="0" w:after="0"/>
              <w:ind w:hanging="0" w:left="0" w:right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3" w:themeShade="bf" w:val="auto"/>
                <w:sz w:val="24"/>
                <w:szCs w:val="24"/>
                <w:highlight w:val="whit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Согласно сведениям ЕГРН, ГПЗУ и справке </w:t>
              <w:br/>
              <w:t xml:space="preserve">по градостроительным условиям участка от 15.12.2025 </w:t>
              <w:br/>
              <w:t>№ 658636 Участок расположен в границах зон с особыми условиями использования территории: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частично зона затопления территорий, прилегающих </w:t>
              <w:br/>
              <w:t>к зарегулированной р. Кама (Воткинскому водохранилищу) в нижнем бьефе Камского гидроузла в г. Перми Пермского края, затапливаемых при пропуске Камским гидроузлом паводков расчетной обеспеченности расчетной обеспеченности 1%,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3" w:themeShade="bf"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приаэродромная территория аэродрома аэропорта Большое Савино</w:t>
            </w:r>
            <w:r>
              <w:rPr>
                <w:color w:val="auto"/>
                <w:sz w:val="24"/>
                <w:szCs w:val="24"/>
                <w14:ligatures w14:val="none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Земельный участок расположен в санитарно-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защитных зонах предприятий: частично ПЕРМХИМ ООО, ООО «Пермская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химическая компания», Пермский филиал ФГУП «Российский научный центр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«Прикладная химия», частично ПЕРМХИМ ЗАО.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3" w:themeShade="bf"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Проектирование и строительство вести в соответствии: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themeColor="accent3" w:themeShade="bf"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с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постановлением Правительства Российской Федерации от 11.03.2010 № 138 «Об утверждении Федеральных правил использования воздушного пространства Российской Федерации»: «Запрещается размещать в полосах воздушных подходов на удалении до 30 км, а вне полос воздушных подходов – до 15 км от контрольной точки аэродрома объекты выбросов (размещения) отходов, животноводческие фермы, скотобойни и другие объекты, способствующие привлечению и массовому скоплению птиц»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3" w:themeShade="bf"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с </w:t>
            </w:r>
            <w:r>
              <w:rPr>
                <w:color w:val="auto"/>
                <w:sz w:val="24"/>
                <w:szCs w:val="24"/>
              </w:rPr>
              <w:t>р</w:t>
            </w:r>
            <w:r>
              <w:rPr>
                <w:color w:val="auto"/>
                <w:sz w:val="24"/>
                <w:szCs w:val="24"/>
                <w:highlight w:val="white"/>
              </w:rPr>
              <w:t>ешением Федеральной службы по надзору в сфере защиты прав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потребителей и благополучия человека </w:t>
              <w:br/>
              <w:t>Об установлении санитарно 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защитной зоны </w:t>
              <w:br/>
              <w:t xml:space="preserve">для ООО «Пермская химическая компания» от 20.01.2023 </w:t>
              <w:br/>
              <w:t>№ 11-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РС33 </w:t>
            </w:r>
            <w:r>
              <w:rPr>
                <w:color w:val="auto"/>
                <w:sz w:val="24"/>
                <w:szCs w:val="24"/>
              </w:rPr>
              <w:t>, реестровый номер 59:01-6.</w:t>
            </w:r>
            <w:r>
              <w:rPr>
                <w:color w:val="auto"/>
                <w:sz w:val="24"/>
                <w:szCs w:val="24"/>
                <w:highlight w:val="white"/>
              </w:rPr>
              <w:t>9608;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themeColor="accent3" w:themeShade="bf"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с р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ешением Федеральной службы по надзору в сфере защиты прав потребителей и благополучия человека </w:t>
              <w:br/>
              <w:t xml:space="preserve">Об установлении санитарно- защитной зоны </w:t>
              <w:br/>
              <w:t>для Пермского филиала ФГУП «Российский научный центр «Прикладная химия» г. Пермь, ул. Во</w:t>
            </w:r>
            <w:r>
              <w:rPr>
                <w:b w:val="false"/>
                <w:bCs w:val="false"/>
                <w:color w:val="auto"/>
                <w:sz w:val="24"/>
                <w:szCs w:val="24"/>
                <w:highlight w:val="white"/>
              </w:rPr>
              <w:t>ронежская, 41 от 19.04.2019 № 46-РСЗЗ</w:t>
            </w:r>
            <w:r>
              <w:rPr>
                <w:b w:val="false"/>
                <w:bCs w:val="false"/>
                <w:color w:val="auto"/>
                <w:sz w:val="24"/>
                <w:szCs w:val="24"/>
                <w14:ligatures w14:val="none"/>
              </w:rPr>
              <w:t>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b w:val="false"/>
                <w:bCs w:val="false"/>
                <w:color w:val="auto"/>
                <w14:ligatures w14:val="none"/>
              </w:rPr>
              <w:t xml:space="preserve">приказом Камского бассейнового водного управления Федерального агентства водных ресурсов от 21.11.2022 </w:t>
              <w:br/>
              <w:t xml:space="preserve">№ 239 «Об установлении границ зон затопления </w:t>
              <w:br/>
              <w:t xml:space="preserve">на территориях, прилегающих к зарегулированной </w:t>
              <w:br/>
              <w:t>р. Кама (Воткинскому водохранилищу) в нижнем бьефе Камского гидроузла в г. Перми Пермского края, затапливаемых при пропуске Камским гидроузлом паводков расчетной обеспеченности 1%»; Ограничения использования объектов недвижимости в соответствии с частью 3 статьи 67.1 Водного кодекса РФ.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На испрашиваемом земельном участке произрастает 39 деревьев пород – береза 17 шт., ива 6 шт., осина 16 шт.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3" w:themeShade="bf"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Средняя стоимость в ценах 2025 года одного дерева лиственной породы от 25 тыс. руб., а хвойной – от 30 тыс. руб.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themeColor="accent3" w:themeShade="bf" w:val="auto"/>
                <w:spacing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spacing w:val="0"/>
                <w:sz w:val="24"/>
              </w:rPr>
              <w:t xml:space="preserve">Победителю аукциона необходимо соблюдать условия строительства, перечисленные в </w:t>
            </w: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</w:rPr>
              <w:t xml:space="preserve">перечне мероприятий </w:t>
              <w:br/>
              <w:t>по охране окружающей среды от 14.10.2025 № 361.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Управления по экологии и природопользованию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14.10.2025 № 059-33-01-10/3-70).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3" w:themeShade="bf"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Муниципальной программой «Дорожная деятельность и благоустройство города Перми», утвержденной постановлением администрации города Перми от 18.10.2024 № 966 «Об утверждении муниципальной программы «Дорожная деятельность и благоустройство города Перми»,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бюджетом города Перми на период 2025-2029 годы мероприятия по строительству, реконструкции, капитальному ремонту улично-дорожной сети на рассматриваемой территории не предусмотрены.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283" w:left="0" w:right="0"/>
              <w:jc w:val="both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</w:rPr>
              <w:t xml:space="preserve">По информации, имеющейся в департаменте дорог </w:t>
              <w:br/>
              <w:t xml:space="preserve">и благоустройства администрации города Перми, </w:t>
              <w:br/>
              <w:t xml:space="preserve">в настоящее время отсутствует улично-дорожная сеть для примыкания земельных участков. Рассмотрение данного вопроса возможно после принятия решения </w:t>
              <w:br/>
              <w:t>о строительстве улично-дорожной сети для обеспечения доступа к земельным участкам.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accent3" w:themeShade="bf" w:val="auto"/>
              </w:rPr>
            </w:pPr>
            <w:r>
              <w:rPr>
                <w:color w:val="auto"/>
                <w:sz w:val="24"/>
                <w:szCs w:val="24"/>
              </w:rPr>
              <w:t xml:space="preserve">В соответствии с Федеральным Законом от 08.11.2007 </w:t>
              <w:br/>
              <w:t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расходы на строительство, реконструкцию, капитальный ремонт, ремонт пересечений и примыканий, в том числе расходы на выполнение дополнительных работ, связанных с обеспечением безопасности дорожного движения, водоотведения и исполнением других установленных техническими регламентами требований, несут лица, в интересах которых осуществляются строительство, реконструкция, капитальный ремонт, ремонт пересечений или примыканий.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Департамента дорог и благоустройства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 от 07.10.2025 № 059-24-01-36/3-3670).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themeColor="accent3" w:themeShade="bf" w:val="auto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Источники противопожарного водоснабжения (пожарные водоемы и пожарные гидранты на сети водоснабжения) на указанных территориях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При планировке и размещении объектов </w:t>
              <w:br/>
              <w:t xml:space="preserve">на вышеуказанной территории необходимо соблюдать нормы и требования действующего законодательства: Федеральных законов от 21 декабря 1994 г. № 69-ФЗ </w:t>
              <w:br/>
              <w:t>«О пожарной безопасности» и от 22 июля 2008 г. № 123-ФЗ «Технический регламент о требованиях пожарной безопасности», Региональных нормативов градостроительного проектирования «Расчетные показатели обеспеченности населения Пермского края объектами пожарной охраны», утвержденных приказом Министерства по управлению имуществом и градостроительной деятельности Пермского края от 25.02.2021 № 31-02-1-4-248, а также Свода правил 8.13130 «Системы противопожарной защиты. Источники наружного противопожарного водоснабжения. Требования пожарной безопасности», утвержденных приказом МЧС России от 30.03.2020 № 225, Свода правил 4.13130 «Системы противопожарной защиты. Ограничение распространения пожара на объектах защиты. Требования к объемно-планировочным и конструктивным решениям», утвержденных Приказом МЧС России от 24.04.2013 № 288 и иной документации, касающейся норм противопожарной безопасности.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accent3" w:themeShade="bf" w:val="auto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Информация о подразделениях пожарной охраны </w:t>
              <w:br/>
              <w:t>и времени их прибытия содержится в «Расписании выезда подразделений Пермского местного пожарно-спасательного гарнизона для тушения пожаров и проведения аварийно-спасательных работ на территории Пермского городского округа, Пермского муниципального района», утвержденном Главой города Перми 26.04.2024. Подразделение пожарной охраны расположено по адресу: ул. Сысольская, 16 (ПСЧ-6 10-ПСО).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accent3" w:themeShade="bf" w:val="auto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Помещения для аварийно-спасательных служб и (или) аварийно-спасательных формирований на указанной территории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themeColor="accent3" w:themeShade="bf"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Объект общественной безопасности, отнесенный к объектам полиции (участковые пункты полиции), в данном микрорайоне расположен по адресу: г. Пермь, ул. Генерала Панфилова, 6/1 (микрорайон Крым, Кировский район). В настоящее время в указанном микрорайоне строительство (приобретение) участковых пунктов полиции не планируется. По информации, предоставленной Министерством территориальной безопасности Пермского края (письмо от 07.10.2020 </w:t>
              <w:br/>
              <w:t xml:space="preserve">№ 964с), рассматриваемые земельные участки попадают </w:t>
              <w:br/>
              <w:t>в зону возможного химического заражения в особый период.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themeColor="accent3" w:themeShade="bf"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Указанные земельные участки находятся в зоне действия системы оповещения населения города Перми, установленной по ул. Генерала Панфилова, 10 – 1500 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rFonts w:eastAsia="Times New Roman" w:cs="Times New Roman"/>
                <w:b/>
                <w:color w:val="auto"/>
                <w:sz w:val="24"/>
                <w:szCs w:val="24"/>
              </w:rPr>
              <w:t>департамента общественной безопасности администрации города Перми</w:t>
            </w: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 от 06.10.2025 № 059-10-01-27/3-2189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themeColor="accent3" w:themeShade="bf"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4"/>
                <w:szCs w:val="24"/>
              </w:rPr>
              <w:t>Согласно протоколу заседания координационного совещания по обеспечению правопорядка в Пермском крае от 16.03.2022 №74-гс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  <w:szCs w:val="24"/>
              </w:rPr>
              <w:t xml:space="preserve"> для строительства объектов городской инфраструктуры (парков, скверов, торгово-развлекательных комплексов, иных зданий и сооружений) обязательным является условие по установке камер видеонаблюдения.</w:t>
            </w:r>
          </w:p>
        </w:tc>
      </w:tr>
      <w:tr>
        <w:trPr>
          <w:trHeight w:val="1087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283" w:left="51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максимально и (или) минимально допустимые параметры разрешенного строительства</w:t>
              <w:br/>
              <w:t>объекта капитального строительства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13" w:tgtFrame="http://www.gorodperm.ru/">
              <w:r>
                <w:rPr>
                  <w:rStyle w:val="Hyperlink"/>
                  <w:sz w:val="24"/>
                  <w:szCs w:val="24"/>
                </w:rPr>
                <w:t>www.gorodperm.ru</w:t>
              </w:r>
            </w:hyperlink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 xml:space="preserve">Предельные (минимальные и (или) максимальные) размеры земельного участка и предельные параметры разрешенного строительства, реконструкции объекта капитального строительства, установленные градостроительным регламентом для территориальной зоны, в которой расположен земельный участок, указаны в </w:t>
            </w:r>
            <w:r>
              <w:rPr>
                <w:color w:val="auto"/>
                <w:sz w:val="24"/>
                <w:szCs w:val="24"/>
              </w:rPr>
              <w:t>ГПЗУ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 (пункт 3 статьи 57.3 Градостроительного кодекса Российской Федерации).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Согласно ГПЗУ: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максимальный выступ за красную линию нависающих частей здания наземных уровней, выступающих из плоскости наружной стены фасада здания на высоте не менее 4,5 м над территорией общего пользования, составляет не более 1,2 м от красной линии. В случаях когда линия регулирования застройки отличается от красной линии, указанный выступ может быть произведен за линию регулирования застройки;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максимальный класс опасности (в соответствии с санитарно-эпидемиологическими правилами) объектов капитального строительства, размещаемых на земельных участках – V;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минимальный отступ от границ Участка до места допустимого размещения зданий, строений – 0 м;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Предельное количество этажей и (или) предельная высота зданий, строений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отношений суммарной площади земельного участка, которая может быть застроена, ко всей площади земельного участка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Требования к архитектурным решениям объектов капитального строительства, расположенным в границах территории исторического поселения федерального или регионального значения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 xml:space="preserve">В соответствии с таблицей Б.1 «Показатели плотности застройки участков территориальных зон» </w:t>
              <w:br/>
              <w:t>СП 42.13330.2016. Свод правил. Градостроительство. Планировка и застройка городских и сельских поселений. Актуализированная редакция СНиП 2.07.01-89* коэффициент плотности застройки земельного участка в производственной промышленной зоне составляет 2,4.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 xml:space="preserve">Таким образом, предельные параметры разрешенного строительства на земельном участке составляют </w:t>
              <w:br/>
              <w:t>11556 кв. м (4815*2,4).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color w:val="auto"/>
              </w:rPr>
              <w:t xml:space="preserve">Учитывая конфигурацию Участка, расположенные </w:t>
              <w:br/>
              <w:t xml:space="preserve">в границах Участка сети и зоны с особыми условиями использования территории, информация о которых </w:t>
              <w:br/>
              <w:t xml:space="preserve">не содержится в ЕГРН, в соответствии с приложением Г «Площадь и размеры земельных участков складов» </w:t>
              <w:br/>
              <w:t>СП 42.13330.2016. Свод правил. Градостроительство. Планировка и застройка городских и сельских поселений. Актуализированная редакция СНиП 2.07.01-89* минимальная площадь склада на Участке для складов непродовольственных товаров составляет: 1411 кв. м для одноэтажных объектов капитального строительства, 2132 кв. м для многоэтажных объектов капитального строительства</w:t>
            </w:r>
            <w:r>
              <w:rPr/>
              <w:t xml:space="preserve"> (если</w:t>
            </w:r>
            <w:r>
              <w:rPr>
                <w14:ligatures w14:val="none"/>
              </w:rPr>
              <w:t xml:space="preserve"> на земельном участке не планируется строительство объектов согласно установленному виду разрешенного использования «легкая промышленность (6.3)).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соответствии с пунктом 2.1.34. Решения Пермской городской Думы от 15.12.2020 № 277 «Об утверждении Правил благоустройства территории города Перми» при проектировании и строительстве объекта капитального строительства необходимо соблюдать требования </w:t>
              <w:br/>
              <w:t>по разработке паспорта внешнего облика объекта капитального строительства (далее –  колерный паспорт, Правила).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Колерный паспорт – документ, разрабатываемый </w:t>
              <w:br/>
              <w:t xml:space="preserve">в случаях, предусмотренных действующим законодательством, Правилами, для фасада здания, строения, сооружения при планируемом строительстве, реконструкции, капитальном ремонте, реставрации, приспособлении объекта культурного наследия для современного использования, а также при изменении внешнего вида здания, строения, сооружения, который устанавливает внешний облик (вид) фасада здания, строения, сооружения, включая требования </w:t>
              <w:br/>
              <w:t>в отношении материалов, способов отделки и цветов фасадов, ограждающих конструкций (крыш (кровельного покрытия), ограждений балконов, лоджий), мест для размещения средств размещения информации (вывесок, указателей с наименованиями улиц и номерами домов (зданий)), рекламных конструкций, а также мест для размещения, вида, цветового решения архитектурно-художественной подсветки.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Колерный паспорт подлежит согласованию </w:t>
              <w:br/>
              <w:t>с функциональным органом администрации города Перми, осуществляющим функции управления в сфере градостроительства.</w:t>
            </w:r>
          </w:p>
        </w:tc>
      </w:tr>
      <w:tr>
        <w:trPr>
          <w:trHeight w:val="2820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0"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14" w:tgtFrame="http://www.gorodperm.ru/">
              <w:r>
                <w:rPr>
                  <w:rStyle w:val="Hyperlink"/>
                  <w:sz w:val="24"/>
                  <w:szCs w:val="24"/>
                </w:rPr>
                <w:t>www.gorodperm.ru</w:t>
              </w:r>
            </w:hyperlink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3" w:themeShade="bf"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О наличии технической возможности технологического присоединения к электросетям филиала энергопринимающего устройства объекта капитального строительства с предполагаемой максимальной мощностью 1040 кВт сообщает следующее.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Процедура технологического присоединения осуществляется в соответствии с нормами действующего законодательства: Федеральным законом от 26.03.2003 № 35 - ФЗ «Об электроэнергетике»,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 (далее - Правила ТП), утвержденными постановлением Правительства РФ от 27.12.2004 № 861.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Сетевая организация обязана соблюдать единые стандарты качества обслуживания сетевыми организациями потребителей услуг сетевых организаций, утверждаемые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топливно-энергетического комплекса, в отношении лица, обратившегося к ней с целью осуществления технологического присоединения энергопринимающих устройств.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Информация о наличии объема свободной для технологического присоединения потребителей трансформаторной мощности по подстанциям и распределительным пунктам с дифференциацией по всем уровням напряжения в соответствии с абз. 7-8 подп. «г» п. 19 Стандартов раскрытия информации субъектами оптового и розничных рынков электрической энергии, утвержденных постановлением Правительства РФ от 21.01.2004 № 24, размещена на официальном сайте ПАО «Россети Урал» по адресу: https: //rosseti- ural.ru/disclosure/monopoly/characteristic/bandwidth/.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K земельному участку ближайшим центром питания ПАО «Россети Урал» является ПС 35/6 Вышка, резерв электрической мощности на которой составляет 2,27 МВт на 25.09.2025.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Ввиду отсутствия резерва необходимой электрической мощности осуществление технологического присоединения энергопринимающих устройств возможно в рамках заключения договора по индивидуальному проекту, в порядке, установленном Правилами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Согласно пункту 3 Правил ТП сетевая организация обязана выполнить в отношении любого обратившегося </w:t>
              <w:br/>
              <w:t>к ней лица мероприятия по технологическому присоединению при условии соблюдения им Правил ТП и наличии технической возможности технологического присоединения.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В силу пункта 6 Правил ТП технологическое присоединение осуществляется на основании договора, заключаемого между сетевой организацией и юридическим или физическим лицом. Перечень мероприятий по технологическому присоединению определяется в технических условиях.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Согласно пунктам 15, 25, 25.1 Правил ТП технические условия являются неотъемлемым приложением к соответствующему договору технологического присоединения и представляют собой техническое решение присоединения конкретного энергопринимающего устройства к сетям электросетевой организации, которое предусматривает точки присоединения, требования к усилению существующей сети, иные технические требования.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Следовательно, технические условия для технологического присоединения предоставляются заявителю сетевой организацией вместе с договором о технологическом присоединении.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При этом Правилами ТП не предусмотрена подготовка и выдача сетевой организацией частным лицам либо органам государственной власти (местного самоуправления) каких-либо предварительных технических условий на подключение к электрическим сетям без подачи заявки на технологическое присоединение.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На основании вышеизложенного, для получения технических условий и заключения договора на технологическое присоединение необходимо направить в адрес филиала ПАО «Россети Урал» - «Пермэнерго» соответствующую заявку на технологическое присоединение с указанием сведений и приложением необходимых документов в соответствии с Правилами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Размер платы, объем мероприятий и сроки исполнения данных мероприятий будут определены договором </w:t>
              <w:br/>
              <w:t xml:space="preserve">об осуществлении технологического присоединения, подготовленном на основании заявки на технологическое присоединение, отвечающей требованиям, изложенным </w:t>
              <w:br/>
              <w:t>в пунктах 9, 10 Правил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Заявку на технологическое присоединение можно подать через единый федеральный портал электросетевых услуг группы компаний «Россети» - ПОРТАЛ - ТП. РФ.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>ПАО «Россети Урал» - «Пермэнерго» Пермские городские электрические сети»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 от </w:t>
            </w:r>
            <w:r>
              <w:rPr>
                <w:color w:val="auto"/>
                <w:sz w:val="24"/>
                <w:szCs w:val="24"/>
              </w:rPr>
              <w:t>30.10.2025 № ПЭ/22/1562).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3" w:themeShade="bf"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к сетям теплоснабжения с присоединяемой нагрузкой 0,07 Гккал/час возможность имеется. Возможные точки присоединения на существующих тепловых сетях: T-30-22 на М4-02 (разв.) 2Ду200мм. Источник теплоснабжения: ТЭЦ-14. Сведения о размере подключаемой тепловой нагрузки: 1,54 Гкал/ч.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3" w:themeShade="bf"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Уточнение объема и перечня необходимых мероприятий для подключения объекта к системе теплоснабжения возможно после подачи заявки и предоставления полного пакета документов для заключения договора о подключении (технологическом присоединении).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ПАО «Т Плюс»</w:t>
            </w:r>
            <w:r>
              <w:rPr>
                <w:color w:val="auto"/>
                <w:sz w:val="24"/>
                <w:szCs w:val="24"/>
              </w:rPr>
              <w:t xml:space="preserve"> от 10.10.2025 № 51030-01-06295).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3" w:themeShade="bf"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объекта капитального строительства с предполагаемой максимальной нагрузкой 17 куб.м/час к существующим сетям газораспределения имеется.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14:ligatures w14:val="none"/>
              </w:rPr>
              <w:t>Для определения месторасположения газораспределительных сетей на интересуемом земельном участке необходимо направить в адрес Филиала в г. Пермь АО «Газпром газораспределение Пермь» инженерно-топографический план на бумажном носителе, выполненный в масштабе 1:500, в координатах г. Перми, на котором отображены рельеф местности, объекты ситуации и границы интересующей территории.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14:ligatures w14:val="none"/>
              </w:rPr>
              <w:t xml:space="preserve">Для рассмотрения вопроса о предоставлении технических условий на подключение (технологическое присоединение) Заявителю, намеревающемуся осуществить подключение к газораспределительным сетям объектов капитального строительства необходимо направить в адрес Пермского филиала АО «Газпром газораспределение Пермь» (на электронную почту post@pf.ugaz.ru ; почтой России по адресу: 614107, Пермский край, г. Пермь, ул. Уральская, д. 104; через Единый центр предоставления услуг по адресу: г. Пермь, ул. Уральская, д. 104, каб. 101, график работы: пн-ср </w:t>
              <w:br/>
              <w:t>с 8:00 до 17:00, чт с 11:00 до 20:00, пт с 8:00 до 16:00, вторая суббота месяца с 08:00 до 16:00)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14:ligatures w14:val="none"/>
              </w:rPr>
              <w:t xml:space="preserve">Заявку о заключении договора о подключении (технологическом присоединении) по типовой форме </w:t>
              <w:br/>
              <w:t xml:space="preserve">с пакетом документов в соответствии с п. 11, 16 Постановления Правительства Российской федерации № 1547 от 13.09.2021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</w:t>
              <w:br/>
              <w:t>и о признании утратившими силу некоторых актов Правительства Российской Федерации».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>АО «Газпром газораспределение Пермь»</w:t>
            </w:r>
            <w:r>
              <w:rPr>
                <w:color w:val="auto"/>
                <w:sz w:val="24"/>
                <w:szCs w:val="24"/>
              </w:rPr>
              <w:t xml:space="preserve"> от 09.10.2025 № ПФ-7372).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Технологическое присоединение к сетям связи ПАО «Ростелеком» может быть произведено в точке подключения узел ВОЛС (г. Пермь, ул. Генерала Панфилова, 8В), максимальную нагрузку в точке подключения (технологического присоединения) определить на стадии проектирования.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Для подключения (технологического присоединения) вышеуказанных объектов к сетям электросвязи </w:t>
              <w:br/>
              <w:t>ПАО «Ростелеком» необходим запрос правообладателя земельного участка на выдачу технических условий подключения или заявки о заключении договора о подключении в порядке, определенном действующим законодательством.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Срок действия технических условий составляет 3 года (при комплексном развитии территории 5 лет) со дня выдачи технических условий. В случае, если в течение 1 года (при комплексном развитии территории – 3 лет) со дня выдачи технических условий заявителем не будет подана заявка о подключении, срок действия технических условий прекращается («Правила подключения (технологического присоединения) объектов капитального строительства к сетям электросвязи», утвержденные постановлением Правительства РФ от 01.07.2022 № 1196).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3" w:themeShade="bf"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 xml:space="preserve">Для получения ТУ на подключение к сетям связи </w:t>
              <w:br/>
              <w:t xml:space="preserve">ПАО «Ростелеком» необходимо обратиться в Отдел продаж и обслуживания по адресу: г. Пермь, ул. Крупской, 2, тел.: +7 (342) 235-57-34 или направить запрос на </w:t>
            </w:r>
            <w:hyperlink r:id="rId15">
              <w:r>
                <w:rPr>
                  <w:rStyle w:val="Hyperlink"/>
                  <w:color w:val="auto"/>
                  <w:sz w:val="24"/>
                  <w:szCs w:val="24"/>
                </w:rPr>
                <w:t>perm-mail@ural.rt.ru</w:t>
              </w:r>
            </w:hyperlink>
            <w:hyperlink r:id="rId16" w:tgtFrame="mailto:perm-mail@ural.rt.ru.">
              <w:r>
                <w:rPr>
                  <w:rStyle w:val="ListLabel37"/>
                  <w:color w:val="auto"/>
                  <w:sz w:val="24"/>
                  <w:szCs w:val="24"/>
                </w:rPr>
                <w:t>.</w:t>
              </w:r>
            </w:hyperlink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ПАО «Ростелеком»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от 09.10.2025 № 01/05/149268/25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color w:themeColor="accent3" w:themeShade="bf"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О возможности подключения планируемого к строительству объекта на Участке сообщается, что в районе вышеуказанных земельных участков, расположенных по ул. Воронежская отсутствуют централизованные сети водоснабжения и водоотведения, эксплуатируемые ООО «Новогор-Прикамье».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color w:themeColor="accent3" w:themeShade="bf"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Ближайшие сети водоснабжения, эксплуатируемые ООО «НОВОГОР-Прикамье», располагаются в районе здания по ул. Воронежская, 39 ориентировочно на расстоянии - 2 км от выше 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Ближайшие сети водоотведения, эксплуатируемые ООО «НОВОГОР- Прикамье», располагаются в районе здания по ул. Воронежская, 37 ориентировочно на расстоянии - 2 км от выше 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Виду отсутствия данных о посадке проектируемых объектов, длины технологических разрывов до сетей водоснабжения и водоотведения указаны ориентировочно.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color w:themeColor="accent3" w:themeShade="bf"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При проектировании может быть применен альтернативный способ водоснабжения без подключения к централизованной системе водоснабжения (от скважины) и альтернативный способ канализования, без подключения к централизованной системе канализации г. Перми (отвод стоков на локальные очистные сооружения), при этом состав канализационных стоков должен соответствовать всем нормативным требованиям Российской Федерации.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Для сведения сообщаем, в связи с тем, что </w:t>
              <w:br/>
              <w:t>ООО «НОВОГОР-Прикамье» эксплуатирует только централизованные системы водоснабжения и водоотведения, по вопросу возможности обеспечения индивидуального жилого дома холодным водоснабжением от скважины и отвода канализационных стоков локально, предлагаем вам обратиться в соответствующие организации, регулирующие недропользование.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Кроме того, ООО «НОВОГОР-Прикамье» не располагает сведениями о наличии сетей 3-х лиц в границах вышеуказанных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ООО «Новогор-Прикамье» </w:t>
            </w:r>
            <w:r>
              <w:rPr>
                <w:color w:val="auto"/>
                <w:sz w:val="24"/>
                <w:szCs w:val="24"/>
              </w:rPr>
              <w:t>от 07.10.2025 № 110-15615).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  <w:t>На период до 2028 года на территории, где расположен Участок, схемами водоснабжения и водоотведения города Перми, утвержденными постановлением администрации города Перми от 28.12.2018 № 1085, предусмотрено строительство сетей водоснабжения и водоотведения в мкр. Крым поселок.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департамента жилищно-коммунального хозяйства администрации города Перми </w:t>
            </w:r>
            <w:r>
              <w:rPr>
                <w:color w:val="auto"/>
                <w:sz w:val="24"/>
                <w:szCs w:val="24"/>
              </w:rPr>
              <w:t>от 07.10.2025 № 059-04-17/3-959-ри).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Начальная цена предмета аукциона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(размер ежегодной арендной платы)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right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 xml:space="preserve">По условиям пункта 4.3 проекта договора аренды земельного участка, приобретаемого на торгах в форме аукциона, для строительства (Приложение 3 к настоящему извещению), победитель аукциона, иное лицо, с которым договор заключается в соответствии с п.13, п.14, п. 20 или п. 25  ст. 39.12 Земельного Кодекса Российской Федерации </w:t>
              <w:br/>
              <w:t xml:space="preserve">(далее – ЗК РФ), обязан до подписания договора уплатить ежегодный размер арендной платы, указанный в п. 4.2 договора (за вычетом задатка, внесенного для участия в аукционе) </w:t>
            </w:r>
            <w:r>
              <w:rPr>
                <w:b/>
                <w:bCs w:val="false"/>
                <w:color w:val="000000"/>
                <w:sz w:val="24"/>
                <w:szCs w:val="24"/>
                <w:shd w:fill="auto" w:val="clear"/>
              </w:rPr>
              <w:t xml:space="preserve">однократно за первые 3 года </w:t>
            </w: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>на счет департамента земельных отношений администрации города Перми, 614000, ул. Сибирская,15, тел. 212-61-90 (отдел договоров)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550 502 руб.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«Шаг аукциона» (5%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27 525,1 руб.</w:t>
            </w:r>
          </w:p>
        </w:tc>
      </w:tr>
      <w:tr>
        <w:trPr>
          <w:trHeight w:val="41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заявки на участие в аукционе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rFonts w:eastAsia="Droid Sans Fallback" w:cs="Lohit Devanagari"/>
                <w:color w:val="auto"/>
                <w:kern w:val="0"/>
                <w:sz w:val="24"/>
                <w:szCs w:val="24"/>
                <w:lang w:val="ru-RU" w:eastAsia="zh-CN" w:bidi="ar-SA"/>
              </w:rPr>
      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2-4 пункта 1, пункте 1.1 статьи 39.12 Земельного кодекса Российской Федерации (копии документов, удостоверяющих личность заявителя (для граждан);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документы, подтверждающие внесение задатка).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каждый лот представляется отдельный пакет документов.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BodyText"/>
              <w:jc w:val="both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shd w:fill="auto" w:val="clear"/>
              </w:rPr>
              <w:t>Решение о проведении аукциона принято в соответствии со статьей 39.11 Земельного кодекса Российской Федерации. Аукцион является открытым по составу участников.</w:t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 задатка (50%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275 251 руб.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аренды земельного участка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лет 4 месяца</w:t>
            </w:r>
          </w:p>
        </w:tc>
      </w:tr>
      <w:tr>
        <w:trPr>
          <w:trHeight w:val="188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договора аренды земельного участка, приобретаемого на торгах в форме аукциона, для строительства,  является Приложением 3 к настоящему извещению и размещен на сайтах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gorodperm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 (раздел Деятельность/ муниципальная собственность/ Торговая площадка/Вид торгов Продажа и аренда земельных участков).</w:t>
            </w:r>
          </w:p>
        </w:tc>
      </w:tr>
      <w:tr>
        <w:trPr>
          <w:trHeight w:val="14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осмотра земельного участка </w:t>
              <w:br/>
              <w:t>на местности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Осмотр земельного участка производится заявителем самостоятельно в любое время с даты опубликования настоящего извещения.</w:t>
            </w:r>
          </w:p>
        </w:tc>
      </w:tr>
    </w:tbl>
    <w:p>
      <w:pPr>
        <w:pStyle w:val="Normal"/>
        <w:spacing w:lineRule="exact" w:line="240"/>
        <w:ind w:hanging="1134" w:left="113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</w:r>
    </w:p>
    <w:p>
      <w:pPr>
        <w:pStyle w:val="PlainText"/>
        <w:spacing w:lineRule="exact" w:line="240"/>
        <w:ind w:hanging="1134" w:left="1134"/>
        <w:jc w:val="left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val="ru-RU"/>
        </w:rPr>
        <w:t>Лот № 3</w:t>
      </w:r>
    </w:p>
    <w:tbl>
      <w:tblPr>
        <w:tblW w:w="10485" w:type="dxa"/>
        <w:jc w:val="left"/>
        <w:tblInd w:w="-58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3054"/>
        <w:gridCol w:w="6864"/>
      </w:tblGrid>
      <w:tr>
        <w:trPr>
          <w:trHeight w:val="87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органа местного самоуправления, принявшего решение о проведении аукциона,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реквизиты указанного решения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города Перми, распоряжение начальника департамента земельных отношений администрации города Перми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:lang w:val="ru-RU" w:eastAsia="ru-RU" w:bidi="ar-SA"/>
              </w:rPr>
              <w:t>от 25 ноября 2025 г. № 21-01-03-9108 «О проведении аукциона на право заключения договора аренды земельного участка в Кировском районе города Перми»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 аукциона на право заключения 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3" w:hRule="atLeast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Пермский край, городской округ Пермский, город Пермь, улица Воронежская, з/у 62</w:t>
            </w:r>
          </w:p>
        </w:tc>
      </w:tr>
      <w:tr>
        <w:trPr>
          <w:trHeight w:val="148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площадь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19653 кв. м</w:t>
            </w:r>
          </w:p>
        </w:tc>
      </w:tr>
      <w:tr>
        <w:trPr>
          <w:trHeight w:val="155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кадастровый номер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59:01:1717124:330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права на земельный участок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государственная собственность не разграничена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вид разрешенного использования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легкая промышленность, склады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категории земель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земли населенных пунктов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/>
              <w:t>принадлежность к определенной территориальной зоне</w:t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ПК-5 «Зона производственно-коммунальных</w:t>
            </w:r>
          </w:p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объектов V класса вредности»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прав</w:t>
            </w:r>
          </w:p>
          <w:p>
            <w:pPr>
              <w:pStyle w:val="Normal"/>
              <w:ind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Ограничения прав подробно описаны: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выписке из Единого государственного реестра недвижимости об объекте недвижимости  от 07.08.2026г. No КУВИ-001/2026-106430654 (далее - ЕГРН);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градостроительном плане земельного участка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16.10.2025 № РФ-59-2-03-0-00-2025-2555-0 (далее – ГПЗУ) (приложение 6 к настоящему извещению).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Территория не огорожена, незаконно установленные объекты отсутствуют,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капитальных/некапитальных объектов не выявлено, на территории произрастают кустарники, деревья.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Близлежащий источник противопожарного водоснабжения относительно земельного участка с КН 59:01:1717124:330, расположен по ул. Воронежская, 56 (пожарный гидрант).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администрации Кировского района города Перми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от 07.1</w:t>
            </w:r>
            <w:r>
              <w:rPr>
                <w:color w:val="auto"/>
                <w:sz w:val="24"/>
                <w:szCs w:val="24"/>
              </w:rPr>
              <w:t xml:space="preserve">0.2025 № 059-23-01-25/3-459, в акте обследования </w:t>
            </w:r>
            <w:r>
              <w:rPr>
                <w:color w:val="auto"/>
                <w:sz w:val="24"/>
                <w:szCs w:val="24"/>
                <w:highlight w:val="white"/>
              </w:rPr>
              <w:t>от 03.10.2025 №</w:t>
            </w:r>
            <w:r>
              <w:rPr>
                <w:color w:val="auto"/>
                <w:sz w:val="24"/>
                <w:szCs w:val="24"/>
              </w:rPr>
              <w:t xml:space="preserve"> б/н).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none"/>
                <w14:ligatures w14:val="none"/>
              </w:rPr>
            </w:pPr>
            <w:r>
              <w:rPr>
                <w:sz w:val="24"/>
                <w:szCs w:val="24"/>
              </w:rPr>
              <w:t>Согласно сведениям Единого государственного реестра недвижимости в границах земельного участка расположен объект недвижимости с кадастровым номером 59:01:0000000:77992 – линейное сооружение (Волоконно-оптическая линии связи «Ижевск-Пермь»).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>В соответствии с копией планшета М 1:500 (требующей корректуры), в границах Участка расположены сети: электроснабжения, теплоснабжения.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Размещение объекта капитального строительства необходимо предусматривать строго за пределами охранных зон сетей электроснабжения, теплоснабжения, водоснабжения, водоотведения в соответствии с нормами СП 42.13330.2016 «Градостроительство планировка и застройка городских и сельских поселений», в том числе в соответствии с таблицей 12.5 СП 42.13330.2016 «Градостроительство планировка и застройка городских и сельских поселений»; учитывать нормы постановления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(вместе </w:t>
              <w:br/>
              <w:t xml:space="preserve">с «Правилами установления охранных зон объектов электросетевого хозяйства и особых условий использования земельных участков, расположенных </w:t>
              <w:br/>
              <w:t>в границах таких зон»).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Согласно сведениям ЕГРН, ГПЗУ и справке </w:t>
              <w:br/>
              <w:t xml:space="preserve">по градостроительным условиям участка от 18.12.2025 </w:t>
              <w:br/>
              <w:t>№ 659350 Участок расположен в границах зон с особыми условиями использования территории: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частично площадью 2 кв.м охранная зона ВЛ-6 КВ Ф. СОВХОЗ ПС ВЫШКА, реестровый номер: 59:07-6.27;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приаэродромная территория аэродрома аэропорта Большое Савино, реестровый номер 59:32-6.553.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Земельный участок с условным номером 7124:62 расположен в санитарно - защитных зонах предприятий: ПЕРМХИМ ООО, частично ООО «Пермская химическая компания», частично Пермский филиал ФГУП «Российский научный центр «Прикладная химия», частично ПЕРМХИМ ЗАО.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Проектирование и строительство вести в соответствии: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с п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</w:t>
              <w:br/>
              <w:t>в границах таких зон»;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с </w:t>
            </w:r>
            <w:r>
              <w:rPr>
                <w:color w:val="auto"/>
                <w:sz w:val="24"/>
                <w:szCs w:val="24"/>
                <w:highlight w:val="white"/>
              </w:rPr>
              <w:t>постановлением Правительства Российской Федерации от 11.03.2010 № 138 «Об утверждении Федеральных правил использования воздушного пространства Российской Федерации»: «Запрещается размещать в полосах воздушных подходов на удалении до 30 км, а вне полос воздушных подходов – до 15 км от контрольной точки аэродрома объекты выбросов (размещения) отходов, животноводческие фермы, скотобойни и другие объекты, способствующие привлечению и массовому скоплению птиц»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с </w:t>
            </w:r>
            <w:r>
              <w:rPr>
                <w:color w:val="auto"/>
                <w:sz w:val="24"/>
                <w:szCs w:val="24"/>
              </w:rPr>
              <w:t>р</w:t>
            </w:r>
            <w:r>
              <w:rPr>
                <w:color w:val="auto"/>
                <w:sz w:val="24"/>
                <w:szCs w:val="24"/>
                <w:highlight w:val="white"/>
              </w:rPr>
              <w:t>ешением Федеральной службы по надзору в сфере защиты прав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потребителей и благополучия человека Об установлении санитарно 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защитной зоны для ООО «Пермская химическая компания» от 20.01.2023 № 11-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РС33 </w:t>
            </w:r>
            <w:r>
              <w:rPr>
                <w:color w:val="auto"/>
                <w:sz w:val="24"/>
                <w:szCs w:val="24"/>
              </w:rPr>
              <w:t>, реестровый номер 59:01-6.</w:t>
            </w:r>
            <w:r>
              <w:rPr>
                <w:color w:val="auto"/>
                <w:sz w:val="24"/>
                <w:szCs w:val="24"/>
                <w:highlight w:val="white"/>
              </w:rPr>
              <w:t>9608;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</w:rPr>
              <w:t>с р</w:t>
            </w:r>
            <w:r>
              <w:rPr>
                <w:color w:val="auto"/>
                <w:highlight w:val="white"/>
              </w:rPr>
              <w:t xml:space="preserve">ешением Федеральной службы по надзору в сфере защиты прав потребителей и благополучия человека </w:t>
              <w:br/>
              <w:t>Об установлении санитарно- защитной зоны для Пермского филиала ФГУП «Российский научный центр «Прикладная химия» г. Пермь, ул. Во</w:t>
            </w:r>
            <w:r>
              <w:rPr>
                <w:b w:val="false"/>
                <w:bCs w:val="false"/>
                <w:color w:val="auto"/>
                <w:highlight w:val="white"/>
              </w:rPr>
              <w:t>ронежская, 41 от 19.04.2019 № 46-РСЗЗ</w:t>
            </w:r>
            <w:r>
              <w:rPr>
                <w:b w:val="false"/>
                <w:bCs w:val="false"/>
                <w:color w:val="auto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На Участке произрастает 124 дерева пород – клён ясенелистный 16 шт., яблоня 1 шт., сосна 31 шт., береза 57 шт., осина 19 шт.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Средняя стоимость в ценах 2025 года одного дерева лиственной породы от 25 тыс. руб., а хвойной – от 30 тыс. руб.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spacing w:val="0"/>
                <w:sz w:val="24"/>
              </w:rPr>
              <w:t xml:space="preserve">Победителю аукциона необходимо соблюдать условия строительства, перечисленные в </w:t>
            </w: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</w:rPr>
              <w:t xml:space="preserve">перечне мероприятий </w:t>
              <w:br/>
              <w:t>по охране окружающей среды от 14.10.2025 № 348.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Управления по экологии и природопользованию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14.10.2025 № 059-33-01-10/3-70).</w:t>
            </w:r>
          </w:p>
          <w:p>
            <w:pPr>
              <w:pStyle w:val="Normal"/>
              <w:spacing w:lineRule="auto" w:line="240" w:before="0" w:after="0"/>
              <w:ind w:hanging="0" w:left="0" w:right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 xml:space="preserve">Муниципальной программой «Дорожная деятельность и благоустройство города Перми», утвержденной постановлением администрации города Перми от 18.10.2024 № 966 </w:t>
              <w:br/>
              <w:t>«Об утверждении муниципальной программы «Дорожная деятельность и благоустройство города Перми»,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бюджетом города Перми на период 2025-2029 годы мероприятия по строительству, реконструкции, капитальному ремонту улично-дорожной сети на рассматриваемой территории не предусмотрены.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283" w:left="0" w:right="0"/>
              <w:jc w:val="both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</w:rPr>
              <w:t xml:space="preserve">По информации, имеющейся в департаменте дорог </w:t>
              <w:br/>
              <w:t xml:space="preserve">и благоустройства администрации города Перми, </w:t>
              <w:br/>
              <w:t xml:space="preserve">в настоящее время отсутствует улично-дорожная сеть для примыкания земельных участков. Рассмотрение данного вопроса возможно после принятия решения </w:t>
              <w:br/>
              <w:t>о строительстве улично-дорожной сети для обеспечения доступа к земельным участкам.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В соответствии с Федеральным Законом от 08.11.2007 </w:t>
              <w:br/>
              <w:t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расходы на строительство, реконструкцию, капитальный ремонт, ремонт пересечений и примыканий, в том числе расходы на выполнение дополнительных работ, связанных с обеспечением безопасности дорожного движения, водоотведения и исполнением других установленных техническими регламентами требований, несут лица, в интересах которых осуществляются строительство, реконструкция, капитальный ремонт, ремонт пересечений или примыканий.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Департамента дорог и благоустройства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07.10.2025 № 059-24-01-36/3-3670).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Источники противопожарного водоснабжения (пожарные водоемы и пожарные гидранты на сети водоснабжения) на указанных территориях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При планировке и размещении объектов </w:t>
              <w:br/>
              <w:t xml:space="preserve">на вышеуказанной территории необходимо соблюдать нормы и требования действующего законодательства: Федеральных законов от 21 декабря 1994 г. № 69-ФЗ </w:t>
              <w:br/>
              <w:t xml:space="preserve">«О пожарной безопасности» и от 22 июля 2008 г. </w:t>
              <w:br/>
              <w:t>№ 123-ФЗ «Технический регламент о требованиях пожарной безопасности», Региональных нормативов градостроительного проектирования «Расчетные показатели обеспеченности населения Пермского края объектами пожарной охраны», утвержденных приказом Министерства по управлению имуществом и градостроительной деятельности Пермского края от 25.02.2021 № 31-02-1-4-248, а также Свода правил 8.13130 «Системы противопожарной защиты. Источники наружного противопожарного водоснабжения. Требования пожарной безопасности», утвержденных приказом МЧС России от 30.03.2020 № 225, Свода правил 4.13130 «Системы противопожарной защиты. Ограничение распространения пожара на объектах защиты. Требования к объемно-планировочным и конструктивным решениям», утвержденных Приказом МЧС России от 24.04.2013 № 288 и иной документации, касающейся норм противопожарной безопасности.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Информация о подразделениях пожарной охраны </w:t>
              <w:br/>
              <w:t xml:space="preserve">и времени их прибытия содержится в «Расписании выезда подразделений Пермского местного пожарно-спасательного гарнизона для тушения пожаров и проведения аварийно-спасательных работ на территории Пермского городского округа, Пермского муниципального района», утвержденном Главой города Перми 26.04.2024. Подразделение пожарной охраны расположено по адресу: ул. Сысольская, 16 (ПСЧ-6 </w:t>
              <w:br/>
              <w:t>10-ПСО).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Помещения для аварийно-спасательных служб и (или) аварийно-спасательных формирований на указанной территории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Объект общественной безопасности, отнесенный </w:t>
              <w:br/>
              <w:t xml:space="preserve">к объектам полиции (участковые пункты полиции), </w:t>
              <w:br/>
              <w:t>в данном микрорайоне расположен по адресу: г. Пермь, ул. Генерала Панфилова, 6/1 (микрорайон Крым, Кировский район). В настоящее время в указанном микрорайоне строительство (приобретение) участковых пунктов полиции не планируется. По информации, предоставленной Министерством территориальной безопасности Пермского края (письмо от 07.10.2020 № 964с), рассматриваемые земельные участки попадают в зону возможного химического заражения в особый период.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Указанные земельные участки находятся в зоне действия системы оповещения населения города Перми, установленной по ул. Генерала Панфилова, 10 – 1500 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rFonts w:eastAsia="Times New Roman" w:cs="Times New Roman"/>
                <w:b/>
                <w:color w:val="auto"/>
                <w:sz w:val="24"/>
                <w:szCs w:val="24"/>
              </w:rPr>
              <w:t>департамента общественной безопасности администрации города Перми</w:t>
            </w: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 от 06.10.2025 № 059-10-01-27/3-2189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4"/>
                <w:szCs w:val="24"/>
              </w:rPr>
              <w:t>Согласно протоколу заседания координационного совещания по обеспечению правопорядка в Пермском крае от 16.03.2022 №74-гс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  <w:szCs w:val="24"/>
              </w:rPr>
              <w:t xml:space="preserve"> для строительства объектов городской инфраструктуры (парков, скверов, торгово-развлекательных комплексов, иных зданий и сооружений) обязательным является условие по установке камер видеонаблюдения.</w:t>
            </w:r>
          </w:p>
        </w:tc>
      </w:tr>
      <w:tr>
        <w:trPr>
          <w:trHeight w:val="1087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283" w:left="51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максимально и (или) минимально допустимые параметры разрешенного строительства</w:t>
              <w:br/>
              <w:t>объекта капитального строительства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17" w:tgtFrame="http://www.gorodperm.ru/">
              <w:r>
                <w:rPr>
                  <w:rStyle w:val="Hyperlink"/>
                  <w:sz w:val="24"/>
                  <w:szCs w:val="24"/>
                </w:rPr>
                <w:t>www.gorodperm.ru</w:t>
              </w:r>
            </w:hyperlink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none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Предельные (минимальные и (или) максимальные) размеры земельного участка и предельные параметры разрешенного строительства, реконструкции объекта капитального строительства, установленные градостроительным регламентом для территориальной зоны, в которой расположен земельный участок, указаны в </w:t>
            </w:r>
            <w:r>
              <w:rPr>
                <w:sz w:val="24"/>
                <w:szCs w:val="24"/>
              </w:rPr>
              <w:t>ГПЗУ</w:t>
            </w:r>
            <w:r>
              <w:rPr>
                <w:sz w:val="24"/>
                <w:szCs w:val="24"/>
                <w:lang w:val="en-US"/>
              </w:rPr>
              <w:t xml:space="preserve"> (пункт 3 статьи 57.3 Градостроительного кодекса Российской Федерации).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Согласно ГПЗУ: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максимальный выступ за красную линию нависающих частей здания наземных уровней, выступающих из плоскости наружной стены фасада здания на высоте </w:t>
              <w:br/>
              <w:t>не менее 4,5 м над территорией общего пользования, составляет не более 1,2 м от красной линии. В случаях когда линия регулирования застройки отличается от красной линии, указанный выступ может быть произведен за линию регулирования застройки;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 xml:space="preserve">максимальный класс опасности (в соответствии </w:t>
              <w:br/>
              <w:t>с санитарно- эпидемиологическими правилами) объектов капитального строительства, размещаемых на земельных участках – V;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минимальный отступ от границ Участка до места допустимого размещения зданий, строений – 0 м;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Предельное количество этажей и (или) предельная высота зданий, строений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отношений суммарной площади земельного участка, которая может быть застроена, ко всей площади земельного участка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архитектурным решениям объектов капитального строительства, расположенным в границах территории исторического поселения федерального или регионального значения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>В соответствии с таблицей Б.1 «Показатели плотности застройки участков территориальных зон» СП 42.13330.2016. Свод правил. Градостроительство. Планировка и застройка городских и сельских поселений. Актуализированная редакция СНиП 2.07.01-89* коэффициент плотности застройки земельного участка в производственной промышленной зоне составляет 2,4.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8"/>
                <w:szCs w:val="28"/>
                <w14:ligatures w14:val="none"/>
              </w:rPr>
            </w:pPr>
            <w:r>
              <w:rPr>
                <w:sz w:val="24"/>
                <w:szCs w:val="24"/>
              </w:rPr>
              <w:t xml:space="preserve">В соответствии копией планшета М 1:500, требующего корректуры, в границах земельного участка с кадастровым номером 59:01:1717124:330 расположена сеть электроснабжения 6 кВ.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(вместе </w:t>
              <w:br/>
              <w:t>с «Правилами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зон») установлено, что расстояние по горизонтали от элементов зданий и сооружений до проводов воздушных линий электропередачи напряжением свыше 1 кВ до 20 кВ (при наибольшем их отклонении) должно быть не менее 2 метров.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>Таким образом, предельные параметры разрешенного строительства на земельном участке составляют 38066 кв. м (15861*2,4).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/>
              <w:t xml:space="preserve">Учитывая конфигурацию Участка, расположенные </w:t>
              <w:br/>
              <w:t xml:space="preserve">в границах Участка сети и зоны с особыми условиями использования территории, информация о которых не содержится в ЕГРН, в соответствии с приложением Г «Площадь и размеры земельных участков складов» СП 42.13330.2016. Свод правил. Градостроительство. Планировка и застройка городских и сельских поселений. Актуализированная редакция СНиП 2.07.01-89* минимальная площадь склада на Участке для складов непродовольственных товаров составляет: 4651 кв. м </w:t>
              <w:br/>
              <w:t>для одноэтажных объектов капитального строительства, 7024 кв. м для многоэтажных объектов капитального строительства</w:t>
            </w:r>
            <w:r>
              <w:rPr>
                <w14:ligatures w14:val="none"/>
              </w:rPr>
              <w:t xml:space="preserve"> </w:t>
            </w:r>
            <w:r>
              <w:rPr/>
              <w:t>(если</w:t>
            </w:r>
            <w:r>
              <w:rPr>
                <w14:ligatures w14:val="none"/>
              </w:rPr>
              <w:t xml:space="preserve"> на земельном участке не планируется строительство объектов согласно установленному виду разрешенного использования «легкая промышленность (6.3)).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пунктом 2.1.34. Решения Пермской городской Думы от 15.12.2020 № 277 «Об утверждении Правил благоустройства территории города Перми» при проектировании и строительстве объекта капитального строительства необходимо соблюдать требования </w:t>
              <w:br/>
              <w:t>по разработке паспорта внешнего облика объекта капитального строительства (далее –  колерный паспорт, Правила).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Колерный паспорт – документ, разрабатываемый </w:t>
              <w:br/>
              <w:t xml:space="preserve">в случаях, предусмотренных действующим законодательством, Правилами, для фасада здания, строения, сооружения при планируемом строительстве, реконструкции, капитальном ремонте, реставрации, приспособлении объекта культурного наследия для современного использования, а также при изменении внешнего вида здания, строения, сооружения, который устанавливает внешний облик (вид) фасада здания, строения, сооружения, включая требования </w:t>
              <w:br/>
              <w:t>в отношении материалов, способов отделки и цветов фасадов, ограждающих конструкций (крыш (кровельного покрытия), ограждений балконов, лоджий), мест для размещения средств размещения информации (вывесок, указателей с наименованиями улиц и номерами домов (зданий)), рекламных конструкций, а также мест для размещения, вида, цветового решения архитектурно-художественной подсветки.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14:ligatures w14:val="none"/>
              </w:rPr>
              <w:t xml:space="preserve">Колерный паспорт подлежит согласованию </w:t>
              <w:br/>
              <w:t>с функциональным органом администрации города Перми, осуществляющим функции управления в сфере градостроительства.</w:t>
            </w:r>
          </w:p>
        </w:tc>
      </w:tr>
      <w:tr>
        <w:trPr>
          <w:trHeight w:val="2820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0"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18" w:tgtFrame="http://www.gorodperm.ru/">
              <w:r>
                <w:rPr>
                  <w:rStyle w:val="Hyperlink"/>
                  <w:sz w:val="24"/>
                  <w:szCs w:val="24"/>
                </w:rPr>
                <w:t>www.gorodperm.ru</w:t>
              </w:r>
            </w:hyperlink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О наличии технической возможности технологического присоединения к электросетям филиала энергопринимающего устройства объекта капитального строительства с предполагаемой максимальной мощностью 4245 кВт сообщает следующее.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Процедура технологического присоединения осуществляется в соответствии с нормами действующего законодательства: Федеральным законом от 26.03.2003 № 35-ФЗ «Об электроэнергетике»,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 (далее - Правила ТП), утвержденными постановлением Правительства РФ от 27.12.2004 № 861.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Сетевая организация обязана соблюдать единые стандарты качества обслуживания сетевыми организациями потребителей услуг сетевых организаций, утверждаемые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топливно-энергетического комплекса, в отношении лица, обратившегося к ней с целью осуществления технологического присоединения энергопринимающих устройств.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Информация о наличии объема свободной </w:t>
              <w:br/>
              <w:t xml:space="preserve">для технологического присоединения потребителей трансформаторной мощности по подстанциям </w:t>
              <w:br/>
              <w:t xml:space="preserve">и распределительным пунктам с дифференциацией </w:t>
              <w:br/>
              <w:t>по всем уровням напряжения в соответствии с абз. 7-8 подп. «г» п. 19 Стандартов раскрытия информации субъектами оптового и розничных рынков электрической энергии, утвержденных постановлением Правительства РФ от 21.01.2004 № 24, размещена на официальном сайте ПАО «Россети Урал» по адресу: https: //rosseti- ural.ru/disclosure/monopoly/characteristic/bandwidth/.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K земельному участку ближайшим центром питания ПАО «Россети Урал» является ПС 35/6 Вышка, резерв электрической мощности на которой составляет 2,27 МВт на 25.09.2025.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Ввиду отсутствия резерва необходимой электрической мощности осуществление технологического присоединения энергопринимающих устройств возможно в рамках заключения договора по индивидуальному проекту, в порядке, установленном Правилами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Согласно пункту 3 Правил ТП сетевая организация обязана выполнить в отношении любого обратившегося </w:t>
              <w:br/>
              <w:t xml:space="preserve">к ней лица мероприятия по технологическому присоединению при условии соблюдения им Правил ТП </w:t>
              <w:br/>
              <w:t>и наличии технической возможности технологического присоединения.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В силу пункта 6 Правил ТП технологическое присоединение осуществляется на основании договора, заключаемого между сетевой организацией и юридическим или физическим лицом. Перечень мероприятий по технологическому присоединению определяется в технических условиях.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Согласно пунктам 15, 25, 25.1 Правил ТП технические условия являются неотъемлемым приложением к соответствующему договору технологического присоединения и представляют собой техническое решение присоединения конкретного энергопринимающего устройства к сетям электросетевой организации, которое предусматривает точки присоединения, требования к усилению существующей сети, иные технические требования.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Следовательно, технические условия для технологического присоединения предоставляются заявителю сетевой организацией вместе с договором о технологическом присоединении.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При этом Правилами ТП не предусмотрена подготовка и выдача сетевой организацией частным лицам либо органам государственной власти (местного самоуправления) каких-либо предварительных технических условий на подключение к электрическим сетям без подачи заявки на технологическое присоединение.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На основании вышеизложенного, для получения технических условий и заключения договора на технологическое присоединение необходимо направить в адрес филиала ПАО «Россети Урал» - «Пермэнерго» соответствующую заявку на технологическое присоединение с указанием сведений и приложением необходимых документов в соответствии с Правилами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Размер платы, объем мероприятий и сроки исполнения данных мероприятий будут определены договором </w:t>
              <w:br/>
              <w:t xml:space="preserve">об осуществлении технологического присоединения, подготовленном на основании заявки на технологическое присоединение, отвечающей требованиям, изложенным </w:t>
              <w:br/>
              <w:t>в пунктах 9, 10 Правил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Заявку на технологическое присоединение можно подать через единый федеральный портал электросетевых услуг группы компаний «Россети» - ПОРТАЛ - ТП. РФ.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>ПАО «Россети Урал» - «Пермэнерго» Пермские городские электрические сети»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 от </w:t>
            </w:r>
            <w:r>
              <w:rPr>
                <w:color w:val="auto"/>
                <w:sz w:val="24"/>
                <w:szCs w:val="24"/>
              </w:rPr>
              <w:t>30.10.2025 № ПЭ/22/1562).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к сетям теплоснабжения с присоединяемой нагрузкой 0,28 Гккал/час возможность имеется. Возможные точки присоединения на существующих тепловых сетях: T-30-22 на М4-02 (разв.) 2Ду200мм. Источник теплоснабжения: ТЭЦ-14. Сведения о размере подключаемой тепловой нагрузки: 1,54 Гкал/ч.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Уточнение объема и перечня необходимых мероприятий для подключения объекта к системе теплоснабжения возможно после подачи заявки и предоставления полного пакета документов для заключения договора о подключении (технологическом присоединении).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ПАО «Т Плюс»</w:t>
            </w:r>
            <w:r>
              <w:rPr>
                <w:color w:val="auto"/>
                <w:sz w:val="24"/>
                <w:szCs w:val="24"/>
              </w:rPr>
              <w:t xml:space="preserve"> от 10.10.2025 № 51030-01-06295).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объекта капитального строительства с предполагаемой максимальной нагрузкой 70 куб.м/час к существующим сетям газораспределения имеется.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14:ligatures w14:val="none"/>
              </w:rPr>
              <w:t>Для определения месторасположения газораспределительных сетей на интересуемом земельном участке необходимо направить в адрес Филиала в г. Пермь АО «Газпром газораспределение Пермь» инженерно-топографический план на бумажном носителе, выполненный в масштабе 1:500, в координатах г. Перми, на котором отображены рельеф местности, объекты ситуации и границы интересующей территории.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14:ligatures w14:val="none"/>
              </w:rPr>
              <w:t xml:space="preserve">Для рассмотрения вопроса о предоставлении технических условий на подключение (технологическое присоединение) Заявителю, намеревающемуся осуществить подключение к газораспределительным сетям объектов капитального строительства необходимо направить в адрес Пермского филиала АО «Газпром газораспределение Пермь» (на электронную почту post@pf.ugaz.ru ; почтой России по адресу: 614107, Пермский край, г. Пермь, ул. Уральская, д. 104; через Единый центр предоставления услуг по адресу: г. Пермь, ул. Уральская, д. 104, каб. 101, график работы: пн-ср </w:t>
              <w:br/>
              <w:t>с 8:00 до 17:00, чт с 11:00 до 20:00, пт с 8:00 до 16:00, вторая суббота месяца с 08:00 до 16:00)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14:ligatures w14:val="none"/>
              </w:rPr>
              <w:t xml:space="preserve">Заявку о заключении договора о подключении (технологическом присоединении) по типовой форме </w:t>
              <w:br/>
              <w:t xml:space="preserve">с пакетом документов в соответствии с п. 11, 16 Постановления Правительства Российской федерации № 1547 от 13.09.2021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</w:t>
              <w:br/>
              <w:t>и о признании утратившими силу некоторых актов Правительства Российской Федерации».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>АО «Газпром газораспределение Пермь»</w:t>
            </w:r>
            <w:r>
              <w:rPr>
                <w:color w:val="auto"/>
                <w:sz w:val="24"/>
                <w:szCs w:val="24"/>
              </w:rPr>
              <w:t xml:space="preserve"> от 09.10.2025 № ПФ-7372).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Технологическое присоединение к сетям связи ПАО «Ростелеком» может быть произведено в точке подключения узел ВОЛС (г. Пермь, ул. Генерала Панфилова, 8В), максимальную нагрузку в точке подключения (технологического присоединения) определить на стадии проектирования.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Для подключения (технологического присоединения) вышеуказанных объектов к сетям электросвязи </w:t>
              <w:br/>
              <w:t xml:space="preserve">ПАО «Ростелеком» необходим запрос правообладателя земельного участка на выдачу технических условий подключения или заявки о заключении договора </w:t>
              <w:br/>
              <w:t>о подключении в порядке, определенном действующим законодательством.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Срок действия технических условий составляет 3 года (при комплексном развитии территории 5 лет) </w:t>
              <w:br/>
              <w:t xml:space="preserve">со дня выдачи технических условий. В случае, если </w:t>
              <w:br/>
              <w:t xml:space="preserve">в течение 1 года (при комплексном развитии территории – 3 лет) со дня выдачи технических условий заявителем </w:t>
              <w:br/>
              <w:t>не будет подана заявка о подключении, срок действия технических условий прекращается («Правила подключения (технологического присоединения) объектов капитального строительства к сетям электросвязи», утвержденные постановлением Правительства РФ от 01.07.2022 № 1196).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 xml:space="preserve">Для получения ТУ на подключение к сетям связи </w:t>
              <w:br/>
              <w:t xml:space="preserve">ПАО «Ростелеком» необходимо обратиться в Отдел продаж и обслуживания по адресу: г. Пермь, ул. Крупской, 2, тел.: +7 (342) 235-57-34 или направить запрос на </w:t>
            </w:r>
            <w:hyperlink r:id="rId19">
              <w:r>
                <w:rPr>
                  <w:rStyle w:val="Hyperlink"/>
                  <w:color w:val="auto"/>
                  <w:sz w:val="24"/>
                  <w:szCs w:val="24"/>
                </w:rPr>
                <w:t>perm-mail@ural.rt.ru</w:t>
              </w:r>
            </w:hyperlink>
            <w:hyperlink r:id="rId20" w:tgtFrame="mailto:perm-mail@ural.rt.ru.">
              <w:r>
                <w:rPr>
                  <w:rStyle w:val="ListLabel37"/>
                  <w:color w:val="auto"/>
                  <w:sz w:val="24"/>
                  <w:szCs w:val="24"/>
                </w:rPr>
                <w:t>.</w:t>
              </w:r>
            </w:hyperlink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ПАО «Ростелеком»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от 09.10.2025 № 01/05/149268/25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>О возможности подключения планируемого к строительству объекта на Участке сообщается, что в районе вышеуказанных земельных участков, расположенных по ул. Воронежская отсутствуют централизованные сети водоснабжения и водоотведения, эксплуатируемые ООО «Новогор-Прикамье».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>Ближайшие сети водоснабжения, эксплуатируемые ООО «НОВОГОР-Прикамье», располагаются в районе здания по ул. Воронежская, 39 ориентировочно на расстоянии - 2 км от выше 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>Ближайшие сети водоотведения, эксплуатируемые ООО «НОВОГОР- Прикамье», располагаются в районе здания по ул. Воронежская, 37 ориентировочно на расстоянии - 2 км от выше 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>Виду отсутствия данных о посадке проектируемых объектов, длины технологических разрывов до сетей водоснабжения и водоотведения указаны ориентировочно.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>При проектировании может быть применен альтернативный способ водоснабжения без подключения к централизованной системе водоснабжения (от скважины) и альтернативный способ канализования, без подключения к централизованной системе канализации г. Перми (отвод стоков на локальные очистные сооружения), при этом состав канализационных стоков должен соответствовать всем нормативным требованиям Российской Федерации.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 xml:space="preserve">Для сведения сообщаем, в связи с тем, что </w:t>
              <w:br/>
              <w:t xml:space="preserve">ООО «НОВОГОР-Прикамье» эксплуатирует только централизованные системы водоснабжения и водоотведения, по вопросу возможности обеспечения индивидуального жилого дома холодным водоснабжением от скважины и отвода канализационных стоков локально, предлагаем вам обратиться </w:t>
              <w:br/>
              <w:t>в соответствующие организации, регулирующие недропользование.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>Кроме того, ООО «НОВОГОР - Прикамье» не располагает сведениями о наличии сетей 3-х лиц в границах вышеуказанных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ООО «Новогор-Прикамье» </w:t>
            </w:r>
            <w:r>
              <w:rPr>
                <w:color w:val="auto"/>
                <w:sz w:val="24"/>
                <w:szCs w:val="24"/>
              </w:rPr>
              <w:t>от 07.10.2025 № 110-15615).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</w:rPr>
              <w:t>На период до 2028 года на территории, где расположен Участок, схемами водоснабжения и водоотведения города Перми, утвержденными постановлением администрации города Перми от 28.12.2018 № 1085, предусмотрено строительство сетей водоснабжения и водоотведения в мкр. Крым поселок.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департамента жилищно-коммунального хозяйства администрации города Перми </w:t>
            </w:r>
            <w:r>
              <w:rPr>
                <w:color w:val="auto"/>
                <w:sz w:val="24"/>
                <w:szCs w:val="24"/>
              </w:rPr>
              <w:t>от 07.10.2025 № 059-04-17/3-959-ри).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Начальная цена предмета аукциона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(размер ежегодной арендной платы)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right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 xml:space="preserve">По условиям пункта 4.3 проекта договора аренды земельного участка, приобретаемого на торгах в форме аукциона, для строительства (Приложение 5 к настоящему извещению), победитель аукциона, иное лицо, с которым договор заключается в соответствии с п.13, п.14, п. 20 или п. 25  ст. 39.12 Земельного Кодекса Российской Федерации </w:t>
              <w:br/>
              <w:t xml:space="preserve">(далее – ЗК РФ), обязан до подписания договора уплатить ежегодный размер арендной платы, указанный в п. 4.2 договора (за вычетом задатка, внесенного для участия в аукционе) </w:t>
            </w:r>
            <w:r>
              <w:rPr>
                <w:b/>
                <w:bCs w:val="false"/>
                <w:color w:val="000000"/>
                <w:sz w:val="24"/>
                <w:szCs w:val="24"/>
                <w:shd w:fill="auto" w:val="clear"/>
              </w:rPr>
              <w:t xml:space="preserve">однократно за первые 3 года </w:t>
            </w: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>на счет департамента земельных отношений администрации города Перми, 614000, ул. Сибирская,15, тел. 212-61-90 (отдел договоров), реквизиты которого указаны в проекте договора аренды земельного участка (Приложение 5 к настоящему извещению)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2 360 025 руб.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«Шаг аукциона» (5%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118 001,25 руб.</w:t>
            </w:r>
          </w:p>
        </w:tc>
      </w:tr>
      <w:tr>
        <w:trPr>
          <w:trHeight w:val="41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заявки на участие в аукционе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rFonts w:eastAsia="Droid Sans Fallback" w:cs="Lohit Devanagari"/>
                <w:color w:val="auto"/>
                <w:kern w:val="0"/>
                <w:sz w:val="24"/>
                <w:szCs w:val="24"/>
                <w:lang w:val="ru-RU" w:eastAsia="zh-CN" w:bidi="ar-SA"/>
              </w:rPr>
      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2-4 пункта 1, пункте 1.1 статьи 39.12 Земельного кодекса Российской Федерации (копии документов, удостоверяющих личность заявителя (для граждан);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документы, подтверждающие внесение задатка).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каждый лот представляется отдельный пакет документов.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BodyText"/>
              <w:jc w:val="both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shd w:fill="auto" w:val="clear"/>
              </w:rPr>
              <w:t xml:space="preserve">Решение о проведении аукциона принято </w:t>
              <w:br/>
              <w:t>в соответствии со статьей 39.11 Земельного кодекса Российской Федерации. Аукцион является открытым по составу участников.</w:t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 задатка (50%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1 180 012,5 руб.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аренды земельного участка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лет 8 месяцев</w:t>
            </w:r>
          </w:p>
        </w:tc>
      </w:tr>
      <w:tr>
        <w:trPr>
          <w:trHeight w:val="188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договора аренды земельного участка, приобретаемого на торгах в форме аукциона, для строительства,  является Приложением 5 к настоящему извещению и размещен на сайтах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gorodperm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 (раздел Деятельность/ муниципальная собственность/ Торговая площадка/Вид торгов Продажа и аренда земельных участков).</w:t>
            </w:r>
          </w:p>
        </w:tc>
      </w:tr>
      <w:tr>
        <w:trPr>
          <w:trHeight w:val="14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осмотра земельного участка </w:t>
              <w:br/>
              <w:t>на местности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Осмотр земельного участка производится заявителем самостоятельно в любое время с даты опубликования настоящего извещения.</w:t>
            </w:r>
          </w:p>
        </w:tc>
      </w:tr>
    </w:tbl>
    <w:p>
      <w:pPr>
        <w:pStyle w:val="Normal"/>
        <w:spacing w:lineRule="exact" w:line="240"/>
        <w:ind w:hanging="0" w:left="113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</w:r>
    </w:p>
    <w:p>
      <w:pPr>
        <w:pStyle w:val="PlainText"/>
        <w:spacing w:lineRule="exact" w:line="240"/>
        <w:ind w:hanging="1134" w:left="1134"/>
        <w:jc w:val="left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val="ru-RU"/>
        </w:rPr>
        <w:t>Лот № 4</w:t>
      </w:r>
    </w:p>
    <w:tbl>
      <w:tblPr>
        <w:tblW w:w="10485" w:type="dxa"/>
        <w:jc w:val="left"/>
        <w:tblInd w:w="-58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3054"/>
        <w:gridCol w:w="6864"/>
      </w:tblGrid>
      <w:tr>
        <w:trPr>
          <w:trHeight w:val="87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органа местного самоуправления, принявшего решение о проведении аукциона,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реквизиты указанного решения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города Перми, распоряжение начальника департамента земельных отношений администрации города Перми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shd w:fill="FFFFFF" w:val="clear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:shd w:fill="FFFFFF" w:val="clear"/>
                <w:lang w:val="ru-RU" w:eastAsia="ru-RU" w:bidi="ar-SA"/>
              </w:rPr>
              <w:t>от 25 ноября 2025 г. № 21-01-03-9098 «О проведении аукциона на право заключения договора аренды земельного участка в Кировском районе города Перми»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 аукциона на право заключения 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3" w:hRule="atLeast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Пермский край, городской округ Пермский, город Пермь, улица Воронежская, з/у 64</w:t>
            </w:r>
          </w:p>
        </w:tc>
      </w:tr>
      <w:tr>
        <w:trPr>
          <w:trHeight w:val="148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площадь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20263 кв. м</w:t>
            </w:r>
          </w:p>
        </w:tc>
      </w:tr>
      <w:tr>
        <w:trPr>
          <w:trHeight w:val="155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кадастровый номер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59:01:1717124:333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права на земельный участок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государственная собственность не разграничена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вид разрешенного использования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легкая промышленность, склады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категории земель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земли населенных пунктов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/>
              <w:t>принадлежность к определенной территориальной зоне</w:t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ПК-5 «Зона производственно-коммунальных</w:t>
            </w:r>
          </w:p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объектов V класса вредности»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прав</w:t>
            </w:r>
          </w:p>
          <w:p>
            <w:pPr>
              <w:pStyle w:val="Normal"/>
              <w:ind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Ограничения прав подробно описаны: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выписке из Единого государственного реестра недвижимости об объекте недвижимости  от 07.08.2026г. No КУВИ-001/2026-106430674 (далее - ЕГРН);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градостроительном плане земельного участка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17.10.2025 № РФ-59-2-03-0-00-2025-2551-0 (далее – ГПЗУ) (приложение 8 к настоящему извещению).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Территория не огорожена, незаконно установленные объекты отсутствуют,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капитальных/некапитальных объектов не выявлено, на территории произрастают кустарники, деревья.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Близлежащий источник противопожарного водоснабжения относительно земельного участка с КН 59:01:1717124:330, расположен по ул. Воронежская, 56 (пожарный гидрант).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администрации Кировского района города Перми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от 07.1</w:t>
            </w:r>
            <w:r>
              <w:rPr>
                <w:color w:val="auto"/>
                <w:sz w:val="24"/>
                <w:szCs w:val="24"/>
              </w:rPr>
              <w:t xml:space="preserve">0.2025 № 059-23-01-25/3-459, в акте обследования </w:t>
            </w:r>
            <w:r>
              <w:rPr>
                <w:color w:val="auto"/>
                <w:sz w:val="24"/>
                <w:szCs w:val="24"/>
                <w:highlight w:val="white"/>
              </w:rPr>
              <w:t>от 03.10.2025 №</w:t>
            </w:r>
            <w:r>
              <w:rPr>
                <w:color w:val="auto"/>
                <w:sz w:val="24"/>
                <w:szCs w:val="24"/>
              </w:rPr>
              <w:t xml:space="preserve"> б/н).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ConsPlusNonformat"/>
              <w:tabs>
                <w:tab w:val="clear" w:pos="708"/>
                <w:tab w:val="left" w:pos="8647" w:leader="none"/>
              </w:tabs>
              <w:ind w:firstLine="567" w:left="0" w:right="0"/>
              <w:jc w:val="both"/>
              <w:rPr>
                <w:rFonts w:ascii="Times New Roman" w:hAnsi="Times New Roman"/>
                <w:color w:val="auto"/>
                <w:sz w:val="26"/>
                <w:szCs w:val="26"/>
                <w:highlight w:val="none"/>
                <w14:ligatures w14:val="none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 ходе проведения осмотра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земельного участка с кадастровым номером 59:01:1717124:333 установлено, что доступ к земельному участку не ограничен, земельный участок не огорожен. Земельный участок имеет сложный рельеф </w:t>
              <w:br/>
              <w:t xml:space="preserve">с выраженными перепадами высот, наличием оврагов </w:t>
              <w:br/>
              <w:t>в северно-восточной части. На земельном участке расположены скопления твердых коммунальных отходов, столбы сетей электроснабжения. Иные капитальные/некапитальные объекты в границах земельного участка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</w:t>
            </w:r>
            <w:r>
              <w:rPr>
                <w:b/>
                <w:bCs/>
                <w:color w:val="auto"/>
                <w:sz w:val="24"/>
                <w:szCs w:val="24"/>
              </w:rPr>
              <w:t>акте обследования департамента земельных отношений администрации города Перми от 18.11.2025 № б/н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>В соответствии с копией планшета М 1:500 (требующей корректуры), в границах Участка расположены сети: электроснабжения.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Размещение объекта капитального строительства необходимо предусматривать строго за пределами охранных зон сетей электроснабжения, теплоснабжения, водоснабжения, водоотведения в соответствии с нормами СП 42.13330.2016 «Градостроительство планировка и застройка городских и сельских поселений», в том числе в соответствии с таблицей 12.5 СП 42.13330.2016 «Градостроительство планировка и застройка городских и сельских поселений»; учитывать нормы постановления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(вместе </w:t>
              <w:br/>
              <w:t>с «Правилами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зон»).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Согласно сведениям ЕГРН, ГПЗУ и справке </w:t>
              <w:br/>
              <w:t xml:space="preserve">по градостроительным условиям участка от 18.12.2025 </w:t>
              <w:br/>
              <w:t>№ 659388 Участок расположен в границах зон с особыми условиями использования территории: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частично охранная зона ВЛ 35 КВ ТЭЦ-5-ВЫШКА </w:t>
              <w:br/>
              <w:t>№ 1,2 С ОТПАЙКОЙ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НА ПС НАСОСНАЯ ОТ Ц.1,2,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частично охранная зона ВЛ-6 КВ Ф. СОВХОЗ ПС ВЫШКА,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частично зона затопления территорий, прилегающих </w:t>
              <w:br/>
              <w:t>к зарегулированной р. Кама (Воткинскому водохранилищу) в нижнем бьефе Камского гидроузла в г. Перми Пермского края, затапливаемых при пропуске Камским гидроузлом паводков расчетной обеспеченности расчетной обеспеченности 1%,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приаэродромная территория аэродрома аэропорта Большое Савино</w:t>
            </w:r>
            <w:r>
              <w:rPr>
                <w:color w:val="auto"/>
                <w:sz w:val="24"/>
                <w:szCs w:val="24"/>
                <w14:ligatures w14:val="none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</w:rPr>
              <w:t>Земельный участок расположен в санитарно-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защитных зонах предприятий: частично ПЕРМХИМ ООО, частично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ООО «Пермская химическая компания», частично Пермский филиал ФГУП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«Российский научный центр «Прикладная химия», частично ПЕРМХИМ ЗАО.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Проектирование и строительство вести в соответствии: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с п</w:t>
            </w:r>
            <w:r>
              <w:rPr>
                <w:color w:val="auto"/>
                <w:sz w:val="24"/>
                <w:szCs w:val="24"/>
                <w:highlight w:val="white"/>
              </w:rPr>
              <w:t>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с </w:t>
            </w:r>
            <w:r>
              <w:rPr>
                <w:color w:val="auto"/>
                <w:sz w:val="24"/>
                <w:szCs w:val="24"/>
                <w:highlight w:val="white"/>
              </w:rPr>
              <w:t>постановлением Правительства Российской Федерации от 11.03.2010 № 138 «Об утверждении Федеральных правил использования воздушного пространства Российской Федерации»: «Запрещается размещать в полосах воздушных подходов на удалении до 30 км, а вне полос воздушных подходов – до 15 км от контрольной точки аэродрома объекты выбросов (размещения) отходов, животноводческие фермы, скотобойни и другие объекты, способствующие привлечению и массовому скоплению птиц»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с </w:t>
            </w:r>
            <w:r>
              <w:rPr>
                <w:color w:val="auto"/>
                <w:sz w:val="24"/>
                <w:szCs w:val="24"/>
              </w:rPr>
              <w:t>р</w:t>
            </w:r>
            <w:r>
              <w:rPr>
                <w:color w:val="auto"/>
                <w:sz w:val="24"/>
                <w:szCs w:val="24"/>
                <w:highlight w:val="white"/>
              </w:rPr>
              <w:t>ешением Федеральной службы по надзору в сфере защиты прав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потребителей и благополучия человека Об установлении санитарно 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защитной зоны для ООО «Пермская химическая компания» от 20.01.2023 № 11-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РС33 </w:t>
            </w:r>
            <w:r>
              <w:rPr>
                <w:color w:val="auto"/>
                <w:sz w:val="24"/>
                <w:szCs w:val="24"/>
              </w:rPr>
              <w:t>, реестровый номер 59:01-6.</w:t>
            </w:r>
            <w:r>
              <w:rPr>
                <w:color w:val="auto"/>
                <w:sz w:val="24"/>
                <w:szCs w:val="24"/>
                <w:highlight w:val="white"/>
              </w:rPr>
              <w:t>9608;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с р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ешением Федеральной службы по надзору в сфере защиты прав потребителей и благополучия человека </w:t>
              <w:br/>
              <w:t xml:space="preserve">Об установлении санитарно- защитной зоны </w:t>
              <w:br/>
              <w:t>для Пермского филиала ФГУП «Российский научный центр «Прикладная химия» г. Пермь, ул. Во</w:t>
            </w:r>
            <w:r>
              <w:rPr>
                <w:b w:val="false"/>
                <w:bCs w:val="false"/>
                <w:color w:val="auto"/>
                <w:sz w:val="24"/>
                <w:szCs w:val="24"/>
                <w:highlight w:val="white"/>
              </w:rPr>
              <w:t xml:space="preserve">ронежская, 41 </w:t>
              <w:br/>
              <w:t>от 19.04.2019 № 46-РСЗЗ</w:t>
            </w:r>
            <w:r>
              <w:rPr>
                <w:b w:val="false"/>
                <w:bCs w:val="false"/>
                <w:color w:val="auto"/>
                <w:sz w:val="24"/>
                <w:szCs w:val="24"/>
                <w14:ligatures w14:val="none"/>
              </w:rPr>
              <w:t>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b w:val="false"/>
                <w:bCs w:val="false"/>
                <w:color w:val="auto"/>
                <w14:ligatures w14:val="none"/>
              </w:rPr>
              <w:t xml:space="preserve">приказом Камского бассейнового водного управления Федерального агентства водных ресурсов от 21.11.2022 </w:t>
              <w:br/>
              <w:t xml:space="preserve">№ 239 «Об установлении границ зон затопления </w:t>
              <w:br/>
              <w:t xml:space="preserve">на территориях, прилегающих к зарегулированной р. Кама (Воткинскому водохранилищу) в нижнем бьефе Камского гидроузла в г. Перми Пермского края, затапливаемых </w:t>
              <w:br/>
              <w:t>при пропуске Камским гидроузлом паводков расчетной обеспеченности 1%»; Ограничения использования объектов недвижимости в соответствии с частью 3 статьи 67.1 Водного кодекса РФ.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На испрашиваемом земельном участке произрастает 147 деревьев пород – клён ясенелистный 66 шт., сосна 8 шт., береза 73 шт.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Средняя стоимость в ценах 2025 года одного дерева лиственной породы от 25 тыс. руб., а хвойной – от 30 тыс. руб.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spacing w:val="0"/>
                <w:sz w:val="24"/>
              </w:rPr>
              <w:t xml:space="preserve">Победителю аукциона необходимо соблюдать условия строительства, перечисленные в </w:t>
            </w: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</w:rPr>
              <w:t>перечне мероприятий по охране окружающей среды от 14.10.2025 № 349.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Управления по экологии и природопользованию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14.10.2025 № 059-33-01-10/3-70).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 xml:space="preserve">Муниципальной программой «Дорожная деятельность и благоустройство города Перми», утвержденной постановлением администрации города Перми от 18.10.2024 № 966 </w:t>
              <w:br/>
              <w:t>«Об утверждении муниципальной программы «Дорожная деятельность и благоустройство города Перми»,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бюджетом города Перми на период 2025-2029 годы мероприятия по строительству, реконструкции, капитальному ремонту улично-дорожной сети на рассматриваемой территории не предусмотрены.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283" w:left="0" w:right="0"/>
              <w:jc w:val="both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</w:rPr>
              <w:t xml:space="preserve">По информации, имеющейся в департаменте дорог </w:t>
              <w:br/>
              <w:t xml:space="preserve">и благоустройства администрации города Перми, </w:t>
              <w:br/>
              <w:t xml:space="preserve">в настоящее время отсутствует улично-дорожная сеть для примыкания земельных участков. Рассмотрение данного вопроса возможно после принятия решения </w:t>
              <w:br/>
              <w:t>о строительстве улично-дорожной сети для обеспечения доступа к земельным участкам.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В соответствии с Федеральным Законом от 08.11.2007 </w:t>
              <w:br/>
              <w:t xml:space="preserve">№ 257-ФЗ «Об автомобильных дорогах и о дорожной деятельности в Российской Федерации и о внесении изменений </w:t>
              <w:br/>
              <w:t>в отдельные законодательные акты Российской Федерации», расходы на строительство, реконструкцию, капитальный ремонт, ремонт пересечений и примыканий, в том числе расходы на выполнение дополнительных работ, связанных с обеспечением безопасности дорожного движения, водоотведения и исполнением других установленных техническими регламентами требований, несут лица, в интересах которых осуществляются строительство, реконструкция, капитальный ремонт, ремонт пересечений или примыканий.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Департамента дорог и благоустройства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07.10.2025 № 059-24-01-36/3-3670).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Источники противопожарного водоснабжения (пожарные водоемы и пожарные гидранты на сети водоснабжения) на указанных территориях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При планировке и размещении объектов на вышеуказанной территории необходимо соблюдать нормы и требования действующего законодательства: Федеральных законов от 21 декабря 1994 г. № 69-ФЗ «О пожарной безопасности» и от 22 июля 2008 г. № 123-ФЗ «Технический регламент о требованиях пожарной безопасности», Региональных нормативов градостроительного проектирования «Расчетные показатели обеспеченности населения Пермского края объектами пожарной охраны», утвержденных приказом Министерства по управлению имуществом и градостроительной деятельности Пермского края от 25.02.2021 № 31-02-1-4-248, а также Свода правил 8.13130 «Системы противопожарной защиты. Источники наружного противопожарного водоснабжения. Требования пожарной безопасности», утвержденных приказом МЧС России от 30.03.2020 № 225, Свода правил 4.13130 «Системы противопожарной защиты. Ограничение распространения пожара на объектах защиты. Требования к объемно-планировочным и конструктивным решениям», утвержденных Приказом МЧС России от 24.04.2013 № 288 и иной документации, касающейся норм противопожарной безопасности.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Информация о подразделениях пожарной охраны </w:t>
              <w:br/>
              <w:t>и времени их прибытия содержится в «Расписании выезда подразделений Пермского местного пожарно-спасательного гарнизона для тушения пожаров и проведения аварийно-спасательных работ на территории Пермского городского округа, Пермского муниципального района», утвержденном Главой города Перми 26.04.2024. Подразделение пожарной охраны расположено по адресу: ул. Сысольская, 16 (ПСЧ-6 10-ПСО).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Помещения для аварийно-спасательных служб и (или) аварийно-спасательных формирований на указанной территории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Объект общественной безопасности, отнесенный </w:t>
              <w:br/>
              <w:t>к объектам полиции (участковые пункты полиции),</w:t>
              <w:br/>
              <w:t>в данном микрорайоне расположен по адресу: г. Пермь, ул. Генерала Панфилова, 6/1 (микрорайон Крым, Кировский район). В настоящее время в указанном микрорайоне строительство (приобретение) участковых пунктов полиции не планируется. По информации, предоставленной Министерством территориальной безопасности Пермского края (письмо от 07.10.2020 № 964с), рассматриваемые земельные участки попадают в зону возможного химического заражения в особый период.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Указанные земельные участки находятся в зоне действия системы оповещения населения города Перми, установленной по ул. Генерала Панфилова, 10 – 1500 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(Аналогичная информация отражена в письме  </w:t>
            </w:r>
            <w:r>
              <w:rPr>
                <w:rFonts w:eastAsia="Times New Roman" w:cs="Times New Roman"/>
                <w:b/>
                <w:color w:val="auto"/>
                <w:sz w:val="24"/>
                <w:szCs w:val="24"/>
              </w:rPr>
              <w:t>департамента общественной безопасности администрации города Перми</w:t>
            </w: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 от 06.10.2025 № 059-10-01-27/3-2189).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4"/>
                <w:szCs w:val="24"/>
              </w:rPr>
              <w:t>Согласно протоколу заседания координационного совещания по обеспечению правопорядка в Пермском крае от 16.03.2022 №74-гс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  <w:szCs w:val="24"/>
              </w:rPr>
              <w:t xml:space="preserve"> для строительства объектов городской инфраструктуры (парков, скверов, торгово-развлекательных комплексов, иных зданий и сооружений) обязательным является условие по установке камер видеонаблюдения.</w:t>
            </w:r>
          </w:p>
        </w:tc>
      </w:tr>
      <w:tr>
        <w:trPr>
          <w:trHeight w:val="1980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283" w:left="51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максимально и (или) минимально допустимые параметры разрешенного строительства</w:t>
              <w:br/>
              <w:t>объекта капитального строительства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21" w:tgtFrame="http://www.gorodperm.ru/">
              <w:r>
                <w:rPr>
                  <w:rStyle w:val="Hyperlink"/>
                  <w:sz w:val="24"/>
                  <w:szCs w:val="24"/>
                </w:rPr>
                <w:t>www.gorodperm.ru</w:t>
              </w:r>
            </w:hyperlink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none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Предельные (минимальные и (или) максимальные) размеры земельного участка и предельные параметры разрешенного строительства, реконструкции объекта капитального строительства, установленные градостроительным регламентом для территориальной зоны, в которой расположен земельный участок, указаны в </w:t>
            </w:r>
            <w:r>
              <w:rPr>
                <w:sz w:val="24"/>
                <w:szCs w:val="24"/>
              </w:rPr>
              <w:t>ГПЗУ</w:t>
            </w:r>
            <w:r>
              <w:rPr>
                <w:sz w:val="24"/>
                <w:szCs w:val="24"/>
                <w:lang w:val="en-US"/>
              </w:rPr>
              <w:t xml:space="preserve"> (пункт 3 статьи 57.3 Градостроительного кодекса Российской Федерации).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Согласно ГПЗУ: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максимальный выступ за красную линию нависающих частей здания наземных уровней, выступающих </w:t>
              <w:br/>
              <w:t xml:space="preserve">из плоскости наружной стены фасада здания на высоте </w:t>
              <w:br/>
              <w:t>не менее 4,5 м над территорией общего пользования, составляет не более 1,2 м от красной линии. В случаях когда линия регулирования застройки отличается от красной линии, указанный выступ может быть произведен за линию регулирования застройки;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 xml:space="preserve">максимальный класс опасности (в соответствии </w:t>
              <w:br/>
              <w:t>с санитарно- эпидемиологическими правилами) объектов капитального строительства, размещаемых на земельных участках – V;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минимальный отступ от границ Участка до места допустимого размещения зданий, строений – 0 м;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Предельное количество этажей и (или) предельная высота зданий, строений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отношений суммарной площади земельного участка, которая может быть застроена, ко всей площади земельного участка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архитектурным решениям объектов капитального строительства, расположенным в границах территории исторического поселения федерального или регионального значения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>В соответствии с таблицей Б.1 «Показатели плотности застройки участков территориальных зон» СП 42.13330.2016. Свод правил. Градостроительство. Планировка и застройка городских и сельских поселений. Актуализированная редакция СНиП 2.07.01-89* коэффициент плотности застройки земельного участка в производственной промышленной зоне составляет 2,4.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8"/>
                <w:szCs w:val="28"/>
                <w14:ligatures w14:val="none"/>
              </w:rPr>
            </w:pPr>
            <w:r>
              <w:rPr>
                <w:sz w:val="24"/>
                <w:szCs w:val="24"/>
              </w:rPr>
              <w:t xml:space="preserve">Согласно сведениям Единого государственного реестра недвижимости земельный участок с кадастровым номером 59:01:1717124:333 расположен в границах зоны с особыми условиями использования территории – охранная зона ВЛ 35 КВ ТЭЦ-5-ВЫШКА №1,2 С ОТПАЙКОЙ НА ПС НАСОСНАЯ ОТ Ц.1,2, реестровый номер 59:07-6.197.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(вместе с «Правилами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зон») установлено, что расстояние по горизонтали от элементов зданий и сооружений до проводов воздушных линий электропередачи напряжением свыше 1 кВ до 20 кВ </w:t>
              <w:br/>
              <w:t xml:space="preserve">(при наибольшем их отклонении) должно быть не менее </w:t>
              <w:br/>
              <w:t>4 метров.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8"/>
                <w:szCs w:val="28"/>
                <w14:ligatures w14:val="none"/>
              </w:rPr>
            </w:pPr>
            <w:r>
              <w:rPr>
                <w:sz w:val="24"/>
                <w:szCs w:val="24"/>
              </w:rPr>
              <w:t>Таким образом, предельные параметры разрешенного строительства на земельном участке составляют 33125 кв. м (13802*2,4).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/>
              <w:t xml:space="preserve">Учитывая конфигурацию Участка, расположенные </w:t>
              <w:br/>
              <w:t xml:space="preserve">в границах Участка сети и зоны с особыми условиями использования территории, информация о которых </w:t>
              <w:br/>
              <w:t>не содержится в ЕГРН, в соответствии с приложением Г «Площадь и размеры земельных участков складов» СП 42.13330.2016. Свод правил. Градостроительство. Планировка и застройка городских и сельских поселений. Актуализированная редакция СНиП 2.07.01-89* минимальная площадь склада на Участке для складов непродовольственных товаров составляет: 4047 кв. м для одноэтажных объектов капитального строительства, 6112 кв. м для многоэтажных объектов капитального строительства..</w:t>
            </w:r>
            <w:r>
              <w:rPr>
                <w14:ligatures w14:val="none"/>
              </w:rPr>
              <w:t xml:space="preserve"> </w:t>
            </w:r>
            <w:r>
              <w:rPr/>
              <w:t>(если</w:t>
            </w:r>
            <w:r>
              <w:rPr>
                <w14:ligatures w14:val="none"/>
              </w:rPr>
              <w:t xml:space="preserve"> на земельном участке </w:t>
              <w:br/>
              <w:t>не планируется строительство объектов согласно установленному виду разрешенного использования «легкая промышленность (6.3)).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пунктом 2.1.34. Решения Пермской городской Думы от 15.12.2020 № 277 «Об утверждении Правил благоустройства территории города Перми» </w:t>
              <w:br/>
              <w:t>при проектировании и строительстве объекта капитального строительства необходимо соблюдать требования по разработке паспорта внешнего облика объекта капитального строительства (далее – колерный паспорт, Правила).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Колерный паспорт – документ, разрабатываемый </w:t>
              <w:br/>
              <w:t xml:space="preserve">в случаях, предусмотренных действующим законодательством, Правилами, для фасада здания, строения, сооружения при планируемом строительстве, реконструкции, капитальном ремонте, реставрации, приспособлении объекта культурного наследия для современного использования, а также при изменении внешнего вида здания, строения, сооружения, который устанавливает внешний облик (вид) фасада здания, строения, сооружения, включая требования </w:t>
              <w:br/>
              <w:t>в отношении материалов, способов отделки и цветов фасадов, ограждающих конструкций (крыш (кровельного покрытия), ограждений балконов, лоджий), мест для размещения средств размещения информации (вывесок, указателей с наименованиями улиц и номерами домов (зданий)), рекламных конструкций, а также мест для размещения, вида, цветового решения архитектурно-художественной подсветки.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14:ligatures w14:val="none"/>
              </w:rPr>
              <w:t xml:space="preserve">Колерный паспорт подлежит согласованию </w:t>
              <w:br/>
              <w:t>с функциональным органом администрации города Перми, осуществляющим функции управления в сфере градостроительства.</w:t>
            </w:r>
          </w:p>
        </w:tc>
      </w:tr>
      <w:tr>
        <w:trPr>
          <w:trHeight w:val="2820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0"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22" w:tgtFrame="http://www.gorodperm.ru/">
              <w:r>
                <w:rPr>
                  <w:rStyle w:val="Hyperlink"/>
                  <w:sz w:val="24"/>
                  <w:szCs w:val="24"/>
                </w:rPr>
                <w:t>www.gorodperm.ru</w:t>
              </w:r>
            </w:hyperlink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О наличии технической возможности технологического присоединения к электросетям филиала энергопринимающего устройства объекта капитального строительства с предполагаемой максимальной мощностью 4377 кВт сообщает следующее.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Процедура технологического присоединения осуществляется в соответствии с нормами действующего законодательства: Федеральным законом от 26.03.2003 № 35-ФЗ «Об электроэнергетике»,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 (далее - Правила ТП), утвержденными постановлением Правительства РФ от 27.12.2004 № 861.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Сетевая организация обязана соблюдать единые стандарты качества обслуживания сетевыми организациями потребителей услуг сетевых организаций, утверждаемые федеральным органом исполнительной власти, осуществляющим функции по выработке и реализации государственной политики и нормативно- правовому регулированию в сфере топливно-энергетического комплекса, в отношении лица, обратившегося к ней с целью осуществления технологического присоединения энергопринимающих устройств.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Информация о наличии объема свободной </w:t>
              <w:br/>
              <w:t>для технологического присоединения потребителей трансформаторной мощности по подстанциям и распределительным пунктам с дифференциацией по всем уровням напряжения в соответствии с абз. 7-8 подп. «г» п. 19 Стандартов раскрытия информации субъектами оптового и розничных рынков электрической энергии, утвержденных постановлением Правительства РФ от 21.01.2004 № 24, размещена на официальном сайте ПАО «Россети Урал» по адресу: https: //rosseti- ural.ru/disclosure/monopoly/characteristic/bandwidth/.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K земельному участку ближайшим центром питания ПАО «Россети Урал» является ПС 35/6 Вышка, резерв электрической мощности на которой составляет 2,27 МВт на 25.09.2025.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Ввиду отсутствия резерва необходимой электрической мощности осуществление технологического присоединения энергопринимающих устройств возможно в рамках заключения договора по индивидуальному проекту, в порядке, установленном Правилами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Согласно пункту 3 Правил ТП сетевая организация обязана выполнить в отношении любого обратившегося </w:t>
              <w:br/>
              <w:t xml:space="preserve">к ней лица мероприятия по технологическому присоединению при условии соблюдения им Правил ТП </w:t>
              <w:br/>
              <w:t>и наличии технической возможности технологического присоединения.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В силу пункта 6 Правил ТП технологическое присоединение осуществляется на основании договора, заключаемого между сетевой организацией и юридическим или физическим лицом. Перечень мероприятий по технологическому присоединению определяется в технических условиях.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Согласно пунктам 15, 25, 25.1 Правил ТП технические условия являются неотъемлемым приложением </w:t>
              <w:br/>
              <w:t>к соответствующему договору технологического присоединения и представляют собой техническое решение присоединения конкретного энергопринимающего устройства к сетям электросетевой организации, которое предусматривает точки присоединения, требования к усилению существующей сети, иные технические требования.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Следовательно, технические условия для технологического присоединения предоставляются заявителю сетевой организацией вместе с договором о технологическом присоединении.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При этом Правилами ТП не предусмотрена подготовка и выдача сетевой организацией частным лицам либо органам государственной власти (местного самоуправления) каких-либо предварительных технических условий на подключение к электрическим сетям без подачи заявки на технологическое присоединение.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На основании вышеизложенного, для получения технических условий и заключения договора на технологическое присоединение необходимо направить в адрес филиала ПАО «Россети Урал» - «Пермэнерго» соответствующую заявку на технологическое присоединение с указанием сведений и приложением необходимых документов в соответствии с Правилами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Размер платы, объем мероприятий и сроки исполнения данных мероприятий будут определены договором </w:t>
              <w:br/>
              <w:t xml:space="preserve">об осуществлении технологического присоединения, подготовленном на основании заявки на технологическое присоединение, отвечающей требованиям, изложенным </w:t>
              <w:br/>
              <w:t>в пунктах 9, 10 Правил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Заявку на технологическое присоединение можно подать через единый федеральный портал электросетевых услуг группы компаний «Россети» - ПОРТАЛ - ТП. РФ.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>ПАО «Россети Урал» - «Пермэнерго» Пермские городские электрические сети»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 от </w:t>
            </w:r>
            <w:r>
              <w:rPr>
                <w:color w:val="auto"/>
                <w:sz w:val="24"/>
                <w:szCs w:val="24"/>
              </w:rPr>
              <w:t>30.10.2025 № ПЭ/22/1562).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к сетям теплоснабжения с присоединяемой нагрузкой 0,29 Гккал/час возможность имеется. Возможные точки присоединения на существующих тепловых сетях: T-30-22 на М4-02 (разв.) 2Ду200мм. Источник теплоснабжения: ТЭЦ-14. Сведения о размере подключаемой тепловой нагрузки: 1,54 Гкал/ч.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Уточнение объема и перечня необходимых мероприятий для подключения объекта к системе теплоснабжения возможно после подачи заявки и предоставления полного пакета документов для заключения договора о подключении (технологическом присоединении).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ПАО «Т Плюс»</w:t>
            </w:r>
            <w:r>
              <w:rPr>
                <w:color w:val="auto"/>
                <w:sz w:val="24"/>
                <w:szCs w:val="24"/>
              </w:rPr>
              <w:t xml:space="preserve"> от 10.10.2025 № 51030-01-06295).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объекта капитального строительства с предполагаемой максимальной нагрузкой 72 куб.м/час к существующим сетям газораспределения имеется.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14:ligatures w14:val="none"/>
              </w:rPr>
              <w:t>Для определения месторасположения газораспределительных сетей на интересуемом земельном участке необходимо направить в адрес Филиала в г. Пермь АО «Газпром газораспределение Пермь» инженерно-топографический план на бумажном носителе, выполненный в масштабе 1:500, в координатах г. Перми, на котором отображены рельеф местности, объекты ситуации и границы интересующей территории.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14:ligatures w14:val="none"/>
              </w:rPr>
              <w:t xml:space="preserve">Для рассмотрения вопроса о предоставлении технических условий на подключение (технологическое присоединение) Заявителю, намеревающемуся осуществить подключение к газораспределительным сетям объектов капитального строительства необходимо направить в адрес Пермского филиала АО «Газпром газораспределение Пермь» (на электронную почту post@pf.ugaz.ru ; почтой России по адресу: 614107, Пермский край, г. Пермь, ул. Уральская, д. 104; через Единый центр предоставления услуг по адресу: г. Пермь, ул. Уральская, д. 104, каб. 101, график работы: пн-ср </w:t>
              <w:br/>
              <w:t>с 8:00 до 17:00, чт с 11:00 до 20:00, пт с 8:00 до 16:00, вторая суббота месяца с 08:00 до 16:00)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14:ligatures w14:val="none"/>
              </w:rPr>
              <w:t xml:space="preserve">Заявку о заключении договора о подключении (технологическом присоединении) по типовой форме </w:t>
              <w:br/>
              <w:t xml:space="preserve">с пакетом документов в соответствии с п. 11, 16 Постановления Правительства Российской федерации № 1547 от 13.09.2021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</w:t>
              <w:br/>
              <w:t>и о признании утратившими силу некоторых актов Правительства Российской Федерации».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>АО «Газпром газораспределение Пермь»</w:t>
            </w:r>
            <w:r>
              <w:rPr>
                <w:color w:val="auto"/>
                <w:sz w:val="24"/>
                <w:szCs w:val="24"/>
              </w:rPr>
              <w:t>от 09.10.2025 № ПФ-7372).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Технологическое присоединение к сетям связи ПАО «Ростелеком» может быть произведено в точке подключения узел ВОЛС (г. Пермь, ул. Генерала Панфилова, 8В), максимальную нагрузку в точке подключения (технологического присоединения) определить на стадии проектирования.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Для подключения (технологического присоединения) вышеуказанных объектов к сетям электросвязи </w:t>
              <w:br/>
              <w:t xml:space="preserve">ПАО «Ростелеком» необходим запрос правообладателя земельного участка на выдачу технических условий подключения или заявки о заключении договора </w:t>
              <w:br/>
              <w:t>о подключении в порядке, определенном действующим законодательством.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Срок действия технических условий составляет 3 года (при комплексном развитии территории 5 лет) со дня выдачи технических условий. В случае, если в течение </w:t>
              <w:br/>
              <w:t xml:space="preserve">1 года (при комплексном развитии территории – 3 лет) </w:t>
              <w:br/>
              <w:t>со дня выдачи технических условий заявителем не будет подана заявка о подключении, срок действия технических условий прекращается («Правила подключения (технологического присоединения) объектов капитального строительства к сетям электросвязи», утвержденные постановлением Правительства РФ от 01.07.2022 № 1196).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 xml:space="preserve">Для получения ТУ на подключение к сетям связи </w:t>
              <w:br/>
              <w:t xml:space="preserve">ПАО «Ростелеком» необходимо обратиться в Отдел продаж и обслуживания по адресу: г. Пермь, ул. Крупской, 2, тел.: +7 (342) 235-57-34 или направить запрос на </w:t>
            </w:r>
            <w:hyperlink r:id="rId23">
              <w:r>
                <w:rPr>
                  <w:rStyle w:val="Hyperlink"/>
                  <w:color w:val="auto"/>
                  <w:sz w:val="24"/>
                  <w:szCs w:val="24"/>
                </w:rPr>
                <w:t>perm-mail@ural.rt.ru</w:t>
              </w:r>
            </w:hyperlink>
            <w:hyperlink r:id="rId24" w:tgtFrame="mailto:perm-mail@ural.rt.ru.">
              <w:r>
                <w:rPr>
                  <w:rStyle w:val="ListLabel37"/>
                  <w:color w:val="auto"/>
                  <w:sz w:val="24"/>
                  <w:szCs w:val="24"/>
                </w:rPr>
                <w:t>.</w:t>
              </w:r>
            </w:hyperlink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ПАО «Ростелеком»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от 09.10.2025 № 01/05/149268/25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>О возможности подключения планируемого к строительству объекта на Участке сообщается, что в районе вышеуказанных земельных участков, расположенных по ул. Воронежская отсутствуют централизованные сети водоснабжения и водоотведения, эксплуатируемые ООО «Новогор-Прикамье».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>Ближайшие сети водоснабжения, эксплуатируемые ООО «НОВОГОР-Прикамье», располагаются в районе здания по ул. Воронежская, 39 ориентировочно на расстоянии - 2 км от выше 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>Ближайшие сети водоотведения, эксплуатируемые ООО «НОВОГОР- Прикамье», располагаются в районе здания по ул. Воронежская, 37 ориентировочно на расстоянии - 2 км от выше 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>Виду отсутствия данных о посадке проектируемых объектов, длины технологических разрывов до сетей водоснабжения и водоотведения указаны ориентировочно.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>При проектировании может быть применен альтернативный способ водоснабжения без подключения к централизованной системе водоснабжения (от скважины) и альтернативный способ канализования, без подключения к централизованной системе канализации г. Перми (отвод стоков на локальные очистные сооружения), при этом состав канализационных стоков должен соответствовать всем нормативным требованиям Российской Федерации.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 xml:space="preserve">Для сведения сообщаем, в связи с тем, что ООО «НОВОГОР-Прикамье» эксплуатирует только централизованные системы водоснабжения и водоотведения, по вопросу возможности обеспечения индивидуального жилого дома холодным водоснабжением от скважины и отвода канализационных стоков локально, предлагаем вам обратиться </w:t>
              <w:br/>
              <w:t>в соответствующие организации, регулирующие недропользование.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>Кроме того, ООО «НОВОГОР-Прикамье» не располагает сведениями о наличии сетей 3-х лиц в границах вышеуказанных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ООО «Новогор-Прикамье» </w:t>
            </w:r>
            <w:r>
              <w:rPr>
                <w:color w:val="auto"/>
                <w:sz w:val="24"/>
                <w:szCs w:val="24"/>
              </w:rPr>
              <w:t>от 07.10.2025 № 110-15615).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</w:rPr>
              <w:t>На период до 2028 года на территории, где расположен Участок, схемами водоснабжения и водоотведения города Перми, утвержденными постановлением администрации города Перми от 28.12.2018 № 1085, не предусмотрено строительство сетей водоснабжения и водоотведения в мкр. Крым.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департамента жилищно-коммунального хозяйства администрации города Перми </w:t>
            </w:r>
            <w:r>
              <w:rPr>
                <w:color w:val="auto"/>
                <w:sz w:val="24"/>
                <w:szCs w:val="24"/>
              </w:rPr>
              <w:t>от 07.10.2025 № 059-04-17/3-959-ри).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Начальная цена предмета аукциона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(размер ежегодной арендной платы)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right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 xml:space="preserve">По условиям пункта 4.3 проекта договора аренды земельного участка, приобретаемого на торгах в форме аукциона, для строительства (Приложение 7 к настоящему извещению), победитель аукциона, иное лицо, с которым договор заключается в соответствии с п.13, п.14, п. 20 или п. 25  ст. 39.12 Земельного Кодекса Российской Федерации </w:t>
              <w:br/>
              <w:t xml:space="preserve">(далее – ЗК РФ), обязан до подписания договора уплатить ежегодный размер арендной платы, указанный в п. 4.2 договора (за вычетом задатка, внесенного для участия в аукционе) </w:t>
            </w:r>
            <w:r>
              <w:rPr>
                <w:b/>
                <w:bCs w:val="false"/>
                <w:color w:val="000000"/>
                <w:sz w:val="24"/>
                <w:szCs w:val="24"/>
                <w:shd w:fill="auto" w:val="clear"/>
              </w:rPr>
              <w:t xml:space="preserve">однократно за первые 3 года </w:t>
            </w: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>на счет департамента земельных отношений администрации города Перми, 614000, ул. Сибирская,15, тел. 212-61-90 (отдел договоров), реквизиты которого указаны в проекте договора аренды земельного участка (Приложение 7 к настоящему извещению)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2 598 408 руб.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«Шаг аукциона» (5%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129 920,4 руб.</w:t>
            </w:r>
          </w:p>
        </w:tc>
      </w:tr>
      <w:tr>
        <w:trPr>
          <w:trHeight w:val="41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заявки на участие в аукционе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rFonts w:eastAsia="Droid Sans Fallback" w:cs="Lohit Devanagari"/>
                <w:color w:val="auto"/>
                <w:kern w:val="0"/>
                <w:sz w:val="24"/>
                <w:szCs w:val="24"/>
                <w:lang w:val="ru-RU" w:eastAsia="zh-CN" w:bidi="ar-SA"/>
              </w:rPr>
      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2-4 пункта 1, пункте 1.1 статьи 39.12 Земельного кодекса Российской Федерации (копии документов, удостоверяющих личность заявителя (для граждан);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документы, подтверждающие внесение задатка).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каждый лот представляется отдельный пакет документов.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BodyText"/>
              <w:jc w:val="both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shd w:fill="auto" w:val="clear"/>
              </w:rPr>
              <w:t xml:space="preserve">Решение о проведении аукциона принято </w:t>
              <w:br/>
              <w:t>в соответствии со статьей 39.11 Земельного кодекса Российской Федерации. Аукцион является открытым по составу участников.</w:t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 задатка (50%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1 299 204 руб.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аренды земельного участка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лет 8 месяцев</w:t>
            </w:r>
          </w:p>
        </w:tc>
      </w:tr>
      <w:tr>
        <w:trPr>
          <w:trHeight w:val="188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договора аренды земельного участка, приобретаемого на торгах в форме аукциона, для строительства,  является Приложением 7 к настоящему извещению и размещен на сайтах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gorodperm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 (раздел Деятельность/ муниципальная собственность/ Торговая площадка/Вид торгов Продажа и аренда земельных участков).</w:t>
            </w:r>
          </w:p>
        </w:tc>
      </w:tr>
      <w:tr>
        <w:trPr>
          <w:trHeight w:val="14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осмотра земельного участка </w:t>
              <w:br/>
              <w:t>на местности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Осмотр земельного участка производится заявителем самостоятельно в любое время с даты опубликования настоящего извещения.</w:t>
            </w:r>
          </w:p>
        </w:tc>
      </w:tr>
    </w:tbl>
    <w:p>
      <w:pPr>
        <w:pStyle w:val="Normal"/>
        <w:spacing w:lineRule="exact" w:line="240"/>
        <w:ind w:hanging="0" w:left="113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</w:r>
    </w:p>
    <w:p>
      <w:pPr>
        <w:pStyle w:val="PlainText"/>
        <w:spacing w:lineRule="exact" w:line="240"/>
        <w:ind w:hanging="1134" w:left="1134"/>
        <w:jc w:val="left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val="ru-RU"/>
        </w:rPr>
        <w:t>Лот № 5</w:t>
      </w:r>
    </w:p>
    <w:tbl>
      <w:tblPr>
        <w:tblW w:w="10485" w:type="dxa"/>
        <w:jc w:val="left"/>
        <w:tblInd w:w="-58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3054"/>
        <w:gridCol w:w="6864"/>
      </w:tblGrid>
      <w:tr>
        <w:trPr>
          <w:trHeight w:val="87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органа местного самоуправления, принявшего решение о проведении аукциона,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реквизиты указанного решения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города Перми, распоряжение начальника департамента земельных отношений администрации города Перми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shd w:fill="FFFFFF" w:val="clear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:shd w:fill="FFFFFF" w:val="clear"/>
                <w:lang w:val="ru-RU" w:eastAsia="ru-RU" w:bidi="ar-SA"/>
              </w:rPr>
              <w:t>от 24 ноября 2025 г. № 21-01-03-9060 «О проведении аукциона на право заключения договора аренды земельного участка в Кировском районе города Перми»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 аукциона на право заключения 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3" w:hRule="atLeast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Пермский край, городской округ Пермский, город Пермь, улица Воронежская, з/у 60н</w:t>
            </w:r>
          </w:p>
        </w:tc>
      </w:tr>
      <w:tr>
        <w:trPr>
          <w:trHeight w:val="148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площадь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3910 кв. м</w:t>
            </w:r>
          </w:p>
        </w:tc>
      </w:tr>
      <w:tr>
        <w:trPr>
          <w:trHeight w:val="155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кадастровый номер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59:01:1717124:332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права на земельный участок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государственная собственность не разграничена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вид разрешенного использования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легкая промышленность, склады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категории земель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земли населенных пунктов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/>
              <w:t>принадлежность к определенной территориальной зоне</w:t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ПК-5 «Зона производственно-коммунальных</w:t>
            </w:r>
          </w:p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объектов V класса вредности»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прав</w:t>
            </w:r>
          </w:p>
          <w:p>
            <w:pPr>
              <w:pStyle w:val="Normal"/>
              <w:ind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Ограничения прав подробно описаны: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выписке из Единого государственного реестра недвижимости об объекте недвижимости  от 07.08.2026г. No КУВИ-001/2026-106430647 (далее - ЕГРН);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градостроительном плане земельного участка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17.10.2025 № РФ-59-2-03-0-00-2025-2571-0 (далее – ГПЗУ) (приложение 10 к настоящему извещению).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Территория не огорожена, незаконно установленные объекты отсутствуют,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капитальных/некапитальных объектов не выявлено, на территории произрастают кустарники, деревья.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Близлежащий источник противопожарного водоснабжения относительно земельного участка с КН 59:01:1717124:330, расположен по ул. Воронежская, 56 (пожарный гидрант).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 администрации Кировского района города Перми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от 07.1</w:t>
            </w:r>
            <w:r>
              <w:rPr>
                <w:color w:val="auto"/>
                <w:sz w:val="24"/>
                <w:szCs w:val="24"/>
              </w:rPr>
              <w:t xml:space="preserve">0.2025 № 059-23-01-25/3-459, в акте обследования </w:t>
            </w:r>
            <w:r>
              <w:rPr>
                <w:color w:val="auto"/>
                <w:sz w:val="24"/>
                <w:szCs w:val="24"/>
                <w:highlight w:val="white"/>
              </w:rPr>
              <w:t>от 03.10.2025 №</w:t>
            </w:r>
            <w:r>
              <w:rPr>
                <w:color w:val="auto"/>
                <w:sz w:val="24"/>
                <w:szCs w:val="24"/>
              </w:rPr>
              <w:t xml:space="preserve"> б/н).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rFonts w:cs="Times New Roman"/>
                <w:sz w:val="26"/>
                <w:szCs w:val="26"/>
              </w:rPr>
              <w:t>В ходе проведения осмотра</w:t>
            </w:r>
            <w:r>
              <w:rPr>
                <w:color w:val="auto"/>
                <w:sz w:val="24"/>
                <w:szCs w:val="24"/>
              </w:rPr>
              <w:t xml:space="preserve"> земельного участка с кадастровым номером 59:01:1717124:332 установлено, что доступ к земельному участку не ограниче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н, земельный участок не огорожен. Земельный участок имеет сложный рельеф </w:t>
              <w:br/>
              <w:t xml:space="preserve">с выраженными перепадами высот, наличием оврагов </w:t>
              <w:br/>
              <w:t>в северно-западной части. В границах земельного участка капитальные/некапитальные объекты и водные объекты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</w:t>
            </w:r>
            <w:r>
              <w:rPr>
                <w:b/>
                <w:bCs/>
                <w:color w:val="auto"/>
                <w:sz w:val="24"/>
                <w:szCs w:val="24"/>
              </w:rPr>
              <w:t>акте обследования департамента земельных отношений администрации города Перми от 18.11.2025 № б/н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Согласно сведениям ЕГРН, ГПЗУ и справке </w:t>
              <w:br/>
              <w:t xml:space="preserve">по градостроительным условиям участка от 18.12.2025 </w:t>
              <w:br/>
              <w:t>№ 659406 Участок расположен в границах зон с особыми условиями использования территории: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частично зона затопления территорий, прилегающих</w:t>
              <w:br/>
              <w:t>к зарегулированной р. Кама (Воткинскому водохранилищу) в нижнем бьефе Камского гидроузла в г. Перми Пермского края, затапливаемых при пропуске Камским гидроузлом паводков расчетной обеспеченности расчетной обеспеченности 1%,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приаэродромная территория аэродрома аэропорта Большое Савино</w:t>
            </w:r>
            <w:r>
              <w:rPr>
                <w:color w:val="auto"/>
                <w:sz w:val="24"/>
                <w:szCs w:val="24"/>
                <w14:ligatures w14:val="none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</w:rPr>
              <w:t>Земельный участок расположен в санитарно-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защитных зонах предприятий: частично ООО «Пермская химическая компания»,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Пермский филиал ФГУП «Российский научный центр «Прикладная химия».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Проектирование и строительство вести в соответствии: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с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постановлением Правительства Российской Федерации от 11.03.2010 № 138 «Об утверждении Федеральных правил использования воздушного пространства Российской Федерации»: «Запрещается размещать в полосах воздушных подходов на удалении до 30 км, а вне полос воздушных подходов – до 15 км от контрольной точки аэродрома объекты выбросов (размещения) отходов, животноводческие фермы, скотобойни и другие объекты, способствующие привлечению и массовому скоплению птиц»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с </w:t>
            </w:r>
            <w:r>
              <w:rPr>
                <w:color w:val="auto"/>
                <w:sz w:val="24"/>
                <w:szCs w:val="24"/>
              </w:rPr>
              <w:t>р</w:t>
            </w:r>
            <w:r>
              <w:rPr>
                <w:color w:val="auto"/>
                <w:sz w:val="24"/>
                <w:szCs w:val="24"/>
                <w:highlight w:val="white"/>
              </w:rPr>
              <w:t>ешением Федеральной службы по надзору в сфере защиты прав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потребителей и благополучия человека Об установлении санитарно 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защитной зоны для ООО «Пермская химическая компания» от 20.01.2023 № 11-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РС33 </w:t>
            </w:r>
            <w:r>
              <w:rPr>
                <w:color w:val="auto"/>
                <w:sz w:val="24"/>
                <w:szCs w:val="24"/>
              </w:rPr>
              <w:t>, реестровый номер 59:01-6.</w:t>
            </w:r>
            <w:r>
              <w:rPr>
                <w:color w:val="auto"/>
                <w:sz w:val="24"/>
                <w:szCs w:val="24"/>
                <w:highlight w:val="white"/>
              </w:rPr>
              <w:t>9608;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с р</w:t>
            </w:r>
            <w:r>
              <w:rPr>
                <w:color w:val="auto"/>
                <w:sz w:val="24"/>
                <w:szCs w:val="24"/>
                <w:highlight w:val="white"/>
              </w:rPr>
              <w:t>ешением Федеральной службы по надзору в сфере защиты прав потребителей и благополучия человека Об установлении санитарно-защитной зоны для Пермского филиала ФГУП «Российский научный центр «Прикладная химия» г. Пермь, ул. Во</w:t>
            </w:r>
            <w:r>
              <w:rPr>
                <w:b w:val="false"/>
                <w:bCs w:val="false"/>
                <w:color w:val="auto"/>
                <w:sz w:val="24"/>
                <w:szCs w:val="24"/>
                <w:highlight w:val="white"/>
              </w:rPr>
              <w:t>ронежская, 41 от 19.04.2019 № 46-РСЗЗ</w:t>
            </w:r>
            <w:r>
              <w:rPr>
                <w:b w:val="false"/>
                <w:bCs w:val="false"/>
                <w:color w:val="auto"/>
                <w:sz w:val="24"/>
                <w:szCs w:val="24"/>
                <w14:ligatures w14:val="none"/>
              </w:rPr>
              <w:t>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b w:val="false"/>
                <w:bCs w:val="false"/>
                <w:color w:val="auto"/>
                <w14:ligatures w14:val="none"/>
              </w:rPr>
              <w:t>приказом Камского бассейнового водного управления Федерального агентства водных ресурсов от 21.11.2022 № 239 «Об установлении границ зон затопления на территориях, прилегающих к зарегулированной р. Кама (Воткинскому водохранилищу) в нижнем бьефе Камского гидроузла в г. Перми Пермского края, затапливаемых при пропуске Камским гидроузлом паводков расчетной обеспеченности 1%»; Ограничения использования объектов недвижимости в соответствии с частью 3 статьи 67.1 Водного кодекса РФ.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  <w:highlight w:val="none"/>
                <w14:ligatures w14:val="none"/>
              </w:rPr>
            </w:pPr>
            <w:r>
              <w:rPr>
                <w:b w:val="false"/>
                <w:bCs w:val="false"/>
                <w:color w:val="auto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На испрашиваемом земельном участке произрастает 70 деревьев пород – клён ясенелистный 7 шт., ива 23 шт., береза 40 шт.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Средняя стоимость в ценах 2025 года одного дерева лиственной породы от 25 тыс. руб., а хвойной – </w:t>
              <w:br/>
              <w:t>от 30 тыс. руб.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spacing w:val="0"/>
                <w:sz w:val="24"/>
              </w:rPr>
              <w:t xml:space="preserve">Победителю аукциона необходимо соблюдать условия строительства, перечисленные в </w:t>
            </w: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</w:rPr>
              <w:t>перечне мероприятий по охране окружающей среды от 14.10.2025 № 350.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Управления по экологии и природопользованию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14.10.2025 № 059-33-01-10/3-70).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 xml:space="preserve">Муниципальной программой «Дорожная деятельность и благоустройство города Перми», утвержденной постановлением администрации города Перми от 18.10.2024 № 966 </w:t>
              <w:br/>
              <w:t>«Об утверждении муниципальной программы «Дорожная деятельность и благоустройство города Перми»,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бюджетом города Перми на период 2025-2029 годы мероприятия по строительству, реконструкции, капитальному ремонту улично-дорожной сети на рассматриваемой территории не предусмотрены.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283" w:left="0" w:right="0"/>
              <w:jc w:val="both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</w:rPr>
              <w:t xml:space="preserve">По информации, имеющейся в департаменте дорог и благоустройства администрации города Перми, </w:t>
              <w:br/>
              <w:t xml:space="preserve">в настоящее время отсутствует улично-дорожная сеть для примыкания земельных участков. Рассмотрение данного вопроса возможно после принятия решения </w:t>
              <w:br/>
              <w:t xml:space="preserve">о строительстве улично-дорожной сети </w:t>
              <w:br/>
              <w:t>для обеспечения доступа к земельным участкам.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В соответствии с Федеральным Законом от 08.11.2007 </w:t>
              <w:br/>
              <w:t xml:space="preserve"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расходы на строительство, реконструкцию, капитальный ремонт, ремонт пересечений и примыканий, в том числе расходы </w:t>
              <w:br/>
              <w:t xml:space="preserve">на выполнение дополнительных работ, связанных </w:t>
              <w:br/>
              <w:t xml:space="preserve">с обеспечением безопасности дорожного движения, водоотведения и исполнением других установленных техническими регламентами требований, несут лица, </w:t>
              <w:br/>
              <w:t>в интересах которых осуществляются строительство, реконструкция, капитальный ремонт, ремонт пересечений или примыканий.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(Аналогичная информация отражена в письме д</w:t>
            </w:r>
            <w:r>
              <w:rPr>
                <w:b/>
                <w:color w:val="auto"/>
                <w:sz w:val="24"/>
                <w:szCs w:val="24"/>
              </w:rPr>
              <w:t xml:space="preserve">епартамента дорог и благоустройства администрации города Перми </w:t>
            </w:r>
            <w:r>
              <w:rPr>
                <w:color w:val="auto"/>
                <w:sz w:val="24"/>
                <w:szCs w:val="24"/>
              </w:rPr>
              <w:t>от 07.10.2025 № 059-24-01-36/3-3670).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Источники противопожарного водоснабжения (пожарные водоемы и пожарные гидранты на сети водоснабжения) на указанных территориях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При планировке и размещении объектов </w:t>
              <w:br/>
              <w:t xml:space="preserve">на вышеуказанной территории необходимо соблюдать нормы и требования действующего законодательства: Федеральных законов от 21 декабря 1994 г. № 69-ФЗ </w:t>
              <w:br/>
              <w:t xml:space="preserve">«О пожарной безопасности» и от 22 июля 2008 г. </w:t>
              <w:br/>
              <w:t>№ 123-ФЗ «Технический регламент о требованиях пожарной безопасности», Региональных нормативов градостроительного проектирования «Расчетные показатели обеспеченности населения Пермского края объектами пожарной охраны», утвержденных приказом Министерства по управлению имуществом и градостроительной деятельности Пермского края от 25.02.2021 № 31-02-1-4-248, а также Свода правил 8.13130 «Системы противопожарной защиты. Источники наружного противопожарного водоснабжения. Требования пожарной безопасности», утвержденных приказом МЧС России от 30.03.2020 № 225, Свода правил 4.13130 «Системы противопожарной защиты. Ограничение распространения пожара на объектах защиты. Требования к объемно-планировочным и конструктивным решениям», утвержденных Приказом МЧС России от 24.04.2013 № 288 и иной документации, касающейся норм противопожарной безопасности.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Информация о подразделениях пожарной охраны </w:t>
              <w:br/>
              <w:t xml:space="preserve">и времени их прибытия содержится в «Расписании выезда подразделений Пермского местного пожарно-спасательного гарнизона для тушения пожаров и проведения аварийно-спасательных работ на территории Пермского городского округа, Пермского муниципального района», утвержденном Главой города Перми 26.04.2024. Подразделение пожарной охраны расположено по адресу: ул. Сысольская, 16 (ПСЧ-6 </w:t>
              <w:br/>
              <w:t>10-ПСО).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Помещения для аварийно-спасательных служб и (или) аварийно-спасательных формирований на указанной территории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Объект общественной безопасности, отнесенный </w:t>
              <w:br/>
              <w:t xml:space="preserve">к объектам полиции (участковые пункты полиции), </w:t>
              <w:br/>
              <w:t>в данном микрорайоне расположен по адресу: г. Пермь, ул. Генерала Панфилова, 6/1 (микрорайон Крым, Кировский район). В настоящее время в указанном микрорайоне строительство (приобретение) участковых пунктов полиции не планируется. По информации, предоставленной Министерством территориальной безопасности Пермского края (письмо от 07.10.2020 № 964с), рассматриваемые земельные участки попадают в зону возможного химического заражения в особый период.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Указанные земельные участки находятся в зоне действия системы оповещения населения города Перми, ус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  <w:szCs w:val="24"/>
              </w:rPr>
              <w:t>тановленной по ул. Генерала Панфилова, 10 – 1500 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rFonts w:eastAsia="Times New Roman" w:cs="Times New Roman"/>
                <w:b/>
                <w:color w:val="auto"/>
                <w:sz w:val="24"/>
                <w:szCs w:val="24"/>
              </w:rPr>
              <w:t>департамента общественной безопасности администрации города Перми</w:t>
            </w: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 от 06.10.2025 № 059-10-01-27/3-2189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4"/>
                <w:szCs w:val="24"/>
              </w:rPr>
              <w:t>Согласно протоколу заседания координационного совещания по обеспечению правопорядка в Пермском крае от 16.03.2022 №74-гс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  <w:szCs w:val="24"/>
              </w:rPr>
              <w:t xml:space="preserve"> для строительства объектов городской инфраструктуры (парков, скверов, торгово-развлекательных комплексов, иных зданий и сооружений) обязательным является условие по установке камер видеонаблюдения.</w:t>
            </w:r>
          </w:p>
        </w:tc>
      </w:tr>
      <w:tr>
        <w:trPr>
          <w:trHeight w:val="1087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283" w:left="51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максимально и (или) минимально допустимые параметры разрешенного строительства</w:t>
              <w:br/>
              <w:t>объекта капитального строительства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25" w:tgtFrame="http://www.gorodperm.ru/">
              <w:r>
                <w:rPr>
                  <w:rStyle w:val="Hyperlink"/>
                  <w:sz w:val="24"/>
                  <w:szCs w:val="24"/>
                </w:rPr>
                <w:t>www.gorodperm.ru</w:t>
              </w:r>
            </w:hyperlink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none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Предельные (минимальные и (или) максимальные) размеры земельного участка и предельные параметры разрешенного строительства, реконструкции объекта капитального строительства, установленные градостроительным регламентом для территориальной зоны, в которой расположен земельный участок, указаны в </w:t>
            </w:r>
            <w:r>
              <w:rPr>
                <w:sz w:val="24"/>
                <w:szCs w:val="24"/>
              </w:rPr>
              <w:t>ГПЗУ</w:t>
            </w:r>
            <w:r>
              <w:rPr>
                <w:sz w:val="24"/>
                <w:szCs w:val="24"/>
                <w:lang w:val="en-US"/>
              </w:rPr>
              <w:t xml:space="preserve"> (пункт 3 статьи 57.3 Градостроительного кодекса Российской Федерации).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Согласно ГПЗУ: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максимальный выступ за красную линию нависающих частей здания наземных уровней, выступающих </w:t>
              <w:br/>
              <w:t xml:space="preserve">из плоскости наружной стены фасада здания на высоте </w:t>
              <w:br/>
              <w:t>не менее 4,5 м над территорией общего пользования, составляет не более 1,2 м от красной линии. В случаях когда линия регулирования застройки отличается от красной линии, указанный выступ может быть произведен за линию регулирования застройки;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 xml:space="preserve">максимальный класс опасности (в соответствии </w:t>
              <w:br/>
              <w:t>с санитарно-эпидемиологическими правилами) объектов капитального строительства, размещаемых на земельных участках – V;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минимальный отступ от границ Участка до места допустимого размещения зданий, строений – 0 м;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Предельное количество этажей и (или) предельная высота зданий, строений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отношений суммарной площади земельного участка, которая может быть застроена, ко всей площади земельного участка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архитектурным решениям объектов капитального строительства, расположенным в границах территории исторического поселения федерального </w:t>
              <w:br/>
              <w:t>или регионального значения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>В соответствии с таблицей Б.1 «Показатели плотности застройки участков территориальных зон» СП 42.13330.2016. Свод правил. Градостроительство. Планировка и застройка городских и сельских поселений. Актуализированная редакция СНиП 2.07.01-89* коэффициент плотности застройки земельного участка в производственной промышленной зоне составляет 2,4.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8"/>
                <w:szCs w:val="28"/>
                <w14:ligatures w14:val="none"/>
              </w:rPr>
            </w:pPr>
            <w:r>
              <w:rPr>
                <w:sz w:val="24"/>
                <w:szCs w:val="24"/>
              </w:rPr>
              <w:t xml:space="preserve">Таким образом, предельные параметры разрешенного строительства на земельном участке составляют </w:t>
              <w:br/>
              <w:t>9384 кв. м (3910*2,4).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none"/>
                <w14:ligatures w14:val="none"/>
              </w:rPr>
            </w:pPr>
            <w:r>
              <w:rPr>
                <w:sz w:val="24"/>
                <w:szCs w:val="24"/>
                <w:lang w:val="en-US"/>
                <w14:ligatures w14:val="none"/>
              </w:rPr>
              <w:t xml:space="preserve">Учитывая конфигурацию Участка, расположенные </w:t>
              <w:br/>
              <w:t xml:space="preserve">в границах Участка сети и зоны с особыми условиями использования территории, информация о которых </w:t>
              <w:br/>
              <w:t xml:space="preserve">не содержится в ЕГРН, в соответствии с приложением Г «Площадь и размеры земельных участков складов» СП 42.13330.2016. Свод правил. Градостроительство. Планировка и застройка городских и сельских поселений. Актуализированная редакция СНиП 2.07.01-89* минимальная площадь склада на Участке для складов непродовольственных товаров составляет: 1146 кв. м для одноэтажных объектов капитального строительства, 1731 кв. м для многоэтажных объектов капитального строительства (если на земельном участке </w:t>
              <w:br/>
              <w:t>не планируется строительство объектов согласно установленному виду разрешенного использования «легкая промышленность (6.3)).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пунктом 2.1.34. Решения Пермской городской Думы от 15.12.2020 № 277 «Об утверждении Правил благоустройства территории города Перми»</w:t>
              <w:br/>
              <w:t>при проектировании и строительстве объекта капитального строительства необходимо соблюдать требования по разработке паспорта внешнего облика объекта капитального строительства (далее –  колерный паспорт, Правила).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Колерный паспорт – документ, разрабатываемый </w:t>
              <w:br/>
              <w:t xml:space="preserve">в случаях, предусмотренных действующим законодательством, Правилами, для фасада здания, строения, сооружения при планируемом строительстве, реконструкции, капитальном ремонте, реставрации, приспособлении объекта культурного наследия для современного использования, а также при изменении внешнего вида здания, строения, сооружения, который устанавливает внешний облик (вид) фасада здания, строения, сооружения, включая требования </w:t>
              <w:br/>
              <w:t xml:space="preserve">в отношении материалов, способов отделки и цветов фасадов, ограждающих конструкций (крыш (кровельного покрытия), ограждений балконов, лоджий), мест </w:t>
              <w:br/>
              <w:t>для размещения средств размещения информации (вывесок, указателей с наименованиями улиц и номерами домов (зданий)), рекламных конструкций, а также мест для размещения, вида, цветового решения архитектурно-художественной подсветки.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  <w14:ligatures w14:val="none"/>
              </w:rPr>
              <w:t xml:space="preserve">Колерный паспорт подлежит согласованию </w:t>
              <w:br/>
              <w:t>с функциональным органом администрации города Перми, осуществляющим функции управления в сфере градостроительства.</w:t>
            </w:r>
          </w:p>
        </w:tc>
      </w:tr>
      <w:tr>
        <w:trPr>
          <w:trHeight w:val="2820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0"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26" w:tgtFrame="http://www.gorodperm.ru/">
              <w:r>
                <w:rPr>
                  <w:rStyle w:val="Hyperlink"/>
                  <w:sz w:val="24"/>
                  <w:szCs w:val="24"/>
                </w:rPr>
                <w:t>www.gorodperm.ru</w:t>
              </w:r>
            </w:hyperlink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О наличии технической возможности технологического присоединения к электросетям филиала энергопринимающего устройства объекта капитального строительства </w:t>
              <w:br/>
              <w:t>с предполагаемой максимальной мощностью 845 кВт сообщает следующее.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Процедура технологического присоединения осуществляется в соответствии с нормами действующего законодательства: Федеральным законом от 26.03.2003 № 35-ФЗ «Об электроэнергетике»,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 (далее - Правила ТП), утвержденными постановлением Правительства РФ от 27.12.2004 № 861.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Сетевая организация обязана соблюдать единые стандарты качества обслуживания сетевыми организациями потребителей услуг сетевых организаций, утверждаемые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топливно-энергетического комплекса, в отношении лица, обратившегося к ней с целью осуществления технологического присоединения энергопринимающих устройств.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Информация о наличии объема свободной </w:t>
              <w:br/>
              <w:t xml:space="preserve">для технологического присоединения потребителей трансформаторной мощности по подстанциям </w:t>
              <w:br/>
              <w:t xml:space="preserve">и распределительным пунктам с дифференциацией </w:t>
              <w:br/>
              <w:t>по всем уровням напряжения в соответствии с абз. 7-8 подп. «г» п. 19 Стандартов раскрытия информации субъектами оптового и розничных рынков электрической энергии, утвержденных постановлением Правительства РФ от 21.01.2004 № 24, размещена на официальном сайте ПАО «Россети Урал» по адресу: https: //rosseti- ural.ru/disclosure/monopoly/characteristic/bandwidth/.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K земельному участку ближайшим центром питания ПАО «Россети Урал» является ПС 35/6 Вышка, резерв электрической мощности на которой составляет 2,27 МВт на 25.09.2025.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Ввиду отсутствия резерва необходимой электрической мощности осуществление технологического присоединения энергопринимающих устройств возможно в рамках заключения договора по индивидуальному проекту, в порядке, установленном Правилами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Согласно пункту 3 Правил ТП сетевая организация обязана выполнить в отношении любого обратившегося </w:t>
              <w:br/>
              <w:t>к ней лица мероприятия по технологическому присоединению при условии соблюдения им Правил ТП и наличии технической возможности технологического присоединения.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В силу пункта 6 Правил ТП технологическое присоединение осуществляется на основании договора, заключаемого между сетевой организацией и юридическим или физическим лицом. Перечень мероприятий по технологическому присоединению определяется в технических условиях.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Согласно пунктам 15, 25, 25.1 Правил ТП технические условия являются неотъемлемым приложением к соответствующему договору технологического присоединения и представляют собой техническое решение присоединения конкретного энергопринимающего устройства к сетям электросетевой организации, которое предусматривает точки присоединения, требования к усилению существующей сети, иные технические требования.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Следовательно, технические условия для технологического присоединения предоставляются заявителю сетевой организацией вместе с договором о технологическом присоединении.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При этом Правилами ТП не предусмотрена подготовка и выдача сетевой организацией частным лицам либо органам государственной власти (местного самоуправления) каких-либо предварительных технических условий на подключение к электрическим сетям без подачи заявки на технологическое присоединение.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На основании вышеизложенного, для получения технических условий и заключения договора на технологическое присоединение необходимо направить в адрес филиала ПАО «Россети Урал» - «Пермэнерго» соответствующую заявку </w:t>
              <w:br/>
              <w:t>на технологическое присоединение с указанием сведений и приложением необходимых документов в соответствии с Правилами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Размер платы, объем мероприятий и сроки исполнения данных мероприятий будут определены договором </w:t>
              <w:br/>
              <w:t>об осуществлении технологического присоединения, подготовленном на основании заявки на технологическое присоединение, отвечающей требованиям, изложенным в пунктах 9, 10 Правил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Заявку на технологическое присоединение можно подать через единый федеральный портал электросетевых услуг группы компаний «Россети» - ПОРТАЛ - ТП. РФ.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>ПАО «Россети Урал» - «Пермэнерго» Пермские городские электрические сети»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 от </w:t>
            </w:r>
            <w:r>
              <w:rPr>
                <w:color w:val="auto"/>
                <w:sz w:val="24"/>
                <w:szCs w:val="24"/>
              </w:rPr>
              <w:t>30.10.2025 № ПЭ/22/1562).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к сетям теплоснабжения с присоединяемой нагрузкой 0,06 Гккал/час возможность имеется. Возможные точки присоединения на существующих тепловых сетях: T-30-22 на М4-02 (разв.) 2Ду200мм. Источник теплоснабжения: ТЭЦ-14. Сведения о размере подключаемой тепловой нагрузки: 1,54 Гкал/ч.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Уточнение объема и перечня необходимых мероприятий для подключения объекта к системе теплоснабжения возможно после подачи заявки и предоставления полного пакета документов для заключения договора о подключении (технологическом присоединении).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ПАО «Т Плюс»</w:t>
            </w:r>
            <w:r>
              <w:rPr>
                <w:color w:val="auto"/>
                <w:sz w:val="24"/>
                <w:szCs w:val="24"/>
              </w:rPr>
              <w:t xml:space="preserve"> от 10.10.2025 № 51030-01-06295).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объекта капитального строительства с предполагаемой максимальной нагрузкой 14 куб.м/час к существующим сетям газораспределения имеется.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14:ligatures w14:val="none"/>
              </w:rPr>
              <w:t>Для определения месторасположения газораспределительных сетей на интересуемом земельном участке необходимо направить в адрес Филиала в г. Пермь АО «Газпром газораспределение Пермь» инженерно-топографический план на бумажном носителе, выполненный в масштабе 1:500, в координатах г. Перми, на котором отображены рельеф местности, объекты ситуации и границы интересующей территории.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14:ligatures w14:val="none"/>
              </w:rPr>
              <w:t xml:space="preserve">Для рассмотрения вопроса о предоставлении технических условий на подключение (технологическое присоединение) Заявителю, намеревающемуся осуществить подключение к газораспределительным сетям объектов капитального строительства необходимо направить в адрес Пермского филиала АО «Газпром газораспределение Пермь» (на электронную почту post@pf.ugaz.ru ; почтой России по адресу: 614107, Пермский край, г. Пермь, ул. Уральская, д. 104; через Единый центр предоставления услуг по адресу: г. Пермь, ул. Уральская, д. 104, каб. 101, график работы: пн-ср </w:t>
              <w:br/>
              <w:t>с 8:00 до 17:00, чт с 11:00 до 20:00, пт с 8:00 до 16:00, вторая суббота месяца с 08:00 до 16:00)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14:ligatures w14:val="none"/>
              </w:rPr>
              <w:t xml:space="preserve">Заявку о заключении договора о подключении (технологическом присоединении) по типовой форме </w:t>
              <w:br/>
              <w:t xml:space="preserve">с пакетом документов в соответствии с п. 11, 16 Постановления Правительства Российской федерации </w:t>
              <w:br/>
              <w:t>№ 1547 от 13.09.2021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 </w:t>
            </w:r>
            <w:r>
              <w:rPr>
                <w:b/>
                <w:bCs/>
                <w:color w:val="auto"/>
                <w:sz w:val="24"/>
                <w:szCs w:val="24"/>
              </w:rPr>
              <w:t>АО «Газпром газораспределение Пермь»</w:t>
            </w:r>
            <w:r>
              <w:rPr>
                <w:color w:val="auto"/>
                <w:sz w:val="24"/>
                <w:szCs w:val="24"/>
              </w:rPr>
              <w:t xml:space="preserve"> от 09.10.2025 № ПФ-7372).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Технологическое присоединение к сетям связи ПАО «Ростелеком» может быть произведено в точке подключения узел ВОЛС (г. Пермь, ул. Генерала Панфилова, 8В), максимальную нагрузку в точке подключения (технологического присоединения) определить на стадии проектирования.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Для подключения (технологического присоединения) вышеуказанных объектов к сетям электросвязи </w:t>
              <w:br/>
              <w:t xml:space="preserve">ПАО «Ростелеком» необходим запрос правообладателя земельного участка на выдачу технических условий подключения или заявки о заключении договора </w:t>
              <w:br/>
              <w:t>о подключении в порядке, определенном действующим законодательством.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Срок действия технических условий составляет 3 года (при комплексном развитии территории 5 лет) со дня выдачи технических условий. В случае, если в течение </w:t>
              <w:br/>
              <w:t xml:space="preserve">1 года (при комплексном развитии территории – 3 лет) </w:t>
              <w:br/>
              <w:t>со дня выдачи технических условий заявителем не будет подана заявка о подключении, срок действия технических условий прекращается («Правила подключения (технологического присоединения) объектов капитального строительства к сетям электросвязи», утвержденные постановлением Правительства РФ от 01.07.2022 № 1196).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 xml:space="preserve">Для получения ТУ на подключение к сетям связи </w:t>
              <w:br/>
              <w:t xml:space="preserve">ПАО «Ростелеком» необходимо обратиться в Отдел продаж и обслуживания по адресу: г. Пермь, </w:t>
              <w:br/>
              <w:t xml:space="preserve">ул. Крупской, 2, тел.: +7 (342) 235-57-34 или направить запрос на </w:t>
            </w:r>
            <w:hyperlink r:id="rId27">
              <w:r>
                <w:rPr>
                  <w:rStyle w:val="Hyperlink"/>
                  <w:color w:val="auto"/>
                  <w:sz w:val="24"/>
                  <w:szCs w:val="24"/>
                </w:rPr>
                <w:t>perm-mail@ural.rt.ru</w:t>
              </w:r>
            </w:hyperlink>
            <w:hyperlink r:id="rId28" w:tgtFrame="mailto:perm-mail@ural.rt.ru.">
              <w:r>
                <w:rPr>
                  <w:rStyle w:val="ListLabel37"/>
                  <w:color w:val="auto"/>
                  <w:sz w:val="24"/>
                  <w:szCs w:val="24"/>
                </w:rPr>
                <w:t>.</w:t>
              </w:r>
            </w:hyperlink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ПАО «Ростелеком»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от 09.10.2025 № 01/05/149268/25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О возможности подключения планируемого к строительству объекта на Участке сообщается, что в районе вышеуказанных земельных участков, расположенных по ул. Воронежская отсутствуют централизованные сети водоснабжения </w:t>
              <w:br/>
              <w:t>и водоотведения, эксплуатируемые ООО «Новогор-Прикамье».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>Ближайшие сети водоснабжения, эксплуатируемые ООО «НОВОГОР-Прикамье», располагаются в районе здания по ул. Воронежская, 39 ориентировочно на расстоянии - 2 км от выше 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>Ближайшие сети водоотведения, эксплуатируемые ООО «НОВОГОР- Прикамье», располагаются в районе здания по ул. Воронежская, 37 ориентировочно на расстоянии - 2 км от выше 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>Виду отсутствия данных о посадке проектируемых объектов, длины технологических разрывов до сетей водоснабжения и водоотведения указаны ориентировочно.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>При проектировании может быть применен альтернативный способ водоснабжения без подключения к централизованной системе водоснабжения (от скважины) и альтернативный способ канализования, без подключения к централизованной системе канализации г. Перми (отвод стоков на локальные очистные сооружения), при этом состав канализационных стоков должен соответствовать всем нормативным требованиям Российской Федерации.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 xml:space="preserve">Для сведения сообщаем, в связи с тем, что </w:t>
              <w:br/>
              <w:t xml:space="preserve">ООО «НОВОГОР-Прикамье» эксплуатирует только централизованные системы водоснабжения и водоотведения, по вопросу возможности обеспечения индивидуального жилого дома холодным водоснабжением от скважины и отвода канализационных стоков локально, предлагаем вам обратиться </w:t>
              <w:br/>
              <w:t>в соответствующие организации, регулирующие недропользование.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>Кроме того, ООО «НОВОГОР-Прикамье» не располагает сведениями о наличии сетей 3-х лиц в границах вышеуказанных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ООО «Новогор-Прикамье» </w:t>
            </w:r>
            <w:r>
              <w:rPr>
                <w:color w:val="auto"/>
                <w:sz w:val="24"/>
                <w:szCs w:val="24"/>
              </w:rPr>
              <w:t>от 07.10.2025 № 110-15615).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На период до 2028 года на территории, где расположен Участок, схемами водоснабжения и водоотведения города Перми, утвержденными постановлением администрации города Перми от 28.12.2018 № 1085, предусмотрено строительство сетей водоснабжения и водоотведения в мкр. Крым поселок.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департамента жилищно-коммунального хозяйства администрации города Перми </w:t>
            </w:r>
            <w:r>
              <w:rPr>
                <w:color w:val="auto"/>
                <w:sz w:val="24"/>
                <w:szCs w:val="24"/>
              </w:rPr>
              <w:t>от 07.10.2025 № 059-04-17/3-959-ри).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Начальная цена предмета аукциона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(размер ежегодной арендной платы)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right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 xml:space="preserve">По условиям пункта 4.3 проекта договора аренды земельного участка, приобретаемого на торгах в форме аукциона, для строительства (Приложение 9 к настоящему извещению), победитель аукциона, иное лицо, с которым договор заключается в соответствии с п.13, п.14, п. 20 или п. 25  ст. 39.12 Земельного Кодекса Российской Федерации </w:t>
              <w:br/>
              <w:t xml:space="preserve">(далее – ЗК РФ), обязан до подписания договора уплатить ежегодный размер арендной платы, указанный в п. 4.2 договора (за вычетом задатка, внесенного для участия в аукционе) </w:t>
            </w:r>
            <w:r>
              <w:rPr>
                <w:b/>
                <w:bCs w:val="false"/>
                <w:color w:val="000000"/>
                <w:sz w:val="24"/>
                <w:szCs w:val="24"/>
                <w:shd w:fill="auto" w:val="clear"/>
              </w:rPr>
              <w:t xml:space="preserve">однократно за первые 3 года </w:t>
            </w: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>на счет департамента земельных отношений администрации города Перми, 614000, ул. Сибирская,15, тел. 212-61-90 (отдел договоров), реквизиты которого указаны в проекте договора аренды земельного участка (Приложение 9 к настоящему извещению)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472 879 руб.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«Шаг аукциона» (5%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23 643,95 руб.</w:t>
            </w:r>
          </w:p>
        </w:tc>
      </w:tr>
      <w:tr>
        <w:trPr>
          <w:trHeight w:val="41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заявки на участие в аукционе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rFonts w:eastAsia="Droid Sans Fallback" w:cs="Lohit Devanagari"/>
                <w:color w:val="auto"/>
                <w:kern w:val="0"/>
                <w:sz w:val="24"/>
                <w:szCs w:val="24"/>
                <w:lang w:val="ru-RU" w:eastAsia="zh-CN" w:bidi="ar-SA"/>
              </w:rPr>
      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2-4 пункта 1, пункте 1.1 статьи 39.12 Земельного кодекса Российской Федерации (копии документов, удостоверяющих личность заявителя (для граждан);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документы, подтверждающие внесение задатка).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каждый лот представляется отдельный пакет документов.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BodyText"/>
              <w:jc w:val="both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shd w:fill="auto" w:val="clear"/>
              </w:rPr>
              <w:t xml:space="preserve">Решение о проведении аукциона принято </w:t>
              <w:br/>
              <w:t>в соответствии со статьей 39.11 Земельного кодекса Российской Федерации. Аукцион является открытым по составу участников.</w:t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 задатка (50%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236 439,5 руб.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аренды земельного участка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лет 6 месяцев</w:t>
            </w:r>
          </w:p>
        </w:tc>
      </w:tr>
      <w:tr>
        <w:trPr>
          <w:trHeight w:val="188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договора аренды земельного участка, приобретаемого на торгах в форме аукциона, для строительства,  является Приложением 9 к настоящему извещению и размещен на сайтах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gorodperm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 (раздел Деятельность/ муниципальная собственность/ Торговая площадка/Вид торгов Продажа и аренда земельных участков).</w:t>
            </w:r>
          </w:p>
        </w:tc>
      </w:tr>
      <w:tr>
        <w:trPr>
          <w:trHeight w:val="14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осмотра земельного участка </w:t>
              <w:br/>
              <w:t>на местности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Осмотр земельного участка производится заявителем самостоятельно в любое время с даты опубликования настоящего извещения.</w:t>
            </w:r>
          </w:p>
        </w:tc>
      </w:tr>
    </w:tbl>
    <w:p>
      <w:pPr>
        <w:pStyle w:val="Normal"/>
        <w:spacing w:lineRule="exact" w:line="240"/>
        <w:ind w:hanging="1134" w:left="113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</w:r>
    </w:p>
    <w:p>
      <w:pPr>
        <w:pStyle w:val="PlainText"/>
        <w:spacing w:lineRule="exact" w:line="240"/>
        <w:ind w:hanging="1134" w:left="1134"/>
        <w:jc w:val="left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val="ru-RU"/>
        </w:rPr>
        <w:t>Лот № 6</w:t>
      </w:r>
    </w:p>
    <w:tbl>
      <w:tblPr>
        <w:tblW w:w="10485" w:type="dxa"/>
        <w:jc w:val="left"/>
        <w:tblInd w:w="-58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3054"/>
        <w:gridCol w:w="6864"/>
      </w:tblGrid>
      <w:tr>
        <w:trPr>
          <w:trHeight w:val="87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органа местного самоуправления, принявшего решение о проведении аукциона,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реквизиты указанного решения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города Перми, распоряжение начальника департамента земельных отношений администрации города Перми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shd w:fill="FFFFFF" w:val="clear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:shd w:fill="FFFFFF" w:val="clear"/>
                <w:lang w:val="ru-RU" w:eastAsia="ru-RU" w:bidi="ar-SA"/>
              </w:rPr>
              <w:t>от 25 ноября 2025 г. № 21-01-03-9101 «О проведении аукциона на право заключения договора аренды земельного участка в Кировском районе города Перми»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 аукциона на право заключения 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3" w:hRule="atLeast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Пермский край, городской округ Пермский, город Пермь, улица Воронежская, з/у 60п</w:t>
            </w:r>
          </w:p>
        </w:tc>
      </w:tr>
      <w:tr>
        <w:trPr>
          <w:trHeight w:val="148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площадь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5613 кв. м</w:t>
            </w:r>
          </w:p>
        </w:tc>
      </w:tr>
      <w:tr>
        <w:trPr>
          <w:trHeight w:val="155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кадастровый номер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59:01:1717124:340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права на земельный участок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государственная собственность не разграничена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вид разрешенного использования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легкая промышленность, склады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категории земель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земли населенных пунктов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/>
              <w:t>принадлежность к определенной территориальной зоне</w:t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ПК-5 «Зона производственно-коммунальных</w:t>
            </w:r>
          </w:p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объектов V класса вредности»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прав</w:t>
            </w:r>
          </w:p>
          <w:p>
            <w:pPr>
              <w:pStyle w:val="Normal"/>
              <w:ind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Ограничения прав подробно описаны: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выписке из Единого государственного реестра недвижимости об объекте недвижимости  от 07.08.2026г. No КУВИ-001/2026-106432929 (далее - ЕГРН);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градостроительном плане земельного участка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12.11.2025 № РФ-59-2-03-0-00-2025-2775-0 (далее – ГПЗУ) (приложение 12 к настоящему извещению).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Территория не огорожена, незаконно установленные объекты отсутствуют,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капитальных/некапитальных объектов не выявлено, на территории произрастают кустарники, деревья.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Близлежащий источник противопожарного водоснабжения относительно земельного участка, расположен по ул. Воронежская, 56 (пожарный гидрант).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администрации Кировского района города Перми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от 07.1</w:t>
            </w:r>
            <w:r>
              <w:rPr>
                <w:color w:val="auto"/>
                <w:sz w:val="24"/>
                <w:szCs w:val="24"/>
              </w:rPr>
              <w:t xml:space="preserve">0.2025 № 059-23-01-25/3-459, в акте обследования </w:t>
            </w:r>
            <w:r>
              <w:rPr>
                <w:color w:val="auto"/>
                <w:sz w:val="24"/>
                <w:szCs w:val="24"/>
                <w:highlight w:val="white"/>
              </w:rPr>
              <w:t>от 03.10.2025 №</w:t>
            </w:r>
            <w:r>
              <w:rPr>
                <w:color w:val="auto"/>
                <w:sz w:val="24"/>
                <w:szCs w:val="24"/>
              </w:rPr>
              <w:t xml:space="preserve"> б/н).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sz w:val="26"/>
                <w:szCs w:val="26"/>
              </w:rPr>
              <w:t>В ходе прове</w:t>
            </w:r>
            <w:r>
              <w:rPr>
                <w:rFonts w:eastAsia="Times New Roman" w:cs="Times New Roman"/>
                <w:color w:val="auto"/>
                <w:sz w:val="24"/>
                <w:szCs w:val="24"/>
              </w:rPr>
              <w:t>дения осмотра земельного участка с кадастровым номером 59:01:1717124:340 установлено, что доступ к земельному участку не ограничен, земельный участок не огорожен. В границах земельного участка капитальные/некапитальные объекты, водные объекты отсутствуют. На территории земельного участка произрастают сельскохозяйственные культуры, древесно-кустарниковая расти</w:t>
            </w:r>
            <w:r>
              <w:rPr>
                <w:sz w:val="24"/>
                <w:szCs w:val="24"/>
              </w:rPr>
              <w:t>тельность.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</w:t>
            </w:r>
            <w:r>
              <w:rPr>
                <w:b/>
                <w:bCs/>
                <w:color w:val="auto"/>
                <w:sz w:val="24"/>
                <w:szCs w:val="24"/>
              </w:rPr>
              <w:t>акте обследования департамента земельных отношений администрации города Перми от 18.11.2025 № б/н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none"/>
                <w14:ligatures w14:val="none"/>
              </w:rPr>
            </w:pPr>
            <w:r>
              <w:rPr>
                <w:sz w:val="24"/>
                <w:szCs w:val="24"/>
              </w:rPr>
              <w:t>Согласно сведениям Единого государственного реестра недвижимости в границах земельного участка расположен объект недвижимости с кадастровым номером 59:01:0000000:48186 – линейное сооружение (Электросетевой комплекс (ЭСК) «Транзит 110-5»).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Размещение объекта капитального строительства необходимо предусматривать строго за пределами охранных зон сетей электроснабжения, теплоснабжения, водоснабжения, водоотведения в соответствии с нормами СП 42.13330.2016 «Градостроительство планировка и застройка городских и сельских поселений», в том числе в соответствии с таблицей 12.5 СП 42.13330.2016 «Градостроительство планировка и застройка городских и сельских поселений»; учитывать нормы постановления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(вместе </w:t>
              <w:br/>
              <w:t xml:space="preserve">с «Правилами установления охранных зон объектов электросетевого хозяйства и особых условий использования земельных участков, расположенных </w:t>
              <w:br/>
              <w:t>в границах таких зон»).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Согласно сведениям ЕГРН, ГПЗУ и справке </w:t>
              <w:br/>
              <w:t xml:space="preserve">по градостроительным условиям участка от 18.12.2025 </w:t>
              <w:br/>
              <w:t xml:space="preserve">№ 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>659332 Участок расположен в границах зон с особыми условиям</w:t>
            </w:r>
            <w:r>
              <w:rPr>
                <w:color w:val="auto"/>
                <w:sz w:val="24"/>
                <w:szCs w:val="24"/>
                <w:highlight w:val="white"/>
              </w:rPr>
              <w:t>и использования территории: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color w:val="auto"/>
                <w:sz w:val="24"/>
                <w:szCs w:val="24"/>
              </w:rPr>
              <w:t xml:space="preserve">частично охранная зона ВЛ-110 КВ ТЭЦ-14 - «КРЫМ» Ц.1, 2, зона затопления территорий, прилегающих к зарегулированной р. Кама (Воткинскому водохранилищу) в нижнем бьефе Камского гидроузла </w:t>
              <w:br/>
              <w:t>в г. Перми Пермского края, затапливаемых при пропуске Камским гидроузлом паводков расчетной обеспеченности расчетной обеспеченности 1%,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приаэродромная территория аэродрома аэропорта Большое Савино</w:t>
            </w:r>
            <w:r>
              <w:rPr>
                <w:color w:val="auto"/>
                <w:sz w:val="24"/>
                <w:szCs w:val="24"/>
                <w14:ligatures w14:val="none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</w:rPr>
              <w:t>Земельный участок расположен в санитарно-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защитных зонах предприятий: частично ООО «Пермская химическая компания»,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Пермский филиал ФГУП «Российский научный центр «Прикладная химия».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Проектирование и строительство вести в соответствии: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с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постановлением Правительства Российской Федерации от 11.03.2010 № 138 «Об утверждении Федеральных правил использования воздушного пространства Российской Федерации»: «Запрещается размещать в полосах воздушных подходов на удалении до 30 км, а вне полос воздушных подходов – до 15 км от контрольной точки аэродрома объекты выбросов (размещения) отходов, животноводческие фермы, скотобойни и другие объекты, способствующие привлечению и массовому скоплению птиц»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с </w:t>
            </w:r>
            <w:r>
              <w:rPr>
                <w:color w:val="auto"/>
                <w:sz w:val="24"/>
                <w:szCs w:val="24"/>
              </w:rPr>
              <w:t>р</w:t>
            </w:r>
            <w:r>
              <w:rPr>
                <w:color w:val="auto"/>
                <w:sz w:val="24"/>
                <w:szCs w:val="24"/>
                <w:highlight w:val="white"/>
              </w:rPr>
              <w:t>ешением Федеральной службы по надзору в сфере защиты прав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потребителей и благополучия человека Об установлении санитарно 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защитной зоны для ООО «Пермская химическая компания» от 20.01.2023 № 11-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РС33 </w:t>
            </w:r>
            <w:r>
              <w:rPr>
                <w:color w:val="auto"/>
                <w:sz w:val="24"/>
                <w:szCs w:val="24"/>
              </w:rPr>
              <w:t>, реестровый номер 59:01-6.</w:t>
            </w:r>
            <w:r>
              <w:rPr>
                <w:color w:val="auto"/>
                <w:sz w:val="24"/>
                <w:szCs w:val="24"/>
                <w:highlight w:val="white"/>
              </w:rPr>
              <w:t>9608;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с р</w:t>
            </w:r>
            <w:r>
              <w:rPr>
                <w:color w:val="auto"/>
                <w:sz w:val="24"/>
                <w:szCs w:val="24"/>
                <w:highlight w:val="white"/>
              </w:rPr>
              <w:t>ешением Федеральной службы по надзору в сфере защиты прав потребителей и благополучия человека Об установлении санитарно- защитной зоны для Пермского филиала ФГУП «Российский научный центр «Прикладная химия» г. Пермь, ул. Во</w:t>
            </w:r>
            <w:r>
              <w:rPr>
                <w:b w:val="false"/>
                <w:bCs w:val="false"/>
                <w:color w:val="auto"/>
                <w:sz w:val="24"/>
                <w:szCs w:val="24"/>
                <w:highlight w:val="white"/>
              </w:rPr>
              <w:t>ронежская, 41 от 19.04.2019 № 46-РСЗЗ</w:t>
            </w:r>
            <w:r>
              <w:rPr>
                <w:b w:val="false"/>
                <w:bCs w:val="false"/>
                <w:color w:val="auto"/>
                <w:sz w:val="24"/>
                <w:szCs w:val="24"/>
                <w14:ligatures w14:val="none"/>
              </w:rPr>
              <w:t>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  <w:szCs w:val="24"/>
                <w14:ligatures w14:val="none"/>
              </w:rPr>
              <w:t xml:space="preserve">приказом Камского бассейнового водного управления Федерального агентства водных ресурсов от 21.11.2022 </w:t>
              <w:br/>
              <w:t xml:space="preserve">№ 239 «Об установлении границ зон затопления </w:t>
              <w:br/>
              <w:t xml:space="preserve">на территориях, прилегающих к зарегулированной р. Кама (Воткинскому водохранилищу) в нижнем бьефе Камского гидроузла в г. Перми Пермского края, затапливаемых </w:t>
              <w:br/>
              <w:t>при пропуске Камским гидроузлом паводков расчетной обеспеченности 1%»; Ограничения использования объектов недвижимости в соответствии с частью 3 статьи 67.1 Водного кодекса РФ.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На испрашиваемом земельном участке произрастает 12 деревьев пород – осина 2 шт., береза 1 шт., ива 9 шт.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Средняя стоимость в ценах 2025 года одного дерева лиственной породы от 25 тыс. руб., а хвойной – от 30 тыс. руб.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spacing w:val="0"/>
                <w:sz w:val="24"/>
              </w:rPr>
              <w:t xml:space="preserve">Победителю аукциона необходимо соблюдать условия строительства, перечисленные в </w:t>
            </w: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</w:rPr>
              <w:t>перечне мероприятий по охране окружающей среды от 14.10.2025 № 351 (прилагается).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 </w:t>
            </w:r>
            <w:r>
              <w:rPr>
                <w:b/>
                <w:color w:val="auto"/>
                <w:sz w:val="24"/>
                <w:szCs w:val="24"/>
              </w:rPr>
              <w:t>Управления по экологии и природопользованию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14.10.2025 № 059-33-01-10/3-70).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Муниципальной программой «Дорожная деятельность и благоустройство города Перми», утвержденной постановлением администрации города Перми от 18.10.2024 № 966 «Об утверждении муниципальной программы «Дорожная деятельность и благоустройство города Перми»,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бюджетом города Перми на период 2025-2029 годы мероприятия по строительству, реконструкции, капитальному ремонту улично-дорожной сети на рассматриваемой территории не предусмотрены.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283" w:left="0" w:right="0"/>
              <w:jc w:val="both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</w:rPr>
              <w:t xml:space="preserve">По информации, имеющейся в департаменте дорог </w:t>
              <w:br/>
              <w:t xml:space="preserve">и благоустройства администрации города Перми, </w:t>
              <w:br/>
              <w:t xml:space="preserve">в настоящее время отсутствует улично-дорожная сеть для примыкания земельных участков. Рассмотрение данного вопроса возможно после принятия решения </w:t>
              <w:br/>
              <w:t>о строительстве улично-дорожной сети для обеспечения доступа к земельным участкам.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В соответствии с Федеральным Законом от 08.11.2007 </w:t>
              <w:br/>
              <w:t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расходы на строительство, реконструкцию, капитальный ремонт, ремонт пересечений и примыканий, в том числе расходы на выполнение дополнительных работ, связанных с обеспечением безопасности дорожного движения, водоотведения и исполнением других установленных техническими регламентами требований, несут лица, в интересах которых осуществляются строительство, реконструкция, капитальный ремонт, ремонт пересечений или примыканий.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 </w:t>
            </w:r>
            <w:r>
              <w:rPr>
                <w:b/>
                <w:color w:val="auto"/>
                <w:sz w:val="24"/>
                <w:szCs w:val="24"/>
              </w:rPr>
              <w:t>Департамента дорог и благоустройства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07.10.2025 № 059-24-01-36/3-3670).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Источники противопожарного водоснабжения (пожарные водоемы и пожарные гидранты на сети водоснабжения) на указанных территориях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При планировке и размещении объектов </w:t>
              <w:br/>
              <w:t xml:space="preserve">на вышеуказанной территории необходимо соблюдать нормы и требования действующего законодательства: Федеральных законов от 21 декабря 1994 г. № 69-ФЗ </w:t>
              <w:br/>
              <w:t xml:space="preserve">«О пожарной безопасности» и от 22 июля 2008 г. № 123-ФЗ «Технический регламент о требованиях пожарной безопасности», Региональных нормативов градостроительного проектирования «Расчетные показатели обеспеченности населения Пермского края объектами пожарной охраны», утвержденных приказом Министерства по управлению имуществом </w:t>
              <w:br/>
              <w:t xml:space="preserve">и градостроительной деятельности Пермского края </w:t>
              <w:br/>
              <w:t>от 25.02.2021 № 31-02-1-4-248, а также Свода правил 8.13130 «Системы противопожарной защиты. Источники наружного противопожарного водоснабжения. Требования пожарной безопасности», утвержденных приказом МЧС России от 30.03.2020 № 225, Свода правил 4.13130 «Системы противопожарной защиты. Ограничение распространения пожара на объектах защиты. Требования к объемно-планировочным и конструктивным решениям», утвержденных Приказом МЧС России от 24.04.2013 № 288 и иной документации, касающейся норм противопожарной безопасности.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Информация о подразделениях пожарной охраны </w:t>
              <w:br/>
              <w:t xml:space="preserve">и времени их прибытия содержится в «Расписании выезда подразделений Пермского местного пожарно-спасательного гарнизона для тушения пожаров </w:t>
              <w:br/>
              <w:t xml:space="preserve">и проведения аварийно-спасательных работ на территории Пермского городского округа, Пермского муниципального района», утвержденном Главой города Перми 26.04.2024. Подразделение пожарной охраны расположено </w:t>
              <w:br/>
              <w:t>по адресу: ул. Сысольская, 16 (ПСЧ-6 10-ПСО).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Помещения для аварийно-спасательных служб </w:t>
              <w:br/>
              <w:t xml:space="preserve">и (или) аварийно-спасательных формирований </w:t>
              <w:br/>
              <w:t>на указанной территории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Объект общественной безопасности, отнесенный </w:t>
              <w:br/>
              <w:t xml:space="preserve">к объектам полиции (участковые пункты полиции), </w:t>
              <w:br/>
              <w:t xml:space="preserve">в данном микрорайоне расположен по адресу: г. Пермь, ул. Генерала Панфилова, 6/1 (микрорайон Крым, Кировский район). В настоящее время в указанном микрорайоне строительство (приобретение) участковых пунктов полиции не планируется. По информации, предоставленной Министерством территориальной безопасности Пермского края (письмо от 07.10.2020 № 964с), рассматриваемые земельные участки попадают </w:t>
              <w:br/>
              <w:t>в зону возможного химического заражения в особый период.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Указанные земельные участки находятся в зоне действия системы оповещения населения города Перми, установленной по ул. Генерала Панфилова, 10 – 1500 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 </w:t>
            </w:r>
            <w:r>
              <w:rPr>
                <w:rFonts w:eastAsia="Times New Roman" w:cs="Times New Roman"/>
                <w:b/>
                <w:color w:val="auto"/>
                <w:sz w:val="24"/>
                <w:szCs w:val="24"/>
              </w:rPr>
              <w:t>департамента общественной безопасности администрации города Перми</w:t>
            </w: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 от 06.10.2025 № 059-10-01-27/3-2189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4"/>
                <w:szCs w:val="24"/>
              </w:rPr>
              <w:t xml:space="preserve">Согласно протоколу заседания координационного совещания по обеспечению правопорядка в Пермском крае от 16.03.2022 №74-гс 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  <w:szCs w:val="24"/>
              </w:rPr>
              <w:t>для строительства объектов городской инфраструктуры (парков, скверов, торгово-развлекательных комплексов, иных зданий и сооружений) обязательным является условие по установке камер видеонаблюдения.</w:t>
            </w:r>
          </w:p>
        </w:tc>
      </w:tr>
      <w:tr>
        <w:trPr>
          <w:trHeight w:val="1087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283" w:left="51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максимально и (или) минимально допустимые параметры разрешенного строительства</w:t>
              <w:br/>
              <w:t>объекта капитального строительства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29" w:tgtFrame="http://www.gorodperm.ru/">
              <w:r>
                <w:rPr>
                  <w:rStyle w:val="Hyperlink"/>
                  <w:sz w:val="24"/>
                  <w:szCs w:val="24"/>
                </w:rPr>
                <w:t>www.gorodperm.ru</w:t>
              </w:r>
            </w:hyperlink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none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Предельные (минимальные и (или) максимальные) размеры земельного участка и предельные параметры разрешенного строительства, реконструкции объекта капитального строительства, установленные градостроительным регламентом для территориальной зоны, в которой расположен земельный участок, указаны в </w:t>
            </w:r>
            <w:r>
              <w:rPr>
                <w:sz w:val="24"/>
                <w:szCs w:val="24"/>
              </w:rPr>
              <w:t>ГПЗУ</w:t>
            </w:r>
            <w:r>
              <w:rPr>
                <w:sz w:val="24"/>
                <w:szCs w:val="24"/>
                <w:lang w:val="en-US"/>
              </w:rPr>
              <w:t xml:space="preserve"> (пункт 3 статьи 57.3 Градостроительного кодекса Российской Федерации).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Согласно ГПЗУ: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максимальный выступ за красную линию нависающих частей здания наземных уровней, выступающих из плоскости наружной стены фасада здания на высоте </w:t>
              <w:br/>
              <w:t xml:space="preserve">не менее 4,5 м над территорией общего пользования, составляет не более 1,2 м от красной линии. В случаях когда линия регулирования застройки отличается </w:t>
              <w:br/>
              <w:t>от красной линии, указанный выступ может быть произведен за линию регулирования застройки;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максимальный класс опасности (в соответствии с санитарно- эпидемиологическими правилами) объектов капитального строительства, размещаемых на земельных участках – V;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минимальный отступ от границ Участка до места допустимого размещения зданий, строений – 0 м;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Предельное количество этажей и (или) предельная высота зданий, строений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отношений суммарной площади земельного участка, которая может быть застроена, ко всей площади земельного участка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архитектурным решениям объектов капитального строительства, расположенным в границах территории исторического поселения федерального или регионального значения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>В соответствии с таблицей Б.1 «Показатели плотности застройки участков территориальных зон» СП 42.13330.2016. Свод правил. Градостроительство. Планировка и застройка городских и сельских поселений. Актуализированная редакция СНиП 2.07.01-89* коэффициент плотности застройки земельного участка в производственной промышленной зоне составляет 2,4.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8"/>
                <w:szCs w:val="28"/>
                <w14:ligatures w14:val="none"/>
              </w:rPr>
            </w:pPr>
            <w:r>
              <w:rPr>
                <w:sz w:val="24"/>
                <w:szCs w:val="24"/>
              </w:rPr>
              <w:t>Таким образом, предельные параметры разрешенного строительства на земельном участке составляют 8618 кв. м (3591*2,4).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en-US"/>
                <w14:ligatures w14:val="none"/>
              </w:rPr>
              <w:t xml:space="preserve">Учитывая конфигурацию Участка, расположенные </w:t>
              <w:br/>
              <w:t xml:space="preserve">в границах Участка сети и зоны с особыми условиями использования территории, информация о которых </w:t>
              <w:br/>
              <w:t>не содержится в ЕГРН, в соответствии с приложением Г «Площадь и размеры земельных участков складов» СП 42.13330.2016. Свод правил. Градостроительство. Планировка и застройка городских и сельских поселений. Актуализированная редакция СНиП 2.07.01-89* минимальная площадь склада на Участке для складов непродовольственных товаров составляет: 1053 кв. м для одноэтажных объектов капитального строительства, 1590 кв. м для многоэтажных объектов капитального строительства (если на земельном участке не планируется строительство объектов согласно установленному виду разрешенного использования «легкая промышленность (6.3)).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пунктом 2.1.34. Решения Пермской городской Думы от 15.12.2020 № 277 «Об утверждении Правил благоустройства территории города Перми» при проектировании и строительстве объекта капитального строительства необходимо соблюдать требования </w:t>
              <w:br/>
              <w:t>по разработке паспорта внешнего облика объекта капитального строительства (далее –  колерный паспорт, Правила).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Колерный паспорт – документ, разрабатываемый </w:t>
              <w:br/>
              <w:t xml:space="preserve">в случаях, предусмотренных действующим законодательством, Правилами, для фасада здания, строения, сооружения при планируемом строительстве, реконструкции, капитальном ремонте, реставрации, приспособлении объекта культурного наследия для современного использования, а также при изменении внешнего вида здания, строения, сооружения, который устанавливает внешний облик (вид) фасада здания, строения, сооружения, включая требования </w:t>
              <w:br/>
              <w:t>в отношении материалов, способов отделки и цветов фасадов, ограждающих конструкций (крыш (кровельного покрытия), ограждений балконов, лоджий), мест для размещения средств размещения информации (вывесок, указателей с наименованиями улиц и номерами домов (зданий)), рекламных конструкций, а также мест для размещения, вида, цветового решения архитектурно-художественной подсветки.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  <w14:ligatures w14:val="none"/>
              </w:rPr>
              <w:t xml:space="preserve">Колерный паспорт подлежит согласованию </w:t>
              <w:br/>
              <w:t>с функциональным органом администрации города Перми, осуществляющим функции управления в сфере градостроительства.</w:t>
            </w:r>
          </w:p>
        </w:tc>
      </w:tr>
      <w:tr>
        <w:trPr>
          <w:trHeight w:val="2820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0"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30" w:tgtFrame="http://www.gorodperm.ru/">
              <w:r>
                <w:rPr>
                  <w:rStyle w:val="Hyperlink"/>
                  <w:sz w:val="24"/>
                  <w:szCs w:val="24"/>
                </w:rPr>
                <w:t>www.gorodperm.ru</w:t>
              </w:r>
            </w:hyperlink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О наличии технической возможности технологического присоединения к электросетям филиала энергопринимающего устройства объекта капитального строительства с предполагаемой максимальной мощностью 1212 кВт сообщает следующее.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Процедура технологического присоединения осуществляется в соответствии с нормами действующего законодательства: Федеральным законом от 26.03.2003 № 35 - ФЗ «Об электроэнергетике»,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 (далее - Правила ТП), утвержденными постановлением Правительства РФ от 27.12.2004 № 861.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Сетевая организация обязана соблюдать единые стандарты качества обслуживания сетевыми организациями потребителей услуг сетевых организаций, утверждаемые федеральным органом исполнительной власти, осуществляющим функции по выработке и реализации государственной политики и нормативно- правовому регулированию в сфере топливно-энергетического комплекса, в отношении лица, обратившегося к ней с целью осуществления технологического присоединения энергопринимающих устройств.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Информация о наличии объема свободной </w:t>
              <w:br/>
              <w:t xml:space="preserve">для технологического присоединения потребителей трансформаторной мощности по подстанциям </w:t>
              <w:br/>
              <w:t xml:space="preserve">и распределительным пунктам с дифференциацией </w:t>
              <w:br/>
              <w:t>по всем уровням напряжения в соответствии с абз. 7-8 подп. «г» п. 19 Стандартов раскрытия информации субъектами оптового и розничных рынков электрической энергии, утвержденных постановлением Правительства РФ от 21.01.2004 № 24, размещена на официальном сайте ПАО «Россети Урал» по адресу: https: //rosseti- ural.ru/disclosure/monopoly/characteristic/bandwidth/.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K земельному участку ближайшим центром питания ПАО «Россети Урал» является ПС 35/6 Вышка, резерв электрической мощности на которой составляет 2,27 МВт на 25.09.2025.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Ввиду отсутствия резерва необходимой электрической мощности осуществление технологического присоединения энергопринимающих устройств возможно в рамках заключения договора по индивидуальному проекту, в порядке, установленном Правилами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Согласно пункту 3 Правил ТП сетевая организация обязана выполнить в отношении любого обратившегося </w:t>
              <w:br/>
              <w:t xml:space="preserve">к ней лица мероприятия по технологическому присоединению при условии соблюдения им Правил ТП </w:t>
              <w:br/>
              <w:t>и наличии технической возможности технологического присоединения.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В силу пункта 6 Правил ТП технологическое присоединение осуществляется на основании договора, заключаемого между сетевой организацией и юридическим или физическим лицом. Перечень мероприятий по технологическому присоединению определяется в технических условиях.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Согласно пунктам 15, 25, 25.1 Правил ТП технические условия являются неотъемлемым приложением </w:t>
              <w:br/>
              <w:t>к соответствующему договору технологического присоединения и представляют собой техническое решение присоединения конкретного энергопринимающего устройства к сетям электросетевой организации, которое предусматривает точки присоединения, требования к усилению существующей сети, иные технические требования.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Следовательно, технические условия для технологического присоединения предоставляются заявителю сетевой организацией вместе с договором о технологическом присоединении.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При этом Правилами ТП не предусмотрена подготовка и выдача сетевой организацией частным лицам либо органам государственной власти (местного самоуправления) каких-либо предварительных технических условий на подключение к электрическим сетям без подачи заявки на технологическое присоединение.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На основании вышеизложенного, для получения технических условий и заключения договора на технологическое присоединение необходимо направить в адрес филиала ПАО «Россети Урал» - «Пермэнерго» соответствующую заявку на технологическое присоединение с указанием сведений и приложением необходимых документов в соответствии с Правилами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Размер платы, объем мероприятий и сроки исполнения данных мероприятий будут определены договором </w:t>
              <w:br/>
              <w:t xml:space="preserve">об осуществлении технологического присоединения, подготовленном на основании заявки на технологическое присоединение, отвечающей требованиям, изложенным </w:t>
              <w:br/>
              <w:t>в пунктах 9, 10 Правил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Заявку на технологическое присоединение можно подать через единый федеральный портал электросетевых услуг группы компаний «Россети» - ПОРТАЛ - ТП. РФ.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 </w:t>
            </w:r>
            <w:r>
              <w:rPr>
                <w:b/>
                <w:bCs/>
                <w:color w:val="auto"/>
                <w:sz w:val="24"/>
                <w:szCs w:val="24"/>
              </w:rPr>
              <w:t>ПАО «Россети Урал» - «Пермэнерго» Пермские городские электрические сети»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 от </w:t>
            </w:r>
            <w:r>
              <w:rPr>
                <w:color w:val="auto"/>
                <w:sz w:val="24"/>
                <w:szCs w:val="24"/>
              </w:rPr>
              <w:t>30.10.2025 № ПЭ/22/1562).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к сетям теплоснабжения с присоединяемой нагрузкой 0,08 Гккал/час возможность имеется. Возможные точки присоединения на существующих тепловых сетях: T-30-22 на М4-02 (разв.) 2Ду200мм. Источник теплоснабжения: ТЭЦ-14. Сведения о размере подключаемой тепловой нагрузки: 1,54 Гкал/ч.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Уточнение объема и перечня необходимых мероприятий для подключения объекта к системе теплоснабжения возможно после подачи заявки и предоставления полного пакета документов для заключения договора о подключении (технологическом присоединении).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 </w:t>
            </w:r>
            <w:r>
              <w:rPr>
                <w:b/>
                <w:color w:val="auto"/>
                <w:sz w:val="24"/>
                <w:szCs w:val="24"/>
              </w:rPr>
              <w:t>ПАО «Т Плюс»</w:t>
            </w:r>
            <w:r>
              <w:rPr>
                <w:color w:val="auto"/>
                <w:sz w:val="24"/>
                <w:szCs w:val="24"/>
              </w:rPr>
              <w:t xml:space="preserve"> от 10.10.2025 № 51030-01-06295).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объекта капитального строительства с предполагаемой максимальной нагрузкой 20 куб.м/час к существующим сетям газораспределения имеется.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14:ligatures w14:val="none"/>
              </w:rPr>
              <w:t>Для определения месторасположения газораспределительных сетей на интересуемом земельном участке необходимо направить в адрес Филиала в г. Пермь АО «Газпром газораспределение Пермь» инженерно-топографический план на бумажном носителе, выполненный в масштабе 1:500, в координатах г. Перми, на котором отображены рельеф местности, объекты ситуации и границы интересующей территории.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14:ligatures w14:val="none"/>
              </w:rPr>
              <w:t>Для рассмотрения вопроса о предоставлении технических условий на подключение (технологическое присоединение) Заявителю, намеревающемуся осуществить подключение к газораспределительным сетям объектов капитального строительства необходимо направить в адрес Пермского филиала АО «Газпром газораспределение Пермь» (на электронную почту post@pf.ugaz.ru ; почтой России по адресу: 614107, Пермский край, г. Пермь, ул. Уральская, д. 104; через Единый центр предоставления услуг по адресу: г. Пермь, ул. Уральская, д. 104, каб. 101, график работы: пн-ср с 8:00 до 17:00, чт с 11:00 до 20:00, пт с 8:00 до 16:00, вторая суббота месяца с 08:00 до 16:00)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14:ligatures w14:val="none"/>
              </w:rPr>
              <w:t xml:space="preserve">Заявку о заключении договора о подключении (технологическом присоединении) по типовой форме </w:t>
              <w:br/>
              <w:t xml:space="preserve">с пакетом документов в соответствии с п. 11, 16 Постановления Правительства Российской федерации № 1547 от 13.09.2021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</w:t>
              <w:br/>
              <w:t>и о признании утратившими силу некоторых актов Правительства Российской Федерации».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 </w:t>
            </w:r>
            <w:r>
              <w:rPr>
                <w:b/>
                <w:bCs/>
                <w:color w:val="auto"/>
                <w:sz w:val="24"/>
                <w:szCs w:val="24"/>
              </w:rPr>
              <w:t>АО «Газпром газораспределение Пермь»</w:t>
            </w:r>
            <w:r>
              <w:rPr>
                <w:color w:val="auto"/>
                <w:sz w:val="24"/>
                <w:szCs w:val="24"/>
              </w:rPr>
              <w:t>от 09.10.2025 № ПФ-7372).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Технологическое присоединение к сетям связи ПАО «Ростелеком» может быть произведено в точке подключения узел ВОЛС (г. Пермь, ул. Генерала Панфилова, 8В), максимальную нагрузку в точке подключения (технологического присоединения) определить на стадии проектирования.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Для подключения (технологического присоединения) вышеуказанных объектов к сетям электросвязи ПАО «Ростелеком» необходим запрос правообладателя земельного участка на выдачу технических условий подключения или заявки о заключении договора о подключении в порядке, определенном действующим законодательством.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Срок действия технических условий составляет 3 года (при комплексном развитии территории 5 лет) со дня выдачи технических условий. В случае, если в течение </w:t>
              <w:br/>
              <w:t xml:space="preserve">1 года (при комплексном развитии территории – 3 лет) </w:t>
              <w:br/>
              <w:t>со дня выдачи технических условий заявителем не будет подана заявка о подключении, срок действия технических условий прекращается («Правила подключения (технологического присоединения) объектов капитального строительства к сетям электросвязи», утвержденные постановлением Правительства РФ от 01.07.2022 № 1196).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 xml:space="preserve">Для получения ТУ на подключение к сетям связи </w:t>
              <w:br/>
              <w:t xml:space="preserve">ПАО «Ростелеком» необходимо обратиться в Отдел продаж и обслуживания по адресу: г. Пермь, ул. Крупской, 2, тел.: +7 (342) 235-57-34 или направить запрос на </w:t>
            </w:r>
            <w:hyperlink r:id="rId31">
              <w:r>
                <w:rPr>
                  <w:rStyle w:val="Hyperlink"/>
                  <w:color w:val="auto"/>
                  <w:sz w:val="24"/>
                  <w:szCs w:val="24"/>
                </w:rPr>
                <w:t>perm-mail@ural.rt.ru</w:t>
              </w:r>
            </w:hyperlink>
            <w:hyperlink r:id="rId32" w:tgtFrame="mailto:perm-mail@ural.rt.ru.">
              <w:r>
                <w:rPr>
                  <w:rStyle w:val="ListLabel37"/>
                  <w:color w:val="auto"/>
                  <w:sz w:val="24"/>
                  <w:szCs w:val="24"/>
                </w:rPr>
                <w:t>.</w:t>
              </w:r>
            </w:hyperlink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ПАО «Ростелеком»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от 09.10.2025 № 01/05/149268/25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>О возможности подключения планируемого к строительству объекта на Участке сообщается, что в районе вышеуказанных земельных участков, расположенных по ул. Воронежская отсутствуют централизованные сети водоснабжения и водоотведения, эксплуатируемые ООО «Новогор-Прикамье».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>Ближайшие сети водоснабжения, эксплуатируемые ООО «НОВОГОР-Прикамье», располагаются в районе здания по ул. Воронежская, 39 ориентировочно на расстоянии - 2 км от выше указанных земельных участков. Ближайшие сети водоотведения, эксплуатируемые ООО «НОВОГОР- Прикамье», располагаются в районе здания по ул. Воронежская, 37 ориентировочно на расстоянии - 2 км от выше 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>Виду отсутствия данных о посадке проектируемых объектов, длины технологических разрывов до сетей водоснабжения и водоотведения указаны ориентировочно.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При проектировании может быть применен альтернативный способ водоснабжения без подключения </w:t>
              <w:br/>
              <w:t xml:space="preserve">к централизованной системе водоснабжения </w:t>
              <w:br/>
              <w:t>(от скважины) и альтернативный способ канализования, без подключения к централизованной системе канализации г. Перми (отвод стоков на локальные очистные сооружения), при этом состав канализационных стоков должен соответствовать всем нормативным требованиям Российской Федерации.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 xml:space="preserve">Для сведения сообщаем, в связи с тем, что </w:t>
              <w:br/>
              <w:t xml:space="preserve">ООО «НОВОГОР-Прикамье» эксплуатирует только централизованные системы водоснабжения </w:t>
              <w:br/>
              <w:t>и водоотведения, по вопросу возможности обеспечения индивидуального жилого дома холодным водоснабжением от скважины и отвода канализационных стоков локально, предлагаем вам обратиться в соответствующие организации, регулирующие недропользование.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 xml:space="preserve">Кроме того, ООО «НОВОГОР-Прикамье» </w:t>
              <w:br/>
              <w:t xml:space="preserve">не располагает сведениями о наличии сетей 3-х лиц </w:t>
              <w:br/>
              <w:t>в границах вышеуказанных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 </w:t>
            </w:r>
            <w:r>
              <w:rPr>
                <w:b/>
                <w:color w:val="auto"/>
                <w:sz w:val="24"/>
                <w:szCs w:val="24"/>
              </w:rPr>
              <w:t xml:space="preserve">ООО «Новогор-Прикамье» </w:t>
            </w:r>
            <w:r>
              <w:rPr>
                <w:color w:val="auto"/>
                <w:sz w:val="24"/>
                <w:szCs w:val="24"/>
              </w:rPr>
              <w:t>от 07.10.2025 № 110-15615).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На период до 2028 года на территории, где расположен Участок, схемами водоснабжения и водоотведения города Перми, утвержденными постановлением администрации города Перми от 28.12.2018 № 1085, предусмотрено строительство сетей водоснабжения и водоотведения в мкр. Крым поселок.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  </w:t>
            </w:r>
            <w:r>
              <w:rPr>
                <w:b/>
                <w:color w:val="auto"/>
                <w:sz w:val="24"/>
                <w:szCs w:val="24"/>
              </w:rPr>
              <w:t xml:space="preserve">департамента жилищно-коммунального хозяйства администрации города Перми </w:t>
            </w:r>
            <w:r>
              <w:rPr>
                <w:color w:val="auto"/>
                <w:sz w:val="24"/>
                <w:szCs w:val="24"/>
              </w:rPr>
              <w:t>от 07.10.2025 № 059-04-17/3-959-ри).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Начальная цена предмета аукциона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(размер ежегодной арендной платы)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right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 xml:space="preserve">По условиям пункта 4.3 проекта договора аренды земельного участка, приобретаемого на торгах в форме аукциона, для строительства (Приложение 11 к настоящему извещению), победитель аукциона, иное лицо, с которым договор заключается в соответствии с п.13, п.14, п. 20 или п. 25  ст. 39.12 Земельного Кодекса Российской Федерации </w:t>
              <w:br/>
              <w:t xml:space="preserve">(далее – ЗК РФ), обязан до подписания договора уплатить ежегодный размер арендной платы, указанный в п. 4.2 договора (за вычетом задатка, внесенного для участия в аукционе) </w:t>
            </w:r>
            <w:r>
              <w:rPr>
                <w:b/>
                <w:bCs w:val="false"/>
                <w:color w:val="000000"/>
                <w:sz w:val="24"/>
                <w:szCs w:val="24"/>
                <w:shd w:fill="auto" w:val="clear"/>
              </w:rPr>
              <w:t xml:space="preserve">однократно за первые 3 года </w:t>
            </w: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>на счет департамента земельных отношений администрации города Перми, 614000, ул. Сибирская,15, тел. 212-61-90 (отдел договоров)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615 708 руб.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«Шаг аукциона» (5%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30 785,4 руб.</w:t>
            </w:r>
          </w:p>
        </w:tc>
      </w:tr>
      <w:tr>
        <w:trPr>
          <w:trHeight w:val="41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заявки на участие в аукционе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rFonts w:eastAsia="Droid Sans Fallback" w:cs="Lohit Devanagari"/>
                <w:color w:val="auto"/>
                <w:kern w:val="0"/>
                <w:sz w:val="24"/>
                <w:szCs w:val="24"/>
                <w:lang w:val="ru-RU" w:eastAsia="zh-CN" w:bidi="ar-SA"/>
              </w:rPr>
      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2-4 пункта 1, пункте 1.1 статьи 39.12 Земельного кодекса Российской Федерации (копии документов, удостоверяющих личность заявителя (для граждан);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документы, подтверждающие внесение задатка).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каждый лот представляется отдельный пакет документов.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BodyText"/>
              <w:jc w:val="both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shd w:fill="auto" w:val="clear"/>
              </w:rPr>
              <w:t xml:space="preserve">Решение о проведении аукциона принято </w:t>
              <w:br/>
              <w:t>в соответствии со статьей 39.11 Земельного кодекса Российской Федерации. Аукцион является открытым по составу участников.</w:t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 задатка (50%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307 854 руб.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аренды земельного участка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лет 6 месяцев</w:t>
            </w:r>
          </w:p>
        </w:tc>
      </w:tr>
      <w:tr>
        <w:trPr>
          <w:trHeight w:val="188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договора аренды земельного участка, приобретаемого на торгах в форме аукциона, для строительства,  является Приложением 11 к настоящему извещению и размещен на сайтах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gorodperm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 (раздел Деятельность/ муниципальная собственность/ Торговая площадка/Вид торгов Продажа и аренда земельных участков).</w:t>
            </w:r>
          </w:p>
        </w:tc>
      </w:tr>
      <w:tr>
        <w:trPr>
          <w:trHeight w:val="14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осмотра земельного участка </w:t>
              <w:br/>
              <w:t>на местности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Осмотр земельного участка производится заявителем самостоятельно в любое время с даты опубликования настоящего извещения.</w:t>
            </w:r>
          </w:p>
        </w:tc>
      </w:tr>
    </w:tbl>
    <w:p>
      <w:pPr>
        <w:pStyle w:val="Normal"/>
        <w:spacing w:lineRule="exact" w:line="240"/>
        <w:ind w:hanging="1134" w:left="113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</w:r>
    </w:p>
    <w:p>
      <w:pPr>
        <w:pStyle w:val="Normal"/>
        <w:spacing w:lineRule="exact" w:line="240"/>
        <w:ind w:hanging="1134" w:left="113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</w:r>
    </w:p>
    <w:p>
      <w:pPr>
        <w:pStyle w:val="PlainText"/>
        <w:spacing w:lineRule="exact" w:line="240"/>
        <w:ind w:hanging="1134" w:left="1134"/>
        <w:jc w:val="left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val="ru-RU"/>
        </w:rPr>
        <w:t>Лот № 7</w:t>
      </w:r>
    </w:p>
    <w:tbl>
      <w:tblPr>
        <w:tblW w:w="10530" w:type="dxa"/>
        <w:jc w:val="left"/>
        <w:tblInd w:w="-58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3055"/>
        <w:gridCol w:w="6909"/>
      </w:tblGrid>
      <w:tr>
        <w:trPr>
          <w:trHeight w:val="877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органа местного самоуправления, принявшего решение о проведении аукциона,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реквизиты указанного решения</w:t>
            </w:r>
          </w:p>
        </w:tc>
        <w:tc>
          <w:tcPr>
            <w:tcW w:w="6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города Перми, распоряжение начальника департамента земельных отношений администрации города Перми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shd w:fill="FFFFFF" w:val="clear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:shd w:fill="FFFFFF" w:val="clear"/>
                <w:lang w:val="ru-RU" w:eastAsia="ru-RU" w:bidi="ar-SA"/>
              </w:rPr>
              <w:t>от 25 ноября 2025 г. № 21-01-03-9106 «О проведении аукциона на право заключения договора аренды земельного участка в Кировском районе города Перми»</w:t>
            </w:r>
          </w:p>
        </w:tc>
      </w:tr>
      <w:tr>
        <w:trPr>
          <w:trHeight w:val="225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 аукциона на право заключения договора аренды земельного участка</w:t>
            </w:r>
          </w:p>
        </w:tc>
        <w:tc>
          <w:tcPr>
            <w:tcW w:w="6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3" w:hRule="atLeast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6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Пермский край, городской округ Пермский, город Пермь, улица Воронежская, з/у 60ж</w:t>
            </w:r>
          </w:p>
        </w:tc>
      </w:tr>
      <w:tr>
        <w:trPr>
          <w:trHeight w:val="148" w:hRule="atLeast"/>
        </w:trPr>
        <w:tc>
          <w:tcPr>
            <w:tcW w:w="5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площадь</w:t>
            </w:r>
          </w:p>
        </w:tc>
        <w:tc>
          <w:tcPr>
            <w:tcW w:w="6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5838 кв. м</w:t>
            </w:r>
          </w:p>
        </w:tc>
      </w:tr>
      <w:tr>
        <w:trPr>
          <w:trHeight w:val="155" w:hRule="atLeast"/>
        </w:trPr>
        <w:tc>
          <w:tcPr>
            <w:tcW w:w="5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кадастровый номер</w:t>
            </w:r>
          </w:p>
        </w:tc>
        <w:tc>
          <w:tcPr>
            <w:tcW w:w="6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59:01:1717124:334</w:t>
            </w:r>
          </w:p>
        </w:tc>
      </w:tr>
      <w:tr>
        <w:trPr>
          <w:trHeight w:val="144" w:hRule="atLeast"/>
        </w:trPr>
        <w:tc>
          <w:tcPr>
            <w:tcW w:w="5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права на земельный участок</w:t>
            </w:r>
          </w:p>
        </w:tc>
        <w:tc>
          <w:tcPr>
            <w:tcW w:w="6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государственная собственность не разграничена</w:t>
            </w:r>
          </w:p>
        </w:tc>
      </w:tr>
      <w:tr>
        <w:trPr>
          <w:trHeight w:val="144" w:hRule="atLeast"/>
        </w:trPr>
        <w:tc>
          <w:tcPr>
            <w:tcW w:w="5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разрешенное использование</w:t>
            </w:r>
          </w:p>
        </w:tc>
        <w:tc>
          <w:tcPr>
            <w:tcW w:w="6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легкая промышленность, склады</w:t>
            </w:r>
          </w:p>
        </w:tc>
      </w:tr>
      <w:tr>
        <w:trPr>
          <w:trHeight w:val="576" w:hRule="atLeast"/>
        </w:trPr>
        <w:tc>
          <w:tcPr>
            <w:tcW w:w="5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категории земель</w:t>
            </w:r>
          </w:p>
        </w:tc>
        <w:tc>
          <w:tcPr>
            <w:tcW w:w="6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земли населенных пунктов</w:t>
            </w:r>
          </w:p>
        </w:tc>
      </w:tr>
      <w:tr>
        <w:trPr>
          <w:trHeight w:val="576" w:hRule="atLeast"/>
        </w:trPr>
        <w:tc>
          <w:tcPr>
            <w:tcW w:w="56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/>
              <w:t>принадлежность к определенной территориальной зоне</w:t>
            </w:r>
          </w:p>
        </w:tc>
        <w:tc>
          <w:tcPr>
            <w:tcW w:w="6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ПК-5 «Зона производственно-коммунальных</w:t>
            </w:r>
          </w:p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объектов V класса вредности»</w:t>
            </w:r>
          </w:p>
        </w:tc>
      </w:tr>
      <w:tr>
        <w:trPr>
          <w:trHeight w:val="144" w:hRule="atLeast"/>
        </w:trPr>
        <w:tc>
          <w:tcPr>
            <w:tcW w:w="5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прав</w:t>
            </w:r>
          </w:p>
          <w:p>
            <w:pPr>
              <w:pStyle w:val="Normal"/>
              <w:ind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Ограничения прав подробно описаны: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выписке из Единого государственного реестра недвижимости об объекте недвижимости  от 07.08.2026г. No КУВИ-001/2026-106433151 (далее - ЕГРН);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градостроительном плане земельного участка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10.11.2025 № РФ-59-2-03-0-00-2025-2746-0 (далее – ГПЗУ) (приложение 14 к настоящему извещению).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Территория не огорожена, незаконно установленные объекты отсутствуют,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капитальных/некапитальных объектов </w:t>
              <w:br/>
              <w:t>не выявлено, на территории произрастают кустарники, деревья.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Близлежащий источник противопожарного водоснабжения относительно земельного участка, расположен по ул. Воронежская, 56 (пожарный гидрант).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  <w:highlight w:val="white"/>
              </w:rPr>
              <w:t xml:space="preserve">администрации Кировского района города Перми </w:t>
            </w:r>
            <w:r>
              <w:rPr>
                <w:b w:val="false"/>
                <w:bCs w:val="false"/>
                <w:color w:val="auto"/>
                <w:sz w:val="24"/>
                <w:szCs w:val="24"/>
                <w:highlight w:val="white"/>
              </w:rPr>
              <w:t>от 07.1</w:t>
            </w:r>
            <w:r>
              <w:rPr>
                <w:color w:val="auto"/>
                <w:sz w:val="24"/>
                <w:szCs w:val="24"/>
                <w:highlight w:val="white"/>
              </w:rPr>
              <w:t>0.2025 № 059-23-01-25/3-459, в акте обследования от 03.10.2025 №</w:t>
            </w:r>
            <w:r>
              <w:rPr>
                <w:color w:val="auto"/>
                <w:sz w:val="24"/>
                <w:szCs w:val="24"/>
              </w:rPr>
              <w:t xml:space="preserve"> б/н</w:t>
            </w:r>
            <w:r>
              <w:rPr>
                <w:color w:val="auto"/>
                <w:sz w:val="24"/>
                <w:szCs w:val="24"/>
                <w:highlight w:val="white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cs="Times New Roman"/>
                <w:sz w:val="26"/>
                <w:szCs w:val="26"/>
              </w:rPr>
              <w:t>В ход</w:t>
            </w:r>
            <w:r>
              <w:rPr>
                <w:sz w:val="24"/>
                <w:szCs w:val="24"/>
              </w:rPr>
              <w:t>е проведения осмотра земельного участка с кадастровым номером 59:01:1717124:334 установлено, что доступ к земельному участку не ограничен, земельный участок не огорожен. В границах земельного участка произрастают сельскохозяйственные культуры, древесно-кустарниковая растительность, водные, капитальные/некапитальные объекты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(Аналогичная информация отражена в </w:t>
            </w:r>
            <w:r>
              <w:rPr>
                <w:b/>
                <w:bCs/>
                <w:color w:val="auto"/>
                <w:sz w:val="24"/>
                <w:szCs w:val="24"/>
              </w:rPr>
              <w:t>акте обследования департамента земельных отношений администрации города Перми от 18.11.2025 № б/н</w:t>
            </w:r>
            <w:r>
              <w:rPr>
                <w:color w:val="auto"/>
                <w:sz w:val="24"/>
                <w:szCs w:val="24"/>
                <w:highlight w:val="white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Согласно сведениям ЕГРН, ГПЗУ и справке </w:t>
              <w:br/>
              <w:t xml:space="preserve">по градостроительным условиям участка от 16.12.2025 </w:t>
              <w:br/>
              <w:t>№ 658850 Участок расположен в границах зон с особыми условиями использования территории: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зона затопления территорий, прилегающих </w:t>
              <w:br/>
              <w:t xml:space="preserve">к зарегулированной р. Кама (Воткинскому водохранилищу) в нижнем бьефе Камского гидроузла </w:t>
              <w:br/>
              <w:t>в г. Перми Пермского края, затапливаемых при пропуске Камским гидроузлом паводков расчетной обеспеченности расчетной обеспеченности 1%,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приаэродромная территория аэродрома аэропорта Большое Савино</w:t>
            </w:r>
            <w:r>
              <w:rPr>
                <w:color w:val="auto"/>
                <w:sz w:val="24"/>
                <w:szCs w:val="24"/>
                <w14:ligatures w14:val="none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</w:rPr>
              <w:t>Земельный участок расположен в санитарно-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защитных зонах предприятий: частично ООО «Пермская химическая компания», Пермский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филиал ФГУП «Российский научный центр «Прикладная химия».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Проектирование и строительство вести в соответствии: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с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постановлением Правительства Российской Федерации от 11.03.2010 № 138 «Об утверждении Федеральных правил использования воздушного пространства Российской Федерации»: «Запрещается размещать в полосах воздушных подходов на удалении до 30 км, а вне полос воздушных подходов – до 15 км от контрольной точки аэродрома объекты выбросов (размещения) отходов, животноводческие фермы, скотобойни и другие объекты, способствующие привлечению и массовому скоплению птиц»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с </w:t>
            </w:r>
            <w:r>
              <w:rPr>
                <w:color w:val="auto"/>
                <w:sz w:val="24"/>
                <w:szCs w:val="24"/>
              </w:rPr>
              <w:t>р</w:t>
            </w:r>
            <w:r>
              <w:rPr>
                <w:color w:val="auto"/>
                <w:sz w:val="24"/>
                <w:szCs w:val="24"/>
                <w:highlight w:val="white"/>
              </w:rPr>
              <w:t>ешением Федеральной службы по надзору в сфере защиты прав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потребителей и благополучия человека Об установлении санитарно 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защитной зоны для ООО «Пермская химическая компания» от 20.01.2023 № 11-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РС33 </w:t>
            </w:r>
            <w:r>
              <w:rPr>
                <w:color w:val="auto"/>
                <w:sz w:val="24"/>
                <w:szCs w:val="24"/>
              </w:rPr>
              <w:t>, реестровый номер 59:01-6.</w:t>
            </w:r>
            <w:r>
              <w:rPr>
                <w:color w:val="auto"/>
                <w:sz w:val="24"/>
                <w:szCs w:val="24"/>
                <w:highlight w:val="white"/>
              </w:rPr>
              <w:t>9608;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с р</w:t>
            </w:r>
            <w:r>
              <w:rPr>
                <w:color w:val="auto"/>
                <w:sz w:val="24"/>
                <w:szCs w:val="24"/>
                <w:highlight w:val="white"/>
              </w:rPr>
              <w:t>ешением Федеральной службы по надзору в сфере защиты прав потребителей и благополучия человека Об установлении санитарно-защитной зоны для Пермского филиала ФГУП «Российский научный центр «Прикладная химия» г. Пермь, ул. Во</w:t>
            </w:r>
            <w:r>
              <w:rPr>
                <w:b w:val="false"/>
                <w:bCs w:val="false"/>
                <w:color w:val="auto"/>
                <w:sz w:val="24"/>
                <w:szCs w:val="24"/>
                <w:highlight w:val="white"/>
              </w:rPr>
              <w:t>ронежская, 41 от 19.04.2019 № 46-РСЗЗ</w:t>
            </w:r>
            <w:r>
              <w:rPr>
                <w:b w:val="false"/>
                <w:bCs w:val="false"/>
                <w:color w:val="auto"/>
                <w:sz w:val="24"/>
                <w:szCs w:val="24"/>
                <w14:ligatures w14:val="none"/>
              </w:rPr>
              <w:t>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  <w:szCs w:val="24"/>
                <w14:ligatures w14:val="none"/>
              </w:rPr>
              <w:t xml:space="preserve">приказом Камского бассейнового водного управления Федерального агентства водных ресурсов от 21.11.2022 </w:t>
              <w:br/>
              <w:t xml:space="preserve">№ 239 «Об установлении границ зон затопления </w:t>
              <w:br/>
              <w:t xml:space="preserve">на территориях, прилегающих к зарегулированной </w:t>
              <w:br/>
              <w:t>р. Кама (Воткинскому водохранилищу) в нижнем бьефе Камского гидроузла в г. Перми Пермского края, затапливаемых при пропуске Камским гидроузлом паводков расчетной обеспеченности 1%»; Ограничения использования объектов недвижимости в соответствии с частью 3 статьи 67.1 Водного кодекса РФ.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На испрашиваемом земельном участке произрастает 29 деревьев пород – береза 17 шт., ива 5 шт., осина 7 шт.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Средняя стоимость в ценах 2025 года одного дерева лиственной породы от 25 тыс. руб., а хвойной – от 30 тыс. руб.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spacing w:val="0"/>
                <w:sz w:val="24"/>
              </w:rPr>
              <w:t xml:space="preserve">Победителю аукциона необходимо соблюдать условия строительства, перечисленные в </w:t>
            </w: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</w:rPr>
              <w:t xml:space="preserve">перечне мероприятий </w:t>
              <w:br/>
              <w:t>по охране окружающей среды от 14.10.2025 № 357 (прилагается).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  <w:highlight w:val="white"/>
              </w:rPr>
              <w:t>Управления по экологии и природопользованию администрации города Перми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от 14.10.2025 № 059-33-01-10/3-70).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 xml:space="preserve">Муниципальной программой «Дорожная деятельность и благоустройство города Перми», утвержденной постановлением администрации города Перми от 18.10.2024 № 966 </w:t>
              <w:br/>
              <w:t>«Об утверждении муниципальной программы «Дорожная деятельность и благоустройство города Перми»,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бюджетом города Перми на период 2025-2029 годы мероприятия по строительству, реконструкции, капитальному ремонту улично-дорожной сети на рассматриваемой территории не предусмотрены.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283" w:left="0" w:right="0"/>
              <w:jc w:val="both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</w:rPr>
              <w:t xml:space="preserve">По информации, имеющейся в департаменте дорог </w:t>
              <w:br/>
              <w:t xml:space="preserve">и благоустройства администрации города Перми, </w:t>
              <w:br/>
              <w:t xml:space="preserve">в настоящее время отсутствует улично-дорожная сеть для примыкания земельных участков. Рассмотрение данного вопроса возможно после принятия решения </w:t>
              <w:br/>
              <w:t xml:space="preserve">о строительстве улично-дорожной сети </w:t>
              <w:br/>
              <w:t>для обеспечения доступа к земельным участкам.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В соответствии с Федеральным Законом от 08.11.2007 </w:t>
              <w:br/>
              <w:t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расходы на строительство, реконструкцию, капитальный ремонт, ремонт пересечений и примыканий, в том числе расходы на выполнение дополнительных работ, связанных с обеспечением безопасности дорожного движения, водоотведения и исполнением других установленных техническими регламентами требований, несут лица, в интересах которых осуществляются строительство, реконструкция, капитальный ремонт, ремонт пересечений или примыканий.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  <w:highlight w:val="white"/>
              </w:rPr>
              <w:t>Департамента дорог и благоустройства администрации города Перми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 от 07.10.2025 № 059-24-01-36/3-3670).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Источники противопожарного водоснабжения (пожарные водоемы и пожарные гидранты на сети водоснабжения) </w:t>
              <w:br/>
              <w:t>на указанных территориях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При планировке и размещении объектов на вышеуказанной территории необходимо соблюдать нормы и требования действующего законодательства: Федеральных законов от 21 декабря 1994 г. № 69-ФЗ «О пожарной безопасности» и от 22 июля 2008 г. № 123-ФЗ «Технический регламент о требованиях пожарной безопасности», Региональных нормативов градостроительного проектирования «Расчетные показатели обеспеченности населения Пермского края объектами пожарной охраны», утвержденных приказом Министерства по управлению имуществом и градостроительной деятельности Пермского края от 25.02.2021 № 31-02-1-4-248, а также Свода правил 8.13130 «Системы противопожарной защиты. Источники наружного противопожарного водоснабжения. Требования пожарной безопасности», утвержденных приказом МЧС России от 30.03.2020 № 225, Свода правил 4.13130 «Системы противопожарной защиты. Ограничение распространения пожара на объектах защиты. Требования к объемно-планировочным </w:t>
              <w:br/>
              <w:t>и конструктивным решениям», утвержденных Приказом МЧС России от 24.04.2013 № 288 и иной документации, касающейся норм противопожарной безопасности.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Информация о подразделениях пожарной охраны </w:t>
              <w:br/>
              <w:t xml:space="preserve">и времени их прибытия содержится в «Расписании выезда подразделений Пермского местного пожарно-спасательного гарнизона для тушения пожаров и проведения аварийно-спасательных работ на территории Пермского городского округа, Пермского муниципального района», утвержденном Главой города Перми 26.04.2024. Подразделение пожарной охраны расположено по адресу: ул. Сысольская, 16 (ПСЧ-6 </w:t>
              <w:br/>
              <w:t>10-ПСО).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Помещения для аварийно-спасательных служб </w:t>
              <w:br/>
              <w:t xml:space="preserve">и (или) аварийно-спасательных формирований </w:t>
              <w:br/>
              <w:t>на указанной территории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Объект общественной безопасности, отнесенный </w:t>
              <w:br/>
              <w:t xml:space="preserve">к объектам полиции (участковые пункты полиции), </w:t>
              <w:br/>
              <w:t xml:space="preserve">в данном микрорайоне расположен по адресу: г. Пермь, ул. Генерала Панфилова, 6/1 (микрорайон Крым, Кировский район). В настоящее время в указанном микрорайоне строительство (приобретение) участковых пунктов полиции не планируется. По информации, предоставленной Министерством территориальной безопасности Пермского края (письмо от 07.10.2020 </w:t>
              <w:br/>
              <w:t xml:space="preserve">№ 964с), рассматриваемые земельные участки попадают </w:t>
              <w:br/>
              <w:t>в зону возможного химического заражения в особый период.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Указанные земельные участки находятся в зоне действия системы оповещения населения города Перми, установленной по ул. Генерала Панфилова, 10 – 1500 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(Аналогичная информация отражена в письме </w:t>
            </w:r>
            <w:r>
              <w:rPr>
                <w:rFonts w:eastAsia="Times New Roman" w:cs="Times New Roman"/>
                <w:b/>
                <w:color w:val="auto"/>
                <w:sz w:val="24"/>
                <w:szCs w:val="24"/>
                <w:highlight w:val="white"/>
              </w:rPr>
              <w:t>епартамента общественной безопасности администрации города Перми</w:t>
            </w:r>
            <w:r>
              <w:rPr>
                <w:rFonts w:eastAsia="Times New Roman" w:cs="Times New Roman"/>
                <w:color w:val="auto"/>
                <w:sz w:val="24"/>
                <w:szCs w:val="24"/>
                <w:highlight w:val="white"/>
              </w:rPr>
              <w:t xml:space="preserve"> от 06.10.2025 № 059-10-01-27/3-2189</w:t>
            </w:r>
            <w:r>
              <w:rPr>
                <w:color w:val="auto"/>
                <w:sz w:val="24"/>
                <w:szCs w:val="24"/>
                <w:highlight w:val="white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4"/>
                <w:szCs w:val="24"/>
              </w:rPr>
              <w:t>Согласно протоколу заседания координационного совещания по обеспечению правопорядка в Пермском крае от 16.03.2022 №74-гс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  <w:szCs w:val="24"/>
              </w:rPr>
              <w:t xml:space="preserve"> для строительства объектов городской инфраструктуры (парков, скверов, торгово-развлекательных комплексов, иных зданий </w:t>
              <w:br/>
              <w:t xml:space="preserve">и сооружений) обязательным является условие </w:t>
              <w:br/>
              <w:t>по установке камер видеонаблюдения.</w:t>
            </w:r>
          </w:p>
        </w:tc>
      </w:tr>
      <w:tr>
        <w:trPr>
          <w:trHeight w:val="1087" w:hRule="atLeast"/>
        </w:trPr>
        <w:tc>
          <w:tcPr>
            <w:tcW w:w="5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283" w:left="51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максимально и (или) минимально допустимые параметры разрешенного строительства</w:t>
              <w:br/>
              <w:t>объекта капитального строительства</w:t>
            </w:r>
          </w:p>
        </w:tc>
        <w:tc>
          <w:tcPr>
            <w:tcW w:w="6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33" w:tgtFrame="http://www.gorodperm.ru/">
              <w:r>
                <w:rPr>
                  <w:rStyle w:val="Hyperlink"/>
                  <w:sz w:val="24"/>
                  <w:szCs w:val="24"/>
                </w:rPr>
                <w:t>www.gorodperm.ru</w:t>
              </w:r>
            </w:hyperlink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none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Предельные (минимальные и (или) максимальные) размеры земельного участка и предельные параметры разрешенного строительства, реконструкции объекта капитального строительства, установленные градостроительным регламентом для территориальной зоны, в которой расположен земельный участок, указаны в </w:t>
            </w:r>
            <w:r>
              <w:rPr>
                <w:sz w:val="24"/>
                <w:szCs w:val="24"/>
              </w:rPr>
              <w:t>ГПЗУ</w:t>
            </w:r>
            <w:r>
              <w:rPr>
                <w:sz w:val="24"/>
                <w:szCs w:val="24"/>
                <w:lang w:val="en-US"/>
              </w:rPr>
              <w:t xml:space="preserve"> (пункт 3 статьи 57.3 Градостроительного кодекса Российской Федерации).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Согласно ГПЗУ: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максимальный выступ за красную линию нависающих частей здания наземных уровней, выступающих из плоскости наружной стены фасада здания на высоте не менее 4,5 м над территорией общего пользования, составляет не более 1,2 м от красной линии. В случаях когда линия регулирования застройки отличается от красной линии, указанный выступ может быть произведен за линию регулирования застройки;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 xml:space="preserve">максимальный класс опасности (в соответствии </w:t>
              <w:br/>
              <w:t>с санитарно- эпидемиологическими правилами) объектов капитального строительства, размещаемых на земельных участках – V;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минимальный отступ от границ Участка до места допустимого размещения зданий, строений – 0 м;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Предельное количество этажей и (или) предельная высота зданий, строений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отношений суммарной площади земельного участка, которая может быть застроена, ко всей площади земельного участка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архитектурным решениям объектов капитального строительства, расположенным в границах территории исторического поселения федерального или регионального значения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>В соответствии с таблицей Б.1 «Показатели плотности застройки участков территориальных зон» СП 42.13330.2016. Свод правил. Градостроительство. Планировка и застройка городских и сельских поселений. Актуализированная редакция СНиП 2.07.01-89* коэффициент плотности застройки земельного участка в производственной промышленной зоне составляет 2,4.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>Таким образом, предельные параметры разрешенного строительства на земельном участке составляют 14011 кв. м (5838*2,4).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:lang w:val="en-US"/>
                <w14:ligatures w14:val="none"/>
              </w:rPr>
              <w:t xml:space="preserve">Учитывая конфигурацию Участка, расположенные </w:t>
              <w:br/>
              <w:t xml:space="preserve">в границах Участка сети и зоны с особыми условиями использования территории, информация о которых не содержится в ЕГРН, в соответствии с приложением Г «Площадь и размеры земельных участков складов» СП 42.13330.2016. Свод правил. Градостроительство. Планировка и застройка городских и сельских поселений. Актуализированная редакция СНиП 2.07.01-89* минимальная площадь склада на Участке для складов непродовольственных товаров составляет: 1711 кв. м </w:t>
              <w:br/>
              <w:t>для одноэтажных объектов капитального строительства, 2585 кв. м для многоэтажных объектов капитального строительства (если на земельном участке не планируется строительство объектов согласно установленному виду разрешенного использования «легкая промышленность (6.3)).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пунктом 2.1.34. Решения Пермской городской Думы от 15.12.2020 № 277 «Об утверждении Правил благоустройства территории города Перми» </w:t>
              <w:br/>
              <w:t>при проектировании и строительстве объекта капитального строительства необходимо соблюдать требования по разработке паспорта внешнего облика объекта капитального строительства (далее –  колерный паспорт, Правила).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Колерный паспорт – документ, разрабатываемый </w:t>
              <w:br/>
              <w:t xml:space="preserve">в случаях, предусмотренных действующим законодательством, Правилами, для фасада здания, строения, сооружения при планируемом строительстве, реконструкции, капитальном ремонте, реставрации, приспособлении объекта культурного наследия </w:t>
              <w:br/>
              <w:t>для современного использования, а также при изменении внешнего вида здания, строения, сооружения, который устанавливает внешний облик (вид) фасада здания, строения, сооружения, включая требования в отношении материалов, способов отделки и цветов фасадов, ограждающих конструкций (крыш (кровельного покрытия), ограждений балконов, лоджий), мест для размещения средств размещения информации (вывесок, указателей с наименованиями улиц и номерами домов (зданий)), рекламных конструкций, а также мест для размещения, вида, цветового решения архитектурно-художественной подсветки.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  <w14:ligatures w14:val="none"/>
              </w:rPr>
              <w:t xml:space="preserve">Колерный паспорт подлежит согласованию </w:t>
              <w:br/>
              <w:t>с функциональным органом администрации города Перми, осуществляющим функции управления в сфере градостроительства.</w:t>
            </w:r>
          </w:p>
        </w:tc>
      </w:tr>
      <w:tr>
        <w:trPr>
          <w:trHeight w:val="2820" w:hRule="atLeast"/>
        </w:trPr>
        <w:tc>
          <w:tcPr>
            <w:tcW w:w="5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0"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34" w:tgtFrame="http://www.gorodperm.ru/">
              <w:r>
                <w:rPr>
                  <w:rStyle w:val="Hyperlink"/>
                  <w:sz w:val="24"/>
                  <w:szCs w:val="24"/>
                </w:rPr>
                <w:t>www.gorodperm.ru</w:t>
              </w:r>
            </w:hyperlink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О наличии технической возможности технологического присоединения к электросетям филиала энергопринимающего устройства объекта капитального строительства с предполагаемой максимальной мощностью 1261 кВт сообщает следующее.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Процедура технологического присоединения осуществляется в соответствии с нормами действующего законодательства: Федеральным законом от 26.03.2003 № 35 - ФЗ «Об электроэнергетике»,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 (далее - Правила ТП), утвержденными постановлением Правительства РФ от 27.12.2004 № 861.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Сетевая организация обязана соблюдать единые стандарты качества обслуживания сетевыми организациями потребителей услуг сетевых организаций, утверждаемые федеральным органом исполнительной власти, осуществляющим функции по выработке </w:t>
              <w:br/>
              <w:t>и реализации государственной политики и нормативно- правовому регулированию в сфере топливно-энергетического комплекса, в отношении лица, обратившегося к ней с целью осуществления технологического присоединения энергопринимающих устройств.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Информация о наличии объема свободной </w:t>
              <w:br/>
              <w:t xml:space="preserve">для технологического присоединения потребителей трансформаторной мощности по подстанциям </w:t>
              <w:br/>
              <w:t xml:space="preserve">и распределительным пунктам с дифференциацией </w:t>
              <w:br/>
              <w:t>по всем уровням напряжения в соответствии с абз. 7-8 подп. «г» п. 19 Стандартов раскрытия информации субъектами оптового и розничных рынков электрической энергии, утвержденных постановлением Правительства РФ от 21.01.2004 № 24, размещена на официальном сайте ПАО «Россети Урал» по адресу: https: //rosseti- ural.ru/disclosure/monopoly/characteristic/bandwidth/.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K земельному участку ближайшим центром питания ПАО «Россети Урал» является ПС 35/6 Вышка, резерв электрической мощности на которой составляет 2,27 МВт на 25.09.2025.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Ввиду отсутствия резерва необходимой электрической мощности осуществление технологического присоединения энергопринимающих устройств возможно в рамках заключения договора по индивидуальному проекту, в порядке, установленном Правилами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Согласно пункту 3 Правил ТП сетевая организация обязана выполнить в отношении любого обратившегося к ней лица мероприятия по технологическому присоединению при условии соблюдения им Правил ТП и наличии технической возможности технологического присоединения.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В силу пункта 6 Правил ТП технологическое присоединение осуществляется на основании договора, заключаемого между сетевой организацией и юридическим или физическим лицом. Перечень мероприятий по технологическому присоединению определяется в технических условиях.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Согласно пунктам 15, 25, 25.1 Правил ТП технические условия являются неотъемлемым приложением к соответствующему договору технологического присоединения и представляют собой техническое решение присоединения конкретного энергопринимающего устройства к сетям электросетевой организации, которое предусматривает точки присоединения, требования к усилению существующей сети, иные технические требования.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Следовательно, технические условия для технологического присоединения предоставляются заявителю сетевой организацией вместе с договором о технологическом присоединении.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При этом Правилами ТП не предусмотрена подготовка и выдача сетевой организацией частным лицам либо органам государственной власти (местного самоуправления) каких-либо предварительных технических условий на подключение к электрическим сетям без подачи заявки на технологическое присоединение.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На основании вышеизложенного, для получения технических условий и заключения договора на технологическое присоединение необходимо направить в адрес филиала ПАО «Россети Урал» - «Пермэнерго» соответствующую заявку </w:t>
              <w:br/>
              <w:t>на технологическое присоединение с указанием сведений и приложением необходимых документов в соответствии с Правилами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Размер платы, объем мероприятий и сроки исполнения данных мероприятий будут определены договором </w:t>
              <w:br/>
              <w:t xml:space="preserve">об осуществлении технологического присоединения, подготовленном на основании заявки на технологическое присоединение, отвечающей требованиям, изложенным </w:t>
              <w:br/>
              <w:t>в пунктах 9, 10 Правил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Заявку на технологическое присоединение можно подать через единый федеральный портал электросетевых услуг группы компаний «Россети» - ПОРТАЛ - ТП. РФ.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  <w:highlight w:val="white"/>
              </w:rPr>
              <w:t>ПАО «Россети Урал» - «Пермэнерго» Пермские городские электрические сети»</w:t>
            </w:r>
            <w:r>
              <w:rPr>
                <w:b w:val="false"/>
                <w:bCs w:val="false"/>
                <w:color w:val="auto"/>
                <w:sz w:val="24"/>
                <w:szCs w:val="24"/>
                <w:highlight w:val="white"/>
              </w:rPr>
              <w:t xml:space="preserve"> от </w:t>
            </w:r>
            <w:r>
              <w:rPr>
                <w:color w:val="auto"/>
                <w:sz w:val="24"/>
                <w:szCs w:val="24"/>
                <w:highlight w:val="white"/>
              </w:rPr>
              <w:t>30.10.2025 № ПЭ/22/1562).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к сетям теплоснабжения с присоединяемой нагрузкой 0,08 Гккал/час возможность имеется. Возможные точки присоединения на существующих тепловых сетях: T-30-22 на М4-02 (разв.) 2Ду200мм. Источник теплоснабжения: ТЭЦ-14. Сведения о размере подключаемой тепловой нагрузки: 1,54 Гкал/ч.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Уточнение объема и перечня необходимых мероприятий для подключения объекта к системе теплоснабжения возможно после подачи заявки и предоставления полного пакета документов для заключения договора о подключении (технологическом присоединении).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  <w:highlight w:val="white"/>
              </w:rPr>
              <w:t>ПАО «Т Плюс»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от 10.10.2025 № 51030-01-06295).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объекта капитального строительства с предполагаемой максимальной нагрузкой 21 куб.м/час к существующим сетям газораспределения имеется.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14:ligatures w14:val="none"/>
              </w:rPr>
              <w:t>Для определения месторасположения газораспределительных сетей на интересуемом земельном участке необходимо направить в адрес Филиала в г. Пермь АО «Газпром газораспределение Пермь» инженерно-топографический план на бумажном носителе, выполненный в масштабе 1:500, в координатах г. Перми, на котором отображены рельеф местности, объекты ситуации и границы интересующей территории.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14:ligatures w14:val="none"/>
              </w:rPr>
              <w:t xml:space="preserve">Для рассмотрения вопроса о предоставлении технических условий на подключение (технологическое присоединение) Заявителю, намеревающемуся осуществить подключение к газораспределительным сетям объектов капитального строительства необходимо направить в адрес Пермского филиала АО «Газпром газораспределение Пермь» (на электронную почту post@pf.ugaz.ru ; почтой России по адресу: 614107, Пермский край, г. Пермь, ул. Уральская, д. 104; через Единый центр предоставления услуг по адресу: г. Пермь, ул. Уральская, д. 104, каб. 101, график работы: пн-ср </w:t>
              <w:br/>
              <w:t>с 8:00 до 17:00, чт с 11:00 до 20:00, пт с 8:00 до 16:00, вторая суббота месяца с 08:00 до 16:00)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14:ligatures w14:val="none"/>
              </w:rPr>
              <w:t xml:space="preserve">Заявку о заключении договора о подключении (технологическом присоединении) по типовой форме </w:t>
              <w:br/>
              <w:t xml:space="preserve">с пакетом документов в соответствии с п. 11, 16 Постановления Правительства Российской федерации </w:t>
              <w:br/>
              <w:t>№ 1547 от 13.09.2021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>АО «Газпром газораспределение Пермь»</w:t>
            </w:r>
            <w:r>
              <w:rPr>
                <w:color w:val="auto"/>
                <w:sz w:val="24"/>
                <w:szCs w:val="24"/>
              </w:rPr>
              <w:t>от 09.10.2025 № ПФ-7372</w:t>
            </w:r>
            <w:r>
              <w:rPr>
                <w:color w:val="auto"/>
                <w:sz w:val="24"/>
                <w:szCs w:val="24"/>
                <w:highlight w:val="white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Технологическое присоединение к сетям связи ПАО «Ростелеком» может быть произведено в точке подключения узел ВОЛС (г. Пермь, ул. Генерала Панфилова, 8В), максимальную нагрузку в точке подключения (технологического присоединения) определить на стадии проектирования.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Для подключения (технологического присоединения) вышеуказанных объектов к сетям электросвязи </w:t>
              <w:br/>
              <w:t xml:space="preserve">ПАО «Ростелеком» необходим запрос правообладателя земельного участка на выдачу технических условий подключения или заявки о заключении договора </w:t>
              <w:br/>
              <w:t>о подключении в порядке, определенном действующим законодательством.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Срок действия технических условий составляет 3 года (при комплексном развитии территории 5 лет) со дня выдачи технических условий. В случае, если в течение </w:t>
              <w:br/>
              <w:t>1 года (при комплексном развитии территории – 3 лет)</w:t>
              <w:br/>
              <w:t>со дня выдачи технических условий заявителем не будет подана заявка о подключении, срок действия технических условий прекращается («Правила подключения (технологического присоединения) объектов капитального строительства к сетям электросвязи», утвержденные постановлением Правительства РФ от 01.07.2022 № 1196).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 xml:space="preserve">Для получения ТУ на подключение к сетям связи </w:t>
              <w:br/>
              <w:t xml:space="preserve">ПАО «Ростелеком» необходимо обратиться в Отдел продаж и обслуживания по адресу: г. Пермь, ул. Крупской, 2, тел.: +7 (342) 235-57-34 или направить запрос на </w:t>
            </w:r>
            <w:hyperlink r:id="rId35">
              <w:r>
                <w:rPr>
                  <w:rStyle w:val="Hyperlink"/>
                  <w:color w:val="auto"/>
                  <w:sz w:val="24"/>
                  <w:szCs w:val="24"/>
                </w:rPr>
                <w:t>perm-mail@ural.rt.ru</w:t>
              </w:r>
            </w:hyperlink>
            <w:hyperlink r:id="rId36" w:tgtFrame="mailto:perm-mail@ural.rt.ru.">
              <w:r>
                <w:rPr>
                  <w:rStyle w:val="ListLabel37"/>
                  <w:color w:val="auto"/>
                  <w:sz w:val="24"/>
                  <w:szCs w:val="24"/>
                </w:rPr>
                <w:t>.</w:t>
              </w:r>
            </w:hyperlink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ПАО «Ростелеком»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от 09.10.2025 № 01/05/149268/25</w:t>
            </w:r>
            <w:r>
              <w:rPr>
                <w:color w:val="auto"/>
                <w:sz w:val="24"/>
                <w:szCs w:val="24"/>
                <w:highlight w:val="white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>О возможности подключения планируемого к строительству объекта на Участке сообщается, что в районе вышеуказанных земельных участков, расположенных по ул. Воронежская отсутствуют централизованные сети водоснабжения и водоотведения, эксплуатируемые ООО «Новогор-Прикамье».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>Ближайшие сети водоснабжения, эксплуатируемые ООО «НОВОГОР-Прикамье», располагаются в районе здания по ул. Воронежская, 39 ориентировочно на расстоянии - 2 км от выше 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>Ближайшие сети водоотведения, эксплуатируемые ООО «НОВОГОР- Прикамье», располагаются в районе здания по ул. Воронежская, 37 ориентировочно на расстоянии - 2 км от выше 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>Виду отсутствия данных о посадке проектируемых объектов, длины технологических разрывов до сетей водоснабжения и водоотведения указаны ориентировочно.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При проектировании может быть применен альтернативный способ водоснабжения без подключения к централизованной системе водоснабжения </w:t>
              <w:br/>
              <w:t>(от скважины) и альтернативный способ канализования, без подключения к централизованной системе канализации г. Перми (отвод стоков на локальные очистные сооружения), при этом состав канализационных стоков должен соответствовать всем нормативным требованиям Российской Федерации.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 xml:space="preserve">Для сведения сообщаем, в связи с тем, что </w:t>
              <w:br/>
              <w:t>ООО «НОВОГОР-Прикамье» эксплуатирует только централизованные системы водоснабжения и водоотведения, по вопросу возможности обеспечения индивидуального жилого дома холодным водоснабжением от скважины и отвода канализационных стоков локально, предлагаем вам обратиться в соответствующие организации, регулирующие недропользование.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>Кроме того, ООО «НОВОГОР-Прикамье» не располагает сведениями о наличии сетей 3-х лиц в границах вышеуказанных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ООО «Новогор-Прикамье» </w:t>
            </w:r>
            <w:r>
              <w:rPr>
                <w:color w:val="auto"/>
                <w:sz w:val="24"/>
                <w:szCs w:val="24"/>
              </w:rPr>
              <w:t>от 07.10.2025 № 110-15615</w:t>
            </w:r>
            <w:r>
              <w:rPr>
                <w:color w:val="auto"/>
                <w:sz w:val="24"/>
                <w:szCs w:val="24"/>
                <w:highlight w:val="white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sz w:val="24"/>
                <w:szCs w:val="24"/>
              </w:rPr>
              <w:t>На период до 2028 года на территории, где расположен Участок, схемами водоснабжения и водоотведения города Перми, утвержденными постановлением администрации города Перми от 28.12.2018 № 1085, предусмотрено строительство сетей водоснабжения и водоотведения в мкр. Крым поселок.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  <w:highlight w:val="white"/>
              </w:rPr>
              <w:t xml:space="preserve">департамента жилищно-коммунального хозяйства администрации города Перми </w:t>
            </w:r>
            <w:r>
              <w:rPr>
                <w:color w:val="auto"/>
                <w:sz w:val="24"/>
                <w:szCs w:val="24"/>
                <w:highlight w:val="white"/>
              </w:rPr>
              <w:t>от 07.10.2025 № 059-04-17/3-959-ри).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>
          <w:trHeight w:val="225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Начальная цена предмета аукциона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(размер ежегодной арендной платы)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right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 xml:space="preserve">По условиям пункта 4.3 проекта договора аренды земельного участка, приобретаемого на торгах в форме аукциона, для строительства (Приложение 13 к настоящему извещению), победитель аукциона, иное лицо, с которым договор заключается в соответствии с п.13, п.14, п. 20 или п. 25  ст. 39.12 Земельного Кодекса Российской Федерации </w:t>
              <w:br/>
              <w:t xml:space="preserve">(далее – ЗК РФ), обязан до подписания договора уплатить ежегодный размер арендной платы, указанный в п. 4.2 договора (за вычетом задатка, внесенного для участия в аукционе) </w:t>
            </w:r>
            <w:r>
              <w:rPr>
                <w:b/>
                <w:bCs w:val="false"/>
                <w:color w:val="000000"/>
                <w:sz w:val="24"/>
                <w:szCs w:val="24"/>
                <w:shd w:fill="auto" w:val="clear"/>
              </w:rPr>
              <w:t xml:space="preserve">однократно за первые 3 года </w:t>
            </w: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>на счет департамента земельных отношений администрации города Перми, 614000, ул. Сибирская,15, тел. 212-61-90 (отдел договоров), реквизиты которого указаны в проекте договора аренды земельного участка (Приложение 13 к настоящему извещению)</w:t>
            </w:r>
          </w:p>
        </w:tc>
        <w:tc>
          <w:tcPr>
            <w:tcW w:w="6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633 630 руб.</w:t>
            </w:r>
          </w:p>
        </w:tc>
      </w:tr>
      <w:tr>
        <w:trPr>
          <w:trHeight w:val="225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«Шаг аукциона» (5%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</w:tc>
        <w:tc>
          <w:tcPr>
            <w:tcW w:w="6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31 681,5 руб.</w:t>
            </w:r>
          </w:p>
        </w:tc>
      </w:tr>
      <w:tr>
        <w:trPr>
          <w:trHeight w:val="416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заявки на участие в аукционе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rFonts w:eastAsia="Droid Sans Fallback" w:cs="Lohit Devanagari"/>
                <w:color w:val="auto"/>
                <w:kern w:val="0"/>
                <w:sz w:val="24"/>
                <w:szCs w:val="24"/>
                <w:lang w:val="ru-RU" w:eastAsia="zh-CN" w:bidi="ar-SA"/>
              </w:rPr>
      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2-4 пункта 1, пункте 1.1 статьи 39.12 Земельного кодекса Российской Федерации (копии документов, удостоверяющих личность заявителя (для граждан);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документы, подтверждающие внесение задатка).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каждый лот представляется отдельный пакет документов.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BodyText"/>
              <w:jc w:val="both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shd w:fill="auto" w:val="clear"/>
              </w:rPr>
              <w:t xml:space="preserve">Решение о проведении аукциона принято </w:t>
              <w:br/>
              <w:t>в соответствии со статьей 39.11 Земельного кодекса Российской Федерации. Аукцион является открытым по составу участников.</w:t>
            </w:r>
          </w:p>
        </w:tc>
      </w:tr>
      <w:tr>
        <w:trPr>
          <w:trHeight w:val="236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 задатка (50%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316 815 руб.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36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аренды земельного участка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лет 4 месяца</w:t>
            </w:r>
          </w:p>
        </w:tc>
      </w:tr>
      <w:tr>
        <w:trPr>
          <w:trHeight w:val="1884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договора аренды земельного участка</w:t>
            </w:r>
          </w:p>
        </w:tc>
        <w:tc>
          <w:tcPr>
            <w:tcW w:w="6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договора аренды земельного участка, приобретаемого на торгах в форме аукциона, для строительства,  является Приложением 13 к настоящему извещению и размещен на сайтах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gorodperm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 (раздел Деятельность/ муниципальная собственность/ Торговая площадка/Вид торгов Продажа и аренда земельных участков).</w:t>
            </w:r>
          </w:p>
        </w:tc>
      </w:tr>
      <w:tr>
        <w:trPr>
          <w:trHeight w:val="144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осмотра земельного участка </w:t>
              <w:br/>
              <w:t>на местности</w:t>
            </w:r>
          </w:p>
        </w:tc>
        <w:tc>
          <w:tcPr>
            <w:tcW w:w="6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Осмотр земельного участка производится заявителем самостоятельно в любое время с даты опубликования настоящего извещения.</w:t>
            </w:r>
          </w:p>
        </w:tc>
      </w:tr>
    </w:tbl>
    <w:p>
      <w:pPr>
        <w:pStyle w:val="Normal"/>
        <w:spacing w:lineRule="exact" w:line="240"/>
        <w:ind w:hanging="1134" w:left="113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</w:r>
    </w:p>
    <w:p>
      <w:pPr>
        <w:pStyle w:val="Normal"/>
        <w:spacing w:lineRule="exact" w:line="240"/>
        <w:ind w:hanging="1134" w:left="113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</w:r>
    </w:p>
    <w:p>
      <w:pPr>
        <w:pStyle w:val="Normal"/>
        <w:widowControl w:val="false"/>
        <w:spacing w:before="0" w:after="0"/>
        <w:ind w:left="0"/>
        <w:contextualSpacing/>
        <w:jc w:val="center"/>
        <w:rPr>
          <w:rFonts w:eastAsia="Courier New"/>
          <w:b/>
          <w:bCs/>
          <w:lang w:bidi="ru-RU"/>
        </w:rPr>
      </w:pPr>
      <w:r>
        <w:rPr>
          <w:rFonts w:eastAsia="Courier New"/>
          <w:b/>
          <w:lang w:bidi="ru-RU"/>
        </w:rPr>
        <w:t>Сроки, время подачи заявок, рассмотрения заявок, проведения аукциона</w:t>
      </w:r>
    </w:p>
    <w:p>
      <w:pPr>
        <w:pStyle w:val="Normal"/>
        <w:widowControl w:val="false"/>
        <w:spacing w:before="0" w:after="0"/>
        <w:ind w:left="567"/>
        <w:contextualSpacing/>
        <w:jc w:val="center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</w:r>
    </w:p>
    <w:p>
      <w:pPr>
        <w:pStyle w:val="Normal"/>
        <w:widowControl w:val="false"/>
        <w:ind w:firstLine="709" w:left="-567"/>
        <w:jc w:val="both"/>
        <w:rPr>
          <w:rFonts w:eastAsia="Courier New"/>
          <w:lang w:bidi="ru-RU"/>
        </w:rPr>
      </w:pPr>
      <w:r>
        <w:rPr>
          <w:rFonts w:eastAsia="Courier New"/>
          <w:b/>
          <w:lang w:bidi="ru-RU"/>
        </w:rPr>
        <w:t>Дата и время начала срока подачи заявок на участие в аукционе – 26.09.2026</w:t>
      </w:r>
      <w:r>
        <w:rPr>
          <w:rFonts w:eastAsia="Courier New"/>
          <w:lang w:bidi="ru-RU"/>
        </w:rPr>
        <w:t xml:space="preserve"> в 9:00 </w:t>
      </w:r>
      <w:r>
        <w:rPr/>
        <w:br w:type="textWrapping" w:clear="all"/>
      </w:r>
      <w:r>
        <w:rPr>
          <w:rFonts w:eastAsia="Courier New"/>
          <w:lang w:bidi="ru-RU"/>
        </w:rPr>
        <w:t>по местному времени (7:00 МСК).</w:t>
      </w:r>
    </w:p>
    <w:p>
      <w:pPr>
        <w:pStyle w:val="Normal"/>
        <w:widowControl w:val="false"/>
        <w:ind w:firstLine="709" w:left="-567"/>
        <w:jc w:val="both"/>
        <w:rPr>
          <w:rFonts w:eastAsia="Courier New"/>
          <w:lang w:bidi="ru-RU"/>
        </w:rPr>
      </w:pPr>
      <w:r>
        <w:rPr>
          <w:rFonts w:eastAsia="Courier New"/>
          <w:lang w:bidi="ru-RU"/>
        </w:rPr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  <w:t>Дата и время окончания срока подачи заявок на участие в аукционе – 13.10.2026</w:t>
      </w:r>
      <w:r>
        <w:rPr>
          <w:rFonts w:eastAsia="Courier New"/>
          <w:lang w:bidi="ru-RU"/>
        </w:rPr>
        <w:t xml:space="preserve"> </w:t>
      </w:r>
      <w:r>
        <w:rPr/>
        <w:br w:type="textWrapping" w:clear="all"/>
      </w:r>
      <w:r>
        <w:rPr>
          <w:rFonts w:eastAsia="Courier New"/>
          <w:lang w:bidi="ru-RU"/>
        </w:rPr>
        <w:t xml:space="preserve">в 18:00 по местному времени (16:00 МСК). </w:t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</w:r>
    </w:p>
    <w:p>
      <w:pPr>
        <w:pStyle w:val="Normal"/>
        <w:widowControl w:val="false"/>
        <w:ind w:firstLine="709" w:left="-567"/>
        <w:jc w:val="both"/>
        <w:rPr>
          <w:rFonts w:eastAsia="Courier New"/>
          <w:lang w:bidi="ru-RU"/>
        </w:rPr>
      </w:pPr>
      <w:r>
        <w:rPr>
          <w:rFonts w:eastAsia="Courier New"/>
          <w:b/>
          <w:lang w:bidi="ru-RU"/>
        </w:rPr>
        <w:t>Дата окончания срока рассмотрения заявок на участие в аукционе (определение участников аукциона)</w:t>
      </w:r>
      <w:r>
        <w:rPr>
          <w:rFonts w:eastAsia="Courier New"/>
          <w:lang w:bidi="ru-RU"/>
        </w:rPr>
        <w:t xml:space="preserve"> –</w:t>
      </w:r>
      <w:r>
        <w:rPr>
          <w:rFonts w:eastAsia="Courier New"/>
          <w:b/>
          <w:bCs/>
          <w:lang w:bidi="ru-RU"/>
        </w:rPr>
        <w:t xml:space="preserve"> 14.10.2026. </w:t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bCs/>
          <w:lang w:bidi="ru-RU"/>
        </w:rPr>
      </w:pPr>
      <w:r>
        <w:rPr>
          <w:rFonts w:eastAsia="Courier New"/>
          <w:b/>
          <w:bCs/>
          <w:lang w:bidi="ru-RU"/>
        </w:rPr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lang w:bidi="ru-RU"/>
        </w:rPr>
      </w:pPr>
      <w:r>
        <w:rPr>
          <w:rFonts w:eastAsia="Courier New"/>
          <w:b/>
          <w:bCs/>
          <w:lang w:bidi="ru-RU"/>
        </w:rPr>
        <w:t xml:space="preserve">Дата проведения аукциона (дата и время начала приема предложений </w:t>
      </w:r>
      <w:r>
        <w:rPr/>
        <w:br w:type="textWrapping" w:clear="all"/>
      </w:r>
      <w:r>
        <w:rPr>
          <w:rFonts w:eastAsia="Courier New"/>
          <w:b/>
          <w:bCs/>
          <w:lang w:bidi="ru-RU"/>
        </w:rPr>
        <w:t>от участников аукциона) – 15.10</w:t>
      </w:r>
      <w:r>
        <w:rPr>
          <w:rFonts w:eastAsia="Courier New"/>
          <w:b/>
          <w:lang w:bidi="ru-RU"/>
        </w:rPr>
        <w:t>.2026</w:t>
      </w:r>
      <w:r>
        <w:rPr>
          <w:rFonts w:eastAsia="Courier New"/>
          <w:lang w:bidi="ru-RU"/>
        </w:rPr>
        <w:t xml:space="preserve"> в 09:00 по местному времени (07:00 МСК). </w:t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</w:r>
    </w:p>
    <w:p>
      <w:pPr>
        <w:pStyle w:val="Normal"/>
        <w:widowControl w:val="false"/>
        <w:ind w:firstLine="709" w:left="-567"/>
        <w:jc w:val="both"/>
        <w:rPr/>
      </w:pPr>
      <w:r>
        <w:rPr>
          <w:b/>
        </w:rPr>
        <w:t>Место подачи (приема) заявок и место проведения аукциона:</w:t>
      </w:r>
      <w:r>
        <w:rPr/>
        <w:t xml:space="preserve"> электронная площадка – универсальная торговая платформа АО «Сбербанк-АСТ», размещенная на сайте http://utp.sberbank-ast.ru в сети Интернет (торговая секция «Приватизация, аренда и продажа прав»).</w:t>
      </w:r>
    </w:p>
    <w:p>
      <w:pPr>
        <w:pStyle w:val="Normal"/>
        <w:widowControl w:val="false"/>
        <w:jc w:val="both"/>
        <w:rPr/>
      </w:pPr>
      <w:r>
        <w:rPr/>
      </w:r>
    </w:p>
    <w:p>
      <w:pPr>
        <w:pStyle w:val="Normal"/>
        <w:widowControl w:val="false"/>
        <w:ind w:firstLine="709" w:left="-567"/>
        <w:jc w:val="center"/>
        <w:rPr>
          <w:b/>
        </w:rPr>
      </w:pPr>
      <w:r>
        <w:rPr>
          <w:b/>
        </w:rPr>
        <w:t>Плата оператору электронной площадки за участие в электронном аукционе</w:t>
      </w:r>
    </w:p>
    <w:p>
      <w:pPr>
        <w:pStyle w:val="Normal"/>
        <w:widowControl w:val="false"/>
        <w:ind w:firstLine="709" w:left="-567"/>
        <w:jc w:val="center"/>
        <w:rPr>
          <w:b/>
        </w:rPr>
      </w:pPr>
      <w:r>
        <w:rPr>
          <w:b/>
        </w:rPr>
      </w:r>
    </w:p>
    <w:p>
      <w:pPr>
        <w:pStyle w:val="Normal"/>
        <w:widowControl w:val="false"/>
        <w:ind w:firstLine="709" w:left="-567"/>
        <w:jc w:val="both"/>
        <w:rPr/>
      </w:pPr>
      <w:r>
        <w:rPr/>
        <w:t xml:space="preserve">В соответствии с постановлением Правительства Российской Федерации от 10 мая 2018 г. </w:t>
      </w:r>
      <w:r>
        <w:rPr/>
        <w:br w:type="textWrapping" w:clear="all"/>
      </w:r>
      <w:r>
        <w:rPr/>
        <w:t>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установления ее предельных размеров» оператор электронной площадки вправе взимать плату с победителя аукциона или иного лица, с которыми в соответствии с пунктами 13, 14, 20 и 25 статьи 39.12 Земельного кодекса Российской Федерации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в размере 1% начальной цены предмета аукциона, но не более 5 тыс. рублей без учета налога на добавленную стоимость.</w:t>
      </w:r>
    </w:p>
    <w:p>
      <w:pPr>
        <w:pStyle w:val="Normal"/>
        <w:widowControl w:val="false"/>
        <w:ind w:firstLine="709" w:left="-567"/>
        <w:jc w:val="both"/>
        <w:rPr/>
      </w:pPr>
      <w:r>
        <w:rPr/>
        <w:t>По информации оператора электронной площадки АО «Сбербанк-АСТ» в настоящее время взимание платы не установлено.</w:t>
      </w:r>
    </w:p>
    <w:p>
      <w:pPr>
        <w:pStyle w:val="Normal"/>
        <w:widowControl w:val="false"/>
        <w:ind w:firstLine="709" w:left="-567"/>
        <w:jc w:val="both"/>
        <w:rPr/>
      </w:pPr>
      <w:r>
        <w:rPr/>
      </w:r>
    </w:p>
    <w:p>
      <w:pPr>
        <w:pStyle w:val="Normal"/>
        <w:widowControl w:val="false"/>
        <w:spacing w:before="0" w:after="0"/>
        <w:ind w:left="502"/>
        <w:contextualSpacing/>
        <w:jc w:val="center"/>
        <w:rPr>
          <w:b/>
          <w:bCs/>
          <w:lang w:bidi="ru-RU"/>
        </w:rPr>
      </w:pPr>
      <w:r>
        <w:rPr>
          <w:b/>
          <w:bCs/>
          <w:lang w:bidi="ru-RU"/>
        </w:rPr>
        <w:t>Размер задатка для участия в аукционе, порядок его внесения и возврата, реквизиты счета для перечисления задатка</w:t>
      </w:r>
    </w:p>
    <w:p>
      <w:pPr>
        <w:pStyle w:val="Normal"/>
        <w:widowControl w:val="false"/>
        <w:spacing w:before="0" w:after="0"/>
        <w:ind w:left="502"/>
        <w:contextualSpacing/>
        <w:jc w:val="center"/>
        <w:rPr>
          <w:b/>
          <w:bCs/>
          <w:lang w:bidi="ru-RU"/>
        </w:rPr>
      </w:pPr>
      <w:r>
        <w:rPr>
          <w:b/>
          <w:bCs/>
          <w:lang w:bidi="ru-RU"/>
        </w:rPr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bCs/>
          <w:lang w:bidi="ru-RU"/>
        </w:rPr>
      </w:pPr>
      <w:r>
        <w:rPr>
          <w:bCs/>
          <w:lang w:bidi="ru-RU"/>
        </w:rPr>
        <w:t xml:space="preserve">Заявители, зарегистрированные на электронной площадке в установленном порядке, </w:t>
        <w:br/>
        <w:t xml:space="preserve">до подачи заявки на участие в аукционе (далее – заявка), осуществляют перечисление суммы задатка на участие в аукционе на банковские реквизиты Оператора, размещенные в открытой части торговой секции. 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bCs/>
          <w:lang w:bidi="ru-RU"/>
        </w:rPr>
      </w:pPr>
      <w:r>
        <w:rPr>
          <w:bCs/>
          <w:lang w:bidi="ru-RU"/>
        </w:rPr>
        <w:t xml:space="preserve">В момент подачи заявки Оператор проверяет наличие денежной суммы в размере задатка </w:t>
      </w:r>
      <w:r>
        <w:rPr/>
        <w:br w:type="textWrapping" w:clear="all"/>
      </w:r>
      <w:r>
        <w:rPr>
          <w:bCs/>
          <w:lang w:bidi="ru-RU"/>
        </w:rPr>
        <w:t>на лицевом счете заявителя и осуществляет блокирование необходимой денежной суммы.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bCs/>
          <w:lang w:bidi="ru-RU"/>
        </w:rPr>
      </w:pPr>
      <w:r>
        <w:rPr>
          <w:bCs/>
          <w:lang w:bidi="ru-RU"/>
        </w:rPr>
        <w:t>Представление документов, подтверждающих внесение задатка, признается заключением соглашения о задатке (п.2 ст. 39.12 Земельного кодекса Российской Федерации).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bCs/>
          <w:lang w:bidi="ru-RU"/>
        </w:rPr>
      </w:pPr>
      <w:r>
        <w:rPr>
          <w:bCs/>
          <w:lang w:bidi="ru-RU"/>
        </w:rPr>
        <w:t>Сумма задатка для участия в аукционе определяется в размере 50 процентов от начальной цены предмета аукциона. Размер задатка в извещении о проведении аукциона указан по каждому лоту.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b/>
          <w:bCs/>
          <w:lang w:bidi="ru-RU"/>
        </w:rPr>
      </w:pPr>
      <w:r>
        <w:rPr>
          <w:bCs/>
          <w:lang w:bidi="ru-RU"/>
        </w:rPr>
        <w:t xml:space="preserve">Перечисление задатка для участия в аукционе и возврат задатка осуществляются с учетом особенностей, установленных регламентом электронной площадки. </w:t>
      </w:r>
    </w:p>
    <w:p>
      <w:pPr>
        <w:pStyle w:val="Normal"/>
        <w:widowControl w:val="false"/>
        <w:ind w:firstLine="567" w:left="-567"/>
        <w:jc w:val="both"/>
        <w:rPr>
          <w:rFonts w:eastAsia="Calibri"/>
          <w:bCs/>
          <w:lang w:eastAsia="en-US"/>
        </w:rPr>
      </w:pPr>
      <w:r>
        <w:rPr>
          <w:b/>
          <w:bCs/>
          <w:lang w:bidi="ru-RU"/>
        </w:rPr>
        <w:t>Задаток перечисляется на реквизиты Оператора электронной площадки (</w:t>
      </w:r>
      <w:hyperlink r:id="rId37" w:tgtFrame="http://utp.sberbank-ast.ru/AP/Notice/653/Requisites">
        <w:r>
          <w:rPr>
            <w:rStyle w:val="Hyperlink"/>
            <w:b/>
            <w:bCs/>
            <w:lang w:bidi="ru-RU"/>
          </w:rPr>
          <w:t>http://utp.sberbank-ast.ru/AP/Notice/653/Requisites</w:t>
        </w:r>
      </w:hyperlink>
      <w:r>
        <w:rPr>
          <w:b/>
          <w:bCs/>
          <w:lang w:bidi="ru-RU"/>
        </w:rPr>
        <w:t>).</w:t>
      </w:r>
    </w:p>
    <w:p>
      <w:pPr>
        <w:pStyle w:val="Normal"/>
        <w:spacing w:lineRule="exact" w:line="240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Получатель: АО «Сбербанк-АСТ»</w:t>
      </w:r>
    </w:p>
    <w:p>
      <w:pPr>
        <w:pStyle w:val="Normal"/>
        <w:spacing w:lineRule="exact" w:line="240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ИНН: 7707308480, КПП: 770401001, </w:t>
      </w:r>
    </w:p>
    <w:p>
      <w:pPr>
        <w:pStyle w:val="Normal"/>
        <w:spacing w:lineRule="exact" w:line="240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Банк получателя: ПАО «СБЕРБАНК РОССИИ» Г. МОСКВА</w:t>
      </w:r>
    </w:p>
    <w:p>
      <w:pPr>
        <w:pStyle w:val="Normal"/>
        <w:spacing w:lineRule="exact" w:line="240"/>
        <w:rPr>
          <w:rFonts w:eastAsia="Calibri"/>
          <w:bCs/>
          <w:lang w:eastAsia="en-US"/>
        </w:rPr>
      </w:pPr>
      <w:r>
        <w:rPr/>
        <w:t xml:space="preserve">Расчетный счет: </w:t>
      </w:r>
      <w:r>
        <w:rPr>
          <w:rFonts w:eastAsia="Calibri"/>
          <w:bCs/>
          <w:lang w:eastAsia="en-US"/>
        </w:rPr>
        <w:t>40702810300020038047</w:t>
      </w:r>
    </w:p>
    <w:p>
      <w:pPr>
        <w:pStyle w:val="Normal"/>
        <w:spacing w:lineRule="exact" w:line="240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БИК: 044525225</w:t>
      </w:r>
    </w:p>
    <w:p>
      <w:pPr>
        <w:pStyle w:val="Normal"/>
        <w:spacing w:lineRule="exact" w:line="240"/>
        <w:rPr>
          <w:bCs/>
          <w:lang w:bidi="ru-RU"/>
        </w:rPr>
      </w:pPr>
      <w:r>
        <w:rPr>
          <w:rFonts w:eastAsia="Calibri"/>
          <w:bCs/>
          <w:lang w:eastAsia="en-US"/>
        </w:rPr>
        <w:t>Корреспондентский счет: 30101810400000000225</w:t>
      </w:r>
    </w:p>
    <w:p>
      <w:pPr>
        <w:pStyle w:val="Normal"/>
        <w:widowControl w:val="false"/>
        <w:ind w:firstLine="567" w:left="-567"/>
        <w:jc w:val="both"/>
        <w:rPr>
          <w:b/>
        </w:rPr>
      </w:pPr>
      <w:r>
        <w:rPr>
          <w:bCs/>
          <w:lang w:bidi="ru-RU"/>
        </w:rPr>
        <w:t>В платёжном поручении в части «Назначение платежа» необходимо указать: Задаток по лоту  № ___, ИНН плательщика. НДС не облагается.</w:t>
      </w:r>
    </w:p>
    <w:p>
      <w:pPr>
        <w:pStyle w:val="Normal"/>
        <w:widowControl w:val="false"/>
        <w:ind w:firstLine="567" w:left="-567"/>
        <w:jc w:val="both"/>
        <w:rPr>
          <w:bCs/>
          <w:lang w:bidi="ru-RU"/>
        </w:rPr>
      </w:pPr>
      <w:r>
        <w:rPr>
          <w:b/>
        </w:rPr>
        <w:t xml:space="preserve">Срок внесения задатка, т.е. поступления суммы задатка на счет </w:t>
      </w:r>
      <w:r>
        <w:rPr>
          <w:rFonts w:eastAsia="Calibri"/>
          <w:b/>
        </w:rPr>
        <w:t>Оператора</w:t>
      </w:r>
      <w:r>
        <w:rPr>
          <w:b/>
        </w:rPr>
        <w:t xml:space="preserve">: </w:t>
      </w:r>
      <w:r>
        <w:rPr/>
        <w:br w:type="textWrapping" w:clear="all"/>
      </w:r>
      <w:r>
        <w:rPr>
          <w:bCs/>
          <w:lang w:bidi="ru-RU"/>
        </w:rPr>
        <w:t>c 26.09.2026 по 13.10.2026.</w:t>
      </w:r>
    </w:p>
    <w:p>
      <w:pPr>
        <w:pStyle w:val="Normal"/>
        <w:widowControl w:val="false"/>
        <w:ind w:firstLine="709" w:left="-567"/>
        <w:jc w:val="both"/>
        <w:rPr>
          <w:bCs/>
          <w:lang w:bidi="ru-RU"/>
        </w:rPr>
      </w:pPr>
      <w:r>
        <w:rPr>
          <w:bCs/>
          <w:lang w:bidi="ru-RU"/>
        </w:rPr>
      </w:r>
    </w:p>
    <w:p>
      <w:pPr>
        <w:pStyle w:val="Normal"/>
        <w:widowControl w:val="false"/>
        <w:ind w:firstLine="709" w:left="-567"/>
        <w:jc w:val="center"/>
        <w:rPr>
          <w:b/>
          <w:lang w:bidi="ru-RU"/>
        </w:rPr>
      </w:pPr>
      <w:r>
        <w:rPr>
          <w:b/>
          <w:lang w:bidi="ru-RU"/>
        </w:rPr>
        <w:t>Порядок возврата задатка:</w:t>
      </w:r>
    </w:p>
    <w:p>
      <w:pPr>
        <w:pStyle w:val="Normal"/>
        <w:widowControl w:val="false"/>
        <w:ind w:firstLine="709" w:left="-567"/>
        <w:jc w:val="both"/>
        <w:rPr>
          <w:b/>
          <w:lang w:bidi="ru-RU"/>
        </w:rPr>
      </w:pPr>
      <w:r>
        <w:rPr>
          <w:b/>
          <w:lang w:bidi="ru-RU"/>
        </w:rPr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lang w:bidi="ru-RU"/>
        </w:rPr>
      </w:pPr>
      <w:r>
        <w:rPr>
          <w:bCs/>
          <w:lang w:bidi="ru-RU"/>
        </w:rPr>
        <w:t>Задаток возвращается лицам, участвовавшим в аукционе, но не победившим в нем, в течение трех ра</w:t>
      </w:r>
      <w:r>
        <w:rPr>
          <w:bCs/>
          <w:shd w:fill="auto" w:val="clear"/>
          <w:lang w:bidi="ru-RU"/>
        </w:rPr>
        <w:t xml:space="preserve">бочих дней со дня подписания протокола о результатах аукциона, </w:t>
      </w:r>
      <w:r>
        <w:rPr>
          <w:b w:val="false"/>
          <w:bCs/>
          <w:shd w:fill="auto" w:val="clear"/>
          <w:lang w:bidi="ru-RU"/>
        </w:rPr>
        <w:t>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аренды земельного участка победителем аукциона.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shd w:fill="auto" w:val="clear"/>
        </w:rPr>
      </w:pPr>
      <w:r>
        <w:rPr>
          <w:shd w:fill="auto" w:val="clear"/>
          <w:lang w:bidi="ru-RU"/>
        </w:rPr>
        <w:t xml:space="preserve">Заявителю, не допущенному к участию в аукционе, внесенный им задаток возвращается </w:t>
      </w:r>
      <w:r>
        <w:rPr/>
        <w:br w:type="textWrapping" w:clear="all"/>
      </w:r>
      <w:r>
        <w:rPr>
          <w:shd w:fill="auto" w:val="clear"/>
          <w:lang w:bidi="ru-RU"/>
        </w:rPr>
        <w:t xml:space="preserve">в течение трех рабочих дней со дня оформления протокола рассмотрения заявок на участие в аукционе. </w:t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shd w:fill="auto" w:val="clear"/>
          <w:lang w:bidi="ru-RU"/>
        </w:rPr>
        <w:t xml:space="preserve">Оператор прекращает блокирование в отношении денежных средств участников аукциона, заблокированных в размере задатков на их лицевых счетах на электронной площадке после публикации протокола о результатах аукциона, за исключением единственного заявителя, признанного участником аукциона, победителя аукциона, единственного принявшего участие </w:t>
        <w:br/>
        <w:t xml:space="preserve">в аукционе участника, а также </w:t>
      </w:r>
      <w:r>
        <w:rPr>
          <w:b w:val="false"/>
          <w:shd w:fill="auto" w:val="clear"/>
          <w:lang w:bidi="ru-RU"/>
        </w:rPr>
        <w:t>участника аукциона, который сделал предпоследнее предложение о цене предмета аукциона.</w:t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shd w:fill="auto" w:val="clear"/>
          <w:lang w:bidi="ru-RU"/>
        </w:rPr>
        <w:t xml:space="preserve">Организатор аукциона посредством штатного интерфейса торговой секции </w:t>
      </w:r>
      <w:r>
        <w:rPr/>
        <w:br w:type="textWrapping" w:clear="all"/>
      </w:r>
      <w:r>
        <w:rPr>
          <w:shd w:fill="auto" w:val="clear"/>
          <w:lang w:bidi="ru-RU"/>
        </w:rPr>
        <w:t>в установленные сроки формирует поручение Оператору:</w:t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shd w:fill="auto" w:val="clear"/>
          <w:lang w:bidi="ru-RU"/>
        </w:rPr>
        <w:t>- о перечислении задатка единственного заявителя, признанного участником аукциона, победителя аукциона или единственного принявшего участие в аукционе участника после формирования протокола о результатах аукциона на указанные в поручении банковские реквизиты;</w:t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bCs/>
          <w:shd w:fill="auto" w:val="clear"/>
          <w:lang w:bidi="ru-RU"/>
        </w:rPr>
        <w:t xml:space="preserve"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пунктами 13, 14, 20 или 25 ст. 39.12 Земельного кодекса Российской Федерации, засчитываются 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указанного договора, не возвращаются. </w:t>
      </w:r>
    </w:p>
    <w:p>
      <w:pPr>
        <w:pStyle w:val="Normal"/>
        <w:widowControl w:val="false"/>
        <w:spacing w:lineRule="auto" w:line="276"/>
        <w:jc w:val="both"/>
        <w:rPr>
          <w:bCs/>
          <w:shd w:fill="auto" w:val="clear"/>
          <w:lang w:bidi="ru-RU"/>
        </w:rPr>
      </w:pPr>
      <w:r>
        <w:rPr>
          <w:bCs/>
          <w:shd w:fill="auto" w:val="clear"/>
          <w:lang w:bidi="ru-RU"/>
        </w:rPr>
      </w:r>
    </w:p>
    <w:p>
      <w:pPr>
        <w:pStyle w:val="Normal"/>
        <w:widowControl w:val="false"/>
        <w:jc w:val="center"/>
        <w:rPr>
          <w:shd w:fill="auto" w:val="clear"/>
        </w:rPr>
      </w:pPr>
      <w:r>
        <w:rPr>
          <w:b/>
          <w:shd w:fill="auto" w:val="clear"/>
        </w:rPr>
        <w:t>Организатор аукциона вправе:</w:t>
      </w:r>
    </w:p>
    <w:p>
      <w:pPr>
        <w:pStyle w:val="Normal"/>
        <w:widowControl w:val="false"/>
        <w:jc w:val="center"/>
        <w:rPr>
          <w:rFonts w:eastAsia="Courier New"/>
          <w:shd w:fill="auto" w:val="clear"/>
          <w:lang w:bidi="ru-RU"/>
        </w:rPr>
      </w:pPr>
      <w:r>
        <w:rPr>
          <w:rFonts w:eastAsia="Courier New"/>
          <w:shd w:fill="auto" w:val="clear"/>
          <w:lang w:bidi="ru-RU"/>
        </w:rPr>
      </w:r>
    </w:p>
    <w:p>
      <w:pPr>
        <w:pStyle w:val="BodyText"/>
        <w:widowControl w:val="false"/>
        <w:ind w:firstLine="709" w:left="-567"/>
        <w:jc w:val="both"/>
        <w:rPr>
          <w:shd w:fill="auto" w:val="clear"/>
        </w:rPr>
      </w:pP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 xml:space="preserve">Не позднее чем за один рабочий день до даты окончания приема заявок на участие в аукционе 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«шагом аукциона»,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в порядке, установленном п. 19 ст. 39.11 Земельного кодекса Российской Федерации, изменений в извещение о проведении аукциона до дня проведения аукциона такой срок составлял не менее десяти рабочих дней. </w:t>
      </w:r>
      <w:r>
        <w:rPr>
          <w:rFonts w:eastAsia="Droid Sans Fallback" w:cs="Lohit Devanagari"/>
          <w:b w:val="false"/>
          <w:color w:val="000000"/>
          <w:sz w:val="24"/>
          <w:szCs w:val="24"/>
          <w:shd w:fill="auto" w:val="clear"/>
          <w:lang w:val="ru-RU" w:eastAsia="zh-CN" w:bidi="ar-SA"/>
        </w:rPr>
        <w:t xml:space="preserve">Информация о внесении изменений в извещение о проведении аукциона размещается на официальных сайтах </w:t>
      </w:r>
      <w:r>
        <w:rPr>
          <w:rFonts w:eastAsia="Droid Sans Fallback" w:cs="Lohit Devanagari"/>
          <w:b w:val="false"/>
          <w:bCs/>
          <w:color w:val="000000"/>
          <w:sz w:val="24"/>
          <w:szCs w:val="24"/>
          <w:shd w:fill="auto" w:val="clear"/>
          <w:lang w:val="ru-RU" w:eastAsia="zh-CN" w:bidi="ar-SA"/>
        </w:rPr>
        <w:t>www.torgi.gov.ru,  www.gorodperm.ru.</w:t>
      </w:r>
    </w:p>
    <w:p>
      <w:pPr>
        <w:pStyle w:val="BodyText"/>
        <w:widowControl w:val="false"/>
        <w:ind w:firstLine="709" w:left="-567"/>
        <w:jc w:val="both"/>
        <w:rPr>
          <w:shd w:fill="auto" w:val="clear"/>
        </w:rPr>
      </w:pPr>
      <w:r>
        <w:rPr>
          <w:rFonts w:eastAsia="Droid Sans Fallback" w:cs="Lohit Devanagari"/>
          <w:b w:val="false"/>
          <w:color w:val="000000"/>
          <w:sz w:val="24"/>
          <w:szCs w:val="24"/>
          <w:shd w:fill="auto" w:val="clear"/>
          <w:lang w:val="ru-RU" w:eastAsia="zh-CN" w:bidi="ar-SA"/>
        </w:rPr>
        <w:t>В случае, если за один рабочий день до даты окончания приема заявок на участие в аукционе не поступило ни одной заявки, организатор аукциона до момента окончания срока подачи заявок на участие в аукционе может принять решение о продлении срока подачи заявок в соответствии с правилами, предусмотренными п. 22.1  ст. 39.11 Земельного кодекса Российской Федерации.</w:t>
      </w:r>
    </w:p>
    <w:p>
      <w:pPr>
        <w:pStyle w:val="Normal"/>
        <w:widowControl w:val="false"/>
        <w:ind w:firstLine="567" w:left="-567"/>
        <w:jc w:val="both"/>
        <w:rPr/>
      </w:pPr>
      <w:r>
        <w:rPr>
          <w:shd w:fill="auto" w:val="clear"/>
        </w:rPr>
        <w:t xml:space="preserve">В соответствии с п. 4 ст. 448 Гражданского кодекса Российской Федерации отказаться </w:t>
      </w:r>
      <w:r>
        <w:rPr/>
        <w:br w:type="textWrapping" w:clear="all"/>
      </w:r>
      <w:r>
        <w:rPr/>
        <w:t xml:space="preserve">от проведения аукциона в любое время, но не позднее чем за три дня до наступления даты </w:t>
      </w:r>
      <w:r>
        <w:rPr/>
        <w:br w:type="textWrapping" w:clear="all"/>
      </w:r>
      <w:r>
        <w:rPr/>
        <w:t xml:space="preserve">его проведения, указанной в извещении </w:t>
      </w:r>
      <w:r>
        <w:rPr>
          <w:shd w:fill="auto" w:val="clear"/>
        </w:rPr>
        <w:t xml:space="preserve">о проведении аукциона. </w:t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widowControl w:val="false"/>
        <w:jc w:val="center"/>
        <w:rPr>
          <w:shd w:fill="auto" w:val="clear"/>
        </w:rPr>
      </w:pPr>
      <w:r>
        <w:rPr>
          <w:b/>
          <w:shd w:fill="auto" w:val="clear"/>
        </w:rPr>
        <w:t xml:space="preserve">Организатор аукциона обязан:  </w:t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 xml:space="preserve">Принять решение об отказе в проведении аукциона в случае выявления обстоятельств, предусмотренных п. 8 ст. 39.11 Земельного кодекса Российской Федерации. </w:t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 xml:space="preserve">Извещение об отказе в проведении аукциона размещается организатором аукциона на официальных сайтах  </w:t>
      </w:r>
      <w:r>
        <w:rPr>
          <w:rFonts w:eastAsia="Droid Sans Fallback" w:cs="Lohit Devanagari"/>
          <w:b w:val="false"/>
          <w:bCs/>
          <w:color w:val="000000"/>
          <w:sz w:val="24"/>
          <w:szCs w:val="24"/>
          <w:shd w:fill="auto" w:val="clear"/>
          <w:lang w:val="ru-RU" w:eastAsia="zh-CN" w:bidi="ar-SA"/>
        </w:rPr>
        <w:t xml:space="preserve">www.torgi.gov.ru,  www.gorodperm.ru </w:t>
      </w:r>
      <w:r>
        <w:rPr>
          <w:shd w:fill="auto" w:val="clear"/>
        </w:rPr>
        <w:t xml:space="preserve"> и на электронной площадке в течение трех дней со дня принятия данного решения.</w:t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>В течение трех дней со дня принятия решения об отказе в проведении аукциона участники аукциона извещаются об отказе в проведении аукциона, внесенные задатки возвращаются его участникам.</w:t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>В случае отказа от проведения аукциона организатором (в т. ч. одного или нескольких лотов) Оператор в течение одного часа прекращает блокирование денежных средств участников аукциона в размере задатка на их лицевых счетах на электронной площадке.</w:t>
      </w:r>
    </w:p>
    <w:p>
      <w:pPr>
        <w:pStyle w:val="Normal"/>
        <w:widowControl w:val="false"/>
        <w:jc w:val="both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widowControl w:val="false"/>
        <w:ind w:left="502"/>
        <w:jc w:val="center"/>
        <w:rPr>
          <w:shd w:fill="auto" w:val="clear"/>
        </w:rPr>
      </w:pPr>
      <w:r>
        <w:rPr>
          <w:rFonts w:eastAsia="Courier New"/>
          <w:b/>
          <w:shd w:fill="auto" w:val="clear"/>
          <w:lang w:bidi="ru-RU"/>
        </w:rPr>
        <w:t>Порядок регистрации на электронной площадке</w:t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bCs/>
          <w:shd w:fill="auto" w:val="clear"/>
          <w:lang w:bidi="ru-RU"/>
        </w:rPr>
      </w:pPr>
      <w:r>
        <w:rPr>
          <w:rFonts w:eastAsia="Courier New"/>
          <w:b/>
          <w:bCs/>
          <w:shd w:fill="auto" w:val="clear"/>
          <w:lang w:bidi="ru-RU"/>
        </w:rPr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bCs/>
          <w:shd w:fill="auto" w:val="clear"/>
          <w:lang w:bidi="ru-RU"/>
        </w:rPr>
        <w:t>Для обеспечения доступа к участию в аукционе заявителю необходимо пройти процедуру регистрации на электронной площадке. Регистрации на электронной площадке подлежат лица, ранее не зарегистрированные на электронной площадке.</w:t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bCs/>
          <w:shd w:fill="auto" w:val="clear"/>
          <w:lang w:bidi="ru-RU"/>
        </w:rPr>
        <w:t>Регистрация на электронной площадке проводится в соответствии с регламентом электронной площадки.</w:t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bCs/>
          <w:shd w:fill="auto" w:val="clear"/>
          <w:lang w:bidi="ru-RU"/>
        </w:rPr>
        <w:t xml:space="preserve">Дата и время регистрации участников аукциона на участие в аукционе на электронной площадке на сайте в сети Интернет: c 26.09.2026 по 13.10.2026 с 9.00 до 18.00 по местному времени (7:00 – 16:00 МСК). </w:t>
      </w:r>
    </w:p>
    <w:p>
      <w:pPr>
        <w:pStyle w:val="NormalWeb"/>
        <w:jc w:val="center"/>
        <w:rPr>
          <w:shd w:fill="auto" w:val="clear"/>
        </w:rPr>
      </w:pPr>
      <w:r>
        <w:rPr>
          <w:b/>
          <w:color w:val="000000"/>
          <w:shd w:fill="auto" w:val="clear"/>
        </w:rPr>
        <w:t>Разъяснение положений извещения о проведении аукциона</w:t>
      </w:r>
    </w:p>
    <w:p>
      <w:pPr>
        <w:pStyle w:val="ListParagraph"/>
        <w:widowControl w:val="false"/>
        <w:ind w:firstLine="567" w:left="-567"/>
        <w:jc w:val="both"/>
        <w:rPr>
          <w:shd w:fill="auto" w:val="clear"/>
        </w:rPr>
      </w:pPr>
      <w:r>
        <w:rPr>
          <w:bCs/>
          <w:shd w:fill="auto" w:val="clear"/>
          <w:lang w:bidi="ru-RU"/>
        </w:rPr>
        <w:t xml:space="preserve">На этапе приема заявок любое заинтересованное лицо вправе не позднее 10 календарных дней до окончания срока подачи заявок направить Организатору аукциона запрос о разъяснениях положений извещения о проведении аукциона посредством функционала электронной площадки. Запросы о разъяснении положений извещения, полученные после вышеуказанного срока, </w:t>
        <w:br/>
        <w:t>не рассматриваются.</w:t>
      </w:r>
    </w:p>
    <w:p>
      <w:pPr>
        <w:pStyle w:val="ListParagraph"/>
        <w:widowControl w:val="false"/>
        <w:ind w:firstLine="567" w:left="-567"/>
        <w:jc w:val="both"/>
        <w:rPr>
          <w:shd w:fill="auto" w:val="clear"/>
        </w:rPr>
      </w:pPr>
      <w:r>
        <w:rPr>
          <w:bCs/>
          <w:shd w:fill="auto" w:val="clear"/>
          <w:lang w:bidi="ru-RU"/>
        </w:rPr>
        <w:t xml:space="preserve">Ответ на запрос о разъяснении положений извещения должен быть подготовлен в течение трех рабочих дней со дня поступления указанного запроса.  </w:t>
      </w:r>
    </w:p>
    <w:p>
      <w:pPr>
        <w:pStyle w:val="Normal"/>
        <w:widowControl w:val="false"/>
        <w:spacing w:lineRule="auto" w:line="276"/>
        <w:ind w:firstLine="709" w:left="-567"/>
        <w:jc w:val="both"/>
        <w:rPr>
          <w:bCs/>
          <w:shd w:fill="auto" w:val="clear"/>
          <w:lang w:bidi="ru-RU"/>
        </w:rPr>
      </w:pPr>
      <w:r>
        <w:rPr>
          <w:bCs/>
          <w:shd w:fill="auto" w:val="clear"/>
          <w:lang w:bidi="ru-RU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hanging="0" w:left="0"/>
        <w:jc w:val="center"/>
        <w:outlineLvl w:val="0"/>
        <w:rPr>
          <w:shd w:fill="auto" w:val="clear"/>
        </w:rPr>
      </w:pPr>
      <w:r>
        <w:rPr>
          <w:b/>
          <w:bCs/>
          <w:shd w:fill="auto" w:val="clear"/>
        </w:rPr>
        <w:t>Требования к содержанию и составу заявки на участие в аукционе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hanging="0" w:left="0"/>
        <w:jc w:val="center"/>
        <w:outlineLvl w:val="0"/>
        <w:rPr>
          <w:b/>
          <w:bCs/>
          <w:shd w:fill="auto" w:val="clear"/>
        </w:rPr>
      </w:pPr>
      <w:r>
        <w:rPr>
          <w:b/>
          <w:bCs/>
          <w:shd w:fill="auto" w:val="clear"/>
        </w:rPr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rFonts w:eastAsia="Courier New"/>
          <w:shd w:fill="auto" w:val="clear"/>
          <w:lang w:bidi="ru-RU"/>
        </w:rPr>
        <w:t xml:space="preserve">Для участия в аукционе заявители представляют в установленный в извещении </w:t>
      </w:r>
      <w:r>
        <w:rPr/>
        <w:br w:type="textWrapping" w:clear="all"/>
      </w:r>
      <w:r>
        <w:rPr>
          <w:rFonts w:eastAsia="Courier New"/>
          <w:shd w:fill="auto" w:val="clear"/>
          <w:lang w:bidi="ru-RU"/>
        </w:rPr>
        <w:t>о проведении аукциона срок следующие документы:</w:t>
      </w:r>
    </w:p>
    <w:p>
      <w:pPr>
        <w:pStyle w:val="Normal"/>
        <w:jc w:val="both"/>
        <w:rPr>
          <w:shd w:fill="auto" w:val="clear"/>
        </w:rPr>
      </w:pPr>
      <w:r>
        <w:rPr>
          <w:rFonts w:eastAsia="Calibri"/>
          <w:shd w:fill="auto" w:val="clear"/>
        </w:rPr>
        <w:t>1) копии документов, удостоверяющих личность заявителя (для граждан), всех страниц;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 xml:space="preserve">2) надлежащим образом заверенный перевод на русский язык документов </w:t>
      </w:r>
      <w:r>
        <w:rPr/>
        <w:br w:type="textWrapping" w:clear="all"/>
      </w:r>
      <w:r>
        <w:rPr>
          <w:rFonts w:eastAsia="Calibri"/>
          <w:shd w:fill="auto" w:val="clear"/>
        </w:rPr>
        <w:t>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>
      <w:pPr>
        <w:pStyle w:val="Normal"/>
        <w:jc w:val="both"/>
        <w:rPr>
          <w:shd w:fill="auto" w:val="clear"/>
        </w:rPr>
      </w:pPr>
      <w:r>
        <w:rPr>
          <w:rFonts w:eastAsia="Calibri"/>
          <w:shd w:fill="auto" w:val="clear"/>
        </w:rPr>
        <w:t>3) документы, подтверждающие внесение задатка.</w:t>
      </w:r>
    </w:p>
    <w:p>
      <w:pPr>
        <w:pStyle w:val="Normal"/>
        <w:jc w:val="both"/>
        <w:rPr>
          <w:rFonts w:eastAsia="Calibri"/>
          <w:shd w:fill="auto" w:val="clear"/>
        </w:rPr>
      </w:pPr>
      <w:r>
        <w:rPr>
          <w:rFonts w:eastAsia="Calibri"/>
          <w:shd w:fill="auto" w:val="clear"/>
        </w:rPr>
      </w:r>
    </w:p>
    <w:p>
      <w:pPr>
        <w:pStyle w:val="Normal"/>
        <w:ind w:firstLine="708"/>
        <w:jc w:val="center"/>
        <w:rPr>
          <w:shd w:fill="auto" w:val="clear"/>
        </w:rPr>
      </w:pPr>
      <w:r>
        <w:rPr>
          <w:b/>
          <w:shd w:fill="auto" w:val="clear"/>
        </w:rPr>
        <w:t>Инструкция по заполнению и подаче заявки, порядок приема заявки</w:t>
      </w:r>
    </w:p>
    <w:p>
      <w:pPr>
        <w:pStyle w:val="Normal"/>
        <w:ind w:firstLine="708"/>
        <w:jc w:val="center"/>
        <w:rPr>
          <w:b/>
          <w:shd w:fill="auto" w:val="clear"/>
        </w:rPr>
      </w:pPr>
      <w:r>
        <w:rPr>
          <w:b/>
          <w:shd w:fill="auto" w:val="clear"/>
        </w:rPr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2 - 4 пункта 1, пункте 1.1 статьи 39.12 Земельного кодекса Российской Федерации (копии </w:t>
      </w:r>
      <w:r>
        <w:rPr>
          <w:b w:val="false"/>
          <w:shd w:fill="auto" w:val="clear"/>
        </w:rPr>
        <w:t xml:space="preserve">документов, удостоверяющих личность заявителя (для граждан); </w:t>
      </w:r>
      <w:r>
        <w:rPr>
          <w:b w:val="false"/>
        </w:rPr>
        <w:t xml:space="preserve"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документы, подтверждающие внесение задатка). 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>
      <w:pPr>
        <w:pStyle w:val="Normal"/>
        <w:ind w:firstLine="567" w:left="-567"/>
        <w:jc w:val="both"/>
        <w:rPr>
          <w:sz w:val="24"/>
          <w:szCs w:val="24"/>
        </w:rPr>
      </w:pPr>
      <w:r>
        <w:rPr>
          <w:sz w:val="24"/>
          <w:szCs w:val="24"/>
        </w:rPr>
        <w:t>На каждый лот представляется отдельный пакет документов.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>Заполнение заявки осуществляется в соответствии с порядком, определенным регламентом электронной площадки АО «Сбербанк-АСТ».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>Все документы и сведения, связанные с получением регистрации на универсальной торговой платформе и проведением закупок/продаж, направляются заявителями, пользователями, оператором электронной площадки либо размещаются ими на универсальной торговой платформе в форме электронных документов (п. 10.1.1. Регламента Универсальной торговой платформы).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>Пользователи принимают, что в случае наличия требований к формату и содержанию электронного документа, в системе используются электронные документы установленного формата (п. 10.2.3.</w:t>
      </w:r>
      <w:r>
        <w:rPr>
          <w:rFonts w:eastAsia="Droid Sans Fallback" w:cs="Lohit Devanagari"/>
          <w:color w:val="000000"/>
          <w:kern w:val="0"/>
          <w:sz w:val="24"/>
          <w:szCs w:val="24"/>
          <w:shd w:fill="auto" w:val="clear"/>
          <w:lang w:val="ru-RU" w:eastAsia="zh-CN" w:bidi="ar-SA"/>
        </w:rPr>
        <w:t xml:space="preserve"> Регламента Универсальной торговой платформы).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Droid Sans Fallback" w:cs="Lohit Devanagari"/>
          <w:color w:val="000000"/>
          <w:kern w:val="0"/>
          <w:sz w:val="24"/>
          <w:szCs w:val="24"/>
          <w:shd w:fill="auto" w:val="clear"/>
          <w:lang w:val="ru-RU" w:eastAsia="zh-CN" w:bidi="ar-SA"/>
        </w:rPr>
        <w:t>Заявка подается в виде электронного документа, подписанного электронной подписью заявителя (п. 3.2.2. Регламента торговой секции).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Droid Sans Fallback" w:cs="Lohit Devanagari"/>
          <w:color w:val="000000"/>
          <w:kern w:val="0"/>
          <w:sz w:val="24"/>
          <w:szCs w:val="24"/>
          <w:shd w:fill="auto" w:val="clear"/>
          <w:lang w:val="ru-RU" w:eastAsia="zh-CN" w:bidi="ar-SA"/>
        </w:rPr>
        <w:t>Заявитель заполняет электронную форму заявки, при</w:t>
      </w:r>
      <w:r>
        <w:rPr>
          <w:shd w:fill="auto" w:val="clear"/>
        </w:rPr>
        <w:t>кладывает предусмотренные извещением о проведении аукциона файлы документов (при необходимости). Документы и сведения из регистрационных данных заявителя на универсальной торговой платформе, актуальные на дату и время окончания приема заявок, направляются оператором электронной площадки вместе с заявкой организатору аукциона после окончания приема заявок (п. 3.2.3. Регламента торговой секции).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 xml:space="preserve">Подача заявки осуществляется заявителем, зарегистрированным в торговой секции, </w:t>
      </w:r>
      <w:r>
        <w:rPr/>
        <w:br w:type="textWrapping" w:clear="all"/>
      </w:r>
      <w:r>
        <w:rPr>
          <w:shd w:fill="auto" w:val="clear"/>
        </w:rPr>
        <w:t>из личного кабинета посредством штатного интерфейса отдельно по каждому лоту в сроки, установленные в извещении о проведении аукциона.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 xml:space="preserve">Заявитель вправе подать заявку в любое время с момента размещения извещения </w:t>
      </w:r>
      <w:r>
        <w:rPr/>
        <w:br w:type="textWrapping" w:clear="all"/>
      </w:r>
      <w:r>
        <w:rPr>
          <w:shd w:fill="auto" w:val="clear"/>
        </w:rPr>
        <w:t>о проведении аукциона до предусмотренных указанным извещением даты и времени окончания срока подачи заявок.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>Один заявитель вправе подать только одну заявку на участие в аукционе в отношении каждого лота.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 xml:space="preserve">Участие в аукционе возможно при наличии на лицевом счете заявителя денежных средств </w:t>
      </w:r>
      <w:r>
        <w:rPr/>
        <w:br w:type="textWrapping" w:clear="all"/>
      </w:r>
      <w:r>
        <w:rPr>
          <w:shd w:fill="auto" w:val="clear"/>
        </w:rPr>
        <w:t xml:space="preserve">в размере не менее чем размер задатка на участие в аукционе, предусмотренный извещением </w:t>
      </w:r>
      <w:r>
        <w:rPr/>
        <w:br w:type="textWrapping" w:clear="all"/>
      </w:r>
      <w:r>
        <w:rPr>
          <w:shd w:fill="auto" w:val="clear"/>
        </w:rPr>
        <w:t>о проведении аукциона.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>Все документы, входящие в состав заявки, должны иметь четко читаемый текст.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>Заявка предоставляется организатору аукциона через Оператора.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hanging="0" w:left="0"/>
        <w:jc w:val="both"/>
        <w:outlineLvl w:val="0"/>
        <w:rPr>
          <w:shd w:fill="auto" w:val="clear"/>
        </w:rPr>
      </w:pPr>
      <w:r>
        <w:rPr>
          <w:bCs/>
          <w:shd w:fill="auto" w:val="clear"/>
        </w:rPr>
        <w:t>Заявка не может быть принята Оператором в случае: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>
          <w:shd w:fill="auto" w:val="clear"/>
        </w:rPr>
      </w:pPr>
      <w:r>
        <w:rPr>
          <w:bCs/>
          <w:shd w:fill="auto" w:val="clear"/>
        </w:rPr>
        <w:t xml:space="preserve">а) отсутствия на лицевом счете заявителя достаточной суммы денежных средств </w:t>
      </w:r>
      <w:r>
        <w:rPr/>
        <w:br w:type="textWrapping" w:clear="all"/>
      </w:r>
      <w:r>
        <w:rPr>
          <w:bCs/>
          <w:shd w:fill="auto" w:val="clear"/>
        </w:rPr>
        <w:t>в размере задатка;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>
          <w:shd w:fill="auto" w:val="clear"/>
        </w:rPr>
      </w:pPr>
      <w:r>
        <w:rPr>
          <w:bCs/>
          <w:shd w:fill="auto" w:val="clear"/>
        </w:rPr>
        <w:t>б) подачи заявителем второй заявки на участие в отношении одного и того же лота при условии, что поданная ранее заявка таким заявителем не отозвана;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hanging="0" w:left="0"/>
        <w:jc w:val="both"/>
        <w:outlineLvl w:val="0"/>
        <w:rPr>
          <w:shd w:fill="auto" w:val="clear"/>
        </w:rPr>
      </w:pPr>
      <w:r>
        <w:rPr>
          <w:bCs/>
          <w:shd w:fill="auto" w:val="clear"/>
        </w:rPr>
        <w:t>в) подачи заявки по истечении установленного срока подачи заявок;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>
          <w:shd w:fill="auto" w:val="clear"/>
        </w:rPr>
      </w:pPr>
      <w:r>
        <w:rPr>
          <w:bCs/>
          <w:shd w:fill="auto" w:val="clear"/>
        </w:rPr>
        <w:t>г) некорректного заполнения формы заявки, в том числе незаполнения полей, являющихся обязательными для заполнения.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284" w:leader="none"/>
        </w:tabs>
        <w:ind w:firstLine="567" w:left="-567"/>
        <w:jc w:val="both"/>
        <w:outlineLvl w:val="0"/>
        <w:rPr>
          <w:shd w:fill="auto" w:val="clear"/>
        </w:rPr>
      </w:pPr>
      <w:r>
        <w:rPr>
          <w:bCs/>
          <w:shd w:fill="auto" w:val="clear"/>
        </w:rPr>
        <w:t xml:space="preserve">Заявителям, признанным участниками аукциона, и заявителям, не допущенным к участию </w:t>
        <w:br/>
        <w:t xml:space="preserve">в аукционе, оператор электронной площадки направляет в электронной форме уведомления </w:t>
        <w:br/>
        <w:t xml:space="preserve">о принятых в отношении их решениях не позднее дня, следующего после дня подписания протокола рассмотрения заявок на участие в аукционе. 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284" w:leader="none"/>
        </w:tabs>
        <w:spacing w:lineRule="auto" w:line="276"/>
        <w:ind w:firstLine="567" w:left="-567"/>
        <w:jc w:val="both"/>
        <w:outlineLvl w:val="0"/>
        <w:rPr>
          <w:bCs/>
          <w:shd w:fill="auto" w:val="clear"/>
        </w:rPr>
      </w:pPr>
      <w:r>
        <w:rPr>
          <w:bCs/>
          <w:shd w:fill="auto" w:val="clear"/>
        </w:rPr>
      </w:r>
    </w:p>
    <w:p>
      <w:pPr>
        <w:pStyle w:val="Normal"/>
        <w:widowControl w:val="false"/>
        <w:ind w:left="502"/>
        <w:jc w:val="center"/>
        <w:rPr>
          <w:shd w:fill="auto" w:val="clear"/>
        </w:rPr>
      </w:pPr>
      <w:r>
        <w:rPr>
          <w:b/>
          <w:bCs/>
          <w:shd w:fill="auto" w:val="clear"/>
          <w:lang w:bidi="ru-RU"/>
        </w:rPr>
        <w:t>Порядок и срок изменения, отзыва заявки на участие в аукционе</w:t>
      </w:r>
    </w:p>
    <w:p>
      <w:pPr>
        <w:pStyle w:val="Normal"/>
        <w:widowControl w:val="false"/>
        <w:ind w:left="502"/>
        <w:rPr>
          <w:b/>
          <w:bCs/>
          <w:shd w:fill="auto" w:val="clear"/>
          <w:lang w:bidi="ru-RU"/>
        </w:rPr>
      </w:pPr>
      <w:r>
        <w:rPr>
          <w:b/>
          <w:bCs/>
          <w:shd w:fill="auto" w:val="clear"/>
          <w:lang w:bidi="ru-RU"/>
        </w:rPr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 xml:space="preserve">Заявитель имеет право отозвать принятую организатором аукциона заявку на участие </w:t>
      </w:r>
      <w:r>
        <w:rPr/>
        <w:br w:type="textWrapping" w:clear="all"/>
      </w:r>
      <w:r>
        <w:rPr>
          <w:shd w:fill="auto" w:val="clear"/>
        </w:rPr>
        <w:t xml:space="preserve">в аукционе до дня окончания срока приема заявок, путем направления уведомления об отзыве заявки на электронную площадку. В случае отзыва заявки в установленном порядке, уведомление об отзыве заявки поступает в «личный кабинет» организатора аукциона, о чем заявителю направляется соответствующее уведомление. Заявителю внесенный им задаток возвращается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 </w:t>
      </w:r>
    </w:p>
    <w:p>
      <w:pPr>
        <w:pStyle w:val="Normal"/>
        <w:jc w:val="center"/>
        <w:rPr>
          <w:shd w:fill="auto" w:val="clear"/>
        </w:rPr>
      </w:pPr>
      <w:r>
        <w:rPr>
          <w:b/>
          <w:bCs/>
          <w:shd w:fill="auto" w:val="clear"/>
        </w:rPr>
        <w:t>Определение участников аукциона</w:t>
      </w:r>
    </w:p>
    <w:p>
      <w:pPr>
        <w:pStyle w:val="Normal"/>
        <w:jc w:val="center"/>
        <w:rPr>
          <w:b/>
          <w:bCs/>
          <w:shd w:fill="auto" w:val="clear"/>
        </w:rPr>
      </w:pPr>
      <w:r>
        <w:rPr>
          <w:b/>
          <w:bCs/>
          <w:shd w:fill="auto" w:val="clear"/>
        </w:rPr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bCs/>
          <w:shd w:fill="auto" w:val="clear"/>
        </w:rPr>
        <w:t xml:space="preserve">По результатам рассмотрения заявок комиссия принимает решение о допуске заявителей </w:t>
      </w:r>
      <w:r>
        <w:rPr/>
        <w:br w:type="textWrapping" w:clear="all"/>
      </w:r>
      <w:r>
        <w:rPr>
          <w:bCs/>
          <w:shd w:fill="auto" w:val="clear"/>
        </w:rPr>
        <w:t>к участию в аукционе или об отказе в допуске к участию в аукционе.</w:t>
      </w:r>
    </w:p>
    <w:p>
      <w:pPr>
        <w:pStyle w:val="Normal"/>
        <w:jc w:val="both"/>
        <w:rPr>
          <w:shd w:fill="auto" w:val="clear"/>
        </w:rPr>
      </w:pPr>
      <w:r>
        <w:rPr>
          <w:shd w:fill="auto" w:val="clear"/>
        </w:rPr>
        <w:t>Заявитель не допускается к участию в аукционе в следующих случаях:</w:t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sz w:val="20"/>
          <w:shd w:fill="auto" w:val="clear"/>
        </w:rPr>
        <w:t xml:space="preserve">1) </w:t>
      </w:r>
      <w:r>
        <w:rPr>
          <w:shd w:fill="auto" w:val="clear"/>
        </w:rPr>
        <w:t>непредставление необходимых для участия в аукционе документов или представление недостоверных сведений;</w:t>
      </w:r>
    </w:p>
    <w:p>
      <w:pPr>
        <w:pStyle w:val="Normal"/>
        <w:widowControl w:val="false"/>
        <w:jc w:val="both"/>
        <w:rPr>
          <w:shd w:fill="auto" w:val="clear"/>
        </w:rPr>
      </w:pPr>
      <w:r>
        <w:rPr>
          <w:shd w:fill="auto" w:val="clear"/>
        </w:rPr>
        <w:t>2) непоступление задатка на дату рассмотрения заявок на участие в аукционе;</w:t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 xml:space="preserve">3) подача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</w:t>
        <w:br/>
        <w:t>в аренду;</w:t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 xml:space="preserve">В день признания заявителей участниками аукциона, указанный в извещении </w:t>
        <w:br/>
        <w:t>о проведении аукциона, оператор через «личный кабинет» организатора торгов обеспечивает доступ организатора торгов к поданным  заявителями заявкам и документам, а также к журналу приема заявок.</w:t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>Заявитель приобретает статус участника аукциона с момента подписания протокола рассмотрения заявок.</w:t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 xml:space="preserve">Не позднее следующего рабочего дня после дня подписания протокола рассмотрения заявок, всем заявителям оператором электронной площадки направляется в личные кабинеты уведомления о признании их участниками аукциона или об отказе в признании участниками аукциона с указанием оснований отказа. </w:t>
      </w:r>
    </w:p>
    <w:p>
      <w:pPr>
        <w:pStyle w:val="BodyText"/>
        <w:widowControl w:val="false"/>
        <w:ind w:firstLine="567" w:left="-567"/>
        <w:jc w:val="both"/>
        <w:rPr>
          <w:shd w:fill="auto" w:val="clear"/>
        </w:rPr>
      </w:pP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>В случае, если по окончании срока подачи заявок на участие в аукционе не подано ни одной заявки на участие в аукционе, подана только одна заявка на участие в аукционе либо по результатам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 При признании аукциона несостоявшимся в протокол рассмотрения заявок на участие в аукционе, включается информация об основании признания аукциона несостоявшимся и сведения, указанные в подпункте 4 пункта 15  ст. 39.12 З</w:t>
      </w:r>
      <w:r>
        <w:rPr>
          <w:rFonts w:eastAsia="Droid Sans Fallback" w:cs="Lohit Devanagari"/>
          <w:bCs/>
          <w:color w:val="000000"/>
          <w:sz w:val="24"/>
          <w:szCs w:val="24"/>
          <w:shd w:fill="auto" w:val="clear"/>
          <w:lang w:val="ru-RU" w:eastAsia="zh-CN" w:bidi="ar-SA"/>
        </w:rPr>
        <w:t>емельного кодекса Российской Федерации</w:t>
      </w: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>, в отношении лиц, указанных в пунктах 13 и 14 ст. 39.12 З</w:t>
      </w:r>
      <w:r>
        <w:rPr>
          <w:rFonts w:eastAsia="Droid Sans Fallback" w:cs="Lohit Devanagari"/>
          <w:bCs/>
          <w:color w:val="000000"/>
          <w:sz w:val="24"/>
          <w:szCs w:val="24"/>
          <w:shd w:fill="auto" w:val="clear"/>
          <w:lang w:val="ru-RU" w:eastAsia="zh-CN" w:bidi="ar-SA"/>
        </w:rPr>
        <w:t>емельного кодекса Российской Федерации.</w:t>
      </w:r>
    </w:p>
    <w:p>
      <w:pPr>
        <w:pStyle w:val="Normal"/>
        <w:widowControl w:val="false"/>
        <w:ind w:firstLine="567" w:left="-567"/>
        <w:jc w:val="both"/>
        <w:rPr>
          <w:rFonts w:ascii="Times New Roman" w:hAnsi="Times New Roman" w:eastAsia="Droid Sans Fallback" w:cs="Lohit Devanagari"/>
          <w:color w:val="auto"/>
          <w:sz w:val="24"/>
          <w:szCs w:val="24"/>
          <w:shd w:fill="auto" w:val="clear"/>
          <w:lang w:val="ru-RU" w:eastAsia="zh-CN" w:bidi="ar-SA"/>
        </w:rPr>
      </w:pP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</w:r>
    </w:p>
    <w:p>
      <w:pPr>
        <w:pStyle w:val="Normal"/>
        <w:widowControl w:val="false"/>
        <w:spacing w:lineRule="auto" w:line="276"/>
        <w:ind w:firstLine="567" w:left="-567"/>
        <w:jc w:val="both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jc w:val="center"/>
        <w:rPr>
          <w:shd w:fill="auto" w:val="clear"/>
        </w:rPr>
      </w:pPr>
      <w:r>
        <w:rPr>
          <w:b/>
          <w:bCs/>
          <w:shd w:fill="auto" w:val="clear"/>
        </w:rPr>
        <w:t>Порядок проведения аукциона</w:t>
      </w:r>
    </w:p>
    <w:p>
      <w:pPr>
        <w:pStyle w:val="Normal"/>
        <w:widowControl w:val="false"/>
        <w:ind w:left="502"/>
        <w:jc w:val="center"/>
        <w:rPr>
          <w:rFonts w:eastAsia="Courier New"/>
          <w:b/>
          <w:bCs/>
          <w:shd w:fill="auto" w:val="clear"/>
          <w:lang w:bidi="ru-RU"/>
        </w:rPr>
      </w:pPr>
      <w:r>
        <w:rPr>
          <w:rFonts w:eastAsia="Courier New"/>
          <w:b/>
          <w:bCs/>
          <w:shd w:fill="auto" w:val="clear"/>
          <w:lang w:bidi="ru-RU"/>
        </w:rPr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>Торговая сессия проводится путем последовательного повышения участниками аукциона начальной цены аукциона на величину, равную величине «шага аукциона».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 xml:space="preserve">«Шаг аукциона» устанавливается Организатором аукциона в фиксированной сумме, составляющей </w:t>
      </w:r>
      <w:r>
        <w:rPr>
          <w:rFonts w:eastAsia="Droid Sans Fallback" w:cs="Lohit Devanagari"/>
          <w:bCs/>
          <w:color w:val="000000"/>
          <w:sz w:val="24"/>
          <w:szCs w:val="24"/>
          <w:shd w:fill="auto" w:val="clear"/>
          <w:lang w:val="ru-RU" w:eastAsia="zh-CN" w:bidi="ar-SA"/>
        </w:rPr>
        <w:t>5% от начальной цены предмета аукциона</w:t>
      </w:r>
      <w:r>
        <w:rPr>
          <w:rFonts w:eastAsia="Calibri"/>
          <w:shd w:fill="auto" w:val="clear"/>
        </w:rPr>
        <w:t>, и не изменяется в течение всего времени подачи предложений о цене.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>В ходе проведения аукциона участники аукциона подают предложения о цене предмета аукциона в соответствии со следующими требованиями: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 xml:space="preserve">1) предложение о цене предмета аукциона увеличивает текущее максимальное предложение </w:t>
      </w:r>
      <w:r>
        <w:rPr/>
        <w:br w:type="textWrapping" w:clear="all"/>
      </w:r>
      <w:r>
        <w:rPr>
          <w:rFonts w:eastAsia="Calibri"/>
          <w:shd w:fill="auto" w:val="clear"/>
        </w:rPr>
        <w:t>о цене предмета аукциона на величину «шага аукциона»;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>2) 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>Время для подачи предложений о цене аукциона определяется в следующем порядке: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 xml:space="preserve">Время ожидания предложения участника аукциона о цене предмета аукциона составляет </w:t>
      </w:r>
      <w:r>
        <w:rPr/>
        <w:br w:type="textWrapping" w:clear="all"/>
      </w:r>
      <w:r>
        <w:rPr>
          <w:rFonts w:eastAsia="Calibri"/>
          <w:shd w:fill="auto" w:val="clear"/>
        </w:rPr>
        <w:t xml:space="preserve">10 (десять) минут. При поступлении предложения участника аукциона </w:t>
        <w:br/>
        <w:t>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аукцион завершается.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>Срок для подачи предложений о цене обновляется автоматически после улучшения текущего предложения о цене. Время срока подачи предложений отсчитывается с момента подачи последнего (лучшего) предложения (или с начала подачи предложений о цене), отображается в закрытой части электронной площадки как расчетное время окончания торгов, а так же как время, оставшееся до окончания торгов в минутах.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 xml:space="preserve">В ходе проведения подачи предложений о цене аукциона Оператор программными средствами электронной площадки обеспечивает отклонение предложения о цене аукциона </w:t>
      </w:r>
      <w:r>
        <w:rPr/>
        <w:br w:type="textWrapping" w:clear="all"/>
      </w:r>
      <w:r>
        <w:rPr>
          <w:rFonts w:eastAsia="Calibri"/>
          <w:shd w:fill="auto" w:val="clear"/>
        </w:rPr>
        <w:t>в момент его поступления и соответствующее уведомление участника аукциона, в случаях, если: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>- предложение о цене аукциона предоставлено до начала или по истечении установленного времени для подачи предложений о цене аукциона;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>- представленное предложение о цене аукциона ниже начальной цены;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>- представленное предложение о цене аукциона равно нулю;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>- представленное предложение о цене аукциона не соответствует увеличению текущей цены на величину «шага аукциона»;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>- предыдущее представленное данным участником аукциона предложение о цене аукциона является лучшим текущим предложением о цене;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>- представленное участником аукциона предложение о цене аукциона меньше ранее представленных предложений.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>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 xml:space="preserve">Победителем аукциона признается участник аукциона, предложивший наибольшую цену </w:t>
      </w:r>
      <w:r>
        <w:rPr/>
        <w:br w:type="textWrapping" w:clear="all"/>
      </w:r>
      <w:r>
        <w:rPr>
          <w:rFonts w:eastAsia="Calibri"/>
          <w:shd w:fill="auto" w:val="clear"/>
        </w:rPr>
        <w:t>за земельный участок или наибольший размер ежегодной арендной платы за земельный участок.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>Протокол проведения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аукциона.</w:t>
      </w:r>
    </w:p>
    <w:p>
      <w:pPr>
        <w:pStyle w:val="Normal"/>
        <w:ind w:firstLine="567" w:left="-567"/>
        <w:jc w:val="both"/>
        <w:rPr>
          <w:rFonts w:eastAsia="Calibri"/>
          <w:shd w:fill="auto" w:val="clear"/>
        </w:rPr>
      </w:pPr>
      <w:r>
        <w:rPr>
          <w:rFonts w:eastAsia="Calibri"/>
          <w:shd w:fill="auto" w:val="clear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hanging="0" w:left="0"/>
        <w:jc w:val="center"/>
        <w:outlineLvl w:val="0"/>
        <w:rPr>
          <w:shd w:fill="auto" w:val="clear"/>
        </w:rPr>
      </w:pPr>
      <w:r>
        <w:rPr>
          <w:b/>
          <w:bCs/>
          <w:shd w:fill="auto" w:val="clear"/>
        </w:rPr>
        <w:t>Порядок и срок заключения договора</w:t>
      </w:r>
      <w:r>
        <w:rPr/>
        <w:br w:type="textWrapping" w:clear="all"/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>
          <w:shd w:fill="auto" w:val="clear"/>
        </w:rPr>
      </w:pPr>
      <w:r>
        <w:rPr>
          <w:bCs/>
          <w:shd w:fill="auto" w:val="clear"/>
        </w:rPr>
        <w:t>По результатам проведения аукциона не допускается заключение договора аренды земельного участка ранее чем через десять дней со дня размещения протокола рассмотрения заявок на участие в аукционе в случае, ес</w:t>
      </w:r>
      <w:r>
        <w:rPr>
          <w:rFonts w:eastAsia="Droid Sans Fallback" w:cs="Lohit Devanagari"/>
          <w:bCs/>
          <w:color w:val="000000"/>
          <w:sz w:val="24"/>
          <w:szCs w:val="24"/>
          <w:shd w:fill="auto" w:val="clear"/>
          <w:lang w:val="ru-RU" w:eastAsia="zh-CN" w:bidi="ar-SA"/>
        </w:rPr>
        <w:t>ли аукцион признан несостоявшимся, либо протокола о результатах аукциона на официальных сайтах www.torgi.gov.ru,  www.gorodperm.ru.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>
          <w:shd w:fill="auto" w:val="clear"/>
        </w:rPr>
      </w:pPr>
      <w:r>
        <w:rPr>
          <w:bCs/>
          <w:shd w:fill="auto" w:val="clear"/>
        </w:rPr>
        <w:t>Департамент земельных отношений администрации города Перми обязан в течение пяти дней со дня истечения срока, предусмотренного пунктом 11 статьи 39.13 Земельного кодекса Российской Федерации, направить победителю аукциона или иным лицам, с которыми в соответствии с пунктами 13, 14, 20 и 25 статьи 39.12 Земельного кодекса Российской Федерации заключается  договор аренды земельного участка, подписанный проект договора  аренды земельного участка.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>
          <w:shd w:fill="auto" w:val="clear"/>
        </w:rPr>
      </w:pPr>
      <w:r>
        <w:rPr>
          <w:bCs/>
          <w:shd w:fill="auto" w:val="clear"/>
        </w:rPr>
        <w:t>По результатам проведения аукциона договор аренды земельного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bCs/>
          <w:shd w:fill="auto" w:val="clear"/>
        </w:rPr>
        <w:t>Проекты договоров является частью извещения и представлены в Приложениях 1,3,5,7,9,11,13  к настоящему извещению.</w:t>
        <w:tab/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bCs/>
          <w:shd w:fill="auto" w:val="clear"/>
        </w:rPr>
        <w:t xml:space="preserve">Если договор аренды земельного участка </w:t>
      </w:r>
      <w:r>
        <w:rPr>
          <w:b w:val="false"/>
          <w:bCs/>
          <w:shd w:fill="auto" w:val="clear"/>
        </w:rPr>
        <w:t>в течение десяти рабочих дней со дня направления победителю аукциона проекта указанного договора не был им подписан и представлен в департамент земельных отношений администрации города Перми, департамент земельных отношений администрации города Перми направляет указанный договор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67" w:leader="none"/>
        </w:tabs>
        <w:ind w:firstLine="567" w:left="-567"/>
        <w:jc w:val="both"/>
        <w:outlineLvl w:val="0"/>
        <w:rPr>
          <w:shd w:fill="auto" w:val="clear"/>
        </w:rPr>
      </w:pPr>
      <w:r>
        <w:rPr>
          <w:rFonts w:eastAsia="Courier New"/>
          <w:shd w:fill="auto" w:val="clear"/>
          <w:lang w:bidi="ru-RU"/>
        </w:rPr>
        <w:t>Сведения о победителях аукционов, уклонившихся от заключения договора  аренды земельного участка, являющегося предметом аукциона, и об иных лицах, с которыми указанный договор заключается в соответствии с пунктом 13, 14, 20 или 25 ст. 39.12 Земельного кодекса Российской Федерации и которые уклонились от заключения, включаются в реестр недобросовестных участников аукциона.</w:t>
      </w:r>
    </w:p>
    <w:sectPr>
      <w:headerReference w:type="default" r:id="rId38"/>
      <w:headerReference w:type="first" r:id="rId39"/>
      <w:type w:val="nextPage"/>
      <w:pgSz w:w="11906" w:h="16838"/>
      <w:pgMar w:left="1418" w:right="567" w:gutter="0" w:header="363" w:top="420" w:footer="0" w:bottom="1134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Open Sans">
    <w:charset w:val="01"/>
    <w:family w:val="roman"/>
    <w:pitch w:val="variable"/>
  </w:font>
  <w:font w:name="Consultant">
    <w:charset w:val="01"/>
    <w:family w:val="roman"/>
    <w:pitch w:val="variable"/>
  </w:font>
  <w:font w:name="Tahoma">
    <w:charset w:val="01"/>
    <w:family w:val="roman"/>
    <w:pitch w:val="variable"/>
  </w:font>
  <w:font w:name="Verdana">
    <w:charset w:val="01"/>
    <w:family w:val="roman"/>
    <w:pitch w:val="variable"/>
  </w:font>
  <w:font w:name="Calibri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sz w:val="20"/>
        <w:szCs w:val="28"/>
      </w:rPr>
    </w:pPr>
    <w:r>
      <w:rPr>
        <w:sz w:val="20"/>
        <w:szCs w:val="28"/>
      </w:rPr>
      <w:fldChar w:fldCharType="begin"/>
    </w:r>
    <w:r>
      <w:rPr>
        <w:sz w:val="20"/>
        <w:szCs w:val="28"/>
      </w:rPr>
      <w:instrText xml:space="preserve"> PAGE </w:instrText>
    </w:r>
    <w:r>
      <w:rPr>
        <w:sz w:val="20"/>
        <w:szCs w:val="28"/>
      </w:rPr>
      <w:fldChar w:fldCharType="separate"/>
    </w:r>
    <w:r>
      <w:rPr>
        <w:sz w:val="20"/>
        <w:szCs w:val="28"/>
      </w:rPr>
      <w:t>89</w:t>
    </w:r>
    <w:r>
      <w:rPr>
        <w:sz w:val="20"/>
        <w:szCs w:val="28"/>
      </w:rP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pStyle w:val="Heading6"/>
      <w:numFmt w:val="decimal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u w:val="none"/>
        <w:szCs w:val="24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4"/>
        <w:u w:val="none"/>
        <w:szCs w:val="24"/>
        <w:color w:val="000000"/>
        <w:lang w:val="ru-RU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4"/>
        <w:szCs w:val="24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sz w:val="24"/>
        <w:szCs w:val="24"/>
        <w:lang w:val="ru-RU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lang w:bidi="ru-RU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lang w:eastAsia="en-US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  <w:bCs/>
        <w:lang w:eastAsia="en-US" w:bidi="ru-RU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b/>
        <w:bCs/>
        <w:lang w:bidi="ru-RU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roid Sans Fallback" w:cs="Lohit Devanagari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qFormat/>
    <w:pPr>
      <w:keepNext w:val="true"/>
      <w:numPr>
        <w:ilvl w:val="0"/>
        <w:numId w:val="1"/>
      </w:numPr>
      <w:jc w:val="center"/>
      <w:outlineLvl w:val="0"/>
    </w:pPr>
    <w:rPr>
      <w:b/>
      <w:sz w:val="28"/>
      <w:szCs w:val="20"/>
    </w:rPr>
  </w:style>
  <w:style w:type="paragraph" w:styleId="Heading2">
    <w:name w:val="Heading 2"/>
    <w:basedOn w:val="Normal"/>
    <w:qFormat/>
    <w:pPr>
      <w:keepNext w:val="true"/>
      <w:keepLines/>
      <w:numPr>
        <w:ilvl w:val="0"/>
        <w:numId w:val="0"/>
      </w:numPr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qFormat/>
    <w:pPr>
      <w:keepNext w:val="true"/>
      <w:keepLines/>
      <w:numPr>
        <w:ilvl w:val="0"/>
        <w:numId w:val="0"/>
      </w:numPr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qFormat/>
    <w:pPr>
      <w:keepNext w:val="true"/>
      <w:keepLines/>
      <w:numPr>
        <w:ilvl w:val="0"/>
        <w:numId w:val="0"/>
      </w:numPr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qFormat/>
    <w:pPr>
      <w:keepNext w:val="true"/>
      <w:keepLines/>
      <w:numPr>
        <w:ilvl w:val="0"/>
        <w:numId w:val="0"/>
      </w:numPr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Heading6">
    <w:name w:val="Heading 6"/>
    <w:basedOn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qFormat/>
    <w:pPr>
      <w:keepNext w:val="true"/>
      <w:keepLines/>
      <w:numPr>
        <w:ilvl w:val="0"/>
        <w:numId w:val="0"/>
      </w:numPr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qFormat/>
    <w:pPr>
      <w:keepNext w:val="true"/>
      <w:keepLines/>
      <w:numPr>
        <w:ilvl w:val="0"/>
        <w:numId w:val="0"/>
      </w:numPr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qFormat/>
    <w:pPr>
      <w:keepNext w:val="true"/>
      <w:keepLines/>
      <w:numPr>
        <w:ilvl w:val="0"/>
        <w:numId w:val="0"/>
      </w:numPr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qFormat/>
    <w:rPr>
      <w:sz w:val="48"/>
      <w:szCs w:val="48"/>
    </w:rPr>
  </w:style>
  <w:style w:type="character" w:styleId="SubtitleChar">
    <w:name w:val="Subtitle Char"/>
    <w:basedOn w:val="DefaultParagraphFont"/>
    <w:qFormat/>
    <w:rPr>
      <w:sz w:val="24"/>
      <w:szCs w:val="24"/>
    </w:rPr>
  </w:style>
  <w:style w:type="character" w:styleId="QuoteChar">
    <w:name w:val="Quote Char"/>
    <w:qFormat/>
    <w:rPr>
      <w:i/>
    </w:rPr>
  </w:style>
  <w:style w:type="character" w:styleId="IntenseQuoteChar">
    <w:name w:val="Intense Quote Char"/>
    <w:qFormat/>
    <w:rPr>
      <w:i/>
    </w:rPr>
  </w:style>
  <w:style w:type="character" w:styleId="HeaderChar">
    <w:name w:val="Header Char"/>
    <w:basedOn w:val="DefaultParagraphFont"/>
    <w:qFormat/>
    <w:rPr/>
  </w:style>
  <w:style w:type="character" w:styleId="CaptionChar">
    <w:name w:val="Caption Char"/>
    <w:qFormat/>
    <w:rPr/>
  </w:style>
  <w:style w:type="character" w:styleId="FootnoteTextChar">
    <w:name w:val="Footnote Text Char"/>
    <w:qFormat/>
    <w:rPr>
      <w:sz w:val="18"/>
    </w:rPr>
  </w:style>
  <w:style w:type="character" w:styleId="EndnoteTextChar">
    <w:name w:val="Endnote Text Char"/>
    <w:qFormat/>
    <w:rPr>
      <w:sz w:val="20"/>
    </w:rPr>
  </w:style>
  <w:style w:type="character" w:styleId="DefaultParagraphFont">
    <w:name w:val="Default Paragraph Font"/>
    <w:qFormat/>
    <w:rPr/>
  </w:style>
  <w:style w:type="character" w:styleId="1">
    <w:name w:val="Заголовок 1 Знак"/>
    <w:qFormat/>
    <w:rPr>
      <w:rFonts w:ascii="Arial" w:hAnsi="Arial" w:eastAsia="Arial" w:cs="Arial"/>
      <w:sz w:val="40"/>
      <w:szCs w:val="40"/>
    </w:rPr>
  </w:style>
  <w:style w:type="character" w:styleId="2">
    <w:name w:val="Заголовок 2 Знак"/>
    <w:qFormat/>
    <w:rPr>
      <w:rFonts w:ascii="Arial" w:hAnsi="Arial" w:eastAsia="Arial" w:cs="Arial"/>
      <w:sz w:val="34"/>
    </w:rPr>
  </w:style>
  <w:style w:type="character" w:styleId="3">
    <w:name w:val="Заголовок 3 Знак"/>
    <w:qFormat/>
    <w:rPr>
      <w:rFonts w:ascii="Arial" w:hAnsi="Arial" w:eastAsia="Arial" w:cs="Arial"/>
      <w:sz w:val="30"/>
      <w:szCs w:val="30"/>
    </w:rPr>
  </w:style>
  <w:style w:type="character" w:styleId="4">
    <w:name w:val="Заголовок 4 Знак"/>
    <w:qFormat/>
    <w:rPr>
      <w:rFonts w:ascii="Arial" w:hAnsi="Arial" w:eastAsia="Arial" w:cs="Arial"/>
      <w:b/>
      <w:bCs/>
      <w:sz w:val="26"/>
      <w:szCs w:val="26"/>
    </w:rPr>
  </w:style>
  <w:style w:type="character" w:styleId="5">
    <w:name w:val="Заголовок 5 Знак"/>
    <w:qFormat/>
    <w:rPr>
      <w:rFonts w:ascii="Arial" w:hAnsi="Arial" w:eastAsia="Arial" w:cs="Arial"/>
      <w:b/>
      <w:bCs/>
      <w:sz w:val="24"/>
      <w:szCs w:val="24"/>
    </w:rPr>
  </w:style>
  <w:style w:type="character" w:styleId="61">
    <w:name w:val="Заголовок 6 Знак1"/>
    <w:qFormat/>
    <w:rPr>
      <w:rFonts w:ascii="Arial" w:hAnsi="Arial" w:eastAsia="Arial" w:cs="Arial"/>
      <w:b/>
      <w:bCs/>
      <w:sz w:val="22"/>
      <w:szCs w:val="22"/>
    </w:rPr>
  </w:style>
  <w:style w:type="character" w:styleId="7">
    <w:name w:val="Заголовок 7 Знак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>
    <w:name w:val="Заголовок 8 Знак"/>
    <w:qFormat/>
    <w:rPr>
      <w:rFonts w:ascii="Arial" w:hAnsi="Arial" w:eastAsia="Arial" w:cs="Arial"/>
      <w:i/>
      <w:iCs/>
      <w:sz w:val="22"/>
      <w:szCs w:val="22"/>
    </w:rPr>
  </w:style>
  <w:style w:type="character" w:styleId="9">
    <w:name w:val="Заголовок 9 Знак"/>
    <w:qFormat/>
    <w:rPr>
      <w:rFonts w:ascii="Arial" w:hAnsi="Arial" w:eastAsia="Arial" w:cs="Arial"/>
      <w:i/>
      <w:iCs/>
      <w:sz w:val="21"/>
      <w:szCs w:val="21"/>
    </w:rPr>
  </w:style>
  <w:style w:type="character" w:styleId="11">
    <w:name w:val="Заголовок Знак1"/>
    <w:qFormat/>
    <w:rPr>
      <w:sz w:val="48"/>
      <w:szCs w:val="48"/>
    </w:rPr>
  </w:style>
  <w:style w:type="character" w:styleId="Style5">
    <w:name w:val="Подзаголовок Знак"/>
    <w:qFormat/>
    <w:rPr>
      <w:sz w:val="24"/>
      <w:szCs w:val="24"/>
    </w:rPr>
  </w:style>
  <w:style w:type="character" w:styleId="21">
    <w:name w:val="Цитата 2 Знак"/>
    <w:qFormat/>
    <w:rPr>
      <w:i/>
    </w:rPr>
  </w:style>
  <w:style w:type="character" w:styleId="Style6">
    <w:name w:val="Выделенная цитата Знак"/>
    <w:qFormat/>
    <w:rPr>
      <w:i/>
    </w:rPr>
  </w:style>
  <w:style w:type="character" w:styleId="12">
    <w:name w:val="Верхний колонтитул Знак1"/>
    <w:qFormat/>
    <w:rPr/>
  </w:style>
  <w:style w:type="character" w:styleId="FooterChar">
    <w:name w:val="Footer Char"/>
    <w:qFormat/>
    <w:rPr/>
  </w:style>
  <w:style w:type="character" w:styleId="13">
    <w:name w:val="Нижний колонтитул Знак1"/>
    <w:qFormat/>
    <w:rPr/>
  </w:style>
  <w:style w:type="character" w:styleId="Style7">
    <w:name w:val="Текст сноски Знак"/>
    <w:qFormat/>
    <w:rPr>
      <w:sz w:val="18"/>
    </w:rPr>
  </w:style>
  <w:style w:type="character" w:styleId="Style8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9">
    <w:name w:val="Текст концевой сноски Знак"/>
    <w:qFormat/>
    <w:rPr>
      <w:sz w:val="20"/>
    </w:rPr>
  </w:style>
  <w:style w:type="character" w:styleId="Style10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5z0">
    <w:name w:val="WW8Num5z0"/>
    <w:qFormat/>
    <w:rPr>
      <w:sz w:val="16"/>
      <w:szCs w:val="16"/>
    </w:rPr>
  </w:style>
  <w:style w:type="character" w:styleId="WW8Num6z0">
    <w:name w:val="WW8Num6z0"/>
    <w:qFormat/>
    <w:rPr/>
  </w:style>
  <w:style w:type="character" w:styleId="WW8Num7z0">
    <w:name w:val="WW8Num7z0"/>
    <w:qFormat/>
    <w:rPr/>
  </w:style>
  <w:style w:type="character" w:styleId="WW8Num8z0">
    <w:name w:val="WW8Num8z0"/>
    <w:qFormat/>
    <w:rPr/>
  </w:style>
  <w:style w:type="character" w:styleId="WW8Num9z0">
    <w:name w:val="WW8Num9z0"/>
    <w:qFormat/>
    <w:rPr/>
  </w:style>
  <w:style w:type="character" w:styleId="WW8Num10z0">
    <w:name w:val="WW8Num10z0"/>
    <w:qFormat/>
    <w:rPr/>
  </w:style>
  <w:style w:type="character" w:styleId="WW8Num11z0">
    <w:name w:val="WW8Num11z0"/>
    <w:qFormat/>
    <w:rPr/>
  </w:style>
  <w:style w:type="character" w:styleId="WW8Num12z0">
    <w:name w:val="WW8Num12z0"/>
    <w:qFormat/>
    <w:rPr/>
  </w:style>
  <w:style w:type="character" w:styleId="WW8Num13z0">
    <w:name w:val="WW8Num13z0"/>
    <w:qFormat/>
    <w:rPr/>
  </w:style>
  <w:style w:type="character" w:styleId="WW8Num14z0">
    <w:name w:val="WW8Num14z0"/>
    <w:qFormat/>
    <w:rPr/>
  </w:style>
  <w:style w:type="character" w:styleId="WW8Num15z0">
    <w:name w:val="WW8Num15z0"/>
    <w:qFormat/>
    <w:rPr/>
  </w:style>
  <w:style w:type="character" w:styleId="WW8Num18z0">
    <w:name w:val="WW8Num18z0"/>
    <w:qFormat/>
    <w:rPr/>
  </w:style>
  <w:style w:type="character" w:styleId="WW8Num19z0">
    <w:name w:val="WW8Num19z0"/>
    <w:qFormat/>
    <w:rPr/>
  </w:style>
  <w:style w:type="character" w:styleId="WW8Num20z0">
    <w:name w:val="WW8Num20z0"/>
    <w:qFormat/>
    <w:rPr/>
  </w:style>
  <w:style w:type="character" w:styleId="WW8Num21z0">
    <w:name w:val="WW8Num21z0"/>
    <w:qFormat/>
    <w:rPr/>
  </w:style>
  <w:style w:type="character" w:styleId="WW8Num22z0">
    <w:name w:val="WW8Num22z0"/>
    <w:qFormat/>
    <w:rPr/>
  </w:style>
  <w:style w:type="character" w:styleId="WW8Num23z0">
    <w:name w:val="WW8Num23z0"/>
    <w:qFormat/>
    <w:rPr/>
  </w:style>
  <w:style w:type="character" w:styleId="WW8Num25z0">
    <w:name w:val="WW8Num25z0"/>
    <w:qFormat/>
    <w:rPr/>
  </w:style>
  <w:style w:type="character" w:styleId="WW8Num26z0">
    <w:name w:val="WW8Num26z0"/>
    <w:qFormat/>
    <w:rPr/>
  </w:style>
  <w:style w:type="character" w:styleId="WW8Num27z0">
    <w:name w:val="WW8Num27z0"/>
    <w:qFormat/>
    <w:rPr/>
  </w:style>
  <w:style w:type="character" w:styleId="WW8Num29z0">
    <w:name w:val="WW8Num29z0"/>
    <w:qFormat/>
    <w:rPr>
      <w:rFonts w:ascii="Symbol" w:hAnsi="Symbol" w:cs="Symbol"/>
    </w:rPr>
  </w:style>
  <w:style w:type="character" w:styleId="WW8Num30z0">
    <w:name w:val="WW8Num30z0"/>
    <w:qFormat/>
    <w:rPr/>
  </w:style>
  <w:style w:type="character" w:styleId="WW8Num31z0">
    <w:name w:val="WW8Num31z0"/>
    <w:qFormat/>
    <w:rPr/>
  </w:style>
  <w:style w:type="character" w:styleId="WW8Num32z0">
    <w:name w:val="WW8Num32z0"/>
    <w:qFormat/>
    <w:rPr/>
  </w:style>
  <w:style w:type="character" w:styleId="WW8Num33z0">
    <w:name w:val="WW8Num33z0"/>
    <w:qFormat/>
    <w:rPr/>
  </w:style>
  <w:style w:type="character" w:styleId="WW8Num34z0">
    <w:name w:val="WW8Num34z0"/>
    <w:qFormat/>
    <w:rPr/>
  </w:style>
  <w:style w:type="character" w:styleId="Pagenumber">
    <w:name w:val="page number"/>
    <w:basedOn w:val="DefaultParagraphFont"/>
    <w:qFormat/>
    <w:rPr/>
  </w:style>
  <w:style w:type="character" w:styleId="Style11">
    <w:name w:val="Текст Знак"/>
    <w:qFormat/>
    <w:rPr>
      <w:rFonts w:ascii="Courier New" w:hAnsi="Courier New" w:cs="Courier New"/>
    </w:rPr>
  </w:style>
  <w:style w:type="character" w:styleId="Style12">
    <w:name w:val="Верхний колонтитул Знак"/>
    <w:qFormat/>
    <w:rPr>
      <w:sz w:val="16"/>
      <w:lang w:val="ru-RU" w:bidi="ar-SA"/>
    </w:rPr>
  </w:style>
  <w:style w:type="character" w:styleId="31">
    <w:name w:val="Основной текст с отступом 3 Знак"/>
    <w:qFormat/>
    <w:rPr>
      <w:sz w:val="16"/>
      <w:szCs w:val="16"/>
    </w:rPr>
  </w:style>
  <w:style w:type="character" w:styleId="Hyperlink">
    <w:name w:val="Hyperlink"/>
    <w:rPr>
      <w:color w:val="0563C1"/>
      <w:u w:val="single"/>
    </w:rPr>
  </w:style>
  <w:style w:type="character" w:styleId="Style13">
    <w:name w:val="Абзац списка Знак"/>
    <w:qFormat/>
    <w:rPr>
      <w:sz w:val="24"/>
      <w:szCs w:val="24"/>
    </w:rPr>
  </w:style>
  <w:style w:type="character" w:styleId="6">
    <w:name w:val="Заголовок 6 Знак"/>
    <w:qFormat/>
    <w:rPr>
      <w:b/>
      <w:bCs/>
      <w:sz w:val="22"/>
      <w:szCs w:val="22"/>
    </w:rPr>
  </w:style>
  <w:style w:type="character" w:styleId="Style14">
    <w:name w:val="Название Знак"/>
    <w:qFormat/>
    <w:rPr>
      <w:sz w:val="28"/>
      <w:lang w:val="ru-RU" w:bidi="ar-SA"/>
    </w:rPr>
  </w:style>
  <w:style w:type="character" w:styleId="Style15">
    <w:name w:val="Заголовок Знак"/>
    <w:qFormat/>
    <w:rPr>
      <w:rFonts w:ascii="Calibri Light" w:hAnsi="Calibri Light" w:eastAsia="Times New Roman" w:cs="Times New Roman"/>
      <w:b/>
      <w:bCs/>
      <w:sz w:val="32"/>
      <w:szCs w:val="32"/>
    </w:rPr>
  </w:style>
  <w:style w:type="character" w:styleId="Style16">
    <w:name w:val="Нижний колонтитул Знак"/>
    <w:qFormat/>
    <w:rPr/>
  </w:style>
  <w:style w:type="character" w:styleId="FollowedHyperlink">
    <w:name w:val="FollowedHyperlink"/>
    <w:rPr>
      <w:color w:val="954F72"/>
      <w:u w:val="single"/>
    </w:rPr>
  </w:style>
  <w:style w:type="character" w:styleId="Style17">
    <w:name w:val="Гиперссылка"/>
    <w:qFormat/>
    <w:rPr>
      <w:color w:val="0000FF"/>
      <w:u w:val="single"/>
    </w:rPr>
  </w:style>
  <w:style w:type="character" w:styleId="Style18">
    <w:name w:val="Символ нумерации"/>
    <w:qFormat/>
    <w:rPr/>
  </w:style>
  <w:style w:type="character" w:styleId="Style19">
    <w:name w:val="Маркеры"/>
    <w:qFormat/>
    <w:rPr>
      <w:rFonts w:ascii="OpenSymbol" w:hAnsi="OpenSymbol" w:eastAsia="OpenSymbol" w:cs="OpenSymbol"/>
    </w:rPr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pPr>
      <w:jc w:val="right"/>
    </w:pPr>
    <w:rPr>
      <w:sz w:val="28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Style21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qFormat/>
    <w:pPr>
      <w:ind w:left="708"/>
    </w:pPr>
    <w:rPr/>
  </w:style>
  <w:style w:type="paragraph" w:styleId="NoSpacing">
    <w:name w:val="No Spacing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0"/>
      <w:szCs w:val="20"/>
      <w:lang w:val="ru-RU" w:eastAsia="ru-RU" w:bidi="ar-SA"/>
    </w:rPr>
  </w:style>
  <w:style w:type="paragraph" w:styleId="Title">
    <w:name w:val="Title"/>
    <w:basedOn w:val="Normal"/>
    <w:qFormat/>
    <w:pPr>
      <w:numPr>
        <w:ilvl w:val="0"/>
        <w:numId w:val="0"/>
      </w:num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paragraph" w:styleId="Subtitle">
    <w:name w:val="Subtitle"/>
    <w:basedOn w:val="Normal"/>
    <w:qFormat/>
    <w:pPr>
      <w:spacing w:before="200" w:after="200"/>
    </w:pPr>
    <w:rPr/>
  </w:style>
  <w:style w:type="paragraph" w:styleId="Quote">
    <w:name w:val="Quote"/>
    <w:basedOn w:val="Normal"/>
    <w:qFormat/>
    <w:pPr>
      <w:ind w:left="720" w:right="720"/>
    </w:pPr>
    <w:rPr>
      <w:i/>
    </w:rPr>
  </w:style>
  <w:style w:type="paragraph" w:styleId="IntenseQuote">
    <w:name w:val="Intense Quote"/>
    <w:basedOn w:val="Normal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fill="F2F2F2"/>
      <w:ind w:left="720" w:right="720"/>
    </w:pPr>
    <w:rPr>
      <w:i/>
    </w:rPr>
  </w:style>
  <w:style w:type="paragraph" w:styleId="FootnoteText">
    <w:name w:val="Footnote Text"/>
    <w:basedOn w:val="Normal"/>
    <w:pPr>
      <w:spacing w:before="0" w:after="40"/>
    </w:pPr>
    <w:rPr>
      <w:sz w:val="18"/>
    </w:rPr>
  </w:style>
  <w:style w:type="paragraph" w:styleId="EndnoteText">
    <w:name w:val="Endnote Text"/>
    <w:basedOn w:val="Normal"/>
    <w:pPr/>
    <w:rPr>
      <w:sz w:val="20"/>
    </w:rPr>
  </w:style>
  <w:style w:type="paragraph" w:styleId="TOC1">
    <w:name w:val="TOC 1"/>
    <w:basedOn w:val="Normal"/>
    <w:pPr>
      <w:spacing w:before="0" w:after="57"/>
    </w:pPr>
    <w:rPr/>
  </w:style>
  <w:style w:type="paragraph" w:styleId="TOC2">
    <w:name w:val="TOC 2"/>
    <w:basedOn w:val="Normal"/>
    <w:pPr>
      <w:spacing w:before="0" w:after="57"/>
      <w:ind w:left="283"/>
    </w:pPr>
    <w:rPr/>
  </w:style>
  <w:style w:type="paragraph" w:styleId="TOC3">
    <w:name w:val="TOC 3"/>
    <w:basedOn w:val="Normal"/>
    <w:pPr>
      <w:spacing w:before="0" w:after="57"/>
      <w:ind w:left="567"/>
    </w:pPr>
    <w:rPr/>
  </w:style>
  <w:style w:type="paragraph" w:styleId="TOC4">
    <w:name w:val="TOC 4"/>
    <w:basedOn w:val="Normal"/>
    <w:pPr>
      <w:spacing w:before="0" w:after="57"/>
      <w:ind w:left="850"/>
    </w:pPr>
    <w:rPr/>
  </w:style>
  <w:style w:type="paragraph" w:styleId="TOC5">
    <w:name w:val="TOC 5"/>
    <w:basedOn w:val="Normal"/>
    <w:pPr>
      <w:spacing w:before="0" w:after="57"/>
      <w:ind w:left="1134"/>
    </w:pPr>
    <w:rPr/>
  </w:style>
  <w:style w:type="paragraph" w:styleId="TOC6">
    <w:name w:val="TOC 6"/>
    <w:basedOn w:val="Normal"/>
    <w:pPr>
      <w:spacing w:before="0" w:after="57"/>
      <w:ind w:left="1417"/>
    </w:pPr>
    <w:rPr/>
  </w:style>
  <w:style w:type="paragraph" w:styleId="TOC7">
    <w:name w:val="TOC 7"/>
    <w:basedOn w:val="Normal"/>
    <w:pPr>
      <w:spacing w:before="0" w:after="57"/>
      <w:ind w:left="1701"/>
    </w:pPr>
    <w:rPr/>
  </w:style>
  <w:style w:type="paragraph" w:styleId="TOC8">
    <w:name w:val="TOC 8"/>
    <w:basedOn w:val="Normal"/>
    <w:pPr>
      <w:spacing w:before="0" w:after="57"/>
      <w:ind w:left="1984"/>
    </w:pPr>
    <w:rPr/>
  </w:style>
  <w:style w:type="paragraph" w:styleId="TOC9">
    <w:name w:val="TOC 9"/>
    <w:basedOn w:val="Normal"/>
    <w:pPr>
      <w:spacing w:before="0" w:after="57"/>
      <w:ind w:left="2268"/>
    </w:pPr>
    <w:rPr/>
  </w:style>
  <w:style w:type="paragraph" w:styleId="IndexHeading">
    <w:name w:val="Index Heading"/>
    <w:basedOn w:val="Style20"/>
    <w:pPr/>
    <w:rPr/>
  </w:style>
  <w:style w:type="paragraph" w:styleId="TOCHeading">
    <w:name w:val="TOC Heading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pPr/>
    <w:rPr/>
  </w:style>
  <w:style w:type="paragraph" w:styleId="Indexheading1">
    <w:name w:val="index heading1"/>
    <w:basedOn w:val="Normal"/>
    <w:qFormat/>
    <w:pPr>
      <w:suppressLineNumbers/>
    </w:pPr>
    <w:rPr>
      <w:rFonts w:cs="Lohit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PlainText">
    <w:name w:val="Plain Text"/>
    <w:basedOn w:val="Normal"/>
    <w:qFormat/>
    <w:pPr/>
    <w:rPr>
      <w:rFonts w:ascii="Courier New" w:hAnsi="Courier New" w:cs="Courier New"/>
      <w:sz w:val="20"/>
      <w:szCs w:val="20"/>
      <w:lang w:val="en-US"/>
    </w:rPr>
  </w:style>
  <w:style w:type="paragraph" w:styleId="ConsNormal">
    <w:name w:val="ConsNormal"/>
    <w:qFormat/>
    <w:pPr>
      <w:widowControl/>
      <w:suppressAutoHyphens w:val="true"/>
      <w:overflowPunct w:val="false"/>
      <w:bidi w:val="0"/>
      <w:spacing w:before="0" w:after="0"/>
      <w:ind w:firstLine="720"/>
      <w:jc w:val="left"/>
    </w:pPr>
    <w:rPr>
      <w:rFonts w:ascii="Consultant" w:hAnsi="Consultant" w:eastAsia="Droid Sans Fallback" w:cs="Consultant"/>
      <w:color w:val="auto"/>
      <w:kern w:val="0"/>
      <w:sz w:val="20"/>
      <w:szCs w:val="20"/>
      <w:lang w:val="ru-RU" w:eastAsia="zh-CN" w:bidi="ar-SA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Style22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3">
    <w:name w:val="Знак Знак Знак Знак Знак Знак Знак Знак Знак Знак Знак Знак"/>
    <w:basedOn w:val="Normal"/>
    <w:qFormat/>
    <w:pPr/>
    <w:rPr>
      <w:rFonts w:ascii="Verdana" w:hAnsi="Verdana" w:cs="Verdana"/>
      <w:sz w:val="20"/>
      <w:szCs w:val="20"/>
      <w:lang w:val="en-US"/>
    </w:rPr>
  </w:style>
  <w:style w:type="paragraph" w:styleId="ConsPlusNormal">
    <w:name w:val="ConsPlus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Lohit Devanagari"/>
      <w:color w:val="auto"/>
      <w:kern w:val="0"/>
      <w:sz w:val="20"/>
      <w:szCs w:val="20"/>
      <w:lang w:val="ru-RU" w:eastAsia="zh-CN" w:bidi="ar-SA"/>
    </w:rPr>
  </w:style>
  <w:style w:type="paragraph" w:styleId="Header">
    <w:name w:val="Header"/>
    <w:pPr>
      <w:widowControl/>
      <w:tabs>
        <w:tab w:val="clear" w:pos="708"/>
        <w:tab w:val="center" w:pos="4153" w:leader="none"/>
        <w:tab w:val="right" w:pos="8306" w:leader="none"/>
      </w:tabs>
      <w:suppressAutoHyphens w:val="true"/>
      <w:overflowPunct w:val="false"/>
      <w:bidi w:val="0"/>
      <w:spacing w:before="0" w:after="0"/>
      <w:jc w:val="center"/>
    </w:pPr>
    <w:rPr>
      <w:rFonts w:ascii="Times New Roman" w:hAnsi="Times New Roman" w:eastAsia="Droid Sans Fallback" w:cs="Lohit Devanagari"/>
      <w:color w:val="auto"/>
      <w:kern w:val="0"/>
      <w:sz w:val="16"/>
      <w:szCs w:val="20"/>
      <w:lang w:val="ru-RU" w:eastAsia="zh-CN" w:bidi="ar-SA"/>
    </w:rPr>
  </w:style>
  <w:style w:type="paragraph" w:styleId="BodyTextIndent3">
    <w:name w:val="Body Text Indent 3"/>
    <w:basedOn w:val="Normal"/>
    <w:qFormat/>
    <w:pPr>
      <w:spacing w:before="0" w:after="120"/>
      <w:ind w:left="283"/>
    </w:pPr>
    <w:rPr>
      <w:sz w:val="16"/>
      <w:szCs w:val="16"/>
      <w:lang w:val="en-US"/>
    </w:rPr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Default">
    <w:name w:val="Default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Droid Sans Fallback" w:cs="Lohit Devanagari"/>
      <w:color w:val="000000"/>
      <w:kern w:val="0"/>
      <w:sz w:val="24"/>
      <w:szCs w:val="24"/>
      <w:lang w:val="ru-RU" w:eastAsia="zh-CN" w:bidi="ar-SA"/>
    </w:rPr>
  </w:style>
  <w:style w:type="paragraph" w:styleId="Style24">
    <w:name w:val="Содержимое таблицы"/>
    <w:basedOn w:val="Normal"/>
    <w:qFormat/>
    <w:pPr>
      <w:widowControl w:val="false"/>
      <w:suppressLineNumbers/>
    </w:pPr>
    <w:rPr/>
  </w:style>
  <w:style w:type="paragraph" w:styleId="Style25">
    <w:name w:val="Заголовок таблицы"/>
    <w:basedOn w:val="Style24"/>
    <w:qFormat/>
    <w:pPr>
      <w:jc w:val="center"/>
    </w:pPr>
    <w:rPr>
      <w:b/>
      <w:bCs/>
    </w:rPr>
  </w:style>
  <w:style w:type="paragraph" w:styleId="TimesNewRoman">
    <w:name w:val="Times New Roman"/>
    <w:qFormat/>
    <w:pPr>
      <w:keepNext w:val="false"/>
      <w:keepLines w:val="false"/>
      <w:pageBreakBefore w:val="false"/>
      <w:widowControl/>
      <w:suppressAutoHyphens w:val="true"/>
      <w:overflowPunct w:val="false"/>
      <w:bidi w:val="0"/>
      <w:spacing w:lineRule="auto" w:line="240" w:before="0" w:after="0"/>
      <w:ind w:firstLine="311" w:left="0" w:right="0"/>
      <w:jc w:val="both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kern w:val="0"/>
      <w:position w:val="0"/>
      <w:sz w:val="24"/>
      <w:sz w:val="24"/>
      <w:szCs w:val="24"/>
      <w:u w:val="none"/>
      <w:vertAlign w:val="baseline"/>
      <w:lang w:val="ru-RU" w:eastAsia="ru-RU" w:bidi="ar-SA"/>
    </w:rPr>
  </w:style>
  <w:style w:type="paragraph" w:styleId="ConsPlusNonformat">
    <w:name w:val="ConsPlusNonformat"/>
    <w:qFormat/>
    <w:pPr>
      <w:keepNext w:val="false"/>
      <w:keepLines w:val="false"/>
      <w:pageBreakBefore w:val="false"/>
      <w:widowControl w:val="false"/>
      <w:shd w:val="nil" w:color="000000"/>
      <w:suppressAutoHyphens w:val="true"/>
      <w:bidi w:val="0"/>
      <w:spacing w:lineRule="auto" w:line="240" w:beforeAutospacing="0" w:before="0" w:afterAutospacing="0" w:after="0"/>
      <w:ind w:hanging="0" w:left="0" w:right="0"/>
      <w:jc w:val="left"/>
    </w:pPr>
    <w:rPr>
      <w:rFonts w:ascii="Courier New" w:hAnsi="Courier New" w:eastAsia="Times New Roman" w:cs="Courier New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kern w:val="0"/>
      <w:position w:val="0"/>
      <w:sz w:val="20"/>
      <w:sz w:val="20"/>
      <w:szCs w:val="20"/>
      <w:u w:val="none"/>
      <w:vertAlign w:val="baseline"/>
      <w:lang w:val="ru-RU" w:eastAsia="ru-RU" w:bidi="ar-SA"/>
      <w14:ligatures w14:val="none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torgi.gov.ru/" TargetMode="External"/><Relationship Id="rId3" Type="http://schemas.openxmlformats.org/officeDocument/2006/relationships/hyperlink" Target="http://www.gorodperm.ru/" TargetMode="External"/><Relationship Id="rId4" Type="http://schemas.openxmlformats.org/officeDocument/2006/relationships/hyperlink" Target="http://utp.sberbank-ast.ru/" TargetMode="External"/><Relationship Id="rId5" Type="http://schemas.openxmlformats.org/officeDocument/2006/relationships/hyperlink" Target="http://utp.sberbank-ast.ru/" TargetMode="External"/><Relationship Id="rId6" Type="http://schemas.openxmlformats.org/officeDocument/2006/relationships/hyperlink" Target="https://utp.sberbank-ast.ru/Main/Notice/988/Reglament" TargetMode="External"/><Relationship Id="rId7" Type="http://schemas.openxmlformats.org/officeDocument/2006/relationships/hyperlink" Target="https://utp.sberbank-ast.ru/AP/Notice/1027/Instructions" TargetMode="External"/><Relationship Id="rId8" Type="http://schemas.openxmlformats.org/officeDocument/2006/relationships/hyperlink" Target="https://utp.sberbank-ast.ru/AP/Notice/652/Instructions" TargetMode="External"/><Relationship Id="rId9" Type="http://schemas.openxmlformats.org/officeDocument/2006/relationships/hyperlink" Target="http://www.gorodperm.ru/" TargetMode="External"/><Relationship Id="rId10" Type="http://schemas.openxmlformats.org/officeDocument/2006/relationships/hyperlink" Target="http://www.gorodperm.ru/" TargetMode="External"/><Relationship Id="rId11" Type="http://schemas.openxmlformats.org/officeDocument/2006/relationships/hyperlink" Target="mailto:perm-mail@ural.rt.ru" TargetMode="External"/><Relationship Id="rId12" Type="http://schemas.openxmlformats.org/officeDocument/2006/relationships/hyperlink" Target="mailto:perm-mail@ural.rt.ru." TargetMode="External"/><Relationship Id="rId13" Type="http://schemas.openxmlformats.org/officeDocument/2006/relationships/hyperlink" Target="http://www.gorodperm.ru/" TargetMode="External"/><Relationship Id="rId14" Type="http://schemas.openxmlformats.org/officeDocument/2006/relationships/hyperlink" Target="http://www.gorodperm.ru/" TargetMode="External"/><Relationship Id="rId15" Type="http://schemas.openxmlformats.org/officeDocument/2006/relationships/hyperlink" Target="mailto:perm-mail@ural.rt.ru" TargetMode="External"/><Relationship Id="rId16" Type="http://schemas.openxmlformats.org/officeDocument/2006/relationships/hyperlink" Target="mailto:perm-mail@ural.rt.ru." TargetMode="External"/><Relationship Id="rId17" Type="http://schemas.openxmlformats.org/officeDocument/2006/relationships/hyperlink" Target="http://www.gorodperm.ru/" TargetMode="External"/><Relationship Id="rId18" Type="http://schemas.openxmlformats.org/officeDocument/2006/relationships/hyperlink" Target="http://www.gorodperm.ru/" TargetMode="External"/><Relationship Id="rId19" Type="http://schemas.openxmlformats.org/officeDocument/2006/relationships/hyperlink" Target="mailto:perm-mail@ural.rt.ru" TargetMode="External"/><Relationship Id="rId20" Type="http://schemas.openxmlformats.org/officeDocument/2006/relationships/hyperlink" Target="mailto:perm-mail@ural.rt.ru." TargetMode="External"/><Relationship Id="rId21" Type="http://schemas.openxmlformats.org/officeDocument/2006/relationships/hyperlink" Target="http://www.gorodperm.ru/" TargetMode="External"/><Relationship Id="rId22" Type="http://schemas.openxmlformats.org/officeDocument/2006/relationships/hyperlink" Target="http://www.gorodperm.ru/" TargetMode="External"/><Relationship Id="rId23" Type="http://schemas.openxmlformats.org/officeDocument/2006/relationships/hyperlink" Target="mailto:perm-mail@ural.rt.ru" TargetMode="External"/><Relationship Id="rId24" Type="http://schemas.openxmlformats.org/officeDocument/2006/relationships/hyperlink" Target="mailto:perm-mail@ural.rt.ru." TargetMode="External"/><Relationship Id="rId25" Type="http://schemas.openxmlformats.org/officeDocument/2006/relationships/hyperlink" Target="http://www.gorodperm.ru/" TargetMode="External"/><Relationship Id="rId26" Type="http://schemas.openxmlformats.org/officeDocument/2006/relationships/hyperlink" Target="http://www.gorodperm.ru/" TargetMode="External"/><Relationship Id="rId27" Type="http://schemas.openxmlformats.org/officeDocument/2006/relationships/hyperlink" Target="mailto:perm-mail@ural.rt.ru" TargetMode="External"/><Relationship Id="rId28" Type="http://schemas.openxmlformats.org/officeDocument/2006/relationships/hyperlink" Target="mailto:perm-mail@ural.rt.ru." TargetMode="External"/><Relationship Id="rId29" Type="http://schemas.openxmlformats.org/officeDocument/2006/relationships/hyperlink" Target="http://www.gorodperm.ru/" TargetMode="External"/><Relationship Id="rId30" Type="http://schemas.openxmlformats.org/officeDocument/2006/relationships/hyperlink" Target="http://www.gorodperm.ru/" TargetMode="External"/><Relationship Id="rId31" Type="http://schemas.openxmlformats.org/officeDocument/2006/relationships/hyperlink" Target="mailto:perm-mail@ural.rt.ru" TargetMode="External"/><Relationship Id="rId32" Type="http://schemas.openxmlformats.org/officeDocument/2006/relationships/hyperlink" Target="mailto:perm-mail@ural.rt.ru." TargetMode="External"/><Relationship Id="rId33" Type="http://schemas.openxmlformats.org/officeDocument/2006/relationships/hyperlink" Target="http://www.gorodperm.ru/" TargetMode="External"/><Relationship Id="rId34" Type="http://schemas.openxmlformats.org/officeDocument/2006/relationships/hyperlink" Target="http://www.gorodperm.ru/" TargetMode="External"/><Relationship Id="rId35" Type="http://schemas.openxmlformats.org/officeDocument/2006/relationships/hyperlink" Target="mailto:perm-mail@ural.rt.ru" TargetMode="External"/><Relationship Id="rId36" Type="http://schemas.openxmlformats.org/officeDocument/2006/relationships/hyperlink" Target="mailto:perm-mail@ural.rt.ru." TargetMode="External"/><Relationship Id="rId37" Type="http://schemas.openxmlformats.org/officeDocument/2006/relationships/hyperlink" Target="http://utp.sberbank-ast.ru/AP/Notice/653/Requisites" TargetMode="External"/><Relationship Id="rId38" Type="http://schemas.openxmlformats.org/officeDocument/2006/relationships/header" Target="header1.xml"/><Relationship Id="rId39" Type="http://schemas.openxmlformats.org/officeDocument/2006/relationships/header" Target="header2.xml"/><Relationship Id="rId40" Type="http://schemas.openxmlformats.org/officeDocument/2006/relationships/numbering" Target="numbering.xml"/><Relationship Id="rId41" Type="http://schemas.openxmlformats.org/officeDocument/2006/relationships/fontTable" Target="fontTable.xml"/><Relationship Id="rId42" Type="http://schemas.openxmlformats.org/officeDocument/2006/relationships/settings" Target="settings.xml"/><Relationship Id="rId4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1727</TotalTime>
  <Application>LibreOffice/7.6.7.2$Linux_X86_64 LibreOffice_project/60$Build-2</Application>
  <AppVersion>15.0000</AppVersion>
  <Pages>89</Pages>
  <Words>26734</Words>
  <Characters>197507</Characters>
  <CharactersWithSpaces>223715</CharactersWithSpaces>
  <Paragraphs>1112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2023-10-30T09:15:00Z</dcterms:created>
  <dc:creator>Tatyannikova</dc:creator>
  <dc:description/>
  <dc:language>ru-RU</dc:language>
  <cp:lastModifiedBy/>
  <dcterms:modified xsi:type="dcterms:W3CDTF">2026-09-24T10:29:40Z</dcterms:modified>
  <cp:revision>376</cp:revision>
  <dc:subject/>
  <dc:title>Департамент имущественных отношений администрации города Перми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