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92"/>
        <w:ind w:firstLine="0"/>
        <w:spacing w:line="280" w:lineRule="exact"/>
        <w:rPr>
          <w:b w:val="0"/>
          <w:sz w:val="24"/>
          <w:szCs w:val="24"/>
        </w:rPr>
        <w:outlineLvl w:val="0"/>
      </w:pPr>
      <w:r>
        <w:rPr>
          <w:b w:val="0"/>
          <w:sz w:val="24"/>
          <w:szCs w:val="24"/>
        </w:rPr>
        <w:t xml:space="preserve">Департамент имущественных отношений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администрации г</w:t>
      </w:r>
      <w:r>
        <w:rPr>
          <w:b w:val="0"/>
          <w:sz w:val="24"/>
          <w:szCs w:val="24"/>
        </w:rPr>
        <w:t xml:space="preserve">орода</w:t>
      </w:r>
      <w:r>
        <w:rPr>
          <w:b w:val="0"/>
          <w:sz w:val="24"/>
          <w:szCs w:val="24"/>
        </w:rPr>
        <w:t xml:space="preserve"> Перми</w:t>
      </w:r>
      <w:r>
        <w:rPr>
          <w:b w:val="0"/>
          <w:sz w:val="24"/>
          <w:szCs w:val="24"/>
        </w:rPr>
      </w:r>
      <w:r>
        <w:rPr>
          <w:b w:val="0"/>
          <w:sz w:val="24"/>
          <w:szCs w:val="24"/>
        </w:rPr>
      </w:r>
    </w:p>
    <w:p>
      <w:pPr>
        <w:pStyle w:val="992"/>
        <w:ind w:firstLine="0"/>
        <w:spacing w:line="280" w:lineRule="exac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ПРОТОКОЛ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1014"/>
        <w:ind w:firstLine="0"/>
        <w:jc w:val="center"/>
        <w:spacing w:line="240" w:lineRule="exact"/>
        <w:widowControl/>
        <w:rPr>
          <w:rStyle w:val="1015"/>
          <w:color w:val="000000"/>
          <w:sz w:val="24"/>
          <w:szCs w:val="24"/>
        </w:rPr>
      </w:pPr>
      <w:r>
        <w:rPr>
          <w:rStyle w:val="1015"/>
          <w:color w:val="000000"/>
          <w:sz w:val="24"/>
          <w:szCs w:val="24"/>
        </w:rPr>
        <w:t xml:space="preserve">комиссии по организации приватизации имущества, принадлежащего на праве собственности муниципальному образованию город Пермь </w:t>
      </w:r>
      <w:r>
        <w:rPr>
          <w:rStyle w:val="1015"/>
          <w:color w:val="000000"/>
          <w:sz w:val="24"/>
          <w:szCs w:val="24"/>
        </w:rPr>
      </w:r>
      <w:r>
        <w:rPr>
          <w:rStyle w:val="1015"/>
          <w:color w:val="000000"/>
          <w:sz w:val="24"/>
          <w:szCs w:val="24"/>
        </w:rPr>
      </w:r>
    </w:p>
    <w:p>
      <w:pPr>
        <w:pStyle w:val="992"/>
        <w:ind w:firstLine="0"/>
        <w:spacing w:line="280" w:lineRule="exact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5"/>
        <w:jc w:val="both"/>
        <w:spacing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г.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Пермь</w:t>
        <w:tab/>
        <w:t xml:space="preserve">                                                                              </w:t>
      </w: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2</w:t>
      </w:r>
      <w:r>
        <w:rPr>
          <w:sz w:val="24"/>
          <w:szCs w:val="24"/>
        </w:rPr>
        <w:t xml:space="preserve">3.09</w:t>
      </w:r>
      <w:r>
        <w:rPr>
          <w:sz w:val="24"/>
          <w:szCs w:val="24"/>
        </w:rPr>
        <w:t xml:space="preserve">.2026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5"/>
        <w:jc w:val="both"/>
        <w:spacing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14"/>
        <w:ind w:firstLine="709"/>
        <w:jc w:val="both"/>
        <w:spacing w:line="240" w:lineRule="auto"/>
        <w:widowControl/>
        <w:rPr>
          <w:sz w:val="24"/>
          <w:szCs w:val="24"/>
        </w:rPr>
      </w:pPr>
      <w:r>
        <w:rPr>
          <w:rStyle w:val="1015"/>
          <w:b w:val="0"/>
          <w:color w:val="000000"/>
          <w:sz w:val="24"/>
          <w:szCs w:val="24"/>
        </w:rPr>
        <w:t xml:space="preserve">Комисси</w:t>
      </w:r>
      <w:r>
        <w:rPr>
          <w:rStyle w:val="1015"/>
          <w:b w:val="0"/>
          <w:color w:val="000000"/>
          <w:sz w:val="24"/>
          <w:szCs w:val="24"/>
        </w:rPr>
        <w:t xml:space="preserve">я</w:t>
      </w:r>
      <w:r>
        <w:rPr>
          <w:rStyle w:val="1015"/>
          <w:b w:val="0"/>
          <w:color w:val="000000"/>
          <w:sz w:val="24"/>
          <w:szCs w:val="24"/>
        </w:rPr>
        <w:t xml:space="preserve"> по организации приватизации имущества, принадлежащего на праве собственности муниципальному образованию город Пермь</w:t>
      </w:r>
      <w:r>
        <w:rPr>
          <w:sz w:val="24"/>
          <w:szCs w:val="24"/>
        </w:rPr>
        <w:t xml:space="preserve">, утвержденная приказом начальника департамента имущественных отношений администрации города Перми от </w:t>
      </w:r>
      <w:r>
        <w:rPr>
          <w:sz w:val="24"/>
          <w:szCs w:val="24"/>
        </w:rPr>
        <w:t xml:space="preserve">22.08.2022</w:t>
      </w:r>
      <w:r>
        <w:rPr>
          <w:sz w:val="24"/>
          <w:szCs w:val="24"/>
        </w:rPr>
        <w:t xml:space="preserve"> </w:t>
        <w:br/>
        <w:t xml:space="preserve">№ </w:t>
      </w:r>
      <w:r>
        <w:rPr>
          <w:sz w:val="24"/>
          <w:szCs w:val="24"/>
        </w:rPr>
        <w:t xml:space="preserve">059-19-01-11-113</w:t>
      </w:r>
      <w:r>
        <w:rPr>
          <w:sz w:val="24"/>
          <w:szCs w:val="24"/>
        </w:rPr>
        <w:t xml:space="preserve"> (в ред. от 11.08.2026)</w:t>
      </w:r>
      <w:r>
        <w:rPr>
          <w:sz w:val="24"/>
          <w:szCs w:val="24"/>
        </w:rPr>
        <w:t xml:space="preserve">, в составе: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14"/>
        <w:ind w:firstLine="709"/>
        <w:jc w:val="both"/>
        <w:spacing w:line="240" w:lineRule="exact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93"/>
        <w:ind w:left="2835" w:right="0" w:hanging="2835"/>
        <w:jc w:val="both"/>
        <w:tabs>
          <w:tab w:val="left" w:pos="708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lang w:val="ru-RU"/>
        </w:rPr>
        <w:t xml:space="preserve">председатель комиссии: 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  <w:t xml:space="preserve">Соснин А.В.,</w:t>
      </w:r>
      <w:r/>
      <w:r>
        <w:rPr>
          <w:sz w:val="24"/>
          <w:szCs w:val="24"/>
          <w:lang w:val="ru-RU"/>
        </w:rPr>
        <w:t xml:space="preserve"> и.о. </w:t>
      </w:r>
      <w:r>
        <w:rPr>
          <w:sz w:val="24"/>
          <w:szCs w:val="24"/>
          <w:lang w:val="ru-RU"/>
        </w:rPr>
        <w:t xml:space="preserve">начальника департамента имущественных отношений администрации города Перми</w:t>
      </w:r>
      <w:r>
        <w:rPr>
          <w:sz w:val="24"/>
          <w:szCs w:val="24"/>
          <w:lang w:val="ru-RU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93"/>
        <w:ind w:left="1843" w:right="0" w:hanging="1843"/>
        <w:jc w:val="both"/>
        <w:tabs>
          <w:tab w:val="left" w:pos="708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lang w:val="ru-RU"/>
        </w:rPr>
        <w:t xml:space="preserve">члены комиссии: Меденникова С.В.</w:t>
      </w:r>
      <w:r>
        <w:rPr>
          <w:sz w:val="24"/>
          <w:szCs w:val="24"/>
        </w:rPr>
        <w:t xml:space="preserve">, заместитель начальника управления - начальник отдела </w:t>
        <w:br/>
        <w:t xml:space="preserve">по распоряжению муниципальным имуществом управления по распоряжению муниципальным имуществом 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93"/>
        <w:ind w:left="1843" w:right="0" w:firstLine="0"/>
        <w:jc w:val="both"/>
        <w:tabs>
          <w:tab w:val="left" w:pos="708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w:t xml:space="preserve">Селезнева Е.Ю., </w:t>
      </w:r>
      <w:r>
        <w:rPr>
          <w:sz w:val="24"/>
          <w:szCs w:val="24"/>
        </w:rPr>
        <w:t xml:space="preserve">заместитель начальника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</w:t>
        <w:br/>
        <w:t xml:space="preserve">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93"/>
        <w:ind w:left="1843" w:right="0" w:firstLine="0"/>
        <w:jc w:val="both"/>
        <w:tabs>
          <w:tab w:val="left" w:pos="708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w:t xml:space="preserve">Четина Ю.И., </w:t>
      </w:r>
      <w:r>
        <w:rPr>
          <w:sz w:val="24"/>
          <w:szCs w:val="24"/>
        </w:rPr>
        <w:t xml:space="preserve">заместитель начальника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</w:t>
        <w:br/>
        <w:t xml:space="preserve">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85"/>
        <w:ind w:left="1843" w:right="0" w:firstLine="0"/>
        <w:jc w:val="both"/>
        <w:spacing w:line="280" w:lineRule="exact"/>
        <w:tabs>
          <w:tab w:val="left" w:pos="2805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lang w:val="ru-RU"/>
        </w:rPr>
        <w:t xml:space="preserve">Нестерова М.С., </w:t>
      </w:r>
      <w:r>
        <w:rPr>
          <w:sz w:val="24"/>
          <w:szCs w:val="24"/>
          <w:lang w:val="ru-RU"/>
        </w:rPr>
        <w:t xml:space="preserve">консультант</w:t>
      </w:r>
      <w:r>
        <w:rPr>
          <w:sz w:val="24"/>
          <w:szCs w:val="24"/>
        </w:rPr>
        <w:t xml:space="preserve"> отдела по распоряжению муниципальным</w:t>
        <w:br/>
        <w:t xml:space="preserve">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1843" w:right="0" w:firstLine="0"/>
        <w:jc w:val="both"/>
        <w:spacing w:line="280" w:lineRule="exact"/>
        <w:tabs>
          <w:tab w:val="left" w:pos="2805" w:leader="none"/>
        </w:tabs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Павлова О.И., </w:t>
      </w:r>
      <w:r>
        <w:rPr>
          <w:sz w:val="24"/>
          <w:szCs w:val="24"/>
          <w:lang w:val="ru-RU"/>
        </w:rPr>
        <w:t xml:space="preserve">консультант</w:t>
      </w:r>
      <w:r>
        <w:rPr>
          <w:sz w:val="24"/>
          <w:szCs w:val="24"/>
        </w:rPr>
        <w:t xml:space="preserve"> отдела по распоряжению муниципальным</w:t>
        <w:br/>
        <w:t xml:space="preserve">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14"/>
        <w:ind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93"/>
        <w:ind w:left="0"/>
        <w:tabs>
          <w:tab w:val="left" w:pos="70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установила: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93"/>
        <w:numPr>
          <w:ilvl w:val="0"/>
          <w:numId w:val="58"/>
        </w:numPr>
        <w:ind w:left="0" w:firstLine="709"/>
        <w:jc w:val="both"/>
        <w:tabs>
          <w:tab w:val="left" w:pos="708" w:leader="none"/>
          <w:tab w:val="left" w:pos="993" w:leader="none"/>
          <w:tab w:val="clear" w:pos="2805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На участие </w:t>
      </w:r>
      <w:r>
        <w:rPr>
          <w:sz w:val="24"/>
          <w:szCs w:val="24"/>
        </w:rPr>
        <w:t xml:space="preserve">в аукционе </w:t>
      </w:r>
      <w:r>
        <w:rPr>
          <w:rFonts w:eastAsia="Courier New"/>
          <w:sz w:val="24"/>
          <w:szCs w:val="24"/>
          <w:lang w:bidi="ru-RU"/>
        </w:rPr>
        <w:t xml:space="preserve">в электронной форме</w:t>
      </w:r>
      <w:r>
        <w:rPr>
          <w:sz w:val="24"/>
          <w:szCs w:val="24"/>
        </w:rPr>
        <w:t xml:space="preserve"> по </w:t>
      </w:r>
      <w:r>
        <w:rPr>
          <w:rFonts w:eastAsia="Courier New"/>
          <w:sz w:val="24"/>
          <w:szCs w:val="24"/>
          <w:lang w:bidi="ru-RU"/>
        </w:rPr>
        <w:t xml:space="preserve">продаже муниципального имущества</w:t>
      </w:r>
      <w:r>
        <w:rPr>
          <w:sz w:val="24"/>
          <w:szCs w:val="24"/>
        </w:rPr>
        <w:t xml:space="preserve">, назначенном на</w:t>
      </w:r>
      <w:r>
        <w:rPr>
          <w:sz w:val="24"/>
          <w:szCs w:val="24"/>
        </w:rPr>
        <w:t xml:space="preserve"> 25.09</w:t>
      </w:r>
      <w:r>
        <w:rPr>
          <w:sz w:val="24"/>
          <w:szCs w:val="24"/>
        </w:rPr>
        <w:t xml:space="preserve">.2026,</w:t>
      </w:r>
      <w:r>
        <w:rPr>
          <w:sz w:val="24"/>
          <w:szCs w:val="24"/>
        </w:rPr>
        <w:t xml:space="preserve"> (процедура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4"/>
          <w:szCs w:val="24"/>
        </w:rPr>
        <w:t xml:space="preserve">SBR012-2608060030)</w:t>
      </w:r>
      <w:r>
        <w:rPr>
          <w:sz w:val="24"/>
          <w:szCs w:val="24"/>
          <w:lang w:val="ru-RU"/>
        </w:rPr>
        <w:t xml:space="preserve"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93"/>
        <w:ind w:left="0"/>
        <w:jc w:val="both"/>
        <w:tabs>
          <w:tab w:val="left" w:pos="70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по лоту № 1 </w:t>
      </w: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Лом и отходы черных металлов, включая массу засоренности, находящиеся по адресу: г. Пермь, ул. Волочаевская, 32, общим весом 1285,96 тонн.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</w:p>
    <w:p>
      <w:pPr>
        <w:pStyle w:val="985"/>
        <w:jc w:val="both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</w:r>
      <w:r>
        <w:rPr>
          <w:b/>
          <w:sz w:val="24"/>
          <w:szCs w:val="24"/>
          <w:shd w:val="clear" w:color="auto" w:fill="ffffff"/>
        </w:rPr>
      </w:r>
      <w:r>
        <w:rPr>
          <w:b/>
          <w:sz w:val="24"/>
          <w:szCs w:val="24"/>
          <w:shd w:val="clear" w:color="auto" w:fill="ffffff"/>
        </w:rPr>
      </w:r>
    </w:p>
    <w:p>
      <w:pPr>
        <w:pStyle w:val="985"/>
        <w:ind w:firstLine="709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Поступили 12 заявок: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pPr>
      <w:r>
        <w:rPr>
          <w:sz w:val="24"/>
          <w:szCs w:val="24"/>
          <w:highlight w:val="none"/>
        </w:rPr>
        <w:t xml:space="preserve">ООО «РМИ-Сталь» (заявка № </w:t>
      </w:r>
      <w:r>
        <w:rPr>
          <w:sz w:val="26"/>
          <w:szCs w:val="26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8020);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highlight w:val="none"/>
        </w:rPr>
      </w:r>
      <w:r>
        <w:rPr>
          <w:highlight w:val="none"/>
        </w:rPr>
      </w:r>
      <w:r>
        <w:rPr>
          <w:sz w:val="24"/>
          <w:szCs w:val="24"/>
          <w:highlight w:val="none"/>
        </w:rPr>
        <w:t xml:space="preserve">ООО «Вторичные металлы»</w:t>
      </w:r>
      <w:r>
        <w:rPr>
          <w:sz w:val="24"/>
          <w:szCs w:val="24"/>
          <w:highlight w:val="none"/>
        </w:rPr>
        <w:t xml:space="preserve">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8369</w:t>
      </w:r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«Русмет»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3875</w:t>
      </w:r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sz w:val="24"/>
          <w:szCs w:val="24"/>
        </w:rPr>
        <w:t xml:space="preserve">ООО «ТрансЛом» (заявка №</w:t>
      </w:r>
      <w:r/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4877</w:t>
      </w:r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АО «Корпорация ЛИС» (заявка № 625);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sz w:val="24"/>
          <w:szCs w:val="24"/>
        </w:rPr>
        <w:t xml:space="preserve">ООО «УралМеталлург» (заявка № </w:t>
      </w:r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717</w:t>
      </w:r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«УРАЛНЭЙД» (заявка № 132);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«МЕТА»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6894</w:t>
      </w:r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sz w:val="24"/>
          <w:szCs w:val="24"/>
        </w:rPr>
        <w:t xml:space="preserve">ООО «МетОптТорг»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8789</w:t>
      </w:r>
      <w:r/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sz w:val="24"/>
          <w:szCs w:val="24"/>
          <w:highlight w:val="none"/>
        </w:rPr>
        <w:t xml:space="preserve">ООО «ГрандСервис»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7502</w:t>
      </w:r>
      <w:r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sz w:val="24"/>
          <w:szCs w:val="24"/>
          <w:highlight w:val="none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OOO ТК «ЧЕРМЕТ» (заявка № 8484);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</w:p>
    <w:p>
      <w:pPr>
        <w:pStyle w:val="825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«СалдаВторМет» (заявка № 6135).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</w:p>
    <w:p>
      <w:pPr>
        <w:pStyle w:val="98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5"/>
        <w:ind w:firstLine="709"/>
        <w:jc w:val="both"/>
        <w:tabs>
          <w:tab w:val="left" w:pos="284" w:leader="none"/>
        </w:tabs>
        <w:rPr>
          <w:sz w:val="26"/>
          <w:szCs w:val="26"/>
        </w:rPr>
      </w:pPr>
      <w:r>
        <w:rPr>
          <w:sz w:val="24"/>
          <w:szCs w:val="24"/>
        </w:rPr>
        <w:t xml:space="preserve">2. Зарегистрированные заявки на участие в аукционе в электронной форме по продаже муниципального имущества претенденты не отзывали.</w:t>
      </w:r>
      <w:r>
        <w:rPr>
          <w:sz w:val="24"/>
          <w:szCs w:val="24"/>
        </w:rPr>
      </w:r>
      <w:r>
        <w:rPr>
          <w:sz w:val="26"/>
          <w:szCs w:val="26"/>
        </w:rPr>
      </w:r>
    </w:p>
    <w:p>
      <w:pPr>
        <w:pStyle w:val="985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</w:r>
      <w:r>
        <w:rPr>
          <w:sz w:val="24"/>
          <w:szCs w:val="24"/>
          <w:shd w:val="clear" w:color="auto" w:fill="ffffff"/>
        </w:rPr>
      </w:r>
      <w:r>
        <w:rPr>
          <w:sz w:val="24"/>
          <w:szCs w:val="24"/>
          <w:shd w:val="clear" w:color="auto" w:fill="ffffff"/>
        </w:rPr>
      </w:r>
    </w:p>
    <w:p>
      <w:pPr>
        <w:pStyle w:val="985"/>
        <w:ind w:firstLine="708"/>
        <w:jc w:val="both"/>
        <w:rPr>
          <w:sz w:val="26"/>
          <w:szCs w:val="26"/>
        </w:rPr>
      </w:pPr>
      <w:r>
        <w:rPr>
          <w:sz w:val="24"/>
          <w:szCs w:val="24"/>
        </w:rPr>
        <w:t xml:space="preserve">Комиссия решила: </w:t>
      </w:r>
      <w:r>
        <w:rPr>
          <w:sz w:val="24"/>
          <w:szCs w:val="24"/>
        </w:rPr>
      </w:r>
      <w:r>
        <w:rPr>
          <w:sz w:val="26"/>
          <w:szCs w:val="26"/>
        </w:rPr>
      </w:r>
    </w:p>
    <w:p>
      <w:pPr>
        <w:pStyle w:val="996"/>
        <w:numPr>
          <w:ilvl w:val="0"/>
          <w:numId w:val="55"/>
        </w:numPr>
        <w:ind w:left="0" w:firstLine="709"/>
        <w:jc w:val="both"/>
        <w:tabs>
          <w:tab w:val="left" w:pos="851" w:leader="none"/>
          <w:tab w:val="left" w:pos="1134" w:leader="none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на основании Федерального закона Российской Федерации от 21.12.2001 </w:t>
        <w:br/>
        <w:t xml:space="preserve">№ 178-ФЗ «О приватизации государственного и муниципального имущества», </w:t>
      </w:r>
      <w:r>
        <w:rPr>
          <w:rFonts w:ascii="Times New Roman" w:hAnsi="Times New Roman"/>
          <w:sz w:val="24"/>
          <w:szCs w:val="24"/>
          <w:lang w:val="en-US"/>
        </w:rPr>
        <w:t xml:space="preserve">Положени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  <w:br/>
        <w:t xml:space="preserve">«Об организации и проведении продажи государственного или муниципального имущества в электронной форме», утвержденн</w:t>
      </w:r>
      <w:r>
        <w:rPr>
          <w:rFonts w:ascii="Times New Roman" w:hAnsi="Times New Roman"/>
          <w:sz w:val="24"/>
          <w:szCs w:val="24"/>
        </w:rPr>
        <w:t xml:space="preserve">ого</w:t>
      </w:r>
      <w:r>
        <w:rPr>
          <w:rFonts w:ascii="Times New Roman" w:hAnsi="Times New Roman"/>
          <w:sz w:val="24"/>
          <w:szCs w:val="24"/>
          <w:lang w:val="en-US"/>
        </w:rPr>
        <w:t xml:space="preserve"> Постановлением Правительства Российской Федерации от 27 августа 2012 года № 860</w:t>
      </w:r>
      <w:r>
        <w:rPr>
          <w:rFonts w:ascii="Times New Roman" w:hAnsi="Times New Roman"/>
          <w:sz w:val="24"/>
          <w:szCs w:val="24"/>
        </w:rPr>
        <w:t xml:space="preserve">, признать участниками аукциона следующих претендентов: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996"/>
        <w:jc w:val="both"/>
        <w:tabs>
          <w:tab w:val="left" w:pos="993" w:leader="none"/>
          <w:tab w:val="left" w:pos="1134" w:leader="none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985"/>
        <w:ind w:firstLine="708"/>
        <w:jc w:val="both"/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по лоту № </w:t>
      </w:r>
      <w:r>
        <w:rPr>
          <w:b/>
          <w:sz w:val="24"/>
          <w:szCs w:val="24"/>
        </w:rPr>
        <w:t xml:space="preserve">1</w:t>
      </w:r>
      <w:r>
        <w:rPr>
          <w:b/>
          <w:sz w:val="24"/>
          <w:szCs w:val="24"/>
        </w:rPr>
      </w:r>
      <w:r>
        <w:rPr>
          <w:b/>
          <w:sz w:val="26"/>
          <w:szCs w:val="26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pPr>
      <w:r>
        <w:rPr>
          <w:sz w:val="24"/>
          <w:szCs w:val="24"/>
          <w:highlight w:val="none"/>
        </w:rPr>
        <w:t xml:space="preserve">ООО «РМИ-Сталь»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8020);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highlight w:val="none"/>
        </w:rPr>
      </w:r>
      <w:r>
        <w:rPr>
          <w:sz w:val="24"/>
          <w:szCs w:val="24"/>
          <w:highlight w:val="none"/>
        </w:rPr>
        <w:t xml:space="preserve">ООО «Вторичные металлы»</w:t>
      </w:r>
      <w:r>
        <w:rPr>
          <w:sz w:val="24"/>
          <w:szCs w:val="24"/>
          <w:highlight w:val="none"/>
        </w:rPr>
        <w:t xml:space="preserve">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8369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«Русмет»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3875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sz w:val="24"/>
          <w:szCs w:val="24"/>
        </w:rPr>
        <w:t xml:space="preserve">ООО «ТрансЛом» (заявка №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4877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АО «Корпорация ЛИС» (заявка № 625);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sz w:val="24"/>
          <w:szCs w:val="24"/>
        </w:rPr>
        <w:t xml:space="preserve">ООО «УралМеталлург»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717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«УРАЛНЭЙД» (заявка № 132);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«МЕТА»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6894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sz w:val="24"/>
          <w:szCs w:val="24"/>
        </w:rPr>
        <w:t xml:space="preserve">ООО «МетОптТорг»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8789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sz w:val="24"/>
          <w:szCs w:val="24"/>
          <w:highlight w:val="none"/>
        </w:rPr>
        <w:t xml:space="preserve">ООО «ГрандСервис»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7502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OOO ТК «ЧЕРМЕТ» (заявка № 8484);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25"/>
        <w:numPr>
          <w:ilvl w:val="0"/>
          <w:numId w:val="64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«СалдаВторМет» (заявка № 6135). 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98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5"/>
        <w:jc w:val="both"/>
        <w:rPr>
          <w:sz w:val="26"/>
          <w:szCs w:val="26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6"/>
          <w:szCs w:val="26"/>
        </w:rPr>
      </w:r>
    </w:p>
    <w:p>
      <w:pPr>
        <w:pStyle w:val="985"/>
        <w:jc w:val="both"/>
        <w:tabs>
          <w:tab w:val="left" w:pos="7655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lang w:val="en-US" w:eastAsia="en-US"/>
        </w:rPr>
        <w:t xml:space="preserve">Председатель комиссии</w:t>
        <w:tab/>
      </w:r>
      <w:r>
        <w:rPr>
          <w:sz w:val="24"/>
          <w:szCs w:val="24"/>
        </w:rPr>
        <w:t xml:space="preserve">А.В. Соснин</w:t>
      </w:r>
      <w:r/>
      <w:r>
        <w:rPr>
          <w:sz w:val="24"/>
          <w:szCs w:val="24"/>
          <w:lang w:val="en-US" w:eastAsia="en-US"/>
        </w:rPr>
      </w:r>
      <w:r>
        <w:rPr>
          <w:sz w:val="24"/>
          <w:szCs w:val="24"/>
          <w:highlight w:val="none"/>
        </w:rPr>
      </w:r>
    </w:p>
    <w:p>
      <w:pPr>
        <w:jc w:val="both"/>
        <w:tabs>
          <w:tab w:val="left" w:pos="765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tabs>
          <w:tab w:val="left" w:pos="7655" w:leader="none"/>
        </w:tabs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85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lang w:eastAsia="en-US"/>
        </w:rPr>
        <w:t xml:space="preserve">Члены комиссии </w:t>
        <w:tab/>
        <w:t xml:space="preserve">С.В. Меденникова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</w:rPr>
        <w:tab/>
      </w:r>
      <w:r>
        <w:rPr>
          <w:sz w:val="24"/>
          <w:szCs w:val="24"/>
          <w:lang w:eastAsia="en-US"/>
        </w:rPr>
        <w:t xml:space="preserve">Е.Ю. Селезнева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0" w:right="0" w:firstLine="7654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  <w:t xml:space="preserve">Ю.И. Четина</w:t>
      </w:r>
      <w:r>
        <w:rPr>
          <w:sz w:val="24"/>
          <w:szCs w:val="24"/>
          <w:highlight w:val="none"/>
          <w:lang w:eastAsia="en-US"/>
        </w:rPr>
      </w:r>
    </w:p>
    <w:p>
      <w:pPr>
        <w:ind w:left="0" w:right="0" w:firstLine="7654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lang w:eastAsia="en-US"/>
        </w:rPr>
        <w:tab/>
        <w:tab/>
        <w:tab/>
        <w:tab/>
        <w:tab/>
        <w:tab/>
        <w:tab/>
        <w:t xml:space="preserve">    </w:t>
        <w:tab/>
        <w:tab/>
        <w:t xml:space="preserve">           М.С. Нестерова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6372" w:firstLine="708"/>
        <w:jc w:val="left"/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</w:rPr>
        <w:t xml:space="preserve">          О.И. Павлова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6372" w:firstLine="708"/>
        <w:jc w:val="left"/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</w:p>
    <w:p>
      <w:pPr>
        <w:pStyle w:val="985"/>
        <w:ind w:left="7799" w:hanging="7799"/>
        <w:tabs>
          <w:tab w:val="left" w:pos="7825" w:leader="none"/>
        </w:tabs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sectPr>
      <w:headerReference w:type="first" r:id="rId9"/>
      <w:footerReference w:type="default" r:id="rId10"/>
      <w:footerReference w:type="even" r:id="rId11"/>
      <w:footerReference w:type="first" r:id="rId12"/>
      <w:footnotePr/>
      <w:endnotePr/>
      <w:type w:val="nextPage"/>
      <w:pgSz w:w="11906" w:h="16838" w:orient="portrait"/>
      <w:pgMar w:top="568" w:right="567" w:bottom="567" w:left="1418" w:header="709" w:footer="40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Courier New">
    <w:panose1 w:val="02070309020205020404"/>
  </w:font>
  <w:font w:name="Times New Roman">
    <w:panose1 w:val="02020603050405020304"/>
  </w:font>
  <w:font w:name="Calibri Light">
    <w:panose1 w:val="020F050202020403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  <w:rPr>
        <w:rStyle w:val="999"/>
      </w:rPr>
      <w:framePr w:wrap="around" w:vAnchor="text" w:hAnchor="margin" w:xAlign="right" w:y="1"/>
    </w:pPr>
    <w:r>
      <w:rPr>
        <w:rStyle w:val="999"/>
      </w:rPr>
      <w:fldChar w:fldCharType="begin"/>
    </w:r>
    <w:r>
      <w:rPr>
        <w:rStyle w:val="999"/>
      </w:rPr>
      <w:instrText xml:space="preserve">PAGE  </w:instrText>
    </w:r>
    <w:r>
      <w:rPr>
        <w:rStyle w:val="999"/>
      </w:rPr>
      <w:fldChar w:fldCharType="separate"/>
    </w:r>
    <w:r>
      <w:rPr>
        <w:rStyle w:val="999"/>
      </w:rPr>
      <w:t xml:space="preserve">2</w:t>
    </w:r>
    <w:r>
      <w:rPr>
        <w:rStyle w:val="999"/>
      </w:rPr>
      <w:fldChar w:fldCharType="end"/>
    </w:r>
    <w:r>
      <w:rPr>
        <w:rStyle w:val="999"/>
      </w:rPr>
    </w:r>
    <w:r>
      <w:rPr>
        <w:rStyle w:val="999"/>
      </w:rPr>
    </w:r>
  </w:p>
  <w:p>
    <w:pPr>
      <w:pStyle w:val="998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  <w:rPr>
        <w:rStyle w:val="999"/>
      </w:rPr>
      <w:framePr w:wrap="around" w:vAnchor="text" w:hAnchor="margin" w:xAlign="right" w:y="1"/>
    </w:pPr>
    <w:r>
      <w:rPr>
        <w:rStyle w:val="999"/>
      </w:rPr>
      <w:fldChar w:fldCharType="begin"/>
    </w:r>
    <w:r>
      <w:rPr>
        <w:rStyle w:val="999"/>
      </w:rPr>
      <w:instrText xml:space="preserve">PAGE  </w:instrText>
    </w:r>
    <w:r>
      <w:rPr>
        <w:rStyle w:val="999"/>
      </w:rPr>
      <w:fldChar w:fldCharType="end"/>
    </w:r>
    <w:r>
      <w:rPr>
        <w:rStyle w:val="999"/>
      </w:rPr>
    </w:r>
    <w:r>
      <w:rPr>
        <w:rStyle w:val="999"/>
      </w:rPr>
    </w:r>
  </w:p>
  <w:p>
    <w:pPr>
      <w:pStyle w:val="998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2"/>
      <w:numFmt w:val="decimal"/>
      <w:isLgl w:val="false"/>
      <w:suff w:val="tab"/>
      <w:lvlText w:val="%1.%2"/>
      <w:lvlJc w:val="left"/>
      <w:pPr>
        <w:ind w:left="180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36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504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68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82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008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2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320" w:hanging="180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9" w:hanging="42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708" w:hanging="129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346" w:hanging="129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94" w:hanging="129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2" w:hanging="129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390" w:hanging="129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8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44" w:hanging="180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9" w:hanging="42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708" w:hanging="129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346" w:hanging="129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94" w:hanging="129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2" w:hanging="129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390" w:hanging="129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8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44" w:hanging="180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708" w:hanging="129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346" w:hanging="129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94" w:hanging="129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2" w:hanging="129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390" w:hanging="129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8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44" w:hanging="180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1"/>
  </w:num>
  <w:num w:numId="2">
    <w:abstractNumId w:val="6"/>
  </w:num>
  <w:num w:numId="3">
    <w:abstractNumId w:val="37"/>
  </w:num>
  <w:num w:numId="4">
    <w:abstractNumId w:val="36"/>
  </w:num>
  <w:num w:numId="5">
    <w:abstractNumId w:val="42"/>
  </w:num>
  <w:num w:numId="6">
    <w:abstractNumId w:val="41"/>
  </w:num>
  <w:num w:numId="7">
    <w:abstractNumId w:val="13"/>
  </w:num>
  <w:num w:numId="8">
    <w:abstractNumId w:val="7"/>
  </w:num>
  <w:num w:numId="9">
    <w:abstractNumId w:val="19"/>
  </w:num>
  <w:num w:numId="10">
    <w:abstractNumId w:val="3"/>
  </w:num>
  <w:num w:numId="11">
    <w:abstractNumId w:val="46"/>
  </w:num>
  <w:num w:numId="12">
    <w:abstractNumId w:val="1"/>
  </w:num>
  <w:num w:numId="13">
    <w:abstractNumId w:val="40"/>
  </w:num>
  <w:num w:numId="14">
    <w:abstractNumId w:val="32"/>
  </w:num>
  <w:num w:numId="15">
    <w:abstractNumId w:val="8"/>
  </w:num>
  <w:num w:numId="16">
    <w:abstractNumId w:val="21"/>
  </w:num>
  <w:num w:numId="17">
    <w:abstractNumId w:val="16"/>
  </w:num>
  <w:num w:numId="18">
    <w:abstractNumId w:val="47"/>
  </w:num>
  <w:num w:numId="19">
    <w:abstractNumId w:val="34"/>
  </w:num>
  <w:num w:numId="20">
    <w:abstractNumId w:val="24"/>
  </w:num>
  <w:num w:numId="21">
    <w:abstractNumId w:val="29"/>
  </w:num>
  <w:num w:numId="22">
    <w:abstractNumId w:val="0"/>
  </w:num>
  <w:num w:numId="23">
    <w:abstractNumId w:val="22"/>
  </w:num>
  <w:num w:numId="24">
    <w:abstractNumId w:val="35"/>
  </w:num>
  <w:num w:numId="25">
    <w:abstractNumId w:val="25"/>
  </w:num>
  <w:num w:numId="26">
    <w:abstractNumId w:val="10"/>
  </w:num>
  <w:num w:numId="27">
    <w:abstractNumId w:val="43"/>
  </w:num>
  <w:num w:numId="28">
    <w:abstractNumId w:val="30"/>
  </w:num>
  <w:num w:numId="29">
    <w:abstractNumId w:val="38"/>
  </w:num>
  <w:num w:numId="30">
    <w:abstractNumId w:val="28"/>
  </w:num>
  <w:num w:numId="31">
    <w:abstractNumId w:val="15"/>
  </w:num>
  <w:num w:numId="32">
    <w:abstractNumId w:val="33"/>
  </w:num>
  <w:num w:numId="33">
    <w:abstractNumId w:val="48"/>
  </w:num>
  <w:num w:numId="34">
    <w:abstractNumId w:val="45"/>
  </w:num>
  <w:num w:numId="35">
    <w:abstractNumId w:val="31"/>
  </w:num>
  <w:num w:numId="36">
    <w:abstractNumId w:val="18"/>
  </w:num>
  <w:num w:numId="37">
    <w:abstractNumId w:val="5"/>
  </w:num>
  <w:num w:numId="38">
    <w:abstractNumId w:val="4"/>
  </w:num>
  <w:num w:numId="39">
    <w:abstractNumId w:val="12"/>
  </w:num>
  <w:num w:numId="40">
    <w:abstractNumId w:val="2"/>
  </w:num>
  <w:num w:numId="41">
    <w:abstractNumId w:val="27"/>
  </w:num>
  <w:num w:numId="42">
    <w:abstractNumId w:val="14"/>
  </w:num>
  <w:num w:numId="43">
    <w:abstractNumId w:val="26"/>
  </w:num>
  <w:num w:numId="44">
    <w:abstractNumId w:val="39"/>
  </w:num>
  <w:num w:numId="45">
    <w:abstractNumId w:val="17"/>
  </w:num>
  <w:num w:numId="46">
    <w:abstractNumId w:val="9"/>
  </w:num>
  <w:num w:numId="47">
    <w:abstractNumId w:val="49"/>
  </w:num>
  <w:num w:numId="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0"/>
  </w:num>
  <w:num w:numId="50">
    <w:abstractNumId w:val="44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7">
    <w:name w:val="Heading 1"/>
    <w:basedOn w:val="985"/>
    <w:next w:val="985"/>
    <w:link w:val="80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08">
    <w:name w:val="Heading 1 Char"/>
    <w:link w:val="807"/>
    <w:uiPriority w:val="9"/>
    <w:rPr>
      <w:rFonts w:ascii="Arial" w:hAnsi="Arial" w:eastAsia="Arial" w:cs="Arial"/>
      <w:sz w:val="40"/>
      <w:szCs w:val="40"/>
    </w:rPr>
  </w:style>
  <w:style w:type="paragraph" w:styleId="809">
    <w:name w:val="Heading 2"/>
    <w:basedOn w:val="985"/>
    <w:next w:val="985"/>
    <w:link w:val="81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10">
    <w:name w:val="Heading 2 Char"/>
    <w:link w:val="809"/>
    <w:uiPriority w:val="9"/>
    <w:rPr>
      <w:rFonts w:ascii="Arial" w:hAnsi="Arial" w:eastAsia="Arial" w:cs="Arial"/>
      <w:sz w:val="34"/>
    </w:rPr>
  </w:style>
  <w:style w:type="paragraph" w:styleId="811">
    <w:name w:val="Heading 3"/>
    <w:basedOn w:val="985"/>
    <w:next w:val="985"/>
    <w:link w:val="81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12">
    <w:name w:val="Heading 3 Char"/>
    <w:link w:val="811"/>
    <w:uiPriority w:val="9"/>
    <w:rPr>
      <w:rFonts w:ascii="Arial" w:hAnsi="Arial" w:eastAsia="Arial" w:cs="Arial"/>
      <w:sz w:val="30"/>
      <w:szCs w:val="30"/>
    </w:rPr>
  </w:style>
  <w:style w:type="paragraph" w:styleId="813">
    <w:name w:val="Heading 4"/>
    <w:basedOn w:val="985"/>
    <w:next w:val="985"/>
    <w:link w:val="81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14">
    <w:name w:val="Heading 4 Char"/>
    <w:link w:val="813"/>
    <w:uiPriority w:val="9"/>
    <w:rPr>
      <w:rFonts w:ascii="Arial" w:hAnsi="Arial" w:eastAsia="Arial" w:cs="Arial"/>
      <w:b/>
      <w:bCs/>
      <w:sz w:val="26"/>
      <w:szCs w:val="26"/>
    </w:rPr>
  </w:style>
  <w:style w:type="paragraph" w:styleId="815">
    <w:name w:val="Heading 5"/>
    <w:basedOn w:val="985"/>
    <w:next w:val="985"/>
    <w:link w:val="8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16">
    <w:name w:val="Heading 5 Char"/>
    <w:link w:val="815"/>
    <w:uiPriority w:val="9"/>
    <w:rPr>
      <w:rFonts w:ascii="Arial" w:hAnsi="Arial" w:eastAsia="Arial" w:cs="Arial"/>
      <w:b/>
      <w:bCs/>
      <w:sz w:val="24"/>
      <w:szCs w:val="24"/>
    </w:rPr>
  </w:style>
  <w:style w:type="paragraph" w:styleId="817">
    <w:name w:val="Heading 6"/>
    <w:basedOn w:val="985"/>
    <w:next w:val="985"/>
    <w:link w:val="8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18">
    <w:name w:val="Heading 6 Char"/>
    <w:link w:val="817"/>
    <w:uiPriority w:val="9"/>
    <w:rPr>
      <w:rFonts w:ascii="Arial" w:hAnsi="Arial" w:eastAsia="Arial" w:cs="Arial"/>
      <w:b/>
      <w:bCs/>
      <w:sz w:val="22"/>
      <w:szCs w:val="22"/>
    </w:rPr>
  </w:style>
  <w:style w:type="paragraph" w:styleId="819">
    <w:name w:val="Heading 7"/>
    <w:basedOn w:val="985"/>
    <w:next w:val="985"/>
    <w:link w:val="82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20">
    <w:name w:val="Heading 7 Char"/>
    <w:link w:val="8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21">
    <w:name w:val="Heading 8"/>
    <w:basedOn w:val="985"/>
    <w:next w:val="985"/>
    <w:link w:val="82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22">
    <w:name w:val="Heading 8 Char"/>
    <w:link w:val="821"/>
    <w:uiPriority w:val="9"/>
    <w:rPr>
      <w:rFonts w:ascii="Arial" w:hAnsi="Arial" w:eastAsia="Arial" w:cs="Arial"/>
      <w:i/>
      <w:iCs/>
      <w:sz w:val="22"/>
      <w:szCs w:val="22"/>
    </w:rPr>
  </w:style>
  <w:style w:type="paragraph" w:styleId="823">
    <w:name w:val="Heading 9"/>
    <w:basedOn w:val="985"/>
    <w:next w:val="985"/>
    <w:link w:val="8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4">
    <w:name w:val="Heading 9 Char"/>
    <w:link w:val="823"/>
    <w:uiPriority w:val="9"/>
    <w:rPr>
      <w:rFonts w:ascii="Arial" w:hAnsi="Arial" w:eastAsia="Arial" w:cs="Arial"/>
      <w:i/>
      <w:iCs/>
      <w:sz w:val="21"/>
      <w:szCs w:val="21"/>
    </w:rPr>
  </w:style>
  <w:style w:type="paragraph" w:styleId="825">
    <w:name w:val="List Paragraph"/>
    <w:basedOn w:val="985"/>
    <w:uiPriority w:val="34"/>
    <w:qFormat/>
    <w:pPr>
      <w:contextualSpacing/>
      <w:ind w:left="720"/>
    </w:pPr>
  </w:style>
  <w:style w:type="paragraph" w:styleId="826">
    <w:name w:val="No Spacing"/>
    <w:uiPriority w:val="1"/>
    <w:qFormat/>
    <w:pPr>
      <w:spacing w:before="0" w:after="0" w:line="240" w:lineRule="auto"/>
    </w:pPr>
  </w:style>
  <w:style w:type="paragraph" w:styleId="827">
    <w:name w:val="Title"/>
    <w:basedOn w:val="985"/>
    <w:next w:val="985"/>
    <w:link w:val="82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28">
    <w:name w:val="Title Char"/>
    <w:link w:val="827"/>
    <w:uiPriority w:val="10"/>
    <w:rPr>
      <w:sz w:val="48"/>
      <w:szCs w:val="48"/>
    </w:rPr>
  </w:style>
  <w:style w:type="paragraph" w:styleId="829">
    <w:name w:val="Subtitle"/>
    <w:basedOn w:val="985"/>
    <w:next w:val="985"/>
    <w:link w:val="830"/>
    <w:uiPriority w:val="11"/>
    <w:qFormat/>
    <w:pPr>
      <w:spacing w:before="200" w:after="200"/>
    </w:pPr>
    <w:rPr>
      <w:sz w:val="24"/>
      <w:szCs w:val="24"/>
    </w:rPr>
  </w:style>
  <w:style w:type="character" w:styleId="830">
    <w:name w:val="Subtitle Char"/>
    <w:link w:val="829"/>
    <w:uiPriority w:val="11"/>
    <w:rPr>
      <w:sz w:val="24"/>
      <w:szCs w:val="24"/>
    </w:rPr>
  </w:style>
  <w:style w:type="paragraph" w:styleId="831">
    <w:name w:val="Quote"/>
    <w:basedOn w:val="985"/>
    <w:next w:val="985"/>
    <w:link w:val="832"/>
    <w:uiPriority w:val="29"/>
    <w:qFormat/>
    <w:pPr>
      <w:ind w:left="720" w:right="720"/>
    </w:pPr>
    <w:rPr>
      <w:i/>
    </w:rPr>
  </w:style>
  <w:style w:type="character" w:styleId="832">
    <w:name w:val="Quote Char"/>
    <w:link w:val="831"/>
    <w:uiPriority w:val="29"/>
    <w:rPr>
      <w:i/>
    </w:rPr>
  </w:style>
  <w:style w:type="paragraph" w:styleId="833">
    <w:name w:val="Intense Quote"/>
    <w:basedOn w:val="985"/>
    <w:next w:val="985"/>
    <w:link w:val="83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4">
    <w:name w:val="Intense Quote Char"/>
    <w:link w:val="833"/>
    <w:uiPriority w:val="30"/>
    <w:rPr>
      <w:i/>
    </w:rPr>
  </w:style>
  <w:style w:type="paragraph" w:styleId="835">
    <w:name w:val="Header"/>
    <w:basedOn w:val="985"/>
    <w:link w:val="83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36">
    <w:name w:val="Header Char"/>
    <w:link w:val="835"/>
    <w:uiPriority w:val="99"/>
  </w:style>
  <w:style w:type="paragraph" w:styleId="837">
    <w:name w:val="Footer"/>
    <w:basedOn w:val="985"/>
    <w:link w:val="83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38">
    <w:name w:val="Footer Char"/>
    <w:link w:val="837"/>
    <w:uiPriority w:val="99"/>
  </w:style>
  <w:style w:type="paragraph" w:styleId="839">
    <w:name w:val="Caption"/>
    <w:basedOn w:val="985"/>
    <w:next w:val="985"/>
    <w:link w:val="8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40">
    <w:name w:val="Caption Char"/>
    <w:link w:val="839"/>
    <w:uiPriority w:val="35"/>
    <w:rPr>
      <w:b/>
      <w:bCs/>
      <w:color w:val="4f81bd" w:themeColor="accent1"/>
      <w:sz w:val="18"/>
      <w:szCs w:val="18"/>
    </w:rPr>
  </w:style>
  <w:style w:type="table" w:styleId="84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7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1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1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4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4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6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6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67">
    <w:name w:val="Hyperlink"/>
    <w:uiPriority w:val="99"/>
    <w:unhideWhenUsed/>
    <w:rPr>
      <w:color w:val="0000ff" w:themeColor="hyperlink"/>
      <w:u w:val="single"/>
    </w:rPr>
  </w:style>
  <w:style w:type="paragraph" w:styleId="968">
    <w:name w:val="footnote text"/>
    <w:basedOn w:val="985"/>
    <w:link w:val="969"/>
    <w:uiPriority w:val="99"/>
    <w:semiHidden/>
    <w:unhideWhenUsed/>
    <w:pPr>
      <w:spacing w:after="40" w:line="240" w:lineRule="auto"/>
    </w:pPr>
    <w:rPr>
      <w:sz w:val="18"/>
    </w:rPr>
  </w:style>
  <w:style w:type="character" w:styleId="969">
    <w:name w:val="Footnote Text Char"/>
    <w:link w:val="968"/>
    <w:uiPriority w:val="99"/>
    <w:rPr>
      <w:sz w:val="18"/>
    </w:rPr>
  </w:style>
  <w:style w:type="character" w:styleId="970">
    <w:name w:val="footnote reference"/>
    <w:uiPriority w:val="99"/>
    <w:unhideWhenUsed/>
    <w:rPr>
      <w:vertAlign w:val="superscript"/>
    </w:rPr>
  </w:style>
  <w:style w:type="paragraph" w:styleId="971">
    <w:name w:val="endnote text"/>
    <w:basedOn w:val="985"/>
    <w:link w:val="972"/>
    <w:uiPriority w:val="99"/>
    <w:semiHidden/>
    <w:unhideWhenUsed/>
    <w:pPr>
      <w:spacing w:after="0" w:line="240" w:lineRule="auto"/>
    </w:pPr>
    <w:rPr>
      <w:sz w:val="20"/>
    </w:rPr>
  </w:style>
  <w:style w:type="character" w:styleId="972">
    <w:name w:val="Endnote Text Char"/>
    <w:link w:val="971"/>
    <w:uiPriority w:val="99"/>
    <w:rPr>
      <w:sz w:val="20"/>
    </w:rPr>
  </w:style>
  <w:style w:type="character" w:styleId="973">
    <w:name w:val="endnote reference"/>
    <w:uiPriority w:val="99"/>
    <w:semiHidden/>
    <w:unhideWhenUsed/>
    <w:rPr>
      <w:vertAlign w:val="superscript"/>
    </w:rPr>
  </w:style>
  <w:style w:type="paragraph" w:styleId="974">
    <w:name w:val="toc 1"/>
    <w:basedOn w:val="985"/>
    <w:next w:val="985"/>
    <w:uiPriority w:val="39"/>
    <w:unhideWhenUsed/>
    <w:pPr>
      <w:ind w:left="0" w:right="0" w:firstLine="0"/>
      <w:spacing w:after="57"/>
    </w:pPr>
  </w:style>
  <w:style w:type="paragraph" w:styleId="975">
    <w:name w:val="toc 2"/>
    <w:basedOn w:val="985"/>
    <w:next w:val="985"/>
    <w:uiPriority w:val="39"/>
    <w:unhideWhenUsed/>
    <w:pPr>
      <w:ind w:left="283" w:right="0" w:firstLine="0"/>
      <w:spacing w:after="57"/>
    </w:pPr>
  </w:style>
  <w:style w:type="paragraph" w:styleId="976">
    <w:name w:val="toc 3"/>
    <w:basedOn w:val="985"/>
    <w:next w:val="985"/>
    <w:uiPriority w:val="39"/>
    <w:unhideWhenUsed/>
    <w:pPr>
      <w:ind w:left="567" w:right="0" w:firstLine="0"/>
      <w:spacing w:after="57"/>
    </w:pPr>
  </w:style>
  <w:style w:type="paragraph" w:styleId="977">
    <w:name w:val="toc 4"/>
    <w:basedOn w:val="985"/>
    <w:next w:val="985"/>
    <w:uiPriority w:val="39"/>
    <w:unhideWhenUsed/>
    <w:pPr>
      <w:ind w:left="850" w:right="0" w:firstLine="0"/>
      <w:spacing w:after="57"/>
    </w:pPr>
  </w:style>
  <w:style w:type="paragraph" w:styleId="978">
    <w:name w:val="toc 5"/>
    <w:basedOn w:val="985"/>
    <w:next w:val="985"/>
    <w:uiPriority w:val="39"/>
    <w:unhideWhenUsed/>
    <w:pPr>
      <w:ind w:left="1134" w:right="0" w:firstLine="0"/>
      <w:spacing w:after="57"/>
    </w:pPr>
  </w:style>
  <w:style w:type="paragraph" w:styleId="979">
    <w:name w:val="toc 6"/>
    <w:basedOn w:val="985"/>
    <w:next w:val="985"/>
    <w:uiPriority w:val="39"/>
    <w:unhideWhenUsed/>
    <w:pPr>
      <w:ind w:left="1417" w:right="0" w:firstLine="0"/>
      <w:spacing w:after="57"/>
    </w:pPr>
  </w:style>
  <w:style w:type="paragraph" w:styleId="980">
    <w:name w:val="toc 7"/>
    <w:basedOn w:val="985"/>
    <w:next w:val="985"/>
    <w:uiPriority w:val="39"/>
    <w:unhideWhenUsed/>
    <w:pPr>
      <w:ind w:left="1701" w:right="0" w:firstLine="0"/>
      <w:spacing w:after="57"/>
    </w:pPr>
  </w:style>
  <w:style w:type="paragraph" w:styleId="981">
    <w:name w:val="toc 8"/>
    <w:basedOn w:val="985"/>
    <w:next w:val="985"/>
    <w:uiPriority w:val="39"/>
    <w:unhideWhenUsed/>
    <w:pPr>
      <w:ind w:left="1984" w:right="0" w:firstLine="0"/>
      <w:spacing w:after="57"/>
    </w:pPr>
  </w:style>
  <w:style w:type="paragraph" w:styleId="982">
    <w:name w:val="toc 9"/>
    <w:basedOn w:val="985"/>
    <w:next w:val="985"/>
    <w:uiPriority w:val="39"/>
    <w:unhideWhenUsed/>
    <w:pPr>
      <w:ind w:left="2268" w:right="0" w:firstLine="0"/>
      <w:spacing w:after="57"/>
    </w:pPr>
  </w:style>
  <w:style w:type="paragraph" w:styleId="983">
    <w:name w:val="TOC Heading"/>
    <w:uiPriority w:val="39"/>
    <w:unhideWhenUsed/>
  </w:style>
  <w:style w:type="paragraph" w:styleId="984">
    <w:name w:val="table of figures"/>
    <w:basedOn w:val="985"/>
    <w:next w:val="985"/>
    <w:uiPriority w:val="99"/>
    <w:unhideWhenUsed/>
    <w:pPr>
      <w:spacing w:after="0" w:afterAutospacing="0"/>
    </w:pPr>
  </w:style>
  <w:style w:type="paragraph" w:styleId="985" w:default="1">
    <w:name w:val="Normal"/>
    <w:next w:val="985"/>
    <w:link w:val="985"/>
    <w:qFormat/>
    <w:rPr>
      <w:sz w:val="24"/>
      <w:szCs w:val="24"/>
      <w:lang w:val="ru-RU" w:eastAsia="ru-RU" w:bidi="ar-SA"/>
    </w:rPr>
  </w:style>
  <w:style w:type="paragraph" w:styleId="986">
    <w:name w:val="Заголовок 1"/>
    <w:basedOn w:val="985"/>
    <w:next w:val="985"/>
    <w:link w:val="1013"/>
    <w:qFormat/>
    <w:p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paragraph" w:styleId="987">
    <w:name w:val="Заголовок 3"/>
    <w:basedOn w:val="985"/>
    <w:next w:val="985"/>
    <w:link w:val="985"/>
    <w:qFormat/>
    <w:pPr>
      <w:jc w:val="both"/>
      <w:keepNext/>
      <w:outlineLvl w:val="2"/>
    </w:pPr>
    <w:rPr>
      <w:b/>
      <w:bCs/>
    </w:rPr>
  </w:style>
  <w:style w:type="paragraph" w:styleId="988">
    <w:name w:val="Заголовок 4"/>
    <w:basedOn w:val="985"/>
    <w:next w:val="985"/>
    <w:link w:val="985"/>
    <w:qFormat/>
    <w:pPr>
      <w:jc w:val="both"/>
      <w:keepNext/>
      <w:outlineLvl w:val="3"/>
    </w:pPr>
    <w:rPr>
      <w:sz w:val="28"/>
    </w:rPr>
  </w:style>
  <w:style w:type="character" w:styleId="989">
    <w:name w:val="Основной шрифт абзаца"/>
    <w:next w:val="989"/>
    <w:link w:val="985"/>
    <w:semiHidden/>
  </w:style>
  <w:style w:type="table" w:styleId="990">
    <w:name w:val="Обычная таблица"/>
    <w:next w:val="990"/>
    <w:link w:val="985"/>
    <w:semiHidden/>
    <w:tblPr/>
  </w:style>
  <w:style w:type="numbering" w:styleId="991">
    <w:name w:val="Нет списка"/>
    <w:next w:val="991"/>
    <w:link w:val="985"/>
    <w:semiHidden/>
  </w:style>
  <w:style w:type="paragraph" w:styleId="992">
    <w:name w:val="Название"/>
    <w:basedOn w:val="985"/>
    <w:next w:val="992"/>
    <w:link w:val="985"/>
    <w:qFormat/>
    <w:pPr>
      <w:ind w:firstLine="567"/>
      <w:jc w:val="center"/>
    </w:pPr>
    <w:rPr>
      <w:b/>
      <w:szCs w:val="20"/>
    </w:rPr>
  </w:style>
  <w:style w:type="paragraph" w:styleId="993">
    <w:name w:val="Основной текст с отступом"/>
    <w:basedOn w:val="985"/>
    <w:next w:val="993"/>
    <w:link w:val="1007"/>
    <w:pPr>
      <w:ind w:left="3366"/>
      <w:spacing w:line="280" w:lineRule="exact"/>
      <w:tabs>
        <w:tab w:val="left" w:pos="2805" w:leader="none"/>
      </w:tabs>
    </w:pPr>
    <w:rPr>
      <w:sz w:val="28"/>
      <w:szCs w:val="28"/>
      <w:lang w:val="en-US" w:eastAsia="en-US"/>
    </w:rPr>
  </w:style>
  <w:style w:type="paragraph" w:styleId="994">
    <w:name w:val="Основной текст с отступом 2"/>
    <w:basedOn w:val="985"/>
    <w:next w:val="994"/>
    <w:link w:val="985"/>
    <w:pPr>
      <w:ind w:left="4962" w:hanging="4395"/>
      <w:jc w:val="both"/>
    </w:pPr>
    <w:rPr>
      <w:szCs w:val="20"/>
    </w:rPr>
  </w:style>
  <w:style w:type="paragraph" w:styleId="995">
    <w:name w:val="Основной текст с отступом 3"/>
    <w:basedOn w:val="985"/>
    <w:next w:val="995"/>
    <w:link w:val="1006"/>
    <w:pPr>
      <w:ind w:firstLine="567"/>
      <w:jc w:val="both"/>
    </w:pPr>
    <w:rPr>
      <w:szCs w:val="20"/>
      <w:lang w:val="en-US" w:eastAsia="en-US"/>
    </w:rPr>
  </w:style>
  <w:style w:type="paragraph" w:styleId="996">
    <w:name w:val="Текст"/>
    <w:basedOn w:val="985"/>
    <w:next w:val="996"/>
    <w:link w:val="1005"/>
    <w:rPr>
      <w:rFonts w:ascii="Courier New" w:hAnsi="Courier New"/>
      <w:sz w:val="20"/>
      <w:szCs w:val="20"/>
    </w:rPr>
  </w:style>
  <w:style w:type="paragraph" w:styleId="997">
    <w:name w:val="Основной текст"/>
    <w:basedOn w:val="985"/>
    <w:next w:val="997"/>
    <w:link w:val="1008"/>
    <w:pPr>
      <w:jc w:val="right"/>
    </w:pPr>
    <w:rPr>
      <w:sz w:val="28"/>
      <w:lang w:val="en-US" w:eastAsia="en-US"/>
    </w:rPr>
  </w:style>
  <w:style w:type="paragraph" w:styleId="998">
    <w:name w:val="Нижний колонтитул"/>
    <w:basedOn w:val="985"/>
    <w:next w:val="998"/>
    <w:link w:val="985"/>
    <w:pPr>
      <w:tabs>
        <w:tab w:val="center" w:pos="4677" w:leader="none"/>
        <w:tab w:val="right" w:pos="9355" w:leader="none"/>
      </w:tabs>
    </w:pPr>
  </w:style>
  <w:style w:type="character" w:styleId="999">
    <w:name w:val="Номер страницы"/>
    <w:basedOn w:val="989"/>
    <w:next w:val="999"/>
    <w:link w:val="985"/>
  </w:style>
  <w:style w:type="paragraph" w:styleId="1000">
    <w:name w:val="Знак Знак Знак Знак Знак Знак Знак Знак Знак Знак Знак Знак"/>
    <w:basedOn w:val="985"/>
    <w:next w:val="1000"/>
    <w:link w:val="985"/>
    <w:rPr>
      <w:rFonts w:ascii="Verdana" w:hAnsi="Verdana" w:cs="Verdana"/>
      <w:sz w:val="20"/>
      <w:szCs w:val="20"/>
      <w:lang w:val="en-US" w:eastAsia="en-US"/>
    </w:rPr>
  </w:style>
  <w:style w:type="paragraph" w:styleId="1001">
    <w:name w:val="Основной текст 2"/>
    <w:basedOn w:val="985"/>
    <w:next w:val="1001"/>
    <w:link w:val="1009"/>
    <w:pPr>
      <w:spacing w:after="120" w:line="480" w:lineRule="auto"/>
    </w:pPr>
    <w:rPr>
      <w:lang w:val="en-US" w:eastAsia="en-US"/>
    </w:rPr>
  </w:style>
  <w:style w:type="paragraph" w:styleId="1002">
    <w:name w:val=" Знак Знак Знак Знак Знак Знак Знак Знак Знак Знак Знак Знак"/>
    <w:basedOn w:val="985"/>
    <w:next w:val="1002"/>
    <w:link w:val="985"/>
    <w:rPr>
      <w:rFonts w:ascii="Verdana" w:hAnsi="Verdana" w:cs="Verdana"/>
      <w:sz w:val="20"/>
      <w:szCs w:val="20"/>
      <w:lang w:val="en-US" w:eastAsia="en-US"/>
    </w:rPr>
  </w:style>
  <w:style w:type="table" w:styleId="1003">
    <w:name w:val="Сетка таблицы"/>
    <w:basedOn w:val="990"/>
    <w:next w:val="1003"/>
    <w:link w:val="985"/>
    <w:uiPriority w:val="59"/>
    <w:tblPr/>
  </w:style>
  <w:style w:type="paragraph" w:styleId="1004">
    <w:name w:val="Текст выноски"/>
    <w:basedOn w:val="985"/>
    <w:next w:val="1004"/>
    <w:link w:val="985"/>
    <w:semiHidden/>
    <w:rPr>
      <w:rFonts w:ascii="Tahoma" w:hAnsi="Tahoma" w:cs="Tahoma"/>
      <w:sz w:val="16"/>
      <w:szCs w:val="16"/>
    </w:rPr>
  </w:style>
  <w:style w:type="character" w:styleId="1005">
    <w:name w:val="Текст Знак"/>
    <w:next w:val="1005"/>
    <w:link w:val="996"/>
    <w:rPr>
      <w:rFonts w:ascii="Courier New" w:hAnsi="Courier New"/>
      <w:lang w:val="ru-RU" w:eastAsia="ru-RU" w:bidi="ar-SA"/>
    </w:rPr>
  </w:style>
  <w:style w:type="character" w:styleId="1006">
    <w:name w:val="Основной текст с отступом 3 Знак"/>
    <w:next w:val="1006"/>
    <w:link w:val="995"/>
    <w:rPr>
      <w:sz w:val="24"/>
    </w:rPr>
  </w:style>
  <w:style w:type="character" w:styleId="1007">
    <w:name w:val="Основной текст с отступом Знак"/>
    <w:next w:val="1007"/>
    <w:link w:val="993"/>
    <w:rPr>
      <w:sz w:val="28"/>
      <w:szCs w:val="28"/>
    </w:rPr>
  </w:style>
  <w:style w:type="character" w:styleId="1008">
    <w:name w:val="Основной текст Знак"/>
    <w:next w:val="1008"/>
    <w:link w:val="997"/>
    <w:rPr>
      <w:sz w:val="28"/>
      <w:szCs w:val="24"/>
    </w:rPr>
  </w:style>
  <w:style w:type="character" w:styleId="1009">
    <w:name w:val="Основной текст 2 Знак"/>
    <w:next w:val="1009"/>
    <w:link w:val="1001"/>
    <w:rPr>
      <w:sz w:val="24"/>
      <w:szCs w:val="24"/>
    </w:rPr>
  </w:style>
  <w:style w:type="paragraph" w:styleId="1010">
    <w:name w:val="ConsPlusNormal"/>
    <w:next w:val="1010"/>
    <w:link w:val="985"/>
    <w:rPr>
      <w:b/>
      <w:bCs/>
      <w:sz w:val="28"/>
      <w:szCs w:val="28"/>
      <w:lang w:val="ru-RU" w:eastAsia="ru-RU" w:bidi="ar-SA"/>
    </w:rPr>
  </w:style>
  <w:style w:type="paragraph" w:styleId="1011">
    <w:name w:val="Верхний колонтитул"/>
    <w:basedOn w:val="985"/>
    <w:next w:val="1011"/>
    <w:link w:val="1012"/>
    <w:pPr>
      <w:tabs>
        <w:tab w:val="center" w:pos="4677" w:leader="none"/>
        <w:tab w:val="right" w:pos="9355" w:leader="none"/>
      </w:tabs>
    </w:pPr>
  </w:style>
  <w:style w:type="character" w:styleId="1012">
    <w:name w:val="Верхний колонтитул Знак"/>
    <w:next w:val="1012"/>
    <w:link w:val="1011"/>
    <w:rPr>
      <w:sz w:val="24"/>
      <w:szCs w:val="24"/>
    </w:rPr>
  </w:style>
  <w:style w:type="character" w:styleId="1013">
    <w:name w:val="Заголовок 1 Знак"/>
    <w:next w:val="1013"/>
    <w:link w:val="986"/>
    <w:rPr>
      <w:rFonts w:ascii="Calibri Light" w:hAnsi="Calibri Light" w:eastAsia="Times New Roman" w:cs="Times New Roman"/>
      <w:b/>
      <w:bCs/>
      <w:sz w:val="32"/>
      <w:szCs w:val="32"/>
    </w:rPr>
  </w:style>
  <w:style w:type="paragraph" w:styleId="1014">
    <w:name w:val="Style2"/>
    <w:basedOn w:val="985"/>
    <w:next w:val="1014"/>
    <w:link w:val="985"/>
    <w:pPr>
      <w:ind w:firstLine="192"/>
      <w:spacing w:line="230" w:lineRule="exact"/>
      <w:widowControl w:val="off"/>
    </w:pPr>
  </w:style>
  <w:style w:type="character" w:styleId="1015">
    <w:name w:val="Font Style26"/>
    <w:next w:val="1015"/>
    <w:link w:val="985"/>
    <w:rPr>
      <w:rFonts w:ascii="Times New Roman" w:hAnsi="Times New Roman" w:cs="Times New Roman"/>
      <w:b/>
      <w:bCs/>
      <w:sz w:val="18"/>
      <w:szCs w:val="18"/>
    </w:rPr>
  </w:style>
  <w:style w:type="paragraph" w:styleId="1016">
    <w:name w:val="Style4"/>
    <w:basedOn w:val="985"/>
    <w:next w:val="1016"/>
    <w:link w:val="985"/>
    <w:pPr>
      <w:spacing w:line="230" w:lineRule="exact"/>
      <w:widowControl w:val="off"/>
    </w:pPr>
  </w:style>
  <w:style w:type="character" w:styleId="1017" w:default="1">
    <w:name w:val="Default Paragraph Font"/>
    <w:uiPriority w:val="1"/>
    <w:semiHidden/>
    <w:unhideWhenUsed/>
  </w:style>
  <w:style w:type="numbering" w:styleId="1018" w:default="1">
    <w:name w:val="No List"/>
    <w:uiPriority w:val="99"/>
    <w:semiHidden/>
    <w:unhideWhenUsed/>
  </w:style>
  <w:style w:type="table" w:styleId="101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Деп. имущественных отношений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имущественных отношений</dc:title>
  <dc:creator>bna</dc:creator>
  <cp:lastModifiedBy>chetina-yui</cp:lastModifiedBy>
  <cp:revision>152</cp:revision>
  <dcterms:created xsi:type="dcterms:W3CDTF">2016-06-29T05:17:00Z</dcterms:created>
  <dcterms:modified xsi:type="dcterms:W3CDTF">2026-09-23T12:27:04Z</dcterms:modified>
  <cp:version>983040</cp:version>
</cp:coreProperties>
</file>