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38"/>
        <w:ind w:firstLine="0"/>
        <w:spacing w:line="280" w:lineRule="exact"/>
        <w:rPr>
          <w:b w:val="0"/>
          <w:sz w:val="24"/>
          <w:szCs w:val="24"/>
        </w:rPr>
        <w:outlineLvl w:val="0"/>
      </w:pPr>
      <w:r>
        <w:rPr>
          <w:b w:val="0"/>
          <w:sz w:val="24"/>
          <w:szCs w:val="24"/>
        </w:rPr>
        <w:t xml:space="preserve">Департамент имущественных отношений</w:t>
      </w:r>
      <w:r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администрации г</w:t>
      </w:r>
      <w:r>
        <w:rPr>
          <w:b w:val="0"/>
          <w:sz w:val="24"/>
          <w:szCs w:val="24"/>
        </w:rPr>
        <w:t xml:space="preserve">орода</w:t>
      </w:r>
      <w:r>
        <w:rPr>
          <w:b w:val="0"/>
          <w:sz w:val="24"/>
          <w:szCs w:val="24"/>
        </w:rPr>
        <w:t xml:space="preserve"> Перми</w:t>
      </w:r>
      <w:r>
        <w:rPr>
          <w:b w:val="0"/>
          <w:sz w:val="24"/>
          <w:szCs w:val="24"/>
        </w:rPr>
      </w:r>
      <w:r>
        <w:rPr>
          <w:b w:val="0"/>
          <w:sz w:val="24"/>
          <w:szCs w:val="24"/>
        </w:rPr>
      </w:r>
    </w:p>
    <w:p>
      <w:pPr>
        <w:pStyle w:val="1038"/>
        <w:ind w:firstLine="0"/>
        <w:spacing w:line="280" w:lineRule="exac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ПРОТОКОЛ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1060"/>
        <w:ind w:firstLine="0"/>
        <w:jc w:val="center"/>
        <w:spacing w:line="240" w:lineRule="exact"/>
        <w:widowControl/>
        <w:rPr>
          <w:rStyle w:val="1061"/>
          <w:color w:val="000000"/>
          <w:sz w:val="24"/>
          <w:szCs w:val="24"/>
        </w:rPr>
      </w:pPr>
      <w:r>
        <w:rPr>
          <w:rStyle w:val="1061"/>
          <w:color w:val="000000"/>
          <w:sz w:val="24"/>
          <w:szCs w:val="24"/>
        </w:rPr>
        <w:t xml:space="preserve">комиссии по организации приватизации имущества, принадлежащего на праве собственности муниципальному образованию город Пермь </w:t>
      </w:r>
      <w:r>
        <w:rPr>
          <w:rStyle w:val="1061"/>
          <w:color w:val="000000"/>
          <w:sz w:val="24"/>
          <w:szCs w:val="24"/>
        </w:rPr>
      </w:r>
      <w:r>
        <w:rPr>
          <w:rStyle w:val="1061"/>
          <w:color w:val="000000"/>
          <w:sz w:val="24"/>
          <w:szCs w:val="24"/>
        </w:rPr>
      </w:r>
    </w:p>
    <w:p>
      <w:pPr>
        <w:pStyle w:val="1038"/>
        <w:ind w:firstLine="0"/>
        <w:spacing w:line="280" w:lineRule="exact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1"/>
        <w:jc w:val="both"/>
        <w:spacing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г.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Пермь</w:t>
        <w:tab/>
        <w:t xml:space="preserve">                                                                              </w:t>
      </w: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25</w:t>
      </w:r>
      <w:r>
        <w:rPr>
          <w:sz w:val="24"/>
          <w:szCs w:val="24"/>
        </w:rPr>
        <w:t xml:space="preserve">.09</w:t>
      </w:r>
      <w:r>
        <w:rPr>
          <w:sz w:val="24"/>
          <w:szCs w:val="24"/>
        </w:rPr>
        <w:t xml:space="preserve">.2026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1"/>
        <w:jc w:val="both"/>
        <w:spacing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60"/>
        <w:ind w:firstLine="709"/>
        <w:jc w:val="both"/>
        <w:spacing w:line="240" w:lineRule="auto"/>
        <w:widowControl/>
        <w:rPr>
          <w:sz w:val="24"/>
          <w:szCs w:val="24"/>
        </w:rPr>
      </w:pPr>
      <w:r>
        <w:rPr>
          <w:rStyle w:val="1061"/>
          <w:b w:val="0"/>
          <w:color w:val="000000"/>
          <w:sz w:val="24"/>
          <w:szCs w:val="24"/>
        </w:rPr>
        <w:t xml:space="preserve">Комисси</w:t>
      </w:r>
      <w:r>
        <w:rPr>
          <w:rStyle w:val="1061"/>
          <w:b w:val="0"/>
          <w:color w:val="000000"/>
          <w:sz w:val="24"/>
          <w:szCs w:val="24"/>
        </w:rPr>
        <w:t xml:space="preserve">я</w:t>
      </w:r>
      <w:r>
        <w:rPr>
          <w:rStyle w:val="1061"/>
          <w:b w:val="0"/>
          <w:color w:val="000000"/>
          <w:sz w:val="24"/>
          <w:szCs w:val="24"/>
        </w:rPr>
        <w:t xml:space="preserve"> по организации приватизации имущества, принадлежащего на праве собственности муниципальному образованию город Пермь</w:t>
      </w:r>
      <w:r>
        <w:rPr>
          <w:sz w:val="24"/>
          <w:szCs w:val="24"/>
        </w:rPr>
        <w:t xml:space="preserve">, утвержденная приказом начальника департамента имущественных отношений администрации города Перми от </w:t>
      </w:r>
      <w:r>
        <w:rPr>
          <w:sz w:val="24"/>
          <w:szCs w:val="24"/>
        </w:rPr>
        <w:t xml:space="preserve">22.08.2022</w:t>
      </w:r>
      <w:r>
        <w:rPr>
          <w:sz w:val="24"/>
          <w:szCs w:val="24"/>
        </w:rPr>
        <w:t xml:space="preserve"> </w:t>
        <w:br/>
        <w:t xml:space="preserve">№ </w:t>
      </w:r>
      <w:r>
        <w:rPr>
          <w:sz w:val="24"/>
          <w:szCs w:val="24"/>
        </w:rPr>
        <w:t xml:space="preserve">059-19-01-11-113</w:t>
      </w:r>
      <w:r>
        <w:rPr>
          <w:sz w:val="24"/>
          <w:szCs w:val="24"/>
        </w:rPr>
        <w:t xml:space="preserve"> (в ред. от 11.08.2026)</w:t>
      </w:r>
      <w:r>
        <w:rPr>
          <w:sz w:val="24"/>
          <w:szCs w:val="24"/>
        </w:rPr>
        <w:t xml:space="preserve">, в составе: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60"/>
        <w:ind w:firstLine="709"/>
        <w:jc w:val="both"/>
        <w:spacing w:line="240" w:lineRule="exact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9"/>
        <w:ind w:left="2835" w:right="0" w:hanging="2835"/>
        <w:jc w:val="both"/>
        <w:tabs>
          <w:tab w:val="left" w:pos="708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ru-RU"/>
        </w:rPr>
        <w:t xml:space="preserve">председатель комиссии: </w:t>
      </w:r>
      <w:r>
        <w:rPr>
          <w:sz w:val="24"/>
          <w:szCs w:val="24"/>
          <w:lang w:val="ru-RU"/>
        </w:rPr>
        <w:t xml:space="preserve">Соснин А.В.,</w:t>
      </w:r>
      <w:r>
        <w:rPr>
          <w:sz w:val="24"/>
          <w:szCs w:val="24"/>
          <w:lang w:val="ru-RU"/>
        </w:rPr>
        <w:t xml:space="preserve"> и.о. </w:t>
      </w:r>
      <w:r>
        <w:rPr>
          <w:sz w:val="24"/>
          <w:szCs w:val="24"/>
          <w:lang w:val="ru-RU"/>
        </w:rPr>
        <w:t xml:space="preserve">начальника департамента имущественных отношений администрации города Перми</w:t>
      </w:r>
      <w:r>
        <w:rPr>
          <w:sz w:val="24"/>
          <w:szCs w:val="24"/>
          <w:lang w:val="ru-RU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039"/>
        <w:ind w:left="1843" w:right="0" w:hanging="1843"/>
        <w:jc w:val="both"/>
        <w:tabs>
          <w:tab w:val="left" w:pos="708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ru-RU"/>
        </w:rPr>
        <w:t xml:space="preserve">члены комиссии: Меденникова С.В.</w:t>
      </w:r>
      <w:r>
        <w:rPr>
          <w:sz w:val="24"/>
          <w:szCs w:val="24"/>
        </w:rPr>
        <w:t xml:space="preserve">, заместитель начальника управления - начальник отдела </w:t>
        <w:br/>
        <w:t xml:space="preserve">по распоряжению муниципальным имуществом управления по распоряжению муниципальным имуществом 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039"/>
        <w:ind w:left="1843" w:right="0" w:firstLine="0"/>
        <w:jc w:val="both"/>
        <w:tabs>
          <w:tab w:val="left" w:pos="708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w:t xml:space="preserve">Селезнева Е.Ю., </w:t>
      </w:r>
      <w:r>
        <w:rPr>
          <w:sz w:val="24"/>
          <w:szCs w:val="24"/>
        </w:rPr>
        <w:t xml:space="preserve">заместитель начальника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</w:t>
        <w:br/>
        <w:t xml:space="preserve">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039"/>
        <w:ind w:left="1843" w:right="0" w:firstLine="0"/>
        <w:jc w:val="both"/>
        <w:tabs>
          <w:tab w:val="left" w:pos="708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w:t xml:space="preserve">Четина Ю.И., </w:t>
      </w:r>
      <w:r>
        <w:rPr>
          <w:sz w:val="24"/>
          <w:szCs w:val="24"/>
        </w:rPr>
        <w:t xml:space="preserve">заместитель начальника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</w:t>
        <w:br/>
        <w:t xml:space="preserve">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039"/>
        <w:ind w:left="1843" w:right="0" w:firstLine="0"/>
        <w:jc w:val="both"/>
        <w:tabs>
          <w:tab w:val="left" w:pos="708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Доценко Е.В.,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</w:t>
        <w:br/>
        <w:t xml:space="preserve">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031"/>
        <w:ind w:left="1843" w:right="0" w:firstLine="0"/>
        <w:jc w:val="both"/>
        <w:spacing w:line="280" w:lineRule="exact"/>
        <w:tabs>
          <w:tab w:val="left" w:pos="2805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ru-RU"/>
        </w:rPr>
        <w:t xml:space="preserve">Нестерова М.С.,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</w:t>
        <w:br/>
        <w:t xml:space="preserve">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1843" w:right="0" w:firstLine="0"/>
        <w:jc w:val="both"/>
        <w:spacing w:line="280" w:lineRule="exact"/>
        <w:tabs>
          <w:tab w:val="left" w:pos="2805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Павлова О.И.,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</w:t>
        <w:br/>
        <w:t xml:space="preserve">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1060"/>
        <w:ind w:firstLine="0"/>
        <w:jc w:val="both"/>
        <w:spacing w:line="240" w:lineRule="auto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9"/>
        <w:ind w:left="0"/>
        <w:tabs>
          <w:tab w:val="left" w:pos="708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установила: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pPr>
      <w:r>
        <w:rPr>
          <w:sz w:val="24"/>
          <w:szCs w:val="24"/>
        </w:rPr>
        <w:t xml:space="preserve">на участие </w:t>
      </w:r>
      <w:r>
        <w:rPr>
          <w:sz w:val="24"/>
          <w:szCs w:val="24"/>
        </w:rPr>
        <w:t xml:space="preserve">в конкурсе </w:t>
      </w:r>
      <w:r>
        <w:rPr>
          <w:rFonts w:eastAsia="Courier New"/>
          <w:sz w:val="24"/>
          <w:szCs w:val="24"/>
          <w:lang w:bidi="ru-RU"/>
        </w:rPr>
      </w:r>
      <w:r>
        <w:rPr>
          <w:sz w:val="24"/>
          <w:szCs w:val="24"/>
        </w:rPr>
        <w:t xml:space="preserve">в электронной форме по продаже муниципального имущества,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являющегося объектом культурного наследия, включенным в единый государственный реестр объектов культурного наследия (памятников истории и культуры) народов Российской Федерации</w:t>
      </w:r>
      <w:r>
        <w:rPr>
          <w:sz w:val="24"/>
          <w:szCs w:val="24"/>
        </w:rPr>
        <w:t xml:space="preserve">, назначенном на</w:t>
      </w:r>
      <w:r>
        <w:rPr>
          <w:sz w:val="24"/>
          <w:szCs w:val="24"/>
        </w:rPr>
        <w:t xml:space="preserve"> 28.09</w:t>
      </w:r>
      <w:r>
        <w:rPr>
          <w:sz w:val="24"/>
          <w:szCs w:val="24"/>
        </w:rPr>
        <w:t xml:space="preserve">.2026,</w:t>
      </w:r>
      <w:r>
        <w:rPr>
          <w:sz w:val="24"/>
          <w:szCs w:val="24"/>
        </w:rPr>
        <w:t xml:space="preserve"> (процедура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SBR012-2608260157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4"/>
          <w:szCs w:val="24"/>
        </w:rPr>
        <w:t xml:space="preserve">)</w:t>
      </w:r>
      <w:r>
        <w:rPr>
          <w:sz w:val="24"/>
          <w:szCs w:val="24"/>
          <w:lang w:val="ru-RU"/>
        </w:rPr>
        <w:t xml:space="preserve">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</w:p>
    <w:p>
      <w:pPr>
        <w:pStyle w:val="1039"/>
        <w:ind w:left="0"/>
        <w:jc w:val="both"/>
        <w:tabs>
          <w:tab w:val="left" w:pos="708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по лоту № 1 </w:t>
      </w: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1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Отдельно стоящее нежилое здание площадью 533,4 кв. м (кадастровый номер 59:01:4410218:45), по адресу:  г. Пермь, шоссе Космонавтов, дом 25, расположен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ное                            на земельном учас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тке площадью 1819 +/- 11 кв. м (кадастровый номер 59:01:4410218:944),                      по адресу: г. Пермь,  шоссе Космонавтов, 25. Здание является объектом культурного наследия регионального значения «Флигель купца Лаптева с воротами». Объект пустует.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</w:p>
    <w:p>
      <w:pPr>
        <w:pStyle w:val="1031"/>
        <w:jc w:val="both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</w:r>
      <w:r>
        <w:rPr>
          <w:b/>
          <w:sz w:val="24"/>
          <w:szCs w:val="24"/>
          <w:shd w:val="clear" w:color="auto" w:fill="ffffff"/>
        </w:rPr>
      </w:r>
      <w:r>
        <w:rPr>
          <w:b/>
          <w:sz w:val="24"/>
          <w:szCs w:val="24"/>
          <w:shd w:val="clear" w:color="auto" w:fill="ffffff"/>
        </w:rPr>
      </w:r>
    </w:p>
    <w:p>
      <w:pPr>
        <w:pStyle w:val="1031"/>
        <w:ind w:firstLine="709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Поступили 11 заявок: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Индивидуальный предприниматель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Санникова Лидия Алексеевна</w:t>
      </w:r>
      <w:r>
        <w:rPr>
          <w:sz w:val="24"/>
          <w:szCs w:val="24"/>
          <w:highlight w:val="none"/>
        </w:rPr>
        <w:t xml:space="preserve"> (заявка № 3419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Гулян Артур Робертович </w:t>
      </w:r>
      <w:r>
        <w:rPr>
          <w:sz w:val="24"/>
          <w:szCs w:val="24"/>
          <w:highlight w:val="none"/>
        </w:rPr>
        <w:t xml:space="preserve">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6704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АО «СтройЗемНедвижимость-Пермь»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6913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tabs>
          <w:tab w:val="left" w:pos="7654" w:leader="none"/>
        </w:tabs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Индивидуальный предприниматель</w:t>
      </w:r>
      <w:r>
        <w:rPr>
          <w:sz w:val="24"/>
          <w:szCs w:val="24"/>
        </w:rPr>
        <w:t xml:space="preserve"> Агеева Нина Ивановна (заявка №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1075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«Специализированный застройщик «Магнолия»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6170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sz w:val="24"/>
          <w:szCs w:val="24"/>
        </w:rPr>
        <w:t xml:space="preserve">ООО «Квинто»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9452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Специализированный застройщик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 «КВОРУМ»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3043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Балуев Юрий Алексеевич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 (заявка № 7812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Индивидуальный предприниматель Вдовин Данил Дмитриевич</w:t>
      </w:r>
      <w:r>
        <w:rPr>
          <w:sz w:val="24"/>
          <w:szCs w:val="24"/>
        </w:rPr>
        <w:t xml:space="preserve">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9893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  <w:highlight w:val="none"/>
        </w:rPr>
      </w:r>
      <w:r>
        <w:rPr>
          <w:sz w:val="24"/>
          <w:szCs w:val="24"/>
          <w:highlight w:val="none"/>
        </w:rPr>
        <w:t xml:space="preserve">ООО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МОДУЛЬ-ИНЖИНИРИНГ</w:t>
      </w:r>
      <w:r>
        <w:rPr>
          <w:sz w:val="24"/>
          <w:szCs w:val="24"/>
          <w:highlight w:val="none"/>
        </w:rPr>
        <w:t xml:space="preserve">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3618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6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OOO «СтройДом»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5937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).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ind w:left="709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1031"/>
        <w:ind w:firstLine="709"/>
        <w:jc w:val="both"/>
        <w:tabs>
          <w:tab w:val="left" w:pos="284" w:leader="none"/>
        </w:tabs>
        <w:rPr>
          <w:sz w:val="26"/>
          <w:szCs w:val="26"/>
        </w:rPr>
      </w:pPr>
      <w:r>
        <w:rPr>
          <w:sz w:val="24"/>
          <w:szCs w:val="24"/>
        </w:rPr>
        <w:t xml:space="preserve">2. Зарегистрированные заявки на участие в конкурсе в электронной форме по продаже муниципального имущества,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являющегося объектом культурного наследия, включенным </w:t>
        <w:br/>
        <w:t xml:space="preserve">в единый государственный реестр объектов культурного наследия (памятников истории </w:t>
        <w:br/>
        <w:t xml:space="preserve">и культуры) народов Российской Федерации,</w:t>
      </w:r>
      <w:r>
        <w:rPr>
          <w:sz w:val="24"/>
          <w:szCs w:val="24"/>
        </w:rPr>
        <w:t xml:space="preserve"> претенденты не отзывали.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31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</w:r>
      <w:r>
        <w:rPr>
          <w:sz w:val="24"/>
          <w:szCs w:val="24"/>
          <w:shd w:val="clear" w:color="auto" w:fill="ffffff"/>
        </w:rPr>
      </w:r>
      <w:r>
        <w:rPr>
          <w:sz w:val="24"/>
          <w:szCs w:val="24"/>
          <w:shd w:val="clear" w:color="auto" w:fill="ffffff"/>
        </w:rPr>
      </w:r>
    </w:p>
    <w:p>
      <w:pPr>
        <w:pStyle w:val="1031"/>
        <w:ind w:firstLine="708"/>
        <w:jc w:val="both"/>
        <w:rPr>
          <w:sz w:val="26"/>
          <w:szCs w:val="26"/>
        </w:rPr>
      </w:pPr>
      <w:r>
        <w:rPr>
          <w:sz w:val="24"/>
          <w:szCs w:val="24"/>
        </w:rPr>
        <w:t xml:space="preserve">Комиссия решила: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42"/>
        <w:numPr>
          <w:ilvl w:val="0"/>
          <w:numId w:val="55"/>
        </w:numPr>
        <w:ind w:left="0" w:firstLine="709"/>
        <w:jc w:val="both"/>
        <w:tabs>
          <w:tab w:val="left" w:pos="851" w:leader="none"/>
          <w:tab w:val="left" w:pos="1134" w:leader="none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на основании Федерального закона Российской Федерации от 21.12.2001 </w:t>
        <w:br/>
        <w:t xml:space="preserve">№ 178-ФЗ «О приватизации государственного и муниципального имущества», </w:t>
      </w:r>
      <w:r>
        <w:rPr>
          <w:rFonts w:ascii="Times New Roman" w:hAnsi="Times New Roman"/>
          <w:sz w:val="24"/>
          <w:szCs w:val="24"/>
          <w:lang w:val="en-US"/>
        </w:rPr>
        <w:t xml:space="preserve">Положени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  <w:br/>
        <w:t xml:space="preserve">«Об организации и проведении продажи государственного или муниципального имущества                      в электронной форме», утвержденн</w:t>
      </w:r>
      <w:r>
        <w:rPr>
          <w:rFonts w:ascii="Times New Roman" w:hAnsi="Times New Roman"/>
          <w:sz w:val="24"/>
          <w:szCs w:val="24"/>
        </w:rPr>
        <w:t xml:space="preserve">ого</w:t>
      </w:r>
      <w:r>
        <w:rPr>
          <w:rFonts w:ascii="Times New Roman" w:hAnsi="Times New Roman"/>
          <w:sz w:val="24"/>
          <w:szCs w:val="24"/>
          <w:lang w:val="en-US"/>
        </w:rPr>
        <w:t xml:space="preserve"> Постановлением Правительства Российской Федерации от 27 августа 2012 года № 860</w:t>
      </w:r>
      <w:r>
        <w:rPr>
          <w:rFonts w:ascii="Times New Roman" w:hAnsi="Times New Roman"/>
          <w:sz w:val="24"/>
          <w:szCs w:val="24"/>
        </w:rPr>
        <w:t xml:space="preserve">, признать участниками конкурса следующих претендентов: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42"/>
        <w:jc w:val="both"/>
        <w:tabs>
          <w:tab w:val="left" w:pos="993" w:leader="none"/>
          <w:tab w:val="left" w:pos="1134" w:leader="none"/>
        </w:tabs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1031"/>
        <w:ind w:firstLine="708"/>
        <w:jc w:val="both"/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по лоту № </w:t>
      </w:r>
      <w:r>
        <w:rPr>
          <w:b/>
          <w:sz w:val="24"/>
          <w:szCs w:val="24"/>
        </w:rPr>
        <w:t xml:space="preserve">1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Индивидуальный предприниматель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Санникова Лидия Алексеевна</w:t>
      </w:r>
      <w:r>
        <w:rPr>
          <w:sz w:val="24"/>
          <w:szCs w:val="24"/>
          <w:highlight w:val="none"/>
        </w:rPr>
        <w:t xml:space="preserve"> (заявка № 3419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Гулян Артур Робертович </w:t>
      </w:r>
      <w:r>
        <w:rPr>
          <w:sz w:val="24"/>
          <w:szCs w:val="24"/>
          <w:highlight w:val="none"/>
        </w:rPr>
        <w:t xml:space="preserve">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6704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АО «СтройЗемНедвижимость-Пермь»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6913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tabs>
          <w:tab w:val="left" w:pos="7654" w:leader="none"/>
        </w:tabs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Индивидуальный предприниматель</w:t>
      </w:r>
      <w:r>
        <w:rPr>
          <w:sz w:val="24"/>
          <w:szCs w:val="24"/>
        </w:rPr>
        <w:t xml:space="preserve"> Агеева Нина Ивановна (заявка №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1075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«Специализированный застройщик «Магнолия»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6170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sz w:val="24"/>
          <w:szCs w:val="24"/>
        </w:rPr>
        <w:t xml:space="preserve">ООО «Квинто»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9452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ООО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Специализированный застройщик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 «КВОРУМ»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3043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Балуев Юрий Алексеевич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 (заявка № 7812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Индивидуальный предприниматель Вдовин Данил Дмитриевич</w:t>
      </w:r>
      <w:r>
        <w:rPr>
          <w:sz w:val="24"/>
          <w:szCs w:val="24"/>
        </w:rPr>
        <w:t xml:space="preserve">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9893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  <w:highlight w:val="none"/>
        </w:rPr>
      </w:r>
      <w:r>
        <w:rPr>
          <w:sz w:val="24"/>
          <w:szCs w:val="24"/>
          <w:highlight w:val="none"/>
        </w:rPr>
        <w:t xml:space="preserve">ООО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МОДУЛЬ-ИНЖИНИРИНГ</w:t>
      </w:r>
      <w:r>
        <w:rPr>
          <w:sz w:val="24"/>
          <w:szCs w:val="24"/>
          <w:highlight w:val="none"/>
        </w:rPr>
        <w:t xml:space="preserve">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3618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871"/>
        <w:numPr>
          <w:ilvl w:val="0"/>
          <w:numId w:val="70"/>
        </w:numPr>
        <w:jc w:val="left"/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OOO «СтройДом» (заявка №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5937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none"/>
        </w:rPr>
        <w:t xml:space="preserve">).</w:t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mallCaps w:val="0"/>
          <w:color w:val="000000"/>
        </w:rPr>
      </w:r>
    </w:p>
    <w:p>
      <w:pPr>
        <w:pStyle w:val="1031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1"/>
        <w:jc w:val="both"/>
        <w:rPr>
          <w:sz w:val="26"/>
          <w:szCs w:val="26"/>
        </w:rPr>
      </w:pPr>
      <w:r>
        <w:rPr>
          <w:sz w:val="24"/>
          <w:szCs w:val="24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1031"/>
        <w:jc w:val="both"/>
        <w:tabs>
          <w:tab w:val="left" w:pos="7655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en-US" w:eastAsia="en-US"/>
        </w:rPr>
        <w:t xml:space="preserve">Председатель комиссии</w:t>
        <w:tab/>
      </w:r>
      <w:r>
        <w:rPr>
          <w:sz w:val="24"/>
          <w:szCs w:val="24"/>
        </w:rPr>
        <w:t xml:space="preserve">А.В. Соснин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tabs>
          <w:tab w:val="left" w:pos="765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tabs>
          <w:tab w:val="left" w:pos="7655" w:leader="none"/>
        </w:tabs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1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lang w:eastAsia="en-US"/>
        </w:rPr>
        <w:t xml:space="preserve">Члены комиссии </w:t>
        <w:tab/>
        <w:t xml:space="preserve">С.В. Меденникова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</w:rPr>
        <w:tab/>
      </w:r>
      <w:r>
        <w:rPr>
          <w:sz w:val="24"/>
          <w:szCs w:val="24"/>
          <w:lang w:eastAsia="en-US"/>
        </w:rPr>
        <w:t xml:space="preserve">Е.Ю. Селезнева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  <w:t xml:space="preserve">Ю.И. Четина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  <w:t xml:space="preserve">Е.В. Доценко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lang w:eastAsia="en-US"/>
        </w:rPr>
        <w:tab/>
        <w:tab/>
        <w:tab/>
        <w:tab/>
        <w:tab/>
        <w:tab/>
        <w:tab/>
        <w:t xml:space="preserve">    </w:t>
        <w:tab/>
        <w:tab/>
        <w:t xml:space="preserve">           М.С. Нестерова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6372" w:firstLine="708"/>
        <w:jc w:val="left"/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</w:rPr>
        <w:t xml:space="preserve">          О.И. Павлова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6372" w:firstLine="708"/>
        <w:jc w:val="left"/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sectPr>
      <w:headerReference w:type="first" r:id="rId9"/>
      <w:footerReference w:type="default" r:id="rId10"/>
      <w:footerReference w:type="even" r:id="rId11"/>
      <w:footerReference w:type="first" r:id="rId12"/>
      <w:footnotePr/>
      <w:endnotePr/>
      <w:type w:val="nextPage"/>
      <w:pgSz w:w="11906" w:h="16838" w:orient="portrait"/>
      <w:pgMar w:top="568" w:right="567" w:bottom="567" w:left="1418" w:header="709" w:footer="404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Courier New">
    <w:panose1 w:val="02070309020205020404"/>
  </w:font>
  <w:font w:name="Times New Roman">
    <w:panose1 w:val="02020603050405020304"/>
  </w:font>
  <w:font w:name="Calibri Light">
    <w:panose1 w:val="020F050202020403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4"/>
      <w:rPr>
        <w:rStyle w:val="1045"/>
      </w:rPr>
      <w:framePr w:wrap="around" w:vAnchor="text" w:hAnchor="margin" w:xAlign="right" w:y="1"/>
    </w:pPr>
    <w:r>
      <w:rPr>
        <w:rStyle w:val="1045"/>
      </w:rPr>
      <w:fldChar w:fldCharType="begin"/>
    </w:r>
    <w:r>
      <w:rPr>
        <w:rStyle w:val="1045"/>
      </w:rPr>
      <w:instrText xml:space="preserve">PAGE  </w:instrText>
    </w:r>
    <w:r>
      <w:rPr>
        <w:rStyle w:val="1045"/>
      </w:rPr>
      <w:fldChar w:fldCharType="separate"/>
    </w:r>
    <w:r>
      <w:rPr>
        <w:rStyle w:val="1045"/>
      </w:rPr>
      <w:t xml:space="preserve">2</w:t>
    </w:r>
    <w:r>
      <w:rPr>
        <w:rStyle w:val="1045"/>
      </w:rPr>
      <w:fldChar w:fldCharType="end"/>
    </w:r>
    <w:r>
      <w:rPr>
        <w:rStyle w:val="1045"/>
      </w:rPr>
    </w:r>
    <w:r>
      <w:rPr>
        <w:rStyle w:val="1045"/>
      </w:rPr>
    </w:r>
  </w:p>
  <w:p>
    <w:pPr>
      <w:pStyle w:val="1044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4"/>
      <w:rPr>
        <w:rStyle w:val="1045"/>
      </w:rPr>
      <w:framePr w:wrap="around" w:vAnchor="text" w:hAnchor="margin" w:xAlign="right" w:y="1"/>
    </w:pPr>
    <w:r>
      <w:rPr>
        <w:rStyle w:val="1045"/>
      </w:rPr>
      <w:fldChar w:fldCharType="begin"/>
    </w:r>
    <w:r>
      <w:rPr>
        <w:rStyle w:val="1045"/>
      </w:rPr>
      <w:instrText xml:space="preserve">PAGE  </w:instrText>
    </w:r>
    <w:r>
      <w:rPr>
        <w:rStyle w:val="1045"/>
      </w:rPr>
      <w:fldChar w:fldCharType="end"/>
    </w:r>
    <w:r>
      <w:rPr>
        <w:rStyle w:val="1045"/>
      </w:rPr>
    </w:r>
    <w:r>
      <w:rPr>
        <w:rStyle w:val="1045"/>
      </w:rPr>
    </w:r>
  </w:p>
  <w:p>
    <w:pPr>
      <w:pStyle w:val="1044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2"/>
      <w:numFmt w:val="decimal"/>
      <w:isLgl w:val="false"/>
      <w:suff w:val="tab"/>
      <w:lvlText w:val="%1.%2"/>
      <w:lvlJc w:val="left"/>
      <w:pPr>
        <w:ind w:left="180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36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504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68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82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008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2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320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9" w:hanging="42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708" w:hanging="129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346" w:hanging="129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94" w:hanging="129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2" w:hanging="129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390" w:hanging="129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44" w:hanging="180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29" w:hanging="42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708" w:hanging="129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346" w:hanging="129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94" w:hanging="129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2" w:hanging="129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390" w:hanging="129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44" w:hanging="180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708" w:hanging="129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346" w:hanging="129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694" w:hanging="129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2" w:hanging="129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390" w:hanging="129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88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44" w:hanging="180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1"/>
  </w:num>
  <w:num w:numId="2">
    <w:abstractNumId w:val="6"/>
  </w:num>
  <w:num w:numId="3">
    <w:abstractNumId w:val="37"/>
  </w:num>
  <w:num w:numId="4">
    <w:abstractNumId w:val="36"/>
  </w:num>
  <w:num w:numId="5">
    <w:abstractNumId w:val="42"/>
  </w:num>
  <w:num w:numId="6">
    <w:abstractNumId w:val="41"/>
  </w:num>
  <w:num w:numId="7">
    <w:abstractNumId w:val="13"/>
  </w:num>
  <w:num w:numId="8">
    <w:abstractNumId w:val="7"/>
  </w:num>
  <w:num w:numId="9">
    <w:abstractNumId w:val="19"/>
  </w:num>
  <w:num w:numId="10">
    <w:abstractNumId w:val="3"/>
  </w:num>
  <w:num w:numId="11">
    <w:abstractNumId w:val="46"/>
  </w:num>
  <w:num w:numId="12">
    <w:abstractNumId w:val="1"/>
  </w:num>
  <w:num w:numId="13">
    <w:abstractNumId w:val="40"/>
  </w:num>
  <w:num w:numId="14">
    <w:abstractNumId w:val="32"/>
  </w:num>
  <w:num w:numId="15">
    <w:abstractNumId w:val="8"/>
  </w:num>
  <w:num w:numId="16">
    <w:abstractNumId w:val="21"/>
  </w:num>
  <w:num w:numId="17">
    <w:abstractNumId w:val="16"/>
  </w:num>
  <w:num w:numId="18">
    <w:abstractNumId w:val="47"/>
  </w:num>
  <w:num w:numId="19">
    <w:abstractNumId w:val="34"/>
  </w:num>
  <w:num w:numId="20">
    <w:abstractNumId w:val="24"/>
  </w:num>
  <w:num w:numId="21">
    <w:abstractNumId w:val="29"/>
  </w:num>
  <w:num w:numId="22">
    <w:abstractNumId w:val="0"/>
  </w:num>
  <w:num w:numId="23">
    <w:abstractNumId w:val="22"/>
  </w:num>
  <w:num w:numId="24">
    <w:abstractNumId w:val="35"/>
  </w:num>
  <w:num w:numId="25">
    <w:abstractNumId w:val="25"/>
  </w:num>
  <w:num w:numId="26">
    <w:abstractNumId w:val="10"/>
  </w:num>
  <w:num w:numId="27">
    <w:abstractNumId w:val="43"/>
  </w:num>
  <w:num w:numId="28">
    <w:abstractNumId w:val="30"/>
  </w:num>
  <w:num w:numId="29">
    <w:abstractNumId w:val="38"/>
  </w:num>
  <w:num w:numId="30">
    <w:abstractNumId w:val="28"/>
  </w:num>
  <w:num w:numId="31">
    <w:abstractNumId w:val="15"/>
  </w:num>
  <w:num w:numId="32">
    <w:abstractNumId w:val="33"/>
  </w:num>
  <w:num w:numId="33">
    <w:abstractNumId w:val="48"/>
  </w:num>
  <w:num w:numId="34">
    <w:abstractNumId w:val="45"/>
  </w:num>
  <w:num w:numId="35">
    <w:abstractNumId w:val="31"/>
  </w:num>
  <w:num w:numId="36">
    <w:abstractNumId w:val="18"/>
  </w:num>
  <w:num w:numId="37">
    <w:abstractNumId w:val="5"/>
  </w:num>
  <w:num w:numId="38">
    <w:abstractNumId w:val="4"/>
  </w:num>
  <w:num w:numId="39">
    <w:abstractNumId w:val="12"/>
  </w:num>
  <w:num w:numId="40">
    <w:abstractNumId w:val="2"/>
  </w:num>
  <w:num w:numId="41">
    <w:abstractNumId w:val="27"/>
  </w:num>
  <w:num w:numId="42">
    <w:abstractNumId w:val="14"/>
  </w:num>
  <w:num w:numId="43">
    <w:abstractNumId w:val="26"/>
  </w:num>
  <w:num w:numId="44">
    <w:abstractNumId w:val="39"/>
  </w:num>
  <w:num w:numId="45">
    <w:abstractNumId w:val="17"/>
  </w:num>
  <w:num w:numId="46">
    <w:abstractNumId w:val="9"/>
  </w:num>
  <w:num w:numId="47">
    <w:abstractNumId w:val="49"/>
  </w:num>
  <w:num w:numId="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0"/>
  </w:num>
  <w:num w:numId="50">
    <w:abstractNumId w:val="44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53">
    <w:name w:val="Heading 1"/>
    <w:basedOn w:val="1031"/>
    <w:next w:val="1031"/>
    <w:link w:val="8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854">
    <w:name w:val="Heading 1 Char"/>
    <w:link w:val="853"/>
    <w:uiPriority w:val="9"/>
    <w:rPr>
      <w:rFonts w:ascii="Arial" w:hAnsi="Arial" w:eastAsia="Arial" w:cs="Arial"/>
      <w:sz w:val="40"/>
      <w:szCs w:val="40"/>
    </w:rPr>
  </w:style>
  <w:style w:type="paragraph" w:styleId="855">
    <w:name w:val="Heading 2"/>
    <w:basedOn w:val="1031"/>
    <w:next w:val="1031"/>
    <w:link w:val="8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856">
    <w:name w:val="Heading 2 Char"/>
    <w:link w:val="855"/>
    <w:uiPriority w:val="9"/>
    <w:rPr>
      <w:rFonts w:ascii="Arial" w:hAnsi="Arial" w:eastAsia="Arial" w:cs="Arial"/>
      <w:sz w:val="34"/>
    </w:rPr>
  </w:style>
  <w:style w:type="paragraph" w:styleId="857">
    <w:name w:val="Heading 3"/>
    <w:basedOn w:val="1031"/>
    <w:next w:val="1031"/>
    <w:link w:val="8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858">
    <w:name w:val="Heading 3 Char"/>
    <w:link w:val="857"/>
    <w:uiPriority w:val="9"/>
    <w:rPr>
      <w:rFonts w:ascii="Arial" w:hAnsi="Arial" w:eastAsia="Arial" w:cs="Arial"/>
      <w:sz w:val="30"/>
      <w:szCs w:val="30"/>
    </w:rPr>
  </w:style>
  <w:style w:type="paragraph" w:styleId="859">
    <w:name w:val="Heading 4"/>
    <w:basedOn w:val="1031"/>
    <w:next w:val="1031"/>
    <w:link w:val="8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60">
    <w:name w:val="Heading 4 Char"/>
    <w:link w:val="859"/>
    <w:uiPriority w:val="9"/>
    <w:rPr>
      <w:rFonts w:ascii="Arial" w:hAnsi="Arial" w:eastAsia="Arial" w:cs="Arial"/>
      <w:b/>
      <w:bCs/>
      <w:sz w:val="26"/>
      <w:szCs w:val="26"/>
    </w:rPr>
  </w:style>
  <w:style w:type="paragraph" w:styleId="861">
    <w:name w:val="Heading 5"/>
    <w:basedOn w:val="1031"/>
    <w:next w:val="1031"/>
    <w:link w:val="8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62">
    <w:name w:val="Heading 5 Char"/>
    <w:link w:val="861"/>
    <w:uiPriority w:val="9"/>
    <w:rPr>
      <w:rFonts w:ascii="Arial" w:hAnsi="Arial" w:eastAsia="Arial" w:cs="Arial"/>
      <w:b/>
      <w:bCs/>
      <w:sz w:val="24"/>
      <w:szCs w:val="24"/>
    </w:rPr>
  </w:style>
  <w:style w:type="paragraph" w:styleId="863">
    <w:name w:val="Heading 6"/>
    <w:basedOn w:val="1031"/>
    <w:next w:val="1031"/>
    <w:link w:val="8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64">
    <w:name w:val="Heading 6 Char"/>
    <w:link w:val="863"/>
    <w:uiPriority w:val="9"/>
    <w:rPr>
      <w:rFonts w:ascii="Arial" w:hAnsi="Arial" w:eastAsia="Arial" w:cs="Arial"/>
      <w:b/>
      <w:bCs/>
      <w:sz w:val="22"/>
      <w:szCs w:val="22"/>
    </w:rPr>
  </w:style>
  <w:style w:type="paragraph" w:styleId="865">
    <w:name w:val="Heading 7"/>
    <w:basedOn w:val="1031"/>
    <w:next w:val="1031"/>
    <w:link w:val="8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66">
    <w:name w:val="Heading 7 Char"/>
    <w:link w:val="8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67">
    <w:name w:val="Heading 8"/>
    <w:basedOn w:val="1031"/>
    <w:next w:val="1031"/>
    <w:link w:val="8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68">
    <w:name w:val="Heading 8 Char"/>
    <w:link w:val="867"/>
    <w:uiPriority w:val="9"/>
    <w:rPr>
      <w:rFonts w:ascii="Arial" w:hAnsi="Arial" w:eastAsia="Arial" w:cs="Arial"/>
      <w:i/>
      <w:iCs/>
      <w:sz w:val="22"/>
      <w:szCs w:val="22"/>
    </w:rPr>
  </w:style>
  <w:style w:type="paragraph" w:styleId="869">
    <w:name w:val="Heading 9"/>
    <w:basedOn w:val="1031"/>
    <w:next w:val="1031"/>
    <w:link w:val="8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70">
    <w:name w:val="Heading 9 Char"/>
    <w:link w:val="869"/>
    <w:uiPriority w:val="9"/>
    <w:rPr>
      <w:rFonts w:ascii="Arial" w:hAnsi="Arial" w:eastAsia="Arial" w:cs="Arial"/>
      <w:i/>
      <w:iCs/>
      <w:sz w:val="21"/>
      <w:szCs w:val="21"/>
    </w:rPr>
  </w:style>
  <w:style w:type="paragraph" w:styleId="871">
    <w:name w:val="List Paragraph"/>
    <w:basedOn w:val="1031"/>
    <w:uiPriority w:val="34"/>
    <w:qFormat/>
    <w:pPr>
      <w:contextualSpacing/>
      <w:ind w:left="720"/>
    </w:pPr>
  </w:style>
  <w:style w:type="paragraph" w:styleId="872">
    <w:name w:val="No Spacing"/>
    <w:uiPriority w:val="1"/>
    <w:qFormat/>
    <w:pPr>
      <w:spacing w:before="0" w:after="0" w:line="240" w:lineRule="auto"/>
    </w:pPr>
  </w:style>
  <w:style w:type="paragraph" w:styleId="873">
    <w:name w:val="Title"/>
    <w:basedOn w:val="1031"/>
    <w:next w:val="1031"/>
    <w:link w:val="8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74">
    <w:name w:val="Title Char"/>
    <w:link w:val="873"/>
    <w:uiPriority w:val="10"/>
    <w:rPr>
      <w:sz w:val="48"/>
      <w:szCs w:val="48"/>
    </w:rPr>
  </w:style>
  <w:style w:type="paragraph" w:styleId="875">
    <w:name w:val="Subtitle"/>
    <w:basedOn w:val="1031"/>
    <w:next w:val="1031"/>
    <w:link w:val="876"/>
    <w:uiPriority w:val="11"/>
    <w:qFormat/>
    <w:pPr>
      <w:spacing w:before="200" w:after="200"/>
    </w:pPr>
    <w:rPr>
      <w:sz w:val="24"/>
      <w:szCs w:val="24"/>
    </w:rPr>
  </w:style>
  <w:style w:type="character" w:styleId="876">
    <w:name w:val="Subtitle Char"/>
    <w:link w:val="875"/>
    <w:uiPriority w:val="11"/>
    <w:rPr>
      <w:sz w:val="24"/>
      <w:szCs w:val="24"/>
    </w:rPr>
  </w:style>
  <w:style w:type="paragraph" w:styleId="877">
    <w:name w:val="Quote"/>
    <w:basedOn w:val="1031"/>
    <w:next w:val="1031"/>
    <w:link w:val="878"/>
    <w:uiPriority w:val="29"/>
    <w:qFormat/>
    <w:pPr>
      <w:ind w:left="720" w:right="720"/>
    </w:pPr>
    <w:rPr>
      <w:i/>
    </w:rPr>
  </w:style>
  <w:style w:type="character" w:styleId="878">
    <w:name w:val="Quote Char"/>
    <w:link w:val="877"/>
    <w:uiPriority w:val="29"/>
    <w:rPr>
      <w:i/>
    </w:rPr>
  </w:style>
  <w:style w:type="paragraph" w:styleId="879">
    <w:name w:val="Intense Quote"/>
    <w:basedOn w:val="1031"/>
    <w:next w:val="1031"/>
    <w:link w:val="8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80">
    <w:name w:val="Intense Quote Char"/>
    <w:link w:val="879"/>
    <w:uiPriority w:val="30"/>
    <w:rPr>
      <w:i/>
    </w:rPr>
  </w:style>
  <w:style w:type="paragraph" w:styleId="881">
    <w:name w:val="Header"/>
    <w:basedOn w:val="1031"/>
    <w:link w:val="8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82">
    <w:name w:val="Header Char"/>
    <w:link w:val="881"/>
    <w:uiPriority w:val="99"/>
  </w:style>
  <w:style w:type="paragraph" w:styleId="883">
    <w:name w:val="Footer"/>
    <w:basedOn w:val="1031"/>
    <w:link w:val="8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84">
    <w:name w:val="Footer Char"/>
    <w:link w:val="883"/>
    <w:uiPriority w:val="99"/>
  </w:style>
  <w:style w:type="paragraph" w:styleId="885">
    <w:name w:val="Caption"/>
    <w:basedOn w:val="1031"/>
    <w:next w:val="1031"/>
    <w:link w:val="8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86">
    <w:name w:val="Caption Char"/>
    <w:link w:val="885"/>
    <w:uiPriority w:val="35"/>
    <w:rPr>
      <w:b/>
      <w:bCs/>
      <w:color w:val="4f81bd" w:themeColor="accent1"/>
      <w:sz w:val="18"/>
      <w:szCs w:val="18"/>
    </w:rPr>
  </w:style>
  <w:style w:type="table" w:styleId="88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8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9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9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1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1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1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1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2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2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2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2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92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92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92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92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2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2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3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3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3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3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5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5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5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5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5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5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5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7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7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7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7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7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7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7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7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8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8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8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8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8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8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8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8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8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8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9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9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9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9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9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9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9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9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9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9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0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0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0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0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0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0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0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0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0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1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1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1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013">
    <w:name w:val="Hyperlink"/>
    <w:uiPriority w:val="99"/>
    <w:unhideWhenUsed/>
    <w:rPr>
      <w:color w:val="0000ff" w:themeColor="hyperlink"/>
      <w:u w:val="single"/>
    </w:rPr>
  </w:style>
  <w:style w:type="paragraph" w:styleId="1014">
    <w:name w:val="footnote text"/>
    <w:basedOn w:val="1031"/>
    <w:link w:val="1015"/>
    <w:uiPriority w:val="99"/>
    <w:semiHidden/>
    <w:unhideWhenUsed/>
    <w:pPr>
      <w:spacing w:after="40" w:line="240" w:lineRule="auto"/>
    </w:pPr>
    <w:rPr>
      <w:sz w:val="18"/>
    </w:rPr>
  </w:style>
  <w:style w:type="character" w:styleId="1015">
    <w:name w:val="Footnote Text Char"/>
    <w:link w:val="1014"/>
    <w:uiPriority w:val="99"/>
    <w:rPr>
      <w:sz w:val="18"/>
    </w:rPr>
  </w:style>
  <w:style w:type="character" w:styleId="1016">
    <w:name w:val="footnote reference"/>
    <w:uiPriority w:val="99"/>
    <w:unhideWhenUsed/>
    <w:rPr>
      <w:vertAlign w:val="superscript"/>
    </w:rPr>
  </w:style>
  <w:style w:type="paragraph" w:styleId="1017">
    <w:name w:val="endnote text"/>
    <w:basedOn w:val="1031"/>
    <w:link w:val="1018"/>
    <w:uiPriority w:val="99"/>
    <w:semiHidden/>
    <w:unhideWhenUsed/>
    <w:pPr>
      <w:spacing w:after="0" w:line="240" w:lineRule="auto"/>
    </w:pPr>
    <w:rPr>
      <w:sz w:val="20"/>
    </w:rPr>
  </w:style>
  <w:style w:type="character" w:styleId="1018">
    <w:name w:val="Endnote Text Char"/>
    <w:link w:val="1017"/>
    <w:uiPriority w:val="99"/>
    <w:rPr>
      <w:sz w:val="20"/>
    </w:rPr>
  </w:style>
  <w:style w:type="character" w:styleId="1019">
    <w:name w:val="endnote reference"/>
    <w:uiPriority w:val="99"/>
    <w:semiHidden/>
    <w:unhideWhenUsed/>
    <w:rPr>
      <w:vertAlign w:val="superscript"/>
    </w:rPr>
  </w:style>
  <w:style w:type="paragraph" w:styleId="1020">
    <w:name w:val="toc 1"/>
    <w:basedOn w:val="1031"/>
    <w:next w:val="1031"/>
    <w:uiPriority w:val="39"/>
    <w:unhideWhenUsed/>
    <w:pPr>
      <w:ind w:left="0" w:right="0" w:firstLine="0"/>
      <w:spacing w:after="57"/>
    </w:pPr>
  </w:style>
  <w:style w:type="paragraph" w:styleId="1021">
    <w:name w:val="toc 2"/>
    <w:basedOn w:val="1031"/>
    <w:next w:val="1031"/>
    <w:uiPriority w:val="39"/>
    <w:unhideWhenUsed/>
    <w:pPr>
      <w:ind w:left="283" w:right="0" w:firstLine="0"/>
      <w:spacing w:after="57"/>
    </w:pPr>
  </w:style>
  <w:style w:type="paragraph" w:styleId="1022">
    <w:name w:val="toc 3"/>
    <w:basedOn w:val="1031"/>
    <w:next w:val="1031"/>
    <w:uiPriority w:val="39"/>
    <w:unhideWhenUsed/>
    <w:pPr>
      <w:ind w:left="567" w:right="0" w:firstLine="0"/>
      <w:spacing w:after="57"/>
    </w:pPr>
  </w:style>
  <w:style w:type="paragraph" w:styleId="1023">
    <w:name w:val="toc 4"/>
    <w:basedOn w:val="1031"/>
    <w:next w:val="1031"/>
    <w:uiPriority w:val="39"/>
    <w:unhideWhenUsed/>
    <w:pPr>
      <w:ind w:left="850" w:right="0" w:firstLine="0"/>
      <w:spacing w:after="57"/>
    </w:pPr>
  </w:style>
  <w:style w:type="paragraph" w:styleId="1024">
    <w:name w:val="toc 5"/>
    <w:basedOn w:val="1031"/>
    <w:next w:val="1031"/>
    <w:uiPriority w:val="39"/>
    <w:unhideWhenUsed/>
    <w:pPr>
      <w:ind w:left="1134" w:right="0" w:firstLine="0"/>
      <w:spacing w:after="57"/>
    </w:pPr>
  </w:style>
  <w:style w:type="paragraph" w:styleId="1025">
    <w:name w:val="toc 6"/>
    <w:basedOn w:val="1031"/>
    <w:next w:val="1031"/>
    <w:uiPriority w:val="39"/>
    <w:unhideWhenUsed/>
    <w:pPr>
      <w:ind w:left="1417" w:right="0" w:firstLine="0"/>
      <w:spacing w:after="57"/>
    </w:pPr>
  </w:style>
  <w:style w:type="paragraph" w:styleId="1026">
    <w:name w:val="toc 7"/>
    <w:basedOn w:val="1031"/>
    <w:next w:val="1031"/>
    <w:uiPriority w:val="39"/>
    <w:unhideWhenUsed/>
    <w:pPr>
      <w:ind w:left="1701" w:right="0" w:firstLine="0"/>
      <w:spacing w:after="57"/>
    </w:pPr>
  </w:style>
  <w:style w:type="paragraph" w:styleId="1027">
    <w:name w:val="toc 8"/>
    <w:basedOn w:val="1031"/>
    <w:next w:val="1031"/>
    <w:uiPriority w:val="39"/>
    <w:unhideWhenUsed/>
    <w:pPr>
      <w:ind w:left="1984" w:right="0" w:firstLine="0"/>
      <w:spacing w:after="57"/>
    </w:pPr>
  </w:style>
  <w:style w:type="paragraph" w:styleId="1028">
    <w:name w:val="toc 9"/>
    <w:basedOn w:val="1031"/>
    <w:next w:val="1031"/>
    <w:uiPriority w:val="39"/>
    <w:unhideWhenUsed/>
    <w:pPr>
      <w:ind w:left="2268" w:right="0" w:firstLine="0"/>
      <w:spacing w:after="57"/>
    </w:pPr>
  </w:style>
  <w:style w:type="paragraph" w:styleId="1029">
    <w:name w:val="TOC Heading"/>
    <w:uiPriority w:val="39"/>
    <w:unhideWhenUsed/>
  </w:style>
  <w:style w:type="paragraph" w:styleId="1030">
    <w:name w:val="table of figures"/>
    <w:basedOn w:val="1031"/>
    <w:next w:val="1031"/>
    <w:uiPriority w:val="99"/>
    <w:unhideWhenUsed/>
    <w:pPr>
      <w:spacing w:after="0" w:afterAutospacing="0"/>
    </w:pPr>
  </w:style>
  <w:style w:type="paragraph" w:styleId="1031" w:default="1">
    <w:name w:val="Normal"/>
    <w:next w:val="1031"/>
    <w:link w:val="1031"/>
    <w:qFormat/>
    <w:rPr>
      <w:sz w:val="24"/>
      <w:szCs w:val="24"/>
      <w:lang w:val="ru-RU" w:eastAsia="ru-RU" w:bidi="ar-SA"/>
    </w:rPr>
  </w:style>
  <w:style w:type="paragraph" w:styleId="1032">
    <w:name w:val="Заголовок 1"/>
    <w:basedOn w:val="1031"/>
    <w:next w:val="1031"/>
    <w:link w:val="1059"/>
    <w:qFormat/>
    <w:p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paragraph" w:styleId="1033">
    <w:name w:val="Заголовок 3"/>
    <w:basedOn w:val="1031"/>
    <w:next w:val="1031"/>
    <w:link w:val="1031"/>
    <w:qFormat/>
    <w:pPr>
      <w:jc w:val="both"/>
      <w:keepNext/>
      <w:outlineLvl w:val="2"/>
    </w:pPr>
    <w:rPr>
      <w:b/>
      <w:bCs/>
    </w:rPr>
  </w:style>
  <w:style w:type="paragraph" w:styleId="1034">
    <w:name w:val="Заголовок 4"/>
    <w:basedOn w:val="1031"/>
    <w:next w:val="1031"/>
    <w:link w:val="1031"/>
    <w:qFormat/>
    <w:pPr>
      <w:jc w:val="both"/>
      <w:keepNext/>
      <w:outlineLvl w:val="3"/>
    </w:pPr>
    <w:rPr>
      <w:sz w:val="28"/>
    </w:rPr>
  </w:style>
  <w:style w:type="character" w:styleId="1035">
    <w:name w:val="Основной шрифт абзаца"/>
    <w:next w:val="1035"/>
    <w:link w:val="1031"/>
    <w:semiHidden/>
  </w:style>
  <w:style w:type="table" w:styleId="1036">
    <w:name w:val="Обычная таблица"/>
    <w:next w:val="1036"/>
    <w:link w:val="1031"/>
    <w:semiHidden/>
    <w:tblPr/>
  </w:style>
  <w:style w:type="numbering" w:styleId="1037">
    <w:name w:val="Нет списка"/>
    <w:next w:val="1037"/>
    <w:link w:val="1031"/>
    <w:semiHidden/>
  </w:style>
  <w:style w:type="paragraph" w:styleId="1038">
    <w:name w:val="Название"/>
    <w:basedOn w:val="1031"/>
    <w:next w:val="1038"/>
    <w:link w:val="1031"/>
    <w:qFormat/>
    <w:pPr>
      <w:ind w:firstLine="567"/>
      <w:jc w:val="center"/>
    </w:pPr>
    <w:rPr>
      <w:b/>
      <w:szCs w:val="20"/>
    </w:rPr>
  </w:style>
  <w:style w:type="paragraph" w:styleId="1039">
    <w:name w:val="Основной текст с отступом"/>
    <w:basedOn w:val="1031"/>
    <w:next w:val="1039"/>
    <w:link w:val="1053"/>
    <w:pPr>
      <w:ind w:left="3366"/>
      <w:spacing w:line="280" w:lineRule="exact"/>
      <w:tabs>
        <w:tab w:val="left" w:pos="2805" w:leader="none"/>
      </w:tabs>
    </w:pPr>
    <w:rPr>
      <w:sz w:val="28"/>
      <w:szCs w:val="28"/>
      <w:lang w:val="en-US" w:eastAsia="en-US"/>
    </w:rPr>
  </w:style>
  <w:style w:type="paragraph" w:styleId="1040">
    <w:name w:val="Основной текст с отступом 2"/>
    <w:basedOn w:val="1031"/>
    <w:next w:val="1040"/>
    <w:link w:val="1031"/>
    <w:pPr>
      <w:ind w:left="4962" w:hanging="4395"/>
      <w:jc w:val="both"/>
    </w:pPr>
    <w:rPr>
      <w:szCs w:val="20"/>
    </w:rPr>
  </w:style>
  <w:style w:type="paragraph" w:styleId="1041">
    <w:name w:val="Основной текст с отступом 3"/>
    <w:basedOn w:val="1031"/>
    <w:next w:val="1041"/>
    <w:link w:val="1052"/>
    <w:pPr>
      <w:ind w:firstLine="567"/>
      <w:jc w:val="both"/>
    </w:pPr>
    <w:rPr>
      <w:szCs w:val="20"/>
      <w:lang w:val="en-US" w:eastAsia="en-US"/>
    </w:rPr>
  </w:style>
  <w:style w:type="paragraph" w:styleId="1042">
    <w:name w:val="Текст"/>
    <w:basedOn w:val="1031"/>
    <w:next w:val="1042"/>
    <w:link w:val="1051"/>
    <w:rPr>
      <w:rFonts w:ascii="Courier New" w:hAnsi="Courier New"/>
      <w:sz w:val="20"/>
      <w:szCs w:val="20"/>
    </w:rPr>
  </w:style>
  <w:style w:type="paragraph" w:styleId="1043">
    <w:name w:val="Основной текст"/>
    <w:basedOn w:val="1031"/>
    <w:next w:val="1043"/>
    <w:link w:val="1054"/>
    <w:pPr>
      <w:jc w:val="right"/>
    </w:pPr>
    <w:rPr>
      <w:sz w:val="28"/>
      <w:lang w:val="en-US" w:eastAsia="en-US"/>
    </w:rPr>
  </w:style>
  <w:style w:type="paragraph" w:styleId="1044">
    <w:name w:val="Нижний колонтитул"/>
    <w:basedOn w:val="1031"/>
    <w:next w:val="1044"/>
    <w:link w:val="1031"/>
    <w:pPr>
      <w:tabs>
        <w:tab w:val="center" w:pos="4677" w:leader="none"/>
        <w:tab w:val="right" w:pos="9355" w:leader="none"/>
      </w:tabs>
    </w:pPr>
  </w:style>
  <w:style w:type="character" w:styleId="1045">
    <w:name w:val="Номер страницы"/>
    <w:basedOn w:val="1035"/>
    <w:next w:val="1045"/>
    <w:link w:val="1031"/>
  </w:style>
  <w:style w:type="paragraph" w:styleId="1046">
    <w:name w:val="Знак Знак Знак Знак Знак Знак Знак Знак Знак Знак Знак Знак"/>
    <w:basedOn w:val="1031"/>
    <w:next w:val="1046"/>
    <w:link w:val="1031"/>
    <w:rPr>
      <w:rFonts w:ascii="Verdana" w:hAnsi="Verdana" w:cs="Verdana"/>
      <w:sz w:val="20"/>
      <w:szCs w:val="20"/>
      <w:lang w:val="en-US" w:eastAsia="en-US"/>
    </w:rPr>
  </w:style>
  <w:style w:type="paragraph" w:styleId="1047">
    <w:name w:val="Основной текст 2"/>
    <w:basedOn w:val="1031"/>
    <w:next w:val="1047"/>
    <w:link w:val="1055"/>
    <w:pPr>
      <w:spacing w:after="120" w:line="480" w:lineRule="auto"/>
    </w:pPr>
    <w:rPr>
      <w:lang w:val="en-US" w:eastAsia="en-US"/>
    </w:rPr>
  </w:style>
  <w:style w:type="paragraph" w:styleId="1048">
    <w:name w:val=" Знак Знак Знак Знак Знак Знак Знак Знак Знак Знак Знак Знак"/>
    <w:basedOn w:val="1031"/>
    <w:next w:val="1048"/>
    <w:link w:val="1031"/>
    <w:rPr>
      <w:rFonts w:ascii="Verdana" w:hAnsi="Verdana" w:cs="Verdana"/>
      <w:sz w:val="20"/>
      <w:szCs w:val="20"/>
      <w:lang w:val="en-US" w:eastAsia="en-US"/>
    </w:rPr>
  </w:style>
  <w:style w:type="table" w:styleId="1049">
    <w:name w:val="Сетка таблицы"/>
    <w:basedOn w:val="1036"/>
    <w:next w:val="1049"/>
    <w:link w:val="1031"/>
    <w:uiPriority w:val="59"/>
    <w:tblPr/>
  </w:style>
  <w:style w:type="paragraph" w:styleId="1050">
    <w:name w:val="Текст выноски"/>
    <w:basedOn w:val="1031"/>
    <w:next w:val="1050"/>
    <w:link w:val="1031"/>
    <w:semiHidden/>
    <w:rPr>
      <w:rFonts w:ascii="Tahoma" w:hAnsi="Tahoma" w:cs="Tahoma"/>
      <w:sz w:val="16"/>
      <w:szCs w:val="16"/>
    </w:rPr>
  </w:style>
  <w:style w:type="character" w:styleId="1051">
    <w:name w:val="Текст Знак"/>
    <w:next w:val="1051"/>
    <w:link w:val="1042"/>
    <w:rPr>
      <w:rFonts w:ascii="Courier New" w:hAnsi="Courier New"/>
      <w:lang w:val="ru-RU" w:eastAsia="ru-RU" w:bidi="ar-SA"/>
    </w:rPr>
  </w:style>
  <w:style w:type="character" w:styleId="1052">
    <w:name w:val="Основной текст с отступом 3 Знак"/>
    <w:next w:val="1052"/>
    <w:link w:val="1041"/>
    <w:rPr>
      <w:sz w:val="24"/>
    </w:rPr>
  </w:style>
  <w:style w:type="character" w:styleId="1053">
    <w:name w:val="Основной текст с отступом Знак"/>
    <w:next w:val="1053"/>
    <w:link w:val="1039"/>
    <w:rPr>
      <w:sz w:val="28"/>
      <w:szCs w:val="28"/>
    </w:rPr>
  </w:style>
  <w:style w:type="character" w:styleId="1054">
    <w:name w:val="Основной текст Знак"/>
    <w:next w:val="1054"/>
    <w:link w:val="1043"/>
    <w:rPr>
      <w:sz w:val="28"/>
      <w:szCs w:val="24"/>
    </w:rPr>
  </w:style>
  <w:style w:type="character" w:styleId="1055">
    <w:name w:val="Основной текст 2 Знак"/>
    <w:next w:val="1055"/>
    <w:link w:val="1047"/>
    <w:rPr>
      <w:sz w:val="24"/>
      <w:szCs w:val="24"/>
    </w:rPr>
  </w:style>
  <w:style w:type="paragraph" w:styleId="1056">
    <w:name w:val="ConsPlusNormal"/>
    <w:next w:val="1056"/>
    <w:link w:val="1031"/>
    <w:rPr>
      <w:b/>
      <w:bCs/>
      <w:sz w:val="28"/>
      <w:szCs w:val="28"/>
      <w:lang w:val="ru-RU" w:eastAsia="ru-RU" w:bidi="ar-SA"/>
    </w:rPr>
  </w:style>
  <w:style w:type="paragraph" w:styleId="1057">
    <w:name w:val="Верхний колонтитул"/>
    <w:basedOn w:val="1031"/>
    <w:next w:val="1057"/>
    <w:link w:val="1058"/>
    <w:pPr>
      <w:tabs>
        <w:tab w:val="center" w:pos="4677" w:leader="none"/>
        <w:tab w:val="right" w:pos="9355" w:leader="none"/>
      </w:tabs>
    </w:pPr>
  </w:style>
  <w:style w:type="character" w:styleId="1058">
    <w:name w:val="Верхний колонтитул Знак"/>
    <w:next w:val="1058"/>
    <w:link w:val="1057"/>
    <w:rPr>
      <w:sz w:val="24"/>
      <w:szCs w:val="24"/>
    </w:rPr>
  </w:style>
  <w:style w:type="character" w:styleId="1059">
    <w:name w:val="Заголовок 1 Знак"/>
    <w:next w:val="1059"/>
    <w:link w:val="1032"/>
    <w:rPr>
      <w:rFonts w:ascii="Calibri Light" w:hAnsi="Calibri Light" w:eastAsia="Times New Roman" w:cs="Times New Roman"/>
      <w:b/>
      <w:bCs/>
      <w:sz w:val="32"/>
      <w:szCs w:val="32"/>
    </w:rPr>
  </w:style>
  <w:style w:type="paragraph" w:styleId="1060">
    <w:name w:val="Style2"/>
    <w:basedOn w:val="1031"/>
    <w:next w:val="1060"/>
    <w:link w:val="1031"/>
    <w:pPr>
      <w:ind w:firstLine="192"/>
      <w:spacing w:line="230" w:lineRule="exact"/>
      <w:widowControl w:val="off"/>
    </w:pPr>
  </w:style>
  <w:style w:type="character" w:styleId="1061">
    <w:name w:val="Font Style26"/>
    <w:next w:val="1061"/>
    <w:link w:val="1031"/>
    <w:rPr>
      <w:rFonts w:ascii="Times New Roman" w:hAnsi="Times New Roman" w:cs="Times New Roman"/>
      <w:b/>
      <w:bCs/>
      <w:sz w:val="18"/>
      <w:szCs w:val="18"/>
    </w:rPr>
  </w:style>
  <w:style w:type="paragraph" w:styleId="1062">
    <w:name w:val="Style4"/>
    <w:basedOn w:val="1031"/>
    <w:next w:val="1062"/>
    <w:link w:val="1031"/>
    <w:pPr>
      <w:spacing w:line="230" w:lineRule="exact"/>
      <w:widowControl w:val="off"/>
    </w:pPr>
  </w:style>
  <w:style w:type="character" w:styleId="1063" w:default="1">
    <w:name w:val="Default Paragraph Font"/>
    <w:uiPriority w:val="1"/>
    <w:semiHidden/>
    <w:unhideWhenUsed/>
  </w:style>
  <w:style w:type="numbering" w:styleId="1064" w:default="1">
    <w:name w:val="No List"/>
    <w:uiPriority w:val="99"/>
    <w:semiHidden/>
    <w:unhideWhenUsed/>
  </w:style>
  <w:style w:type="table" w:styleId="106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Деп. имущественных отношений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имущественных отношений</dc:title>
  <dc:creator>bna</dc:creator>
  <cp:lastModifiedBy>chetina-yui</cp:lastModifiedBy>
  <cp:revision>156</cp:revision>
  <dcterms:created xsi:type="dcterms:W3CDTF">2016-06-29T05:17:00Z</dcterms:created>
  <dcterms:modified xsi:type="dcterms:W3CDTF">2026-09-25T07:23:40Z</dcterms:modified>
  <cp:version>983040</cp:version>
</cp:coreProperties>
</file>