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6"/>
        <w:numPr>
          <w:ilvl w:val="0"/>
          <w:numId w:val="0"/>
        </w:numPr>
        <w:ind w:left="0" w:firstLine="0"/>
        <w:jc w:val="center"/>
        <w:spacing w:line="28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ПРОТОКОЛ   </w:t>
      </w:r>
      <w:r>
        <w:rPr>
          <w:sz w:val="28"/>
          <w:szCs w:val="28"/>
        </w:rPr>
      </w:r>
    </w:p>
    <w:p>
      <w:pPr>
        <w:pStyle w:val="846"/>
        <w:numPr>
          <w:ilvl w:val="0"/>
          <w:numId w:val="0"/>
        </w:numPr>
        <w:ind w:left="0" w:firstLine="0"/>
        <w:spacing w:line="28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о признании аукциона на право заключения договора аренды муниципального имущества несостоявшимся</w:t>
      </w:r>
      <w:r>
        <w:rPr>
          <w:sz w:val="28"/>
          <w:szCs w:val="28"/>
        </w:rPr>
      </w:r>
    </w:p>
    <w:p>
      <w:pPr>
        <w:pStyle w:val="771"/>
        <w:jc w:val="both"/>
        <w:spacing w:before="0" w:after="120"/>
        <w:rPr>
          <w:b/>
          <w:sz w:val="24"/>
        </w:rPr>
      </w:pPr>
      <w:r>
        <w:rPr>
          <w:b/>
          <w:sz w:val="24"/>
        </w:rPr>
      </w:r>
      <w:r>
        <w:rPr>
          <w:b/>
          <w:sz w:val="24"/>
        </w:rPr>
      </w:r>
    </w:p>
    <w:p>
      <w:pPr>
        <w:pStyle w:val="77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Адрес электронной площадки: </w:t>
      </w:r>
      <w:r>
        <w:rPr>
          <w:sz w:val="28"/>
          <w:szCs w:val="28"/>
        </w:rPr>
        <w:t xml:space="preserve">универсальная торговая платформа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АО «Сбербанк-АСТ», размещенная на сайте http://utp.sberbank-ast.ru в сети Интернет (торговая секция «Приватизация, аренда и продажа прав»).</w:t>
      </w:r>
      <w:r>
        <w:rPr>
          <w:sz w:val="28"/>
          <w:szCs w:val="28"/>
        </w:rPr>
      </w:r>
    </w:p>
    <w:p>
      <w:pPr>
        <w:pStyle w:val="771"/>
        <w:rPr>
          <w:sz w:val="28"/>
          <w:szCs w:val="28"/>
        </w:rPr>
      </w:pPr>
      <w:r>
        <w:rPr>
          <w:b/>
          <w:sz w:val="28"/>
          <w:szCs w:val="28"/>
        </w:rPr>
        <w:t xml:space="preserve">Дата проведения электронного аукциона:</w:t>
      </w:r>
      <w:r>
        <w:rPr>
          <w:b w:val="0"/>
          <w:bCs w:val="0"/>
          <w:sz w:val="28"/>
          <w:szCs w:val="28"/>
        </w:rPr>
        <w:t xml:space="preserve"> 29.09.</w:t>
      </w:r>
      <w:r>
        <w:rPr>
          <w:sz w:val="28"/>
          <w:szCs w:val="28"/>
        </w:rPr>
        <w:t xml:space="preserve">2026</w:t>
      </w:r>
      <w:r>
        <w:rPr>
          <w:sz w:val="28"/>
          <w:szCs w:val="28"/>
        </w:rPr>
      </w:r>
    </w:p>
    <w:p>
      <w:pPr>
        <w:pStyle w:val="771"/>
        <w:rPr>
          <w:sz w:val="28"/>
          <w:szCs w:val="28"/>
        </w:rPr>
      </w:pPr>
      <w:r>
        <w:rPr>
          <w:b/>
          <w:sz w:val="28"/>
          <w:szCs w:val="28"/>
        </w:rPr>
        <w:t xml:space="preserve">Время проведения электронного аукциона:</w:t>
      </w:r>
      <w:r>
        <w:rPr>
          <w:sz w:val="28"/>
          <w:szCs w:val="28"/>
        </w:rPr>
        <w:t xml:space="preserve"> 09:00 по местному времени </w:t>
      </w:r>
      <w:r>
        <w:rPr>
          <w:sz w:val="28"/>
          <w:szCs w:val="28"/>
        </w:rPr>
      </w:r>
    </w:p>
    <w:p>
      <w:pPr>
        <w:pStyle w:val="771"/>
        <w:rPr>
          <w:sz w:val="28"/>
          <w:szCs w:val="28"/>
        </w:rPr>
      </w:pPr>
      <w:r>
        <w:rPr>
          <w:sz w:val="28"/>
          <w:szCs w:val="28"/>
        </w:rPr>
        <w:t xml:space="preserve">(07:00 МСК).</w:t>
      </w:r>
      <w:r>
        <w:rPr>
          <w:sz w:val="28"/>
          <w:szCs w:val="28"/>
        </w:rPr>
      </w:r>
    </w:p>
    <w:p>
      <w:pPr>
        <w:pStyle w:val="771"/>
        <w:jc w:val="both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71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каб.2                      </w:t>
        <w:tab/>
        <w:t xml:space="preserve">                               29.09.2026 </w:t>
      </w:r>
      <w:r>
        <w:rPr>
          <w:sz w:val="28"/>
          <w:szCs w:val="28"/>
        </w:rPr>
      </w:r>
    </w:p>
    <w:p>
      <w:pPr>
        <w:pStyle w:val="771"/>
        <w:jc w:val="both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71"/>
        <w:ind w:left="3402" w:right="0" w:hanging="3402"/>
        <w:jc w:val="both"/>
        <w:spacing w:before="0" w:after="0" w:line="276" w:lineRule="auto"/>
        <w:widowControl/>
        <w:tabs>
          <w:tab w:val="clear" w:pos="720" w:leader="none"/>
          <w:tab w:val="left" w:pos="340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1"/>
        <w:ind w:left="3231" w:right="0" w:hanging="3231"/>
        <w:jc w:val="both"/>
        <w:spacing w:before="0" w:after="0" w:line="276" w:lineRule="auto"/>
        <w:widowControl/>
      </w:pPr>
      <w:r>
        <w:rPr>
          <w:sz w:val="28"/>
          <w:szCs w:val="28"/>
        </w:rPr>
        <w:t xml:space="preserve">Председатель комиссии:    Меденникова С.В., заместитель начальника управления по распоряжению муниципальным имуществом – начальник отдела по распоряжению муниципальным имуществом. </w:t>
      </w:r>
      <w:r/>
    </w:p>
    <w:p>
      <w:pPr>
        <w:pStyle w:val="771"/>
        <w:ind w:left="3231" w:right="0" w:hanging="3231"/>
        <w:jc w:val="both"/>
        <w:spacing w:before="0" w:after="0" w:line="276" w:lineRule="auto"/>
        <w:widowControl/>
        <w:tabs>
          <w:tab w:val="clear" w:pos="720" w:leader="none"/>
          <w:tab w:val="left" w:pos="3405" w:leader="none"/>
        </w:tabs>
      </w:pPr>
      <w:r>
        <w:rPr>
          <w:sz w:val="28"/>
          <w:szCs w:val="28"/>
        </w:rPr>
        <w:t xml:space="preserve">Заместитель председателя: Селезнева Е.Ю.  заместитель начальника отдела                по распоряжению муниципальным имуществом управления по распоряжению муниципальным имуществом;</w:t>
      </w:r>
      <w:r/>
    </w:p>
    <w:p>
      <w:pPr>
        <w:pStyle w:val="771"/>
        <w:ind w:left="3231" w:right="0" w:hanging="3231"/>
        <w:jc w:val="both"/>
        <w:spacing w:before="0" w:after="0" w:line="276" w:lineRule="auto"/>
        <w:widowControl/>
        <w:tabs>
          <w:tab w:val="clear" w:pos="720" w:leader="none"/>
          <w:tab w:val="left" w:pos="1980" w:leader="none"/>
          <w:tab w:val="left" w:pos="3225" w:leader="none"/>
        </w:tabs>
      </w:pPr>
      <w:r>
        <w:rPr>
          <w:sz w:val="28"/>
          <w:szCs w:val="28"/>
        </w:rPr>
        <w:t xml:space="preserve">Секретарь:              Павлова О.И.  консультант отдела по распоряжению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муниципальным имуществом управления                           по распоряжению муниципальным имуществом;</w:t>
      </w:r>
      <w:r/>
    </w:p>
    <w:p>
      <w:pPr>
        <w:pStyle w:val="771"/>
        <w:ind w:left="3231" w:right="0" w:hanging="3231"/>
        <w:jc w:val="both"/>
        <w:spacing w:before="0" w:after="0" w:line="276" w:lineRule="auto"/>
        <w:widowControl/>
      </w:pPr>
      <w:r>
        <w:rPr>
          <w:sz w:val="28"/>
          <w:szCs w:val="28"/>
        </w:rPr>
        <w:t xml:space="preserve">Члены комиссии:             Удавихина С.В., консультант отдела по распоряжению муниципальным имуществом управления                           по распоряжению муниципальным имуществом;</w:t>
      </w:r>
      <w:r/>
    </w:p>
    <w:p>
      <w:pPr>
        <w:pStyle w:val="771"/>
        <w:ind w:left="3288" w:right="0" w:hanging="57"/>
        <w:jc w:val="both"/>
        <w:spacing w:before="0" w:after="0" w:line="276" w:lineRule="auto"/>
        <w:widowControl/>
      </w:pPr>
      <w:r>
        <w:rPr>
          <w:sz w:val="28"/>
          <w:szCs w:val="28"/>
        </w:rPr>
        <w:t xml:space="preserve">Четина Ю.И., заместитель начальника отдела                               по распоряжению муниципальным имуществом управления по распоряжению муниципальным имуществом.</w:t>
      </w:r>
      <w:r/>
    </w:p>
    <w:p>
      <w:pPr>
        <w:pStyle w:val="771"/>
        <w:ind w:left="212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ind w:left="0" w:firstLine="709"/>
        <w:jc w:val="both"/>
        <w:spacing w:before="0" w:after="0"/>
        <w:rPr>
          <w:sz w:val="28"/>
          <w:szCs w:val="28"/>
        </w:rPr>
      </w:pPr>
      <w:r>
        <w:rPr>
          <w:sz w:val="28"/>
        </w:rPr>
        <w:t xml:space="preserve">Комиссия установила, что по окончании срока подачи заявок на участие </w:t>
      </w:r>
      <w:r>
        <w:rPr>
          <w:sz w:val="28"/>
        </w:rPr>
        <w:br w:type="textWrapping" w:clear="all"/>
      </w:r>
      <w:r>
        <w:rPr>
          <w:sz w:val="28"/>
        </w:rPr>
        <w:t xml:space="preserve">в аукционе на право заключения договора аренды муниципального имущества, назначенном на 29.09.2026 (процедур</w:t>
      </w:r>
      <w:r>
        <w:rPr>
          <w:rFonts w:eastAsia="Droid Sans Fallback" w:cs="Lohit Devanagari"/>
          <w:color w:val="auto"/>
          <w:sz w:val="28"/>
          <w:szCs w:val="24"/>
          <w:lang w:val="ru-RU" w:eastAsia="ru-RU" w:bidi="ar-SA"/>
        </w:rPr>
        <w:t xml:space="preserve">а №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SBR012-2609030133)</w:t>
      </w:r>
      <w:r>
        <w:rPr>
          <w:rFonts w:eastAsia="Droid Sans Fallback" w:cs="Lohit Devanagari"/>
          <w:color w:val="auto"/>
          <w:sz w:val="28"/>
          <w:szCs w:val="24"/>
          <w:lang w:val="ru-RU" w:eastAsia="ru-RU" w:bidi="ar-SA"/>
        </w:rPr>
        <w:t xml:space="preserve">:</w:t>
      </w:r>
      <w:r>
        <w:rPr>
          <w:sz w:val="28"/>
          <w:szCs w:val="28"/>
        </w:rPr>
      </w:r>
    </w:p>
    <w:p>
      <w:pPr>
        <w:pStyle w:val="841"/>
        <w:jc w:val="both"/>
        <w:spacing w:before="0" w:after="0" w:line="240" w:lineRule="auto"/>
        <w:rPr>
          <w:rFonts w:ascii="Times New Roman" w:hAnsi="Times New Roman" w:eastAsia="Droid Sans Fallback" w:cs="Lohit Devanagari"/>
          <w:color w:val="auto"/>
          <w:sz w:val="28"/>
          <w:szCs w:val="24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4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4"/>
          <w:lang w:val="ru-RU" w:eastAsia="ru-RU" w:bidi="ar-SA"/>
        </w:rPr>
      </w:r>
    </w:p>
    <w:p>
      <w:pPr>
        <w:pStyle w:val="841"/>
        <w:jc w:val="both"/>
        <w:spacing w:before="0" w:after="0" w:line="240" w:lineRule="auto"/>
        <w:rPr>
          <w:rFonts w:ascii="Times New Roman" w:hAnsi="Times New Roman" w:eastAsia="Droid Sans Fallback" w:cs="Lohit Devanagari"/>
          <w:color w:val="auto"/>
          <w:sz w:val="28"/>
          <w:szCs w:val="24"/>
          <w:lang w:val="ru-RU" w:eastAsia="ru-RU" w:bidi="ar-SA"/>
        </w:rPr>
      </w:pPr>
      <w:r>
        <w:rPr>
          <w:rFonts w:eastAsia="Droid Sans Fallback" w:cs="Lohit Devanagari"/>
          <w:b/>
          <w:bCs/>
          <w:color w:val="auto"/>
          <w:sz w:val="28"/>
          <w:szCs w:val="24"/>
          <w:lang w:val="ru-RU" w:eastAsia="ru-RU" w:bidi="ar-SA"/>
        </w:rPr>
        <w:t xml:space="preserve">Лот № 1.</w:t>
      </w:r>
      <w:r>
        <w:rPr>
          <w:rFonts w:eastAsia="Droid Sans Fallback" w:cs="Lohit Devanagari"/>
          <w:color w:val="auto"/>
          <w:sz w:val="28"/>
          <w:szCs w:val="24"/>
          <w:lang w:val="ru-RU" w:eastAsia="ru-RU" w:bidi="ar-SA"/>
        </w:rPr>
        <w:t xml:space="preserve"> </w:t>
      </w:r>
      <w:r>
        <w:rPr>
          <w:rFonts w:ascii="Times New Roman" w:hAnsi="Times New Roman" w:eastAsia="Droid Sans Fallback" w:cs="Lohit Devanagari"/>
          <w:color w:val="auto"/>
          <w:sz w:val="28"/>
          <w:szCs w:val="24"/>
          <w:lang w:val="ru-RU" w:eastAsia="ru-RU" w:bidi="ar-SA"/>
        </w:rPr>
      </w:r>
    </w:p>
    <w:p>
      <w:pPr>
        <w:pStyle w:val="771"/>
        <w:ind w:left="0" w:right="0" w:firstLine="737"/>
        <w:jc w:val="both"/>
        <w:spacing w:before="0" w:after="0" w:line="276" w:lineRule="auto"/>
        <w:widowControl/>
      </w:pPr>
      <w:r>
        <w:rPr>
          <w:rFonts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Размер  годового платежа за право владения или пользования – арендная плата по договору (без учета НДС) за нежилые помещения в подвале жилого дома основной площадью 11,8 кв. м (кадастровый</w:t>
      </w:r>
      <w:r>
        <w:rPr>
          <w:rFonts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 номер 59:01:4410099:1006) и площадью помещений, предоставляемых Арендатору в совместное пользование с третьими лицами 0,2 кв. м, что для цели исчисления арендной платы составляет 12 кв. м по адресу: г. Пермь, Дзержинский район, ул. Екатерининская, д. 214.</w:t>
      </w:r>
      <w:r/>
    </w:p>
    <w:p>
      <w:pPr>
        <w:pStyle w:val="838"/>
        <w:ind w:firstLine="709"/>
        <w:jc w:val="both"/>
        <w:spacing w:line="276" w:lineRule="auto"/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В связи с тем, что на участие в аукционе по лоту </w:t>
      </w:r>
      <w:r>
        <w:rPr>
          <w:rFonts w:ascii="Times New Roman" w:hAnsi="Times New Roman" w:eastAsia="Droid Sans Fallback" w:cs="Lohit Devanagari"/>
          <w:b/>
          <w:bCs/>
          <w:color w:val="auto"/>
          <w:sz w:val="28"/>
          <w:szCs w:val="28"/>
          <w:lang w:val="ru-RU" w:eastAsia="ru-RU" w:bidi="ar-SA"/>
        </w:rPr>
        <w:t xml:space="preserve">№ 1 </w:t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не подано ни одной заявки, аукцион по данному лоту признан несостоявшимся.</w:t>
      </w:r>
      <w:r/>
    </w:p>
    <w:p>
      <w:pPr>
        <w:pStyle w:val="838"/>
        <w:ind w:firstLine="709"/>
        <w:jc w:val="both"/>
        <w:spacing w:line="276" w:lineRule="auto"/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</w:p>
    <w:p>
      <w:pPr>
        <w:pStyle w:val="841"/>
        <w:jc w:val="both"/>
        <w:spacing w:before="0" w:after="0" w:line="276" w:lineRule="auto"/>
      </w:pPr>
      <w:r>
        <w:rPr>
          <w:rFonts w:eastAsia="Droid Sans Fallback" w:cs="Lohit Devanagari"/>
          <w:b/>
          <w:bCs/>
          <w:color w:val="auto"/>
          <w:sz w:val="28"/>
          <w:szCs w:val="28"/>
          <w:lang w:val="ru-RU" w:eastAsia="ru-RU" w:bidi="ar-SA"/>
        </w:rPr>
        <w:t xml:space="preserve">Лот № 2. </w:t>
      </w:r>
      <w:r/>
    </w:p>
    <w:p>
      <w:pPr>
        <w:pStyle w:val="771"/>
        <w:ind w:left="0" w:right="0" w:firstLine="737"/>
        <w:jc w:val="both"/>
        <w:spacing w:before="0" w:after="0" w:line="276" w:lineRule="auto"/>
        <w:widowControl/>
      </w:pPr>
      <w:r>
        <w:rPr>
          <w:rFonts w:eastAsia="Droid Sans Fallback" w:cs="Lohit Devanagari"/>
          <w:b w:val="0"/>
          <w:bCs/>
          <w:color w:val="auto"/>
          <w:sz w:val="28"/>
          <w:szCs w:val="28"/>
          <w:lang w:val="ru-RU" w:eastAsia="ru-RU" w:bidi="ar-SA"/>
        </w:rPr>
        <w:t xml:space="preserve">Р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азмер годового платежа за право владения или пользования – арендная плата по договору (без учета НДС) за нежилые помещения в подвале жилого дома основной площадью 29,4 кв. м (кадастровый но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мер 59:01:4410099:1007) и площадью помещений, предоставляемых Арендатору в совместное пользование с третьими лицами 0,3 кв. м, что для цели исчисления арендной платы составляет 29,7 кв. м по адресу: г. Пермь, Дзержинский район,  ул. Екатерининская, д. 214.</w:t>
      </w:r>
      <w:r/>
    </w:p>
    <w:p>
      <w:pPr>
        <w:pStyle w:val="838"/>
        <w:ind w:firstLine="709"/>
        <w:jc w:val="both"/>
        <w:spacing w:line="276" w:lineRule="auto"/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В связи с тем, что на участие в аукционе по лоту </w:t>
      </w:r>
      <w:r>
        <w:rPr>
          <w:rFonts w:ascii="Times New Roman" w:hAnsi="Times New Roman" w:eastAsia="Droid Sans Fallback" w:cs="Lohit Devanagari"/>
          <w:b/>
          <w:bCs/>
          <w:color w:val="auto"/>
          <w:sz w:val="28"/>
          <w:szCs w:val="28"/>
          <w:lang w:val="ru-RU" w:eastAsia="ru-RU" w:bidi="ar-SA"/>
        </w:rPr>
        <w:t xml:space="preserve">№ 2</w:t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 не подано ни одной заявки, аукцион по данному лоту признан несостоявшимся.</w:t>
      </w:r>
      <w:r/>
    </w:p>
    <w:p>
      <w:pPr>
        <w:pStyle w:val="838"/>
        <w:ind w:firstLine="709"/>
        <w:jc w:val="both"/>
        <w:spacing w:line="276" w:lineRule="auto"/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</w:p>
    <w:p>
      <w:pPr>
        <w:pStyle w:val="841"/>
        <w:jc w:val="both"/>
        <w:spacing w:before="0" w:after="0" w:line="276" w:lineRule="auto"/>
      </w:pPr>
      <w:r>
        <w:rPr>
          <w:rFonts w:eastAsia="Droid Sans Fallback" w:cs="Lohit Devanagari"/>
          <w:b/>
          <w:bCs/>
          <w:color w:val="auto"/>
          <w:sz w:val="28"/>
          <w:szCs w:val="28"/>
          <w:lang w:val="ru-RU" w:eastAsia="ru-RU" w:bidi="ar-SA"/>
        </w:rPr>
        <w:t xml:space="preserve">Лот № 3. </w:t>
      </w:r>
      <w:r/>
    </w:p>
    <w:p>
      <w:pPr>
        <w:pStyle w:val="771"/>
        <w:ind w:left="0" w:right="0" w:firstLine="737"/>
        <w:jc w:val="both"/>
        <w:spacing w:before="0" w:after="0" w:line="276" w:lineRule="auto"/>
        <w:widowControl/>
      </w:pPr>
      <w:r>
        <w:rPr>
          <w:rFonts w:eastAsia="Droid Sans Fallback" w:cs="Lohit Devanagari"/>
          <w:b w:val="0"/>
          <w:bCs/>
          <w:color w:val="auto"/>
          <w:sz w:val="28"/>
          <w:szCs w:val="28"/>
          <w:lang w:val="ru-RU" w:eastAsia="ru-RU" w:bidi="ar-SA"/>
        </w:rPr>
        <w:t xml:space="preserve">Р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азмер  годового платежа за право владения или пользования – арендная плата по договору (без учета НДС) за нежилые помещения в подвале жилого дома основной площадью 134,1 кв. м (кадастровый но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мер 59:01:4410099:1004) и площадью помещений, предоставляемых Арендатору в совместное пользование с третьими лицами 1,7 кв. м, что для цели исчисления арендной платы составляет 135,8 кв. м по адресу: г. Пермь, Дзержинский район, ул. Екатерининская, д. 214.</w:t>
      </w:r>
      <w:r/>
    </w:p>
    <w:p>
      <w:pPr>
        <w:pStyle w:val="838"/>
        <w:ind w:firstLine="709"/>
        <w:jc w:val="both"/>
        <w:spacing w:line="276" w:lineRule="auto"/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В связи с тем, что на участие в аукционе по лоту </w:t>
      </w:r>
      <w:r>
        <w:rPr>
          <w:rFonts w:ascii="Times New Roman" w:hAnsi="Times New Roman" w:eastAsia="Droid Sans Fallback" w:cs="Lohit Devanagari"/>
          <w:b/>
          <w:bCs/>
          <w:color w:val="auto"/>
          <w:sz w:val="28"/>
          <w:szCs w:val="28"/>
          <w:lang w:val="ru-RU" w:eastAsia="ru-RU" w:bidi="ar-SA"/>
        </w:rPr>
        <w:t xml:space="preserve">№ 3</w:t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 не подано ни одной заявки, аукцион по данному лоту признан несостоявшимся.</w:t>
      </w:r>
      <w:r/>
    </w:p>
    <w:p>
      <w:pPr>
        <w:pStyle w:val="838"/>
        <w:ind w:firstLine="709"/>
        <w:jc w:val="both"/>
        <w:spacing w:line="276" w:lineRule="auto"/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</w:p>
    <w:p>
      <w:pPr>
        <w:pStyle w:val="841"/>
        <w:jc w:val="both"/>
        <w:spacing w:before="0" w:after="0" w:line="276" w:lineRule="auto"/>
      </w:pPr>
      <w:r>
        <w:rPr>
          <w:rFonts w:eastAsia="Droid Sans Fallback" w:cs="Lohit Devanagari"/>
          <w:b/>
          <w:bCs/>
          <w:color w:val="auto"/>
          <w:sz w:val="28"/>
          <w:szCs w:val="28"/>
          <w:lang w:val="ru-RU" w:eastAsia="ru-RU" w:bidi="ar-SA"/>
        </w:rPr>
        <w:t xml:space="preserve">Лот № 4. </w:t>
      </w:r>
      <w:r/>
    </w:p>
    <w:p>
      <w:pPr>
        <w:pStyle w:val="771"/>
        <w:ind w:left="0" w:right="0" w:firstLine="737"/>
        <w:jc w:val="both"/>
        <w:spacing w:before="0" w:after="0" w:line="276" w:lineRule="auto"/>
        <w:widowControl/>
      </w:pPr>
      <w:r>
        <w:rPr>
          <w:rFonts w:eastAsia="Droid Sans Fallback" w:cs="Lohit Devanagari"/>
          <w:b w:val="0"/>
          <w:bCs/>
          <w:color w:val="auto"/>
          <w:sz w:val="28"/>
          <w:szCs w:val="28"/>
          <w:lang w:val="ru-RU" w:eastAsia="ru-RU" w:bidi="ar-SA"/>
        </w:rPr>
        <w:t xml:space="preserve">Р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азмер годового плат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ежа за право владения или пользования – арендная плата по договору (без учета НДС) за нежилые помещения основной площадью 73,4 кв. м (кадастровый номер 59:01:1717162:32) в подвале жилого дома по адресу: г. Пермь, Кировский район, ул. Чистопольская, д. 23а.</w:t>
      </w:r>
      <w:r/>
    </w:p>
    <w:p>
      <w:pPr>
        <w:pStyle w:val="838"/>
        <w:ind w:firstLine="709"/>
        <w:jc w:val="both"/>
        <w:spacing w:line="276" w:lineRule="auto"/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В связи с тем, что на участие в аукционе по лоту </w:t>
      </w:r>
      <w:r>
        <w:rPr>
          <w:rFonts w:ascii="Times New Roman" w:hAnsi="Times New Roman" w:eastAsia="Droid Sans Fallback" w:cs="Lohit Devanagari"/>
          <w:b/>
          <w:bCs/>
          <w:color w:val="auto"/>
          <w:sz w:val="28"/>
          <w:szCs w:val="28"/>
          <w:lang w:val="ru-RU" w:eastAsia="ru-RU" w:bidi="ar-SA"/>
        </w:rPr>
        <w:t xml:space="preserve">№ 4</w:t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  <w:t xml:space="preserve"> не подано ни одной заявки, аукцион по данному лоту признан несостоявшимся.</w:t>
      </w:r>
      <w:r/>
    </w:p>
    <w:p>
      <w:pPr>
        <w:pStyle w:val="838"/>
        <w:ind w:firstLine="709"/>
        <w:jc w:val="both"/>
        <w:spacing w:line="276" w:lineRule="auto"/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</w:p>
    <w:p>
      <w:pPr>
        <w:pStyle w:val="838"/>
        <w:ind w:firstLine="709"/>
        <w:jc w:val="both"/>
        <w:spacing w:line="276" w:lineRule="auto"/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pP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bCs/>
          <w:color w:val="auto"/>
          <w:sz w:val="28"/>
          <w:szCs w:val="28"/>
          <w:lang w:val="ru-RU" w:eastAsia="ru-RU" w:bidi="ar-SA"/>
        </w:rPr>
      </w:r>
    </w:p>
    <w:p>
      <w:pPr>
        <w:pStyle w:val="839"/>
        <w:ind w:left="5610" w:hanging="5610"/>
        <w:jc w:val="left"/>
        <w:spacing w:before="0" w:after="0" w:line="240" w:lineRule="auto"/>
        <w:tabs>
          <w:tab w:val="clear" w:pos="720" w:leader="none"/>
          <w:tab w:val="left" w:pos="751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</w:t>
        <w:tab/>
        <w:tab/>
        <w:t xml:space="preserve">С.В. Меденникова</w:t>
      </w:r>
      <w:r>
        <w:rPr>
          <w:sz w:val="28"/>
          <w:szCs w:val="28"/>
        </w:rPr>
      </w:r>
    </w:p>
    <w:p>
      <w:pPr>
        <w:pStyle w:val="839"/>
        <w:ind w:left="5610" w:hanging="5610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left="5610" w:hanging="5610"/>
        <w:jc w:val="left"/>
        <w:spacing w:before="0" w:after="0" w:line="240" w:lineRule="auto"/>
        <w:tabs>
          <w:tab w:val="clear" w:pos="720" w:leader="none"/>
          <w:tab w:val="left" w:pos="751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  <w:tab/>
        <w:tab/>
        <w:t xml:space="preserve">Е.Ю. Селезнева</w:t>
      </w:r>
      <w:r>
        <w:rPr>
          <w:sz w:val="28"/>
          <w:szCs w:val="28"/>
        </w:rPr>
      </w:r>
    </w:p>
    <w:p>
      <w:pPr>
        <w:pStyle w:val="839"/>
        <w:ind w:left="5610" w:hanging="5610"/>
        <w:jc w:val="left"/>
        <w:spacing w:before="0" w:after="0" w:line="240" w:lineRule="auto"/>
        <w:tabs>
          <w:tab w:val="clear" w:pos="720" w:leader="none"/>
          <w:tab w:val="left" w:pos="751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1"/>
        <w:ind w:left="1417" w:right="0" w:hanging="1417"/>
        <w:jc w:val="both"/>
        <w:spacing w:before="0" w:after="0" w:line="276" w:lineRule="auto"/>
        <w:widowControl/>
        <w:tabs>
          <w:tab w:val="clear" w:pos="720" w:leader="none"/>
          <w:tab w:val="left" w:pos="3405" w:leader="none"/>
        </w:tabs>
      </w:pPr>
      <w:r>
        <w:rPr>
          <w:sz w:val="28"/>
          <w:szCs w:val="28"/>
        </w:rPr>
        <w:t xml:space="preserve">Секретарь                                                                                          О.И. Павлова</w:t>
      </w:r>
      <w:r/>
    </w:p>
    <w:p>
      <w:pPr>
        <w:pStyle w:val="839"/>
        <w:ind w:left="5610" w:hanging="5610"/>
        <w:spacing w:line="276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ab/>
        <w:t xml:space="preserve">  </w:t>
      </w:r>
      <w:r>
        <w:rPr>
          <w:sz w:val="28"/>
          <w:szCs w:val="28"/>
          <w:highlight w:val="none"/>
        </w:rPr>
      </w:r>
    </w:p>
    <w:p>
      <w:pPr>
        <w:pStyle w:val="839"/>
        <w:ind w:left="5610" w:hanging="5610"/>
        <w:spacing w:line="276" w:lineRule="auto"/>
        <w:tabs>
          <w:tab w:val="clear" w:pos="720" w:leader="none"/>
          <w:tab w:val="left" w:pos="7512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Члены комиссии </w:t>
        <w:tab/>
        <w:tab/>
        <w:t xml:space="preserve">С.В. Удавихина</w:t>
      </w:r>
      <w:r>
        <w:rPr>
          <w:sz w:val="28"/>
          <w:szCs w:val="28"/>
          <w:highlight w:val="none"/>
        </w:rPr>
      </w:r>
    </w:p>
    <w:p>
      <w:pPr>
        <w:pStyle w:val="839"/>
        <w:ind w:left="5610" w:right="0" w:firstLine="1902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left="5610" w:right="0" w:firstLine="1902"/>
        <w:spacing w:line="276" w:lineRule="auto"/>
        <w:rPr>
          <w:sz w:val="28"/>
          <w:szCs w:val="28"/>
          <w:highlight w:val="none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Ю.И. Четина</w:t>
      </w:r>
      <w:r>
        <w:rPr>
          <w:sz w:val="28"/>
          <w:szCs w:val="28"/>
          <w:highlight w:val="none"/>
        </w:rPr>
      </w:r>
    </w:p>
    <w:sectPr>
      <w:footerReference w:type="default" r:id="rId8"/>
      <w:footerReference w:type="even" r:id="rId9"/>
      <w:footerReference w:type="first" r:id="rId10"/>
      <w:footnotePr/>
      <w:endnotePr/>
      <w:type w:val="nextPage"/>
      <w:pgSz w:w="11906" w:h="16838" w:orient="portrait"/>
      <w:pgMar w:top="862" w:right="567" w:bottom="777" w:left="1418" w:header="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6030504020204"/>
  </w:font>
  <w:font w:name="Tahoma">
    <w:panose1 w:val="020B0606030504020204"/>
  </w:font>
  <w:font w:name="Open Sans">
    <w:panose1 w:val="020B0606030504020204"/>
  </w:font>
  <w:font w:name="Arial">
    <w:panose1 w:val="020B0604020202020204"/>
  </w:font>
  <w:font w:name="Droid Sans Fallback">
    <w:panose1 w:val="020B0502000000000001"/>
  </w:font>
  <w:font w:name="Courier New">
    <w:panose1 w:val="02070409020205020404"/>
  </w:font>
  <w:font w:name="Lohit Devanagari">
    <w:panose1 w:val="020B0600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jc w:val="right"/>
    </w:pPr>
    <w:r>
      <w:fldChar w:fldCharType="begin"/>
    </w:r>
    <w:r>
      <w:instrText xml:space="preserve"> PAGE </w:instrText>
    </w:r>
    <w:r>
      <w:fldChar w:fldCharType="separate"/>
    </w:r>
    <w:r>
      <w:t xml:space="preserve">3</w:t>
    </w:r>
    <w:r>
      <w:fldChar w:fldCharType="end"/>
    </w:r>
    <w:r/>
  </w:p>
  <w:p>
    <w:pPr>
      <w:pStyle w:val="82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jc w:val="right"/>
    </w:pPr>
    <w:r>
      <w:fldChar w:fldCharType="begin"/>
    </w:r>
    <w:r>
      <w:instrText xml:space="preserve"> PAGE </w:instrText>
    </w:r>
    <w:r>
      <w:fldChar w:fldCharType="separate"/>
    </w:r>
    <w:r>
      <w:t xml:space="preserve">0</w:t>
    </w:r>
    <w:r>
      <w:fldChar w:fldCharType="end"/>
    </w:r>
    <w:r/>
  </w:p>
  <w:p>
    <w:pPr>
      <w:pStyle w:val="822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2"/>
                            <w:rPr>
                              <w:rStyle w:val="805"/>
                            </w:rPr>
                          </w:pPr>
                          <w:r>
                            <w:rPr>
                              <w:rStyle w:val="80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5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2"/>
                      <w:rPr>
                        <w:rStyle w:val="805"/>
                      </w:rPr>
                    </w:pPr>
                    <w:r>
                      <w:rPr>
                        <w:rStyle w:val="805"/>
                        <w:color w:val="000000"/>
                      </w:rPr>
                      <w:fldChar w:fldCharType="begin"/>
                    </w:r>
                    <w:r>
                      <w:rPr>
                        <w:rStyle w:val="80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5"/>
                        <w:color w:val="000000"/>
                      </w:rPr>
                      <w:fldChar w:fldCharType="separate"/>
                    </w:r>
                    <w:r>
                      <w:rPr>
                        <w:rStyle w:val="805"/>
                        <w:color w:val="000000"/>
                      </w:rPr>
                      <w:t xml:space="preserve">0</w:t>
                    </w:r>
                    <w:r>
                      <w:rPr>
                        <w:rStyle w:val="805"/>
                        <w:color w:val="000000"/>
                      </w:rPr>
                      <w:fldChar w:fldCharType="end"/>
                    </w:r>
                    <w:r>
                      <w:rPr>
                        <w:rStyle w:val="805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2"/>
                            <w:rPr>
                              <w:rStyle w:val="805"/>
                            </w:rPr>
                          </w:pPr>
                          <w:r>
                            <w:rPr>
                              <w:rStyle w:val="80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5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3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2"/>
                      <w:rPr>
                        <w:rStyle w:val="805"/>
                      </w:rPr>
                    </w:pPr>
                    <w:r>
                      <w:rPr>
                        <w:rStyle w:val="805"/>
                        <w:color w:val="000000"/>
                      </w:rPr>
                      <w:fldChar w:fldCharType="begin"/>
                    </w:r>
                    <w:r>
                      <w:rPr>
                        <w:rStyle w:val="80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5"/>
                        <w:color w:val="000000"/>
                      </w:rPr>
                      <w:fldChar w:fldCharType="separate"/>
                    </w:r>
                    <w:r>
                      <w:rPr>
                        <w:rStyle w:val="805"/>
                        <w:color w:val="000000"/>
                      </w:rPr>
                      <w:t xml:space="preserve">0</w:t>
                    </w:r>
                    <w:r>
                      <w:rPr>
                        <w:rStyle w:val="805"/>
                        <w:color w:val="000000"/>
                      </w:rPr>
                      <w:fldChar w:fldCharType="end"/>
                    </w:r>
                    <w:r>
                      <w:rPr>
                        <w:rStyle w:val="805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2"/>
                            <w:rPr>
                              <w:rStyle w:val="805"/>
                            </w:rPr>
                          </w:pPr>
                          <w:r>
                            <w:rPr>
                              <w:rStyle w:val="80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5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4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2"/>
                      <w:rPr>
                        <w:rStyle w:val="805"/>
                      </w:rPr>
                    </w:pPr>
                    <w:r>
                      <w:rPr>
                        <w:rStyle w:val="805"/>
                        <w:color w:val="000000"/>
                      </w:rPr>
                      <w:fldChar w:fldCharType="begin"/>
                    </w:r>
                    <w:r>
                      <w:rPr>
                        <w:rStyle w:val="80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5"/>
                        <w:color w:val="000000"/>
                      </w:rPr>
                      <w:fldChar w:fldCharType="separate"/>
                    </w:r>
                    <w:r>
                      <w:rPr>
                        <w:rStyle w:val="805"/>
                        <w:color w:val="000000"/>
                      </w:rPr>
                      <w:t xml:space="preserve">0</w:t>
                    </w:r>
                    <w:r>
                      <w:rPr>
                        <w:rStyle w:val="805"/>
                        <w:color w:val="000000"/>
                      </w:rPr>
                      <w:fldChar w:fldCharType="end"/>
                    </w:r>
                    <w:r>
                      <w:rPr>
                        <w:rStyle w:val="805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4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2"/>
                            <w:rPr>
                              <w:rStyle w:val="805"/>
                            </w:rPr>
                          </w:pPr>
                          <w:r>
                            <w:rPr>
                              <w:rStyle w:val="80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5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5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2"/>
                      <w:rPr>
                        <w:rStyle w:val="805"/>
                      </w:rPr>
                    </w:pPr>
                    <w:r>
                      <w:rPr>
                        <w:rStyle w:val="805"/>
                        <w:color w:val="000000"/>
                      </w:rPr>
                      <w:fldChar w:fldCharType="begin"/>
                    </w:r>
                    <w:r>
                      <w:rPr>
                        <w:rStyle w:val="80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5"/>
                        <w:color w:val="000000"/>
                      </w:rPr>
                      <w:fldChar w:fldCharType="separate"/>
                    </w:r>
                    <w:r>
                      <w:rPr>
                        <w:rStyle w:val="805"/>
                        <w:color w:val="000000"/>
                      </w:rPr>
                      <w:t xml:space="preserve">0</w:t>
                    </w:r>
                    <w:r>
                      <w:rPr>
                        <w:rStyle w:val="805"/>
                        <w:color w:val="000000"/>
                      </w:rPr>
                      <w:fldChar w:fldCharType="end"/>
                    </w:r>
                    <w:r>
                      <w:rPr>
                        <w:rStyle w:val="805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jc w:val="right"/>
    </w:pPr>
    <w:r>
      <w:fldChar w:fldCharType="begin"/>
    </w:r>
    <w:r>
      <w:instrText xml:space="preserve"> PAGE </w:instrText>
    </w:r>
    <w:r>
      <w:fldChar w:fldCharType="separate"/>
    </w:r>
    <w:r>
      <w:t xml:space="preserve">3</w:t>
    </w:r>
    <w:r>
      <w:fldChar w:fldCharType="end"/>
    </w:r>
    <w:r/>
  </w:p>
  <w:p>
    <w:pPr>
      <w:pStyle w:val="82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1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4"/>
      <w:szCs w:val="24"/>
      <w:lang w:val="ru-RU" w:eastAsia="ru-RU" w:bidi="ar-SA"/>
    </w:rPr>
  </w:style>
  <w:style w:type="paragraph" w:styleId="772">
    <w:name w:val="Heading 1"/>
    <w:basedOn w:val="771"/>
    <w:qFormat/>
    <w:pPr>
      <w:jc w:val="center"/>
      <w:keepNext/>
      <w:outlineLvl w:val="0"/>
    </w:pPr>
    <w:rPr>
      <w:b/>
      <w:bCs/>
      <w:szCs w:val="20"/>
    </w:rPr>
  </w:style>
  <w:style w:type="paragraph" w:styleId="773">
    <w:name w:val="Heading 2"/>
    <w:basedOn w:val="7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74">
    <w:name w:val="Heading 3"/>
    <w:basedOn w:val="77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75">
    <w:name w:val="Heading 4"/>
    <w:basedOn w:val="7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6">
    <w:name w:val="Heading 5"/>
    <w:basedOn w:val="7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7">
    <w:name w:val="Heading 6"/>
    <w:basedOn w:val="7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8">
    <w:name w:val="Heading 7"/>
    <w:basedOn w:val="7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9">
    <w:name w:val="Heading 8"/>
    <w:basedOn w:val="7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0">
    <w:name w:val="Heading 9"/>
    <w:basedOn w:val="7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82">
    <w:name w:val="Heading 2 Char"/>
    <w:uiPriority w:val="9"/>
    <w:qFormat/>
    <w:rPr>
      <w:rFonts w:ascii="Arial" w:hAnsi="Arial" w:eastAsia="Arial" w:cs="Arial"/>
      <w:sz w:val="34"/>
    </w:rPr>
  </w:style>
  <w:style w:type="character" w:styleId="783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84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5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86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87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8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89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0">
    <w:name w:val="Title Char"/>
    <w:uiPriority w:val="10"/>
    <w:qFormat/>
    <w:rPr>
      <w:sz w:val="48"/>
      <w:szCs w:val="48"/>
    </w:rPr>
  </w:style>
  <w:style w:type="character" w:styleId="791">
    <w:name w:val="Subtitle Char"/>
    <w:uiPriority w:val="11"/>
    <w:qFormat/>
    <w:rPr>
      <w:sz w:val="24"/>
      <w:szCs w:val="24"/>
    </w:rPr>
  </w:style>
  <w:style w:type="character" w:styleId="792">
    <w:name w:val="Quote Char"/>
    <w:uiPriority w:val="29"/>
    <w:qFormat/>
    <w:rPr>
      <w:i/>
    </w:rPr>
  </w:style>
  <w:style w:type="character" w:styleId="793">
    <w:name w:val="Intense Quote Char"/>
    <w:uiPriority w:val="30"/>
    <w:qFormat/>
    <w:rPr>
      <w:i/>
    </w:rPr>
  </w:style>
  <w:style w:type="character" w:styleId="794">
    <w:name w:val="Header Char"/>
    <w:uiPriority w:val="99"/>
    <w:qFormat/>
  </w:style>
  <w:style w:type="character" w:styleId="795">
    <w:name w:val="Footer Char"/>
    <w:uiPriority w:val="99"/>
    <w:qFormat/>
  </w:style>
  <w:style w:type="character" w:styleId="796">
    <w:name w:val="Caption Char"/>
    <w:uiPriority w:val="99"/>
    <w:qFormat/>
  </w:style>
  <w:style w:type="character" w:styleId="797">
    <w:name w:val="Hyperlink"/>
    <w:uiPriority w:val="99"/>
    <w:unhideWhenUsed/>
    <w:rPr>
      <w:color w:val="0000ff" w:themeColor="hyperlink"/>
      <w:u w:val="single"/>
    </w:rPr>
  </w:style>
  <w:style w:type="character" w:styleId="798">
    <w:name w:val="Footnote Text Char"/>
    <w:uiPriority w:val="99"/>
    <w:qFormat/>
    <w:rPr>
      <w:sz w:val="18"/>
    </w:rPr>
  </w:style>
  <w:style w:type="character" w:styleId="799">
    <w:name w:val="Символ сноски"/>
    <w:uiPriority w:val="99"/>
    <w:unhideWhenUsed/>
    <w:qFormat/>
    <w:rPr>
      <w:vertAlign w:val="superscript"/>
    </w:rPr>
  </w:style>
  <w:style w:type="character" w:styleId="800">
    <w:name w:val="footnote reference"/>
    <w:rPr>
      <w:vertAlign w:val="superscript"/>
    </w:rPr>
  </w:style>
  <w:style w:type="character" w:styleId="801">
    <w:name w:val="Endnote Text Char"/>
    <w:uiPriority w:val="99"/>
    <w:qFormat/>
    <w:rPr>
      <w:sz w:val="20"/>
    </w:rPr>
  </w:style>
  <w:style w:type="character" w:styleId="80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03">
    <w:name w:val="endnote reference"/>
    <w:rPr>
      <w:vertAlign w:val="superscript"/>
    </w:rPr>
  </w:style>
  <w:style w:type="character" w:styleId="804">
    <w:name w:val="Основной шрифт абзаца"/>
    <w:semiHidden/>
    <w:qFormat/>
  </w:style>
  <w:style w:type="character" w:styleId="805">
    <w:name w:val="Page Number"/>
    <w:basedOn w:val="804"/>
  </w:style>
  <w:style w:type="character" w:styleId="806">
    <w:name w:val="Текст Знак"/>
    <w:qFormat/>
    <w:rPr>
      <w:rFonts w:ascii="Courier New" w:hAnsi="Courier New"/>
    </w:rPr>
  </w:style>
  <w:style w:type="character" w:styleId="807">
    <w:name w:val="Основной текст 2 Знак"/>
    <w:qFormat/>
    <w:rPr>
      <w:sz w:val="24"/>
      <w:szCs w:val="24"/>
    </w:rPr>
  </w:style>
  <w:style w:type="character" w:styleId="808" w:default="1">
    <w:name w:val="Default Paragraph Font"/>
    <w:uiPriority w:val="1"/>
    <w:semiHidden/>
    <w:unhideWhenUsed/>
    <w:qFormat/>
  </w:style>
  <w:style w:type="paragraph" w:styleId="809">
    <w:name w:val="Заголовок"/>
    <w:basedOn w:val="771"/>
    <w:next w:val="810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810">
    <w:name w:val="Body Text"/>
    <w:basedOn w:val="771"/>
    <w:pPr>
      <w:jc w:val="right"/>
    </w:pPr>
    <w:rPr>
      <w:sz w:val="28"/>
    </w:rPr>
  </w:style>
  <w:style w:type="paragraph" w:styleId="811">
    <w:name w:val="List"/>
    <w:basedOn w:val="810"/>
    <w:rPr>
      <w:rFonts w:cs="Lohit Devanagari"/>
    </w:rPr>
  </w:style>
  <w:style w:type="paragraph" w:styleId="812">
    <w:name w:val="Caption"/>
    <w:basedOn w:val="771"/>
    <w:link w:val="796"/>
    <w:qFormat/>
    <w:pPr>
      <w:ind w:firstLine="567"/>
      <w:jc w:val="center"/>
    </w:pPr>
    <w:rPr>
      <w:b/>
      <w:szCs w:val="20"/>
    </w:rPr>
  </w:style>
  <w:style w:type="paragraph" w:styleId="813">
    <w:name w:val="Указатель"/>
    <w:basedOn w:val="771"/>
    <w:qFormat/>
    <w:pPr>
      <w:suppressLineNumbers/>
    </w:pPr>
    <w:rPr>
      <w:rFonts w:cs="Lohit Devanagari"/>
    </w:rPr>
  </w:style>
  <w:style w:type="paragraph" w:styleId="814">
    <w:name w:val="List Paragraph"/>
    <w:basedOn w:val="771"/>
    <w:uiPriority w:val="34"/>
    <w:qFormat/>
    <w:pPr>
      <w:contextualSpacing/>
      <w:ind w:left="720"/>
      <w:spacing w:before="0" w:after="0"/>
    </w:pPr>
  </w:style>
  <w:style w:type="paragraph" w:styleId="815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16">
    <w:name w:val="Title"/>
    <w:basedOn w:val="77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17">
    <w:name w:val="Subtitle"/>
    <w:basedOn w:val="771"/>
    <w:uiPriority w:val="11"/>
    <w:qFormat/>
    <w:pPr>
      <w:spacing w:before="200" w:after="200"/>
    </w:pPr>
    <w:rPr>
      <w:sz w:val="24"/>
      <w:szCs w:val="24"/>
    </w:rPr>
  </w:style>
  <w:style w:type="paragraph" w:styleId="818">
    <w:name w:val="Quote"/>
    <w:basedOn w:val="771"/>
    <w:uiPriority w:val="29"/>
    <w:qFormat/>
    <w:pPr>
      <w:ind w:left="720" w:right="720"/>
    </w:pPr>
    <w:rPr>
      <w:i/>
    </w:rPr>
  </w:style>
  <w:style w:type="paragraph" w:styleId="819">
    <w:name w:val="Intense Quote"/>
    <w:basedOn w:val="771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20">
    <w:name w:val="Колонтитул"/>
    <w:basedOn w:val="771"/>
    <w:qFormat/>
  </w:style>
  <w:style w:type="paragraph" w:styleId="821">
    <w:name w:val="Header"/>
    <w:basedOn w:val="771"/>
    <w:uiPriority w:val="99"/>
    <w:unhideWhenUsed/>
    <w:pPr>
      <w:spacing w:before="0" w:after="0" w:line="240" w:lineRule="auto"/>
      <w:tabs>
        <w:tab w:val="clear" w:pos="720" w:leader="none"/>
        <w:tab w:val="center" w:pos="7143" w:leader="none"/>
        <w:tab w:val="right" w:pos="14287" w:leader="none"/>
      </w:tabs>
    </w:pPr>
  </w:style>
  <w:style w:type="paragraph" w:styleId="822">
    <w:name w:val="Footer"/>
    <w:basedOn w:val="771"/>
    <w:uiPriority w:val="99"/>
    <w:unhideWhenUsed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823">
    <w:name w:val="footnote text"/>
    <w:basedOn w:val="771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24">
    <w:name w:val="endnote text"/>
    <w:basedOn w:val="77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25">
    <w:name w:val="toc 1"/>
    <w:basedOn w:val="771"/>
    <w:uiPriority w:val="39"/>
    <w:unhideWhenUsed/>
    <w:pPr>
      <w:ind w:left="0" w:right="0" w:firstLine="0"/>
      <w:spacing w:before="0" w:after="57"/>
    </w:pPr>
  </w:style>
  <w:style w:type="paragraph" w:styleId="826">
    <w:name w:val="toc 2"/>
    <w:basedOn w:val="771"/>
    <w:uiPriority w:val="39"/>
    <w:unhideWhenUsed/>
    <w:pPr>
      <w:ind w:left="283" w:right="0" w:firstLine="0"/>
      <w:spacing w:before="0" w:after="57"/>
    </w:pPr>
  </w:style>
  <w:style w:type="paragraph" w:styleId="827">
    <w:name w:val="toc 3"/>
    <w:basedOn w:val="771"/>
    <w:uiPriority w:val="39"/>
    <w:unhideWhenUsed/>
    <w:pPr>
      <w:ind w:left="567" w:right="0" w:firstLine="0"/>
      <w:spacing w:before="0" w:after="57"/>
    </w:pPr>
  </w:style>
  <w:style w:type="paragraph" w:styleId="828">
    <w:name w:val="toc 4"/>
    <w:basedOn w:val="771"/>
    <w:uiPriority w:val="39"/>
    <w:unhideWhenUsed/>
    <w:pPr>
      <w:ind w:left="850" w:right="0" w:firstLine="0"/>
      <w:spacing w:before="0" w:after="57"/>
    </w:pPr>
  </w:style>
  <w:style w:type="paragraph" w:styleId="829">
    <w:name w:val="toc 5"/>
    <w:basedOn w:val="771"/>
    <w:uiPriority w:val="39"/>
    <w:unhideWhenUsed/>
    <w:pPr>
      <w:ind w:left="1134" w:right="0" w:firstLine="0"/>
      <w:spacing w:before="0" w:after="57"/>
    </w:pPr>
  </w:style>
  <w:style w:type="paragraph" w:styleId="830">
    <w:name w:val="toc 6"/>
    <w:basedOn w:val="771"/>
    <w:uiPriority w:val="39"/>
    <w:unhideWhenUsed/>
    <w:pPr>
      <w:ind w:left="1417" w:right="0" w:firstLine="0"/>
      <w:spacing w:before="0" w:after="57"/>
    </w:pPr>
  </w:style>
  <w:style w:type="paragraph" w:styleId="831">
    <w:name w:val="toc 7"/>
    <w:basedOn w:val="771"/>
    <w:uiPriority w:val="39"/>
    <w:unhideWhenUsed/>
    <w:pPr>
      <w:ind w:left="1701" w:right="0" w:firstLine="0"/>
      <w:spacing w:before="0" w:after="57"/>
    </w:pPr>
  </w:style>
  <w:style w:type="paragraph" w:styleId="832">
    <w:name w:val="toc 8"/>
    <w:basedOn w:val="771"/>
    <w:uiPriority w:val="39"/>
    <w:unhideWhenUsed/>
    <w:pPr>
      <w:ind w:left="1984" w:right="0" w:firstLine="0"/>
      <w:spacing w:before="0" w:after="57"/>
    </w:pPr>
  </w:style>
  <w:style w:type="paragraph" w:styleId="833">
    <w:name w:val="toc 9"/>
    <w:basedOn w:val="771"/>
    <w:uiPriority w:val="39"/>
    <w:unhideWhenUsed/>
    <w:pPr>
      <w:ind w:left="2268" w:right="0" w:firstLine="0"/>
      <w:spacing w:before="0" w:after="57"/>
    </w:pPr>
  </w:style>
  <w:style w:type="paragraph" w:styleId="834">
    <w:name w:val="Index Heading"/>
    <w:basedOn w:val="809"/>
  </w:style>
  <w:style w:type="paragraph" w:styleId="83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36">
    <w:name w:val="table of figures"/>
    <w:basedOn w:val="771"/>
    <w:uiPriority w:val="99"/>
    <w:unhideWhenUsed/>
    <w:pPr>
      <w:spacing w:before="0" w:after="0" w:afterAutospacing="0"/>
    </w:pPr>
  </w:style>
  <w:style w:type="paragraph" w:styleId="837">
    <w:name w:val="Основной текст с отступом 2"/>
    <w:basedOn w:val="771"/>
    <w:qFormat/>
    <w:pPr>
      <w:ind w:left="4962" w:hanging="4395"/>
      <w:jc w:val="both"/>
    </w:pPr>
    <w:rPr>
      <w:szCs w:val="20"/>
    </w:rPr>
  </w:style>
  <w:style w:type="paragraph" w:styleId="838">
    <w:name w:val="Текст"/>
    <w:basedOn w:val="771"/>
    <w:qFormat/>
    <w:rPr>
      <w:rFonts w:ascii="Courier New" w:hAnsi="Courier New"/>
      <w:sz w:val="20"/>
      <w:szCs w:val="20"/>
      <w:lang w:val="en-US" w:eastAsia="en-US"/>
    </w:rPr>
  </w:style>
  <w:style w:type="paragraph" w:styleId="839">
    <w:name w:val="Основной текст с отступом 3"/>
    <w:basedOn w:val="771"/>
    <w:qFormat/>
    <w:pPr>
      <w:ind w:left="5610"/>
    </w:pPr>
  </w:style>
  <w:style w:type="paragraph" w:styleId="840">
    <w:name w:val="Body Text Indent"/>
    <w:basedOn w:val="771"/>
    <w:pPr>
      <w:ind w:left="283"/>
      <w:spacing w:before="0" w:after="120"/>
    </w:pPr>
  </w:style>
  <w:style w:type="paragraph" w:styleId="841">
    <w:name w:val="Основной текст 2"/>
    <w:basedOn w:val="771"/>
    <w:qFormat/>
    <w:pPr>
      <w:spacing w:before="0" w:after="120" w:line="480" w:lineRule="auto"/>
    </w:pPr>
    <w:rPr>
      <w:lang w:val="en-US" w:eastAsia="en-US"/>
    </w:rPr>
  </w:style>
  <w:style w:type="paragraph" w:styleId="842">
    <w:name w:val="Основной текст 3"/>
    <w:basedOn w:val="771"/>
    <w:qFormat/>
    <w:pPr>
      <w:spacing w:before="0" w:after="120"/>
    </w:pPr>
    <w:rPr>
      <w:sz w:val="16"/>
      <w:szCs w:val="16"/>
    </w:rPr>
  </w:style>
  <w:style w:type="paragraph" w:styleId="843">
    <w:name w:val="Текст выноски"/>
    <w:basedOn w:val="771"/>
    <w:semiHidden/>
    <w:qFormat/>
    <w:rPr>
      <w:rFonts w:ascii="Tahoma" w:hAnsi="Tahoma" w:cs="Tahoma"/>
      <w:sz w:val="16"/>
      <w:szCs w:val="16"/>
    </w:rPr>
  </w:style>
  <w:style w:type="paragraph" w:styleId="844">
    <w:name w:val=" Знак Знак Знак Знак Знак Знак Знак Знак Знак Знак Знак Знак"/>
    <w:basedOn w:val="771"/>
    <w:qFormat/>
    <w:rPr>
      <w:rFonts w:ascii="Verdana" w:hAnsi="Verdana" w:cs="Verdana"/>
      <w:sz w:val="20"/>
      <w:szCs w:val="20"/>
      <w:lang w:val="en-US" w:eastAsia="en-US"/>
    </w:rPr>
  </w:style>
  <w:style w:type="paragraph" w:styleId="845">
    <w:name w:val="Знак Знак Знак Знак Знак Знак Знак Знак Знак Знак Знак Знак"/>
    <w:basedOn w:val="771"/>
    <w:qFormat/>
    <w:rPr>
      <w:rFonts w:ascii="Verdana" w:hAnsi="Verdana" w:cs="Verdana"/>
      <w:sz w:val="20"/>
      <w:szCs w:val="20"/>
      <w:lang w:val="en-US" w:eastAsia="en-US"/>
    </w:rPr>
  </w:style>
  <w:style w:type="paragraph" w:styleId="846">
    <w:name w:val="UserStyle_4"/>
    <w:basedOn w:val="771"/>
    <w:qFormat/>
    <w:pPr>
      <w:ind w:firstLine="567"/>
      <w:jc w:val="center"/>
    </w:pPr>
    <w:rPr>
      <w:b/>
      <w:szCs w:val="20"/>
    </w:rPr>
  </w:style>
  <w:style w:type="paragraph" w:styleId="847">
    <w:name w:val="Содержимое врезки"/>
    <w:basedOn w:val="771"/>
    <w:qFormat/>
  </w:style>
  <w:style w:type="numbering" w:styleId="848">
    <w:name w:val="Нет списка"/>
    <w:semiHidden/>
    <w:qFormat/>
  </w:style>
  <w:style w:type="numbering" w:styleId="849" w:default="1">
    <w:name w:val="No List"/>
    <w:uiPriority w:val="99"/>
    <w:semiHidden/>
    <w:unhideWhenUsed/>
    <w:qFormat/>
  </w:style>
  <w:style w:type="table" w:styleId="850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1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2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3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4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55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6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7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79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80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81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82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83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84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85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8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8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8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8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9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9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92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9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9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9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9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9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9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99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4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15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16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17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18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19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20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1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4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4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4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4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48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4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5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5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5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5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5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55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56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57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58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59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60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61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62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3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64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65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66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67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68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69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70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1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72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73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74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75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7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>Деп. имущественных отношений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bna</dc:creator>
  <dc:description/>
  <dc:language>ru-RU</dc:language>
  <cp:revision>35</cp:revision>
  <dcterms:created xsi:type="dcterms:W3CDTF">2024-07-29T05:49:00Z</dcterms:created>
  <dcterms:modified xsi:type="dcterms:W3CDTF">2026-09-28T07:05:07Z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