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6"/>
        <w:numPr>
          <w:ilvl w:val="0"/>
          <w:numId w:val="0"/>
        </w:numPr>
        <w:ind w:left="0" w:firstLine="0"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Департамент имущественных отношений администрации города Перми</w:t>
      </w:r>
      <w:r>
        <w:rPr>
          <w:sz w:val="28"/>
          <w:szCs w:val="28"/>
        </w:rPr>
      </w:r>
    </w:p>
    <w:p>
      <w:pPr>
        <w:pStyle w:val="76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6"/>
        <w:numPr>
          <w:ilvl w:val="0"/>
          <w:numId w:val="0"/>
        </w:numPr>
        <w:ind w:left="0" w:firstLine="0"/>
        <w:jc w:val="center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Протокол рассмотрения заявок на участие в электронных аукционах </w:t>
      </w:r>
      <w:r>
        <w:rPr>
          <w:b/>
          <w:sz w:val="28"/>
          <w:szCs w:val="28"/>
        </w:rPr>
      </w:r>
    </w:p>
    <w:p>
      <w:pPr>
        <w:pStyle w:val="766"/>
        <w:numPr>
          <w:ilvl w:val="0"/>
          <w:numId w:val="0"/>
        </w:numPr>
        <w:ind w:left="0" w:firstLine="0"/>
        <w:jc w:val="center"/>
        <w:rPr>
          <w:b/>
          <w:sz w:val="28"/>
          <w:szCs w:val="28"/>
        </w:rPr>
        <w:outlineLvl w:val="0"/>
      </w:pPr>
      <w:r>
        <w:rPr>
          <w:rFonts w:eastAsia="Droid Sans Fallback" w:cs="Lohit Devanagari"/>
          <w:b/>
          <w:color w:val="auto"/>
          <w:sz w:val="28"/>
          <w:szCs w:val="28"/>
          <w:lang w:val="ru-RU" w:eastAsia="ru-RU" w:bidi="ar-SA"/>
        </w:rPr>
        <w:t xml:space="preserve">по продаже зем</w:t>
      </w:r>
      <w:r>
        <w:rPr>
          <w:b/>
          <w:sz w:val="28"/>
          <w:szCs w:val="28"/>
        </w:rPr>
        <w:t xml:space="preserve">ельных участков</w:t>
      </w:r>
      <w:r>
        <w:rPr>
          <w:b/>
          <w:sz w:val="28"/>
          <w:szCs w:val="28"/>
        </w:rPr>
      </w:r>
    </w:p>
    <w:p>
      <w:pPr>
        <w:pStyle w:val="766"/>
        <w:numPr>
          <w:ilvl w:val="0"/>
          <w:numId w:val="0"/>
        </w:numPr>
        <w:ind w:left="0" w:firstLine="0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кабинет 2. </w:t>
        <w:tab/>
        <w:tab/>
        <w:tab/>
        <w:tab/>
        <w:tab/>
        <w:tab/>
        <w:t xml:space="preserve">  30.09.2026 </w:t>
      </w:r>
      <w:r>
        <w:rPr>
          <w:sz w:val="28"/>
          <w:szCs w:val="28"/>
        </w:rPr>
      </w:r>
    </w:p>
    <w:p>
      <w:pPr>
        <w:pStyle w:val="76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6"/>
        <w:ind w:firstLine="720"/>
        <w:jc w:val="both"/>
        <w:spacing w:line="276" w:lineRule="auto"/>
        <w:tabs>
          <w:tab w:val="clear" w:pos="708" w:leader="none"/>
          <w:tab w:val="left" w:pos="2805" w:leader="none"/>
        </w:tabs>
      </w:pPr>
      <w:r>
        <w:rPr>
          <w:sz w:val="28"/>
          <w:szCs w:val="28"/>
        </w:rPr>
        <w:t xml:space="preserve">Комиссия по проведению аукционов по продаже земельных участков, находящихся в муниципальной собственности города Перми, и участков, собственность на котор</w:t>
      </w:r>
      <w:r>
        <w:rPr>
          <w:sz w:val="28"/>
          <w:szCs w:val="28"/>
        </w:rPr>
        <w:t xml:space="preserve">ые не разграничена, объектов незавершенного строительства, расположенных на земельных участках, находящихся                              в муниципальной собственности города Перми, и участках, собственность                  на которые не разграничена, или </w:t>
      </w:r>
      <w:r>
        <w:rPr>
          <w:sz w:val="28"/>
          <w:szCs w:val="28"/>
        </w:rPr>
        <w:t xml:space="preserve">на право заключения договоров аренды земельных участков, находящихся в муниципальной собственности города Перми, и участков, собственность на которые не разграничена, утвержденная постановлением администрации города Перми от 20.11.2008 № 1089, в  составе: </w:t>
      </w:r>
      <w:r/>
    </w:p>
    <w:p>
      <w:pPr>
        <w:pStyle w:val="766"/>
        <w:jc w:val="both"/>
        <w:spacing w:line="276" w:lineRule="auto"/>
      </w:pPr>
      <w:r>
        <w:rPr>
          <w:sz w:val="28"/>
          <w:szCs w:val="28"/>
          <w:highlight w:val="yellow"/>
        </w:rPr>
        <w:t xml:space="preserve">             </w:t>
      </w:r>
      <w:r/>
    </w:p>
    <w:p>
      <w:pPr>
        <w:pStyle w:val="766"/>
        <w:ind w:left="3572" w:right="0" w:hanging="3572"/>
        <w:jc w:val="both"/>
        <w:spacing w:before="0" w:after="120" w:line="276" w:lineRule="auto"/>
        <w:widowControl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Председатель комиссии: Соснин А.В., и.о. начальника департамента имущественных отношений администрации города Перми; </w:t>
      </w:r>
      <w:r>
        <w:rPr>
          <w:highlight w:val="white"/>
        </w:rPr>
      </w:r>
    </w:p>
    <w:p>
      <w:pPr>
        <w:pStyle w:val="766"/>
        <w:ind w:left="2268" w:right="0" w:hanging="2268"/>
        <w:jc w:val="both"/>
        <w:spacing w:before="0" w:after="0" w:line="276" w:lineRule="auto"/>
        <w:widowControl/>
        <w:tabs>
          <w:tab w:val="clear" w:pos="708" w:leader="none"/>
          <w:tab w:val="left" w:pos="2100" w:leader="none"/>
        </w:tabs>
      </w:pPr>
      <w:r>
        <w:rPr>
          <w:rFonts w:eastAsia="Droid Sans Fallback" w:cs="Lohit Devanagari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Члены комиссии:  Союстова А.А., заместитель начальника отдела сопровождения договоров департамента земельных отношений администрации города Перми;</w:t>
      </w:r>
      <w:r/>
    </w:p>
    <w:p>
      <w:pPr>
        <w:pStyle w:val="766"/>
        <w:ind w:left="2268" w:right="0" w:firstLine="0"/>
        <w:jc w:val="both"/>
        <w:spacing w:before="0" w:after="0" w:line="276" w:lineRule="auto"/>
        <w:widowControl/>
        <w:tabs>
          <w:tab w:val="clear" w:pos="708" w:leader="none"/>
          <w:tab w:val="left" w:pos="2100" w:leader="none"/>
        </w:tabs>
      </w:pP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Четина Ю.И.,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Перми;</w:t>
      </w:r>
      <w:r/>
    </w:p>
    <w:p>
      <w:pPr>
        <w:pStyle w:val="766"/>
        <w:ind w:left="2211" w:right="0" w:firstLine="0"/>
        <w:jc w:val="both"/>
        <w:spacing w:before="0" w:after="0" w:line="276" w:lineRule="auto"/>
        <w:widowControl/>
        <w:tabs>
          <w:tab w:val="clear" w:pos="708" w:leader="none"/>
          <w:tab w:val="left" w:pos="2100" w:leader="none"/>
        </w:tabs>
        <w:rPr>
          <w:rFonts w:eastAsia="Droid Sans Fallback" w:cs="Lohit Devanagari"/>
          <w:color w:val="000000"/>
          <w:sz w:val="28"/>
          <w:szCs w:val="28"/>
          <w:shd w:val="clear" w:color="auto" w:fill="auto"/>
          <w:lang w:val="ru-RU" w:eastAsia="ru-RU" w:bidi="ar-SA"/>
        </w:rPr>
      </w:pPr>
      <w:r>
        <w:rPr>
          <w:rFonts w:eastAsia="Droid Sans Fallback" w:cs="Lohit Devanagari"/>
          <w:color w:val="000000"/>
          <w:sz w:val="28"/>
          <w:szCs w:val="28"/>
          <w:shd w:val="clear" w:color="auto" w:fill="auto"/>
          <w:lang w:val="ru-RU" w:eastAsia="ru-RU" w:bidi="ar-SA"/>
        </w:rPr>
      </w:r>
      <w:r>
        <w:rPr>
          <w:rFonts w:eastAsia="Droid Sans Fallback" w:cs="Lohit Devanagari"/>
          <w:color w:val="000000"/>
          <w:sz w:val="28"/>
          <w:szCs w:val="28"/>
          <w:shd w:val="clear" w:color="auto" w:fill="auto"/>
          <w:lang w:val="ru-RU" w:eastAsia="ru-RU" w:bidi="ar-SA"/>
        </w:rPr>
      </w:r>
    </w:p>
    <w:p>
      <w:pPr>
        <w:pStyle w:val="766"/>
        <w:ind w:left="0" w:right="0" w:firstLine="0"/>
        <w:jc w:val="both"/>
        <w:spacing w:before="0" w:after="0" w:line="276" w:lineRule="auto"/>
      </w:pPr>
      <w:r>
        <w:rPr>
          <w:sz w:val="28"/>
          <w:szCs w:val="28"/>
        </w:rPr>
        <w:t xml:space="preserve">рассмотрев заявки на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 участие в электронных аукционах, назначенных                           на 01.10.2026 (процедура № SBR012-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  <w:t xml:space="preserve">2609160132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), решила:</w:t>
      </w:r>
      <w:r/>
    </w:p>
    <w:p>
      <w:pPr>
        <w:pStyle w:val="766"/>
        <w:ind w:left="0" w:right="0" w:firstLine="0"/>
        <w:jc w:val="both"/>
        <w:spacing w:before="0" w:after="0"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766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</w:rPr>
      </w:pPr>
      <w:r>
        <w:rPr>
          <w:b/>
          <w:sz w:val="28"/>
          <w:szCs w:val="28"/>
        </w:rPr>
        <w:t xml:space="preserve">Лот № 1 – </w:t>
      </w:r>
      <w:r>
        <w:rPr>
          <w:b w:val="0"/>
          <w:bCs w:val="0"/>
          <w:sz w:val="28"/>
          <w:szCs w:val="28"/>
        </w:rPr>
        <w:t xml:space="preserve">з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  <w:t xml:space="preserve">емельный участок, государственная собственность на который                            не разграничена, с кадастровым номером 59:01:1710014:121 площадью 1354 кв. м, расположен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  <w:t xml:space="preserve">ный по адресу: Российская Федерация, Пермский край, городской округ Пермский, город Пермь, улица Черногорская, з/у 32е,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</w:rPr>
      </w:r>
    </w:p>
    <w:p>
      <w:pPr>
        <w:pStyle w:val="766"/>
        <w:ind w:firstLine="708"/>
        <w:jc w:val="both"/>
        <w:spacing w:before="0" w:after="0"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По указанному лоту заявки не поступали.</w:t>
      </w:r>
      <w:r>
        <w:rPr>
          <w:rFonts w:ascii="Times New Roman" w:hAnsi="Times New Roman" w:eastAsia="Droid Sans Fallback" w:cs="Lohit Devanagari"/>
          <w:color w:val="auto"/>
          <w:sz w:val="28"/>
          <w:szCs w:val="28"/>
        </w:rPr>
      </w:r>
    </w:p>
    <w:p>
      <w:pPr>
        <w:pStyle w:val="766"/>
        <w:ind w:firstLine="708"/>
        <w:jc w:val="both"/>
        <w:spacing w:before="0" w:after="0"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</w:rPr>
      </w:pPr>
      <w:r>
        <w:rPr>
          <w:rFonts w:eastAsia="Droid Sans Fallback" w:cs="Lohit Devanagari"/>
          <w:b w:val="0"/>
          <w:bCs w:val="0"/>
          <w:i w:val="0"/>
          <w:iCs w:val="0"/>
          <w:caps w:val="0"/>
          <w:smallCaps w:val="0"/>
          <w:color w:val="auto"/>
          <w:sz w:val="28"/>
          <w:szCs w:val="28"/>
          <w:lang w:val="ru-RU" w:eastAsia="ru-RU" w:bidi="ar-SA"/>
        </w:rPr>
        <w:t xml:space="preserve">На основании пункта 12 статьи 39.12 Земельного кодекса Российской Федерации электронный аукцион признан несостовшимся.</w:t>
      </w:r>
      <w:r>
        <w:rPr>
          <w:rFonts w:ascii="Times New Roman" w:hAnsi="Times New Roman" w:eastAsia="Droid Sans Fallback" w:cs="Lohit Devanagari"/>
          <w:color w:val="auto"/>
          <w:sz w:val="28"/>
          <w:szCs w:val="28"/>
        </w:rPr>
      </w:r>
    </w:p>
    <w:p>
      <w:pPr>
        <w:pStyle w:val="766"/>
        <w:ind w:firstLine="708"/>
        <w:jc w:val="both"/>
        <w:spacing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766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</w:rPr>
      </w:pPr>
      <w:r>
        <w:rPr>
          <w:b/>
          <w:sz w:val="28"/>
          <w:szCs w:val="28"/>
        </w:rPr>
        <w:t xml:space="preserve">Лот № 2 – </w:t>
      </w:r>
      <w:r>
        <w:rPr>
          <w:b w:val="0"/>
          <w:bCs w:val="0"/>
          <w:sz w:val="28"/>
          <w:szCs w:val="28"/>
        </w:rPr>
        <w:t xml:space="preserve">з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  <w:t xml:space="preserve">емельный участок, государственная собственность на который                      не разграничена, с кадастровым номером 59:01:1710014:120 площадью 1255 кв. м, расположен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  <w:t xml:space="preserve">ный по адресу: Российская Федерация, Пермский край, городской округ Пермский, город Пермь, улица Черногорская, з/у 34е,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</w:rPr>
      </w:r>
    </w:p>
    <w:p>
      <w:pPr>
        <w:pStyle w:val="766"/>
        <w:ind w:firstLine="708"/>
        <w:jc w:val="both"/>
        <w:spacing w:before="0" w:after="0"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По указанному лоту заявки не поступали.</w:t>
      </w:r>
      <w:r>
        <w:rPr>
          <w:rFonts w:ascii="Times New Roman" w:hAnsi="Times New Roman" w:eastAsia="Droid Sans Fallback" w:cs="Lohit Devanagari"/>
          <w:color w:val="auto"/>
          <w:sz w:val="28"/>
          <w:szCs w:val="28"/>
        </w:rPr>
      </w:r>
    </w:p>
    <w:p>
      <w:pPr>
        <w:pStyle w:val="766"/>
        <w:ind w:firstLine="708"/>
        <w:jc w:val="both"/>
        <w:spacing w:before="0" w:after="0"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На основании п</w:t>
      </w:r>
      <w:r>
        <w:rPr>
          <w:rFonts w:eastAsia="Droid Sans Fallback" w:cs="Lohit Devanagari"/>
          <w:b w:val="0"/>
          <w:bCs w:val="0"/>
          <w:i w:val="0"/>
          <w:iCs w:val="0"/>
          <w:caps w:val="0"/>
          <w:smallCaps w:val="0"/>
          <w:color w:val="auto"/>
          <w:sz w:val="28"/>
          <w:szCs w:val="28"/>
          <w:lang w:val="ru-RU" w:eastAsia="ru-RU" w:bidi="ar-SA"/>
        </w:rPr>
        <w:t xml:space="preserve">ункта 12 статьи 39.12 Земельного кодекса Российской Федерации электронный аукцион признан несостовшимся.</w:t>
      </w:r>
      <w:r>
        <w:rPr>
          <w:rFonts w:ascii="Times New Roman" w:hAnsi="Times New Roman" w:eastAsia="Droid Sans Fallback" w:cs="Lohit Devanagari"/>
          <w:color w:val="auto"/>
          <w:sz w:val="28"/>
          <w:szCs w:val="28"/>
        </w:rPr>
      </w:r>
    </w:p>
    <w:p>
      <w:pPr>
        <w:pStyle w:val="766"/>
        <w:ind w:firstLine="708"/>
        <w:jc w:val="both"/>
        <w:spacing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766"/>
        <w:jc w:val="both"/>
        <w:spacing w:before="0" w:after="0"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766"/>
        <w:jc w:val="both"/>
        <w:spacing w:line="480" w:lineRule="auto"/>
      </w:pPr>
      <w:r>
        <w:rPr>
          <w:sz w:val="28"/>
          <w:szCs w:val="28"/>
        </w:rPr>
        <w:t xml:space="preserve">Председатель комиссии  </w:t>
        <w:tab/>
        <w:tab/>
        <w:tab/>
        <w:tab/>
        <w:tab/>
        <w:tab/>
        <w:tab/>
        <w:t xml:space="preserve">         </w:t>
      </w:r>
      <w:r>
        <w:rPr>
          <w:sz w:val="28"/>
          <w:szCs w:val="28"/>
          <w:highlight w:val="white"/>
        </w:rPr>
        <w:t xml:space="preserve">А.В. Соснин</w:t>
      </w:r>
      <w:r/>
    </w:p>
    <w:p>
      <w:pPr>
        <w:pStyle w:val="766"/>
        <w:spacing w:before="120" w:after="120" w:line="480" w:lineRule="auto"/>
      </w:pPr>
      <w:r>
        <w:rPr>
          <w:rFonts w:eastAsia="Droid Sans Fallback" w:cs="Lohit Devanagari"/>
          <w:color w:val="000000"/>
          <w:sz w:val="28"/>
          <w:szCs w:val="28"/>
          <w:shd w:val="clear" w:color="auto" w:fill="auto"/>
          <w:lang w:val="ru-RU" w:eastAsia="en-US" w:bidi="ar-SA"/>
        </w:rPr>
        <w:t xml:space="preserve">Члены комиссии </w:t>
        <w:tab/>
        <w:tab/>
        <w:tab/>
        <w:tab/>
        <w:tab/>
        <w:tab/>
        <w:tab/>
        <w:tab/>
        <w:t xml:space="preserve">              А.А. Союстова</w:t>
      </w:r>
      <w:r/>
    </w:p>
    <w:p>
      <w:pPr>
        <w:pStyle w:val="766"/>
        <w:spacing w:before="120" w:after="120" w:line="480" w:lineRule="auto"/>
      </w:pP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en-US" w:bidi="ar-SA"/>
        </w:rPr>
        <w:t xml:space="preserve">                                                                                                                      </w:t>
      </w: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en-US" w:bidi="ar-SA"/>
        </w:rPr>
        <w:t xml:space="preserve">Ю.И. Четина</w:t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786" w:right="567" w:bottom="766" w:left="1418" w:header="0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Open Sans">
    <w:panose1 w:val="020B0606030504020204"/>
  </w:font>
  <w:font w:name="Tahoma">
    <w:panose1 w:val="020B0604030504040204"/>
  </w:font>
  <w:font w:name="Arial">
    <w:panose1 w:val="020B0604020202020204"/>
  </w:font>
  <w:font w:name="Droid Sans Fallback">
    <w:panose1 w:val="020B0502000000000001"/>
  </w:font>
  <w:font w:name="Courier New">
    <w:panose1 w:val="02070309020205020404"/>
  </w:font>
  <w:font w:name="Lohit Devanagari">
    <w:panose1 w:val="020B0600000000000000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2"/>
      <w:ind w:right="3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6" behindDoc="1" locked="0" layoutInCell="0" allowOverlap="1">
              <wp:simplePos x="0" y="0"/>
              <wp:positionH relativeFrom="margin">
                <wp:posOffset>6051550</wp:posOffset>
              </wp:positionH>
              <wp:positionV relativeFrom="paragraph">
                <wp:posOffset>635</wp:posOffset>
              </wp:positionV>
              <wp:extent cx="245745" cy="246380"/>
              <wp:effectExtent l="0" t="0" r="0" b="0"/>
              <wp:wrapSquare wrapText="bothSides"/>
              <wp:docPr id="1" name="Врезка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2458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2"/>
                            <w:rPr>
                              <w:rStyle w:val="803"/>
                            </w:rPr>
                          </w:pPr>
                          <w:r>
                            <w:rPr>
                              <w:rStyle w:val="80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t xml:space="preserve">2</w:t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3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6;o:allowoverlap:true;o:allowincell:false;mso-position-horizontal-relative:margin;margin-left:476.50pt;mso-position-horizontal:absolute;mso-position-vertical-relative:text;margin-top:0.05pt;mso-position-vertical:absolute;width:19.35pt;height:19.4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2"/>
                      <w:rPr>
                        <w:rStyle w:val="803"/>
                      </w:rPr>
                    </w:pPr>
                    <w:r>
                      <w:rPr>
                        <w:rStyle w:val="803"/>
                        <w:color w:val="000000"/>
                      </w:rPr>
                      <w:fldChar w:fldCharType="begin"/>
                    </w:r>
                    <w:r>
                      <w:rPr>
                        <w:rStyle w:val="80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3"/>
                        <w:color w:val="000000"/>
                      </w:rPr>
                      <w:fldChar w:fldCharType="separate"/>
                    </w:r>
                    <w:r>
                      <w:rPr>
                        <w:rStyle w:val="803"/>
                        <w:color w:val="000000"/>
                      </w:rPr>
                      <w:t xml:space="preserve">2</w:t>
                    </w:r>
                    <w:r>
                      <w:rPr>
                        <w:rStyle w:val="803"/>
                        <w:color w:val="000000"/>
                      </w:rPr>
                      <w:fldChar w:fldCharType="end"/>
                    </w:r>
                    <w:r>
                      <w:rPr>
                        <w:rStyle w:val="803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2"/>
      <w:ind w:right="3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2"/>
                            <w:ind w:right="360"/>
                            <w:rPr>
                              <w:rStyle w:val="803"/>
                            </w:rPr>
                          </w:pPr>
                          <w:r>
                            <w:rPr>
                              <w:rStyle w:val="80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3"/>
                            </w:rPr>
                          </w:r>
                        </w:p>
                      </w:txbxContent>
                    </wps:txbx>
                    <wps:bodyPr lIns="36360" tIns="-21240" rIns="36360" bIns="-2124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2"/>
                      <w:ind w:right="360"/>
                      <w:rPr>
                        <w:rStyle w:val="803"/>
                      </w:rPr>
                    </w:pPr>
                    <w:r>
                      <w:rPr>
                        <w:rStyle w:val="803"/>
                        <w:color w:val="000000"/>
                      </w:rPr>
                      <w:fldChar w:fldCharType="begin"/>
                    </w:r>
                    <w:r>
                      <w:rPr>
                        <w:rStyle w:val="80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3"/>
                        <w:color w:val="000000"/>
                      </w:rPr>
                      <w:fldChar w:fldCharType="separate"/>
                    </w:r>
                    <w:r>
                      <w:rPr>
                        <w:rStyle w:val="803"/>
                        <w:color w:val="000000"/>
                      </w:rPr>
                      <w:t xml:space="preserve">0</w:t>
                    </w:r>
                    <w:r>
                      <w:rPr>
                        <w:rStyle w:val="803"/>
                        <w:color w:val="000000"/>
                      </w:rPr>
                      <w:fldChar w:fldCharType="end"/>
                    </w:r>
                    <w:r>
                      <w:rPr>
                        <w:rStyle w:val="803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2"/>
                            <w:rPr>
                              <w:rStyle w:val="803"/>
                            </w:rPr>
                          </w:pPr>
                          <w:r>
                            <w:rPr>
                              <w:rStyle w:val="80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3"/>
                            </w:rPr>
                          </w:r>
                        </w:p>
                      </w:txbxContent>
                    </wps:txbx>
                    <wps:bodyPr lIns="36360" tIns="-21240" rIns="36360" bIns="-2124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3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2"/>
                      <w:rPr>
                        <w:rStyle w:val="803"/>
                      </w:rPr>
                    </w:pPr>
                    <w:r>
                      <w:rPr>
                        <w:rStyle w:val="803"/>
                        <w:color w:val="000000"/>
                      </w:rPr>
                      <w:fldChar w:fldCharType="begin"/>
                    </w:r>
                    <w:r>
                      <w:rPr>
                        <w:rStyle w:val="80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3"/>
                        <w:color w:val="000000"/>
                      </w:rPr>
                      <w:fldChar w:fldCharType="separate"/>
                    </w:r>
                    <w:r>
                      <w:rPr>
                        <w:rStyle w:val="803"/>
                        <w:color w:val="000000"/>
                      </w:rPr>
                      <w:t xml:space="preserve">0</w:t>
                    </w:r>
                    <w:r>
                      <w:rPr>
                        <w:rStyle w:val="803"/>
                        <w:color w:val="000000"/>
                      </w:rPr>
                      <w:fldChar w:fldCharType="end"/>
                    </w:r>
                    <w:r>
                      <w:rPr>
                        <w:rStyle w:val="803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4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22"/>
                            <w:rPr>
                              <w:rStyle w:val="803"/>
                            </w:rPr>
                          </w:pPr>
                          <w:r>
                            <w:rPr>
                              <w:rStyle w:val="80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03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03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-5;o:allowoverlap:true;o:allowincell:false;mso-position-horizontal-relative:margin;mso-position-horizontal:right;mso-position-vertical-relative:text;margin-top:0.05pt;mso-position-vertical:absolute;width:6.05pt;height:13.7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22"/>
                      <w:rPr>
                        <w:rStyle w:val="803"/>
                      </w:rPr>
                    </w:pPr>
                    <w:r>
                      <w:rPr>
                        <w:rStyle w:val="803"/>
                        <w:color w:val="000000"/>
                      </w:rPr>
                      <w:fldChar w:fldCharType="begin"/>
                    </w:r>
                    <w:r>
                      <w:rPr>
                        <w:rStyle w:val="80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03"/>
                        <w:color w:val="000000"/>
                      </w:rPr>
                      <w:fldChar w:fldCharType="separate"/>
                    </w:r>
                    <w:r>
                      <w:rPr>
                        <w:rStyle w:val="803"/>
                        <w:color w:val="000000"/>
                      </w:rPr>
                      <w:t xml:space="preserve">0</w:t>
                    </w:r>
                    <w:r>
                      <w:rPr>
                        <w:rStyle w:val="803"/>
                        <w:color w:val="000000"/>
                      </w:rPr>
                      <w:fldChar w:fldCharType="end"/>
                    </w:r>
                    <w:r>
                      <w:rPr>
                        <w:rStyle w:val="803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2"/>
      <w:jc w:val="right"/>
    </w:pPr>
    <w:r>
      <w:fldChar w:fldCharType="begin"/>
    </w:r>
    <w:r>
      <w:instrText xml:space="preserve"> PAGE </w:instrText>
    </w:r>
    <w:r>
      <w:fldChar w:fldCharType="separate"/>
    </w:r>
    <w:r>
      <w:t xml:space="preserve">1</w:t>
    </w:r>
    <w:r>
      <w:fldChar w:fldCharType="end"/>
    </w:r>
    <w:r/>
  </w:p>
  <w:p>
    <w:pPr>
      <w:pStyle w:val="82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Lohit Devanaga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6" w:default="1">
    <w:name w:val="Normal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4"/>
      <w:szCs w:val="24"/>
      <w:lang w:val="ru-RU" w:eastAsia="ru-RU" w:bidi="ar-SA"/>
    </w:rPr>
  </w:style>
  <w:style w:type="paragraph" w:styleId="767">
    <w:name w:val="Heading 1"/>
    <w:basedOn w:val="76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68">
    <w:name w:val="Heading 2"/>
    <w:basedOn w:val="7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69">
    <w:name w:val="Heading 3"/>
    <w:basedOn w:val="76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70">
    <w:name w:val="Heading 4"/>
    <w:basedOn w:val="76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1">
    <w:name w:val="Heading 5"/>
    <w:basedOn w:val="7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72">
    <w:name w:val="Heading 6"/>
    <w:basedOn w:val="7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73">
    <w:name w:val="Heading 7"/>
    <w:basedOn w:val="7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74">
    <w:name w:val="Heading 8"/>
    <w:basedOn w:val="76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75">
    <w:name w:val="Heading 9"/>
    <w:basedOn w:val="76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6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777">
    <w:name w:val="Heading 2 Char"/>
    <w:uiPriority w:val="9"/>
    <w:qFormat/>
    <w:rPr>
      <w:rFonts w:ascii="Arial" w:hAnsi="Arial" w:eastAsia="Arial" w:cs="Arial"/>
      <w:sz w:val="34"/>
    </w:rPr>
  </w:style>
  <w:style w:type="character" w:styleId="778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779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80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8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82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83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84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85">
    <w:name w:val="Title Char"/>
    <w:uiPriority w:val="10"/>
    <w:qFormat/>
    <w:rPr>
      <w:sz w:val="48"/>
      <w:szCs w:val="48"/>
    </w:rPr>
  </w:style>
  <w:style w:type="character" w:styleId="786">
    <w:name w:val="Subtitle Char"/>
    <w:uiPriority w:val="11"/>
    <w:qFormat/>
    <w:rPr>
      <w:sz w:val="24"/>
      <w:szCs w:val="24"/>
    </w:rPr>
  </w:style>
  <w:style w:type="character" w:styleId="787">
    <w:name w:val="Quote Char"/>
    <w:uiPriority w:val="29"/>
    <w:qFormat/>
    <w:rPr>
      <w:i/>
    </w:rPr>
  </w:style>
  <w:style w:type="character" w:styleId="788">
    <w:name w:val="Intense Quote Char"/>
    <w:uiPriority w:val="30"/>
    <w:qFormat/>
    <w:rPr>
      <w:i/>
    </w:rPr>
  </w:style>
  <w:style w:type="character" w:styleId="789">
    <w:name w:val="Header Char"/>
    <w:uiPriority w:val="99"/>
    <w:qFormat/>
  </w:style>
  <w:style w:type="character" w:styleId="790">
    <w:name w:val="Footer Char"/>
    <w:uiPriority w:val="99"/>
    <w:qFormat/>
  </w:style>
  <w:style w:type="character" w:styleId="791">
    <w:name w:val="Caption Char"/>
    <w:uiPriority w:val="99"/>
    <w:qFormat/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character" w:styleId="793">
    <w:name w:val="Footnote Text Char"/>
    <w:uiPriority w:val="99"/>
    <w:qFormat/>
    <w:rPr>
      <w:sz w:val="18"/>
    </w:rPr>
  </w:style>
  <w:style w:type="character" w:styleId="794">
    <w:name w:val="Символ сноски"/>
    <w:uiPriority w:val="99"/>
    <w:unhideWhenUsed/>
    <w:qFormat/>
    <w:rPr>
      <w:vertAlign w:val="superscript"/>
    </w:rPr>
  </w:style>
  <w:style w:type="character" w:styleId="795">
    <w:name w:val="footnote reference"/>
    <w:rPr>
      <w:vertAlign w:val="superscript"/>
    </w:rPr>
  </w:style>
  <w:style w:type="character" w:styleId="796">
    <w:name w:val="Endnote Text Char"/>
    <w:uiPriority w:val="99"/>
    <w:qFormat/>
    <w:rPr>
      <w:sz w:val="20"/>
    </w:rPr>
  </w:style>
  <w:style w:type="character" w:styleId="79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98">
    <w:name w:val="endnote reference"/>
    <w:rPr>
      <w:vertAlign w:val="superscript"/>
    </w:rPr>
  </w:style>
  <w:style w:type="character" w:styleId="799">
    <w:name w:val="Основной шрифт абзаца"/>
    <w:semiHidden/>
    <w:qFormat/>
  </w:style>
  <w:style w:type="character" w:styleId="800">
    <w:name w:val="Основной текст с отступом 3 Знак"/>
    <w:qFormat/>
    <w:rPr>
      <w:sz w:val="16"/>
      <w:szCs w:val="16"/>
    </w:rPr>
  </w:style>
  <w:style w:type="character" w:styleId="801">
    <w:name w:val="Текст Знак"/>
    <w:qFormat/>
    <w:rPr>
      <w:rFonts w:ascii="Courier New" w:hAnsi="Courier New"/>
    </w:rPr>
  </w:style>
  <w:style w:type="character" w:styleId="802">
    <w:name w:val="Текст выноски Знак"/>
    <w:qFormat/>
    <w:rPr>
      <w:rFonts w:ascii="Tahoma" w:hAnsi="Tahoma" w:cs="Tahoma"/>
      <w:sz w:val="16"/>
      <w:szCs w:val="16"/>
    </w:rPr>
  </w:style>
  <w:style w:type="character" w:styleId="803">
    <w:name w:val="Основной текст с отступом Знак"/>
    <w:qFormat/>
    <w:rPr>
      <w:sz w:val="24"/>
      <w:szCs w:val="24"/>
    </w:rPr>
  </w:style>
  <w:style w:type="character" w:styleId="804">
    <w:name w:val="Верхний колонтитул Знак"/>
    <w:qFormat/>
    <w:rPr>
      <w:sz w:val="24"/>
      <w:szCs w:val="24"/>
    </w:rPr>
  </w:style>
  <w:style w:type="character" w:styleId="805">
    <w:name w:val="Нижний колонтитул Знак"/>
    <w:qFormat/>
    <w:rPr>
      <w:sz w:val="24"/>
      <w:szCs w:val="24"/>
    </w:rPr>
  </w:style>
  <w:style w:type="character" w:styleId="806">
    <w:name w:val="Текст сноски Знак"/>
    <w:basedOn w:val="799"/>
    <w:qFormat/>
  </w:style>
  <w:style w:type="character" w:styleId="807">
    <w:name w:val="Знак сноски"/>
    <w:qFormat/>
    <w:rPr>
      <w:vertAlign w:val="superscript"/>
    </w:rPr>
  </w:style>
  <w:style w:type="character" w:styleId="808" w:default="1">
    <w:name w:val="Default Paragraph Font"/>
    <w:uiPriority w:val="1"/>
    <w:semiHidden/>
    <w:unhideWhenUsed/>
    <w:qFormat/>
  </w:style>
  <w:style w:type="paragraph" w:styleId="809">
    <w:name w:val="Заголовок"/>
    <w:basedOn w:val="766"/>
    <w:next w:val="810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810">
    <w:name w:val="Body Text"/>
    <w:basedOn w:val="766"/>
    <w:pPr>
      <w:spacing w:before="0" w:after="140" w:line="276" w:lineRule="auto"/>
    </w:pPr>
  </w:style>
  <w:style w:type="paragraph" w:styleId="811">
    <w:name w:val="List"/>
    <w:basedOn w:val="810"/>
    <w:rPr>
      <w:rFonts w:cs="Lohit Devanagari"/>
    </w:rPr>
  </w:style>
  <w:style w:type="paragraph" w:styleId="812">
    <w:name w:val="Caption"/>
    <w:basedOn w:val="7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13">
    <w:name w:val="Указатель"/>
    <w:basedOn w:val="766"/>
    <w:qFormat/>
    <w:pPr>
      <w:suppressLineNumbers/>
    </w:pPr>
    <w:rPr>
      <w:rFonts w:cs="Lohit Devanagari"/>
    </w:rPr>
  </w:style>
  <w:style w:type="paragraph" w:styleId="814">
    <w:name w:val="List Paragraph"/>
    <w:basedOn w:val="766"/>
    <w:uiPriority w:val="34"/>
    <w:qFormat/>
    <w:pPr>
      <w:contextualSpacing/>
      <w:ind w:left="720"/>
      <w:spacing w:before="0" w:after="0"/>
    </w:pPr>
  </w:style>
  <w:style w:type="paragraph" w:styleId="815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zh-CN" w:bidi="ar-SA"/>
    </w:rPr>
  </w:style>
  <w:style w:type="paragraph" w:styleId="816">
    <w:name w:val="Title"/>
    <w:basedOn w:val="76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17">
    <w:name w:val="Subtitle"/>
    <w:basedOn w:val="766"/>
    <w:uiPriority w:val="11"/>
    <w:qFormat/>
    <w:pPr>
      <w:spacing w:before="200" w:after="200"/>
    </w:pPr>
    <w:rPr>
      <w:sz w:val="24"/>
      <w:szCs w:val="24"/>
    </w:rPr>
  </w:style>
  <w:style w:type="paragraph" w:styleId="818">
    <w:name w:val="Quote"/>
    <w:basedOn w:val="766"/>
    <w:uiPriority w:val="29"/>
    <w:qFormat/>
    <w:pPr>
      <w:ind w:left="720" w:right="720"/>
    </w:pPr>
    <w:rPr>
      <w:i/>
    </w:rPr>
  </w:style>
  <w:style w:type="paragraph" w:styleId="819">
    <w:name w:val="Intense Quote"/>
    <w:basedOn w:val="766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20">
    <w:name w:val="Колонтитул"/>
    <w:basedOn w:val="766"/>
    <w:qFormat/>
  </w:style>
  <w:style w:type="paragraph" w:styleId="821">
    <w:name w:val="Header"/>
    <w:basedOn w:val="766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22">
    <w:name w:val="Footer"/>
    <w:basedOn w:val="766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23">
    <w:name w:val="footnote text"/>
    <w:basedOn w:val="766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24">
    <w:name w:val="endnote text"/>
    <w:basedOn w:val="766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25">
    <w:name w:val="toc 1"/>
    <w:basedOn w:val="766"/>
    <w:uiPriority w:val="39"/>
    <w:unhideWhenUsed/>
    <w:pPr>
      <w:ind w:left="0" w:right="0" w:firstLine="0"/>
      <w:spacing w:before="0" w:after="57"/>
    </w:pPr>
  </w:style>
  <w:style w:type="paragraph" w:styleId="826">
    <w:name w:val="toc 2"/>
    <w:basedOn w:val="766"/>
    <w:uiPriority w:val="39"/>
    <w:unhideWhenUsed/>
    <w:pPr>
      <w:ind w:left="283" w:right="0" w:firstLine="0"/>
      <w:spacing w:before="0" w:after="57"/>
    </w:pPr>
  </w:style>
  <w:style w:type="paragraph" w:styleId="827">
    <w:name w:val="toc 3"/>
    <w:basedOn w:val="766"/>
    <w:uiPriority w:val="39"/>
    <w:unhideWhenUsed/>
    <w:pPr>
      <w:ind w:left="567" w:right="0" w:firstLine="0"/>
      <w:spacing w:before="0" w:after="57"/>
    </w:pPr>
  </w:style>
  <w:style w:type="paragraph" w:styleId="828">
    <w:name w:val="toc 4"/>
    <w:basedOn w:val="766"/>
    <w:uiPriority w:val="39"/>
    <w:unhideWhenUsed/>
    <w:pPr>
      <w:ind w:left="850" w:right="0" w:firstLine="0"/>
      <w:spacing w:before="0" w:after="57"/>
    </w:pPr>
  </w:style>
  <w:style w:type="paragraph" w:styleId="829">
    <w:name w:val="toc 5"/>
    <w:basedOn w:val="766"/>
    <w:uiPriority w:val="39"/>
    <w:unhideWhenUsed/>
    <w:pPr>
      <w:ind w:left="1134" w:right="0" w:firstLine="0"/>
      <w:spacing w:before="0" w:after="57"/>
    </w:pPr>
  </w:style>
  <w:style w:type="paragraph" w:styleId="830">
    <w:name w:val="toc 6"/>
    <w:basedOn w:val="766"/>
    <w:uiPriority w:val="39"/>
    <w:unhideWhenUsed/>
    <w:pPr>
      <w:ind w:left="1417" w:right="0" w:firstLine="0"/>
      <w:spacing w:before="0" w:after="57"/>
    </w:pPr>
  </w:style>
  <w:style w:type="paragraph" w:styleId="831">
    <w:name w:val="toc 7"/>
    <w:basedOn w:val="766"/>
    <w:uiPriority w:val="39"/>
    <w:unhideWhenUsed/>
    <w:pPr>
      <w:ind w:left="1701" w:right="0" w:firstLine="0"/>
      <w:spacing w:before="0" w:after="57"/>
    </w:pPr>
  </w:style>
  <w:style w:type="paragraph" w:styleId="832">
    <w:name w:val="toc 8"/>
    <w:basedOn w:val="766"/>
    <w:uiPriority w:val="39"/>
    <w:unhideWhenUsed/>
    <w:pPr>
      <w:ind w:left="1984" w:right="0" w:firstLine="0"/>
      <w:spacing w:before="0" w:after="57"/>
    </w:pPr>
  </w:style>
  <w:style w:type="paragraph" w:styleId="833">
    <w:name w:val="toc 9"/>
    <w:basedOn w:val="766"/>
    <w:uiPriority w:val="39"/>
    <w:unhideWhenUsed/>
    <w:pPr>
      <w:ind w:left="2268" w:right="0" w:firstLine="0"/>
      <w:spacing w:before="0" w:after="57"/>
    </w:pPr>
  </w:style>
  <w:style w:type="paragraph" w:styleId="834">
    <w:name w:val="Index Heading"/>
    <w:basedOn w:val="809"/>
  </w:style>
  <w:style w:type="paragraph" w:styleId="835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zh-CN" w:bidi="ar-SA"/>
    </w:rPr>
  </w:style>
  <w:style w:type="paragraph" w:styleId="836">
    <w:name w:val="table of figures"/>
    <w:basedOn w:val="766"/>
    <w:uiPriority w:val="99"/>
    <w:unhideWhenUsed/>
    <w:pPr>
      <w:spacing w:before="0" w:after="0" w:afterAutospacing="0"/>
    </w:pPr>
  </w:style>
  <w:style w:type="paragraph" w:styleId="837">
    <w:name w:val="Body Text Indent"/>
    <w:basedOn w:val="766"/>
    <w:pPr>
      <w:ind w:left="283"/>
      <w:spacing w:before="0" w:after="120"/>
    </w:pPr>
    <w:rPr>
      <w:lang w:val="en-US" w:eastAsia="en-US"/>
    </w:rPr>
  </w:style>
  <w:style w:type="paragraph" w:styleId="838">
    <w:name w:val="Текст"/>
    <w:basedOn w:val="766"/>
    <w:qFormat/>
    <w:rPr>
      <w:rFonts w:ascii="Courier New" w:hAnsi="Courier New"/>
      <w:sz w:val="20"/>
      <w:szCs w:val="20"/>
      <w:lang w:val="en-US" w:eastAsia="en-US"/>
    </w:rPr>
  </w:style>
  <w:style w:type="paragraph" w:styleId="839">
    <w:name w:val="Знак Знак Знак Знак Знак Знак Знак Знак Знак Знак Знак Знак"/>
    <w:basedOn w:val="766"/>
    <w:qFormat/>
    <w:rPr>
      <w:rFonts w:ascii="Verdana" w:hAnsi="Verdana" w:cs="Verdana"/>
      <w:sz w:val="20"/>
      <w:szCs w:val="20"/>
      <w:lang w:val="en-US" w:eastAsia="en-US"/>
    </w:rPr>
  </w:style>
  <w:style w:type="paragraph" w:styleId="840">
    <w:name w:val="Основной текст с отступом 3"/>
    <w:basedOn w:val="766"/>
    <w:qFormat/>
    <w:pPr>
      <w:ind w:left="283"/>
      <w:spacing w:before="0" w:after="120"/>
    </w:pPr>
    <w:rPr>
      <w:sz w:val="16"/>
      <w:szCs w:val="16"/>
      <w:lang w:val="en-US" w:eastAsia="en-US"/>
    </w:rPr>
  </w:style>
  <w:style w:type="paragraph" w:styleId="841">
    <w:name w:val="Текст выноски"/>
    <w:basedOn w:val="766"/>
    <w:qFormat/>
    <w:rPr>
      <w:rFonts w:ascii="Tahoma" w:hAnsi="Tahoma"/>
      <w:sz w:val="16"/>
      <w:szCs w:val="16"/>
      <w:lang w:val="en-US" w:eastAsia="en-US"/>
    </w:rPr>
  </w:style>
  <w:style w:type="paragraph" w:styleId="842">
    <w:name w:val="Текст сноски"/>
    <w:basedOn w:val="766"/>
    <w:qFormat/>
    <w:rPr>
      <w:sz w:val="20"/>
      <w:szCs w:val="20"/>
    </w:rPr>
  </w:style>
  <w:style w:type="paragraph" w:styleId="843">
    <w:name w:val="Содержимое врезки"/>
    <w:basedOn w:val="766"/>
    <w:qFormat/>
  </w:style>
  <w:style w:type="paragraph" w:styleId="844">
    <w:name w:val="Содержимое таблицы"/>
    <w:basedOn w:val="766"/>
    <w:qFormat/>
    <w:pPr>
      <w:widowControl w:val="off"/>
      <w:suppressLineNumbers/>
    </w:pPr>
  </w:style>
  <w:style w:type="paragraph" w:styleId="845">
    <w:name w:val="Заголовок таблицы"/>
    <w:basedOn w:val="844"/>
    <w:qFormat/>
    <w:pPr>
      <w:jc w:val="center"/>
      <w:suppressLineNumbers/>
    </w:pPr>
    <w:rPr>
      <w:b/>
      <w:bCs/>
    </w:rPr>
  </w:style>
  <w:style w:type="numbering" w:styleId="846">
    <w:name w:val="Нет списка"/>
    <w:semiHidden/>
    <w:qFormat/>
  </w:style>
  <w:style w:type="numbering" w:styleId="847" w:default="1">
    <w:name w:val="No List"/>
    <w:uiPriority w:val="99"/>
    <w:semiHidden/>
    <w:unhideWhenUsed/>
    <w:qFormat/>
  </w:style>
  <w:style w:type="table" w:styleId="848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9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0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1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2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53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54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5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2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77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78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79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80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81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82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83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8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8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8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8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8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8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90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9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89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9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89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9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9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97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12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13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14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15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16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17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18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9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0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1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3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4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5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6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8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9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0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9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4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4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4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4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4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4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46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4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94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94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95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5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95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953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54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55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56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57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58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59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60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61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62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63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64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65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66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67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68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9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70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71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72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73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7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Деп. имущественных отношений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имущественных отношений</dc:title>
  <dc:subject/>
  <dc:creator>bna</dc:creator>
  <dc:description/>
  <dc:language>ru-RU</dc:language>
  <cp:lastModifiedBy>chetina-yui</cp:lastModifiedBy>
  <cp:revision>1123</cp:revision>
  <dcterms:created xsi:type="dcterms:W3CDTF">2015-07-02T10:18:00Z</dcterms:created>
  <dcterms:modified xsi:type="dcterms:W3CDTF">2026-09-30T04:17:53Z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