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Департамент имущественных отношений администрации города Перми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Протокол рассмотрения заявок на участие в электронных аукционах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на право</w:t>
      </w:r>
      <w:r>
        <w:rPr>
          <w:rFonts w:eastAsia="Droid Sans Fallback" w:cs="Lohit Devanagari"/>
          <w:b/>
          <w:color w:val="auto"/>
          <w:sz w:val="28"/>
          <w:szCs w:val="28"/>
          <w:lang w:val="ru-RU" w:eastAsia="ru-RU" w:bidi="ar-SA"/>
        </w:rPr>
        <w:t xml:space="preserve"> заключения договоров аренды  зем</w:t>
      </w:r>
      <w:r>
        <w:rPr>
          <w:b/>
          <w:sz w:val="28"/>
          <w:szCs w:val="28"/>
        </w:rPr>
        <w:t>ельных участков</w:t>
      </w:r>
    </w:p>
    <w:p>
      <w:pPr>
        <w:pStyle w:val="Normal"/>
        <w:numPr>
          <w:ilvl w:val="0"/>
          <w:numId w:val="0"/>
        </w:numPr>
        <w:ind w:hanging="0" w:left="0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Пермь, ул. Сибирская, д.14, каб. 2                      </w:t>
        <w:tab/>
        <w:t xml:space="preserve">                               07.10.2026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2805" w:leader="none"/>
        </w:tabs>
        <w:spacing w:lineRule="auto" w:line="276"/>
        <w:ind w:firstLine="720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Комиссия по проведению аукционов по продаже земельных участков, находящихся в муниципальной собственности города Перми, и участков, собственность на которые не разграничена, объектов незавершенного строительства, расположенных на земельных участках, находящихся                              в муниципальной собственности города Перми, и участках, собственность                  на которые не разграничена, или на право заключения договоров аренды земельных участков, находящихся в муниципальной собственности города Перми, и участков, собственность на которые не разграничена, утвержденная постановлением администрации города Перми от 20.11.2008 № 1089, в  составе: </w:t>
      </w:r>
    </w:p>
    <w:p>
      <w:pPr>
        <w:pStyle w:val="Normal"/>
        <w:spacing w:lineRule="auto" w:line="276"/>
        <w:jc w:val="both"/>
        <w:rPr>
          <w:highlight w:val="white"/>
        </w:rPr>
      </w:pPr>
      <w:r>
        <w:rPr>
          <w:sz w:val="28"/>
          <w:szCs w:val="28"/>
          <w:highlight w:val="white"/>
        </w:rPr>
        <w:t xml:space="preserve">             </w:t>
      </w:r>
    </w:p>
    <w:p>
      <w:pPr>
        <w:pStyle w:val="Normal"/>
        <w:widowControl/>
        <w:spacing w:lineRule="auto" w:line="276" w:before="0" w:after="120"/>
        <w:ind w:hanging="3000" w:left="3000" w:right="0"/>
        <w:jc w:val="both"/>
        <w:rPr>
          <w:highlight w:val="white"/>
        </w:rPr>
      </w:pPr>
      <w:r>
        <w:rPr>
          <w:sz w:val="28"/>
          <w:szCs w:val="28"/>
          <w:highlight w:val="white"/>
          <w:lang w:eastAsia="en-US"/>
        </w:rPr>
        <w:t xml:space="preserve">Председатель комиссии: Хаткевич А.А., начальник департамента имущественных отношений администрации города Перми;   </w:t>
      </w:r>
    </w:p>
    <w:p>
      <w:pPr>
        <w:pStyle w:val="Normal"/>
        <w:widowControl/>
        <w:spacing w:lineRule="auto" w:line="276" w:before="0" w:after="120"/>
        <w:ind w:hanging="2880" w:left="2880" w:right="0"/>
        <w:jc w:val="both"/>
        <w:rPr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>Секретарь комиссии: Павлова О.И., консультант отдела по распоряжению муниципальным имуществом управления                             по распоряжению муниципальным имуществом департамента имущественных отношений администрации города Перми;</w:t>
      </w:r>
      <w:r>
        <w:rPr>
          <w:sz w:val="28"/>
          <w:szCs w:val="28"/>
          <w:highlight w:val="white"/>
          <w:lang w:eastAsia="en-US"/>
        </w:rPr>
        <w:t xml:space="preserve"> </w:t>
      </w:r>
    </w:p>
    <w:p>
      <w:pPr>
        <w:pStyle w:val="Normal"/>
        <w:widowControl/>
        <w:tabs>
          <w:tab w:val="clear" w:pos="708"/>
          <w:tab w:val="left" w:pos="2100" w:leader="none"/>
        </w:tabs>
        <w:spacing w:lineRule="auto" w:line="276" w:before="0" w:after="0"/>
        <w:ind w:hanging="2268" w:left="2268" w:right="0"/>
        <w:jc w:val="both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ru-RU" w:bidi="ar-SA"/>
        </w:rPr>
        <w:t>Члены комиссии:  Союстова А.А., заместитель начальника отдела сопровождения договоров департамента земельных отношений администрации города Перми;</w:t>
      </w:r>
    </w:p>
    <w:p>
      <w:pPr>
        <w:pStyle w:val="Normal"/>
        <w:widowControl/>
        <w:tabs>
          <w:tab w:val="clear" w:pos="708"/>
          <w:tab w:val="left" w:pos="2100" w:leader="none"/>
        </w:tabs>
        <w:spacing w:lineRule="auto" w:line="276" w:before="0" w:after="0"/>
        <w:ind w:hanging="0" w:left="2268" w:right="0"/>
        <w:jc w:val="both"/>
        <w:rPr/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ru-RU" w:bidi="ar-SA"/>
        </w:rPr>
        <w:t>Четина Ю.И., заместитель начальника отдела по распоряжению муниципальным имуществом управления по распоряжению муниципальным имуществом департамента имущественных отношений администрации города Перми;</w:t>
      </w:r>
    </w:p>
    <w:p>
      <w:pPr>
        <w:pStyle w:val="Normal"/>
        <w:widowControl/>
        <w:spacing w:lineRule="auto" w:line="276" w:before="0" w:after="0"/>
        <w:ind w:hanging="0" w:left="2160" w:right="0"/>
        <w:jc w:val="both"/>
        <w:rPr>
          <w:rFonts w:ascii="Times New Roman" w:hAnsi="Times New Roman" w:eastAsia="Droid Sans Fallback" w:cs="Lohit Devanagari"/>
          <w:sz w:val="28"/>
          <w:szCs w:val="28"/>
          <w:lang w:val="ru-RU" w:eastAsia="en-US" w:bidi="ar-SA"/>
        </w:rPr>
      </w:pPr>
      <w:r>
        <w:rPr>
          <w:rFonts w:eastAsia="Droid Sans Fallback" w:cs="Lohit Devanagari"/>
          <w:sz w:val="28"/>
          <w:szCs w:val="28"/>
          <w:lang w:val="ru-RU" w:eastAsia="en-US" w:bidi="ar-SA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sz w:val="28"/>
          <w:szCs w:val="28"/>
        </w:rPr>
        <w:t xml:space="preserve">рассмотрев заявки на 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участие в электронных аукционах, назначенных                           на 08.10.2026 (процедур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 xml:space="preserve">а 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№ SBR012-2609230081), р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еш</w:t>
      </w: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  <w:t>ила:</w:t>
      </w:r>
    </w:p>
    <w:p>
      <w:pPr>
        <w:pStyle w:val="Normal"/>
        <w:spacing w:lineRule="auto" w:line="276" w:before="0" w:after="0"/>
        <w:ind w:hanging="0" w:left="0" w:right="0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b/>
          <w:sz w:val="28"/>
          <w:szCs w:val="28"/>
        </w:rPr>
        <w:t xml:space="preserve">Лот № 1 </w:t>
      </w:r>
      <w:r>
        <w:rPr>
          <w:rFonts w:eastAsia="Droid Sans Fallback" w:cs="Lohit Devanagari"/>
          <w:b w:val="false"/>
          <w:bCs w:val="false"/>
          <w:color w:val="auto"/>
          <w:sz w:val="28"/>
          <w:szCs w:val="28"/>
          <w:lang w:val="ru-RU" w:eastAsia="ru-RU" w:bidi="ar-SA"/>
        </w:rPr>
        <w:t>– п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раво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 xml:space="preserve"> заключения договора аренды земельного участка, государственная собственность на который не разграничена, с кадастровым номером 59:01:3810202:3827 площадью 2594 кв. м, расположенного по адресу: Российская Федерация, Пермский край, городской округ Пермский, город Пермь, улица Генерала Черняховского, з/у 53а, для строительства многоквартирного дома. Разрешенное использование земельного участка – среднеэтажная жилая застройка.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По указанному лоту заявки н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е поступали.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 xml:space="preserve">На основании пункта 12 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статьи 39.12 Земельного кодекса Российской Федерации электронный аукцион признан несосто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я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вшимся.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b/>
          <w:sz w:val="28"/>
          <w:szCs w:val="28"/>
        </w:rPr>
        <w:t xml:space="preserve">Лот № 2 </w:t>
      </w:r>
      <w:r>
        <w:rPr>
          <w:rFonts w:eastAsia="Droid Sans Fallback" w:cs="Lohit Devanagari"/>
          <w:b w:val="false"/>
          <w:bCs w:val="false"/>
          <w:color w:val="auto"/>
          <w:sz w:val="28"/>
          <w:szCs w:val="28"/>
          <w:lang w:val="ru-RU" w:eastAsia="ru-RU" w:bidi="ar-SA"/>
        </w:rPr>
        <w:t xml:space="preserve">– 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пр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аво заключения договора аренды земельного участка с кадастровым номером 59:01:3812164:139 площадью 4353 кв. м, расположенного по адресу: Российская Федерация, Пермский край, г.о. Пермский, г. Пермь, ул. 2-я Юрлинская, з/у 4, для строительства объекта капитального строительства согласно виду разрешенного использования земельного участка. Разрешенное использование земельного участка – спорт.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 xml:space="preserve">На основании 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пункта 12 статьи 39.12 Земельного кодекса Российской Федерации электронный аукцион признан несосто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я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вшимся.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>
          <w:rFonts w:eastAsia="Droid Sans Fallback" w:cs="Lohit Devanagari"/>
          <w:color w:val="auto"/>
          <w:sz w:val="28"/>
          <w:szCs w:val="28"/>
          <w:lang w:val="ru-RU" w:eastAsia="ru-RU" w:bidi="ar-SA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</w:rPr>
      </w:pPr>
      <w:r>
        <w:rPr>
          <w:b/>
          <w:sz w:val="28"/>
          <w:szCs w:val="28"/>
        </w:rPr>
        <w:t xml:space="preserve">Лот № 3 </w:t>
      </w:r>
      <w:r>
        <w:rPr>
          <w:rFonts w:eastAsia="Droid Sans Fallback" w:cs="Lohit Devanagari"/>
          <w:b w:val="false"/>
          <w:bCs w:val="false"/>
          <w:color w:val="auto"/>
          <w:sz w:val="28"/>
          <w:szCs w:val="28"/>
          <w:lang w:val="ru-RU" w:eastAsia="ru-RU" w:bidi="ar-SA"/>
        </w:rPr>
        <w:t>– п</w:t>
      </w: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раво заключения договора аренды земельного участка с кадастровым номером 59:01:4211167:208 площадью 1721 кв. м, расположенного по адресу: Российская Федерация, Пермский край, городской округ Пермский, город Пермь, переулок Смирнова, з/у 1, для индивидуального жилищного строительства. Разрешенное использование земельного участка – для индивидуального жилищного строительства.</w:t>
      </w:r>
    </w:p>
    <w:p>
      <w:pPr>
        <w:pStyle w:val="Normal"/>
        <w:spacing w:lineRule="auto" w:line="276" w:before="0" w:after="0"/>
        <w:ind w:firstLine="708"/>
        <w:jc w:val="both"/>
        <w:rPr>
          <w:rFonts w:ascii="Times New Roman" w:hAnsi="Times New Roman" w:eastAsia="Droid Sans Fallback" w:cs="Lohit Devanagari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По указанному лоту заявки не поступали.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Droid Sans Fallback" w:cs="Lohit Devanagari"/>
          <w:color w:val="auto"/>
          <w:sz w:val="28"/>
          <w:szCs w:val="28"/>
          <w:highlight w:val="none"/>
          <w:lang w:val="ru-RU" w:eastAsia="ru-RU" w:bidi="ar-SA"/>
        </w:rPr>
      </w:pPr>
      <w:r>
        <w:rPr>
          <w:rFonts w:eastAsia="Droid Sans Fallback" w:cs="Lohit Devanagari"/>
          <w:color w:val="auto"/>
          <w:kern w:val="0"/>
          <w:sz w:val="28"/>
          <w:szCs w:val="28"/>
          <w:lang w:val="ru-RU" w:eastAsia="ru-RU" w:bidi="ar-SA"/>
        </w:rPr>
        <w:t>На основании пунк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та 12 статьи 39.12 Земельного кодекса Российской Федерации электронный аукцион признан несосто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я</w:t>
      </w:r>
      <w:r>
        <w:rPr>
          <w:rFonts w:eastAsia="Droid Sans Fallback" w:cs="Lohit Devanagari"/>
          <w:b w:val="false"/>
          <w:bCs w:val="false"/>
          <w:i w:val="false"/>
          <w:iCs w:val="false"/>
          <w:caps w:val="false"/>
          <w:smallCaps w:val="false"/>
          <w:color w:val="auto"/>
          <w:kern w:val="0"/>
          <w:sz w:val="28"/>
          <w:szCs w:val="28"/>
          <w:highlight w:val="white"/>
          <w:lang w:val="ru-RU" w:eastAsia="ru-RU" w:bidi="ar-SA"/>
        </w:rPr>
        <w:t>вшимся.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color w:themeColor="text1" w:val="000000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 w:eastAsia="Droid Sans Fallback" w:cs="Lohit Devanagari"/>
          <w:b w:val="false"/>
          <w:bCs w:val="false"/>
          <w:color w:val="auto"/>
          <w:kern w:val="0"/>
          <w:sz w:val="28"/>
          <w:szCs w:val="28"/>
          <w:highlight w:val="white"/>
          <w:lang w:val="ru-RU" w:eastAsia="ru-RU" w:bidi="ar-SA"/>
        </w:rPr>
      </w:pPr>
      <w:r>
        <w:rPr>
          <w:rFonts w:eastAsia="Droid Sans Fallback" w:cs="Lohit Devanagari"/>
          <w:b w:val="false"/>
          <w:bCs w:val="false"/>
          <w:color w:val="auto"/>
          <w:kern w:val="0"/>
          <w:sz w:val="28"/>
          <w:szCs w:val="28"/>
          <w:highlight w:val="white"/>
          <w:lang w:val="ru-RU" w:eastAsia="ru-RU" w:bidi="ar-SA"/>
        </w:rPr>
      </w:r>
    </w:p>
    <w:p>
      <w:pPr>
        <w:pStyle w:val="Normal"/>
        <w:spacing w:lineRule="auto" w:line="480"/>
        <w:jc w:val="both"/>
        <w:rPr/>
      </w:pPr>
      <w:r>
        <w:rPr>
          <w:rFonts w:eastAsia="Droid Sans Fallback" w:cs="Lohit Devanagari"/>
          <w:color w:val="auto"/>
          <w:sz w:val="28"/>
          <w:szCs w:val="28"/>
          <w:highlight w:val="white"/>
          <w:lang w:val="ru-RU" w:eastAsia="en-US" w:bidi="ar-SA"/>
        </w:rPr>
        <w:t>Председатель комиссии                                                                          А.А. Хаткевич</w:t>
      </w:r>
    </w:p>
    <w:p>
      <w:pPr>
        <w:pStyle w:val="Normal"/>
        <w:spacing w:lineRule="auto" w:line="480" w:before="120" w:after="120"/>
        <w:ind w:hanging="5610" w:left="5610"/>
        <w:rPr/>
      </w:pPr>
      <w:r>
        <w:rPr>
          <w:rFonts w:eastAsia="Droid Sans Fallback" w:cs="Lohit Devanagari"/>
          <w:color w:val="auto"/>
          <w:sz w:val="28"/>
          <w:szCs w:val="28"/>
          <w:lang w:val="ru-RU" w:eastAsia="en-US" w:bidi="ar-SA"/>
        </w:rPr>
        <w:t xml:space="preserve">Секретарь комиссии </w:t>
        <w:tab/>
        <w:tab/>
        <w:tab/>
        <w:tab/>
        <w:t xml:space="preserve">              О.И. Павлова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shd w:fill="auto" w:val="clear"/>
          <w:lang w:val="ru-RU" w:eastAsia="en-US" w:bidi="ar-SA"/>
        </w:rPr>
        <w:t xml:space="preserve">Члены комиссии </w:t>
        <w:tab/>
        <w:tab/>
        <w:tab/>
        <w:tab/>
        <w:tab/>
        <w:tab/>
        <w:tab/>
        <w:tab/>
        <w:t xml:space="preserve">              А.А. Союстова</w:t>
      </w:r>
    </w:p>
    <w:p>
      <w:pPr>
        <w:pStyle w:val="Normal"/>
        <w:spacing w:lineRule="auto" w:line="480" w:before="120" w:after="120"/>
        <w:rPr/>
      </w:pP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 xml:space="preserve">                                                                                                                   </w:t>
      </w:r>
      <w:r>
        <w:rPr>
          <w:rFonts w:eastAsia="Droid Sans Fallback" w:cs="Lohit Devanagari"/>
          <w:color w:val="000000"/>
          <w:sz w:val="28"/>
          <w:szCs w:val="28"/>
          <w:highlight w:val="white"/>
          <w:shd w:fill="auto" w:val="clear"/>
          <w:lang w:val="ru-RU" w:eastAsia="en-US" w:bidi="ar-SA"/>
        </w:rPr>
        <w:t>Ю.И. Четина</w:t>
      </w:r>
    </w:p>
    <w:sectPr>
      <w:headerReference w:type="default" r:id="rId2"/>
      <w:footerReference w:type="even" r:id="rId3"/>
      <w:footerReference w:type="default" r:id="rId4"/>
      <w:footerReference w:type="first" r:id="rId5"/>
      <w:type w:val="nextPage"/>
      <w:pgSz w:w="11906" w:h="16838"/>
      <w:pgMar w:left="1418" w:right="567" w:gutter="0" w:header="0" w:top="786" w:footer="709" w:bottom="766"/>
      <w:pgNumType w:start="2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ind w:right="360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-2088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ind w:right="360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0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>
                              <w:rStyle w:val="Style10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Style1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36360" rIns="36360" tIns="-2088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>
                        <w:rStyle w:val="Style10"/>
                        <w:color w:val="000000"/>
                      </w:rPr>
                      <w:fldChar w:fldCharType="begin"/>
                    </w:r>
                    <w:r>
                      <w:rPr>
                        <w:rStyle w:val="Style10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0"/>
                        <w:color w:val="000000"/>
                      </w:rPr>
                      <w:fldChar w:fldCharType="separate"/>
                    </w:r>
                    <w:r>
                      <w:rPr>
                        <w:rStyle w:val="Style10"/>
                        <w:color w:val="000000"/>
                      </w:rPr>
                      <w:t>0</w:t>
                    </w:r>
                    <w:r>
                      <w:rPr>
                        <w:rStyle w:val="Style1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3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489.2pt;margin-top:0.05pt;width:6.7pt;height:19.3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85725" cy="246380"/>
              <wp:effectExtent l="0" t="0" r="0" b="0"/>
              <wp:wrapSquare wrapText="bothSides"/>
              <wp:docPr id="4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5680" cy="246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Style10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36360" rIns="36360" tIns="36360" bIns="3636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489.2pt;margin-top:0.05pt;width:6.7pt;height:19.3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Style10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semiHidden/>
    <w:qFormat/>
    <w:rPr/>
  </w:style>
  <w:style w:type="character" w:styleId="3">
    <w:name w:val="Основной текст с отступом 3 Знак"/>
    <w:qFormat/>
    <w:rPr>
      <w:sz w:val="16"/>
      <w:szCs w:val="16"/>
    </w:rPr>
  </w:style>
  <w:style w:type="character" w:styleId="Style8">
    <w:name w:val="Текст Знак"/>
    <w:qFormat/>
    <w:rPr>
      <w:rFonts w:ascii="Courier New" w:hAnsi="Courier New"/>
    </w:rPr>
  </w:style>
  <w:style w:type="character" w:styleId="Style9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0">
    <w:name w:val="Основной текст с отступом Знак"/>
    <w:qFormat/>
    <w:rPr>
      <w:sz w:val="24"/>
      <w:szCs w:val="24"/>
    </w:rPr>
  </w:style>
  <w:style w:type="character" w:styleId="Style11">
    <w:name w:val="Верхний колонтитул Знак"/>
    <w:qFormat/>
    <w:rPr>
      <w:sz w:val="24"/>
      <w:szCs w:val="24"/>
    </w:rPr>
  </w:style>
  <w:style w:type="character" w:styleId="Style12">
    <w:name w:val="Нижний колонтитул Знак"/>
    <w:qFormat/>
    <w:rPr>
      <w:sz w:val="24"/>
      <w:szCs w:val="24"/>
    </w:rPr>
  </w:style>
  <w:style w:type="character" w:styleId="Style13">
    <w:name w:val="Текст сноски Знак"/>
    <w:basedOn w:val="Style7"/>
    <w:qFormat/>
    <w:rPr/>
  </w:style>
  <w:style w:type="character" w:styleId="Style14">
    <w:name w:val="Знак сноски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link w:val="CaptionChar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7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>
      <w:lang w:val="en-US" w:eastAsia="en-US"/>
    </w:rPr>
  </w:style>
  <w:style w:type="paragraph" w:styleId="Style18">
    <w:name w:val="Текст"/>
    <w:basedOn w:val="Normal"/>
    <w:qFormat/>
    <w:pPr/>
    <w:rPr>
      <w:rFonts w:ascii="Courier New" w:hAnsi="Courier New"/>
      <w:sz w:val="20"/>
      <w:szCs w:val="20"/>
      <w:lang w:val="en-US" w:eastAsia="en-US"/>
    </w:rPr>
  </w:style>
  <w:style w:type="paragraph" w:styleId="Style19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 w:eastAsia="en-US"/>
    </w:rPr>
  </w:style>
  <w:style w:type="paragraph" w:styleId="31">
    <w:name w:val="Основной текст с отступом 3"/>
    <w:basedOn w:val="Normal"/>
    <w:qFormat/>
    <w:pPr>
      <w:spacing w:before="0" w:after="120"/>
      <w:ind w:left="283"/>
    </w:pPr>
    <w:rPr>
      <w:sz w:val="16"/>
      <w:szCs w:val="16"/>
      <w:lang w:val="en-US" w:eastAsia="en-US"/>
    </w:rPr>
  </w:style>
  <w:style w:type="paragraph" w:styleId="Style20">
    <w:name w:val="Текст выноски"/>
    <w:basedOn w:val="Normal"/>
    <w:qFormat/>
    <w:pPr/>
    <w:rPr>
      <w:rFonts w:ascii="Tahoma" w:hAnsi="Tahoma"/>
      <w:sz w:val="16"/>
      <w:szCs w:val="16"/>
      <w:lang w:val="en-US" w:eastAsia="en-US"/>
    </w:rPr>
  </w:style>
  <w:style w:type="paragraph" w:styleId="Style21">
    <w:name w:val="Текст сноски"/>
    <w:basedOn w:val="Normal"/>
    <w:qFormat/>
    <w:pPr/>
    <w:rPr>
      <w:sz w:val="20"/>
      <w:szCs w:val="20"/>
    </w:rPr>
  </w:style>
  <w:style w:type="paragraph" w:styleId="Style22">
    <w:name w:val="Содержимое врезки"/>
    <w:basedOn w:val="Normal"/>
    <w:qFormat/>
    <w:pPr/>
    <w:rPr/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Style25">
    <w:name w:val="Нет списка"/>
    <w:semiHidden/>
    <w:qFormat/>
  </w:style>
  <w:style w:type="numbering" w:styleId="NoList" w:default="1">
    <w:name w:val="No List"/>
    <w:uiPriority w:val="99"/>
    <w:semiHidden/>
    <w:unhideWhenUsed/>
    <w:qFormat/>
  </w:style>
  <w:style w:type="table" w:styleId="852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3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54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55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856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857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58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0"/>
      </w:tcPr>
    </w:tblStylePr>
    <w:tblStylePr w:type="band1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59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66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67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68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69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0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1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2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3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4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5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6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7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8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79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880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881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882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83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84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85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86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87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8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8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9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9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9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9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894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9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89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9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89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9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0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901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908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16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17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918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919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920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921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922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3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4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5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6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7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8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29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0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1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2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3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4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5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936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3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3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3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4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4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4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943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94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94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94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94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94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94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950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95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95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95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95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95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95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957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58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59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60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61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62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63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64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0"/>
      </w:tcPr>
    </w:tblStylePr>
    <w:tblStylePr w:type="band2Vert">
      <w:rPr>
        <w:sz w:val="22"/>
      </w:rPr>
      <w:tblPr/>
      <w:tcPr>
        <w:shd w:val="clear" w:color="FFFFFF" w:fill="F2F2F2" w:themeFill="text1" w:themeFillTint="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965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966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967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968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969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970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971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972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973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974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975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976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977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78">
    <w:name w:val="Normal Table"/>
    <w:uiPriority w:val="99"/>
    <w:semiHidden/>
    <w:unhideWhenUsed/>
  </w:style>
  <w:style w:type="table" w:customStyle="1" w:styleId="979">
    <w:name w:val="block-tbl "/>
    <w:pPr>
      <w:ind w:right="0"/>
      <w:spacing w:before="0" w:after="0" w:line="240" w:lineRule="auto"/>
      <w:jc w:val="left"/>
    </w:pPr>
    <w:rPr>
      <w:lang w:val="en-US" w:eastAsia="en-US" w:bidi="ar-SA"/>
      <w:b w:val="0"/>
      <w:bCs w:val="0"/>
      <w:i w:val="0"/>
      <w:caps w:val="0"/>
      <w:smallCaps w:val="0"/>
      <w:spacing w:val="0"/>
      <w:sz w:val="20"/>
      <w:szCs w:val="20"/>
    </w:rPr>
    <w:tblPr>
      <w:tblStyleRowBandSize w:val="1"/>
      <w:tblStyleColBandSize w:val="1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LibreOffice/7.6.7.2$Linux_X86_64 LibreOffice_project/60$Build-2</Application>
  <AppVersion>15.0000</AppVersion>
  <Pages>2</Pages>
  <Words>404</Words>
  <Characters>3062</Characters>
  <CharactersWithSpaces>3851</CharactersWithSpaces>
  <Paragraphs>26</Paragraphs>
  <Company>Деп. имущественных отношений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2015-07-02T10:18:00Z</dcterms:created>
  <dc:creator>bna</dc:creator>
  <dc:description/>
  <dc:language>ru-RU</dc:language>
  <cp:lastModifiedBy/>
  <dcterms:modified xsi:type="dcterms:W3CDTF">2026-10-07T09:55:06Z</dcterms:modified>
  <cp:revision>1139</cp:revision>
  <dc:subject/>
  <dc:title>Департамент имущественных отношений</dc:title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