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84" w:firstLine="0"/>
        <w:jc w:val="right"/>
        <w:rPr>
          <w:rFonts w:ascii="Tahoma" w:hAnsi="Tahoma" w:eastAsia="Times New Roman" w:cs="Tahoma"/>
          <w:sz w:val="16"/>
          <w:szCs w:val="16"/>
          <w:lang w:eastAsia="ru-RU"/>
        </w:rPr>
        <w:outlineLvl w:val="0"/>
      </w:pPr>
      <w:r/>
      <w:bookmarkStart w:id="0" w:name="Par602"/>
      <w:r/>
      <w:bookmarkEnd w:id="0"/>
      <w:r>
        <w:rPr>
          <w:rFonts w:ascii="Tahoma" w:hAnsi="Tahoma" w:eastAsia="Times New Roman" w:cs="Tahoma"/>
          <w:sz w:val="16"/>
          <w:szCs w:val="16"/>
          <w:lang w:val="en-US" w:eastAsia="ru-RU"/>
        </w:rPr>
        <w:t xml:space="preserve">id</w:t>
      </w:r>
      <w:r>
        <w:rPr>
          <w:rFonts w:ascii="Tahoma" w:hAnsi="Tahoma" w:eastAsia="Times New Roman" w:cs="Tahoma"/>
          <w:sz w:val="16"/>
          <w:szCs w:val="16"/>
          <w:lang w:eastAsia="ru-RU"/>
        </w:rPr>
        <w:t xml:space="preserve">  </w:t>
      </w:r>
      <w:r>
        <w:rPr>
          <w:rFonts w:ascii="Tahoma" w:hAnsi="Tahoma" w:eastAsia="Times New Roman" w:cs="Tahoma"/>
          <w:sz w:val="16"/>
          <w:szCs w:val="16"/>
          <w:lang w:eastAsia="ru-RU"/>
        </w:rPr>
        <w:t xml:space="preserve">79060</w:t>
      </w: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</w:p>
    <w:p>
      <w:pPr>
        <w:ind w:left="284" w:firstLine="0"/>
        <w:jc w:val="right"/>
        <w:rPr>
          <w:rFonts w:ascii="Tahoma" w:hAnsi="Tahoma" w:eastAsia="Times New Roman" w:cs="Tahoma"/>
          <w:sz w:val="16"/>
          <w:szCs w:val="16"/>
          <w:lang w:eastAsia="ru-RU"/>
        </w:rPr>
        <w:outlineLvl w:val="0"/>
      </w:pP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</w:p>
    <w:p>
      <w:pPr>
        <w:ind w:left="284" w:firstLine="0"/>
        <w:jc w:val="right"/>
        <w:rPr>
          <w:rFonts w:ascii="Tahoma" w:hAnsi="Tahoma" w:eastAsia="Times New Roman" w:cs="Tahoma"/>
          <w:sz w:val="16"/>
          <w:szCs w:val="16"/>
          <w:lang w:eastAsia="ru-RU"/>
        </w:rPr>
        <w:outlineLvl w:val="0"/>
      </w:pP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</w:p>
    <w:p>
      <w:pPr>
        <w:ind w:firstLine="0"/>
        <w:jc w:val="center"/>
        <w:widowControl w:val="off"/>
        <w:rPr>
          <w:rFonts w:eastAsia="Times New Roman"/>
          <w:b/>
          <w:sz w:val="24"/>
          <w:szCs w:val="24"/>
          <w:lang w:eastAsia="ru-RU"/>
        </w:rPr>
      </w:pPr>
      <w:r/>
      <w:bookmarkStart w:id="1" w:name="Par612"/>
      <w:r/>
      <w:bookmarkEnd w:id="1"/>
      <w:r>
        <w:rPr>
          <w:rFonts w:eastAsia="Times New Roman"/>
          <w:b/>
          <w:sz w:val="24"/>
          <w:szCs w:val="24"/>
          <w:lang w:eastAsia="ru-RU"/>
        </w:rPr>
        <w:t xml:space="preserve">ДОГОВОР </w:t>
      </w:r>
      <w:r>
        <w:rPr>
          <w:rFonts w:eastAsia="Times New Roman"/>
          <w:b/>
          <w:sz w:val="24"/>
          <w:szCs w:val="24"/>
          <w:lang w:eastAsia="ru-RU"/>
        </w:rPr>
        <w:t xml:space="preserve">№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u w:val="single"/>
          <w:lang w:eastAsia="ru-RU"/>
        </w:rPr>
        <w:t xml:space="preserve">______</w:t>
      </w:r>
      <w:r>
        <w:rPr>
          <w:rFonts w:eastAsia="Times New Roman"/>
          <w:b/>
          <w:sz w:val="24"/>
          <w:szCs w:val="24"/>
          <w:lang w:eastAsia="ru-RU"/>
        </w:rPr>
        <w:tab/>
      </w:r>
      <w:r>
        <w:rPr>
          <w:rFonts w:eastAsia="Times New Roman"/>
          <w:b/>
          <w:sz w:val="24"/>
          <w:szCs w:val="24"/>
          <w:lang w:eastAsia="ru-RU"/>
        </w:rPr>
      </w:r>
      <w:r>
        <w:rPr>
          <w:rFonts w:eastAsia="Times New Roman"/>
          <w:b/>
          <w:sz w:val="24"/>
          <w:szCs w:val="24"/>
          <w:lang w:eastAsia="ru-RU"/>
        </w:rPr>
      </w:r>
    </w:p>
    <w:p>
      <w:pPr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купли-продажи земельного участка</w:t>
      </w:r>
      <w:r>
        <w:rPr>
          <w:rFonts w:eastAsia="Times New Roman"/>
          <w:b/>
          <w:sz w:val="24"/>
          <w:szCs w:val="24"/>
          <w:lang w:eastAsia="ru-RU"/>
        </w:rPr>
        <w:t xml:space="preserve">, приобретаемого </w:t>
      </w:r>
      <w:r>
        <w:rPr>
          <w:rFonts w:eastAsia="Times New Roman"/>
          <w:b/>
          <w:sz w:val="24"/>
          <w:szCs w:val="24"/>
          <w:lang w:eastAsia="ru-RU"/>
        </w:rPr>
        <w:br/>
      </w:r>
      <w:r>
        <w:rPr>
          <w:rFonts w:eastAsia="Times New Roman"/>
          <w:b/>
          <w:sz w:val="24"/>
          <w:szCs w:val="24"/>
          <w:lang w:eastAsia="ru-RU"/>
        </w:rPr>
        <w:t xml:space="preserve">на торгах в форме аукциона</w:t>
      </w:r>
      <w:r>
        <w:rPr>
          <w:rFonts w:eastAsia="Times New Roman"/>
          <w:b/>
          <w:sz w:val="24"/>
          <w:szCs w:val="24"/>
          <w:lang w:eastAsia="ru-RU"/>
        </w:rPr>
      </w:r>
      <w:r>
        <w:rPr>
          <w:rFonts w:eastAsia="Times New Roman"/>
          <w:b/>
          <w:sz w:val="24"/>
          <w:szCs w:val="24"/>
          <w:lang w:eastAsia="ru-RU"/>
        </w:rPr>
      </w:r>
    </w:p>
    <w:p>
      <w:r/>
      <w:r/>
    </w:p>
    <w:p>
      <w:r/>
      <w:r/>
    </w:p>
    <w:p>
      <w:pPr>
        <w:ind w:firstLine="567"/>
        <w:jc w:val="left"/>
        <w:tabs>
          <w:tab w:val="left" w:pos="9214" w:leader="none"/>
          <w:tab w:val="left" w:pos="10065" w:leader="none"/>
        </w:tabs>
        <w:rPr>
          <w:rFonts w:eastAsia="Times New Roman"/>
          <w:bCs/>
          <w:sz w:val="24"/>
          <w:szCs w:val="24"/>
          <w:u w:val="single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г. Пермь                                                                      </w:t>
      </w:r>
      <w:r>
        <w:rPr>
          <w:rFonts w:eastAsia="Times New Roman"/>
          <w:bCs/>
          <w:sz w:val="24"/>
          <w:szCs w:val="24"/>
          <w:lang w:eastAsia="ru-RU"/>
        </w:rPr>
        <w:t xml:space="preserve">           </w:t>
      </w:r>
      <w:r>
        <w:rPr>
          <w:rFonts w:eastAsia="Times New Roman"/>
          <w:bCs/>
          <w:sz w:val="24"/>
          <w:szCs w:val="24"/>
          <w:lang w:eastAsia="ru-RU"/>
        </w:rPr>
        <w:t xml:space="preserve">             «    » __________ 202</w:t>
      </w:r>
      <w:r>
        <w:rPr>
          <w:rFonts w:eastAsia="Times New Roman"/>
          <w:bCs/>
          <w:sz w:val="24"/>
          <w:szCs w:val="24"/>
          <w:lang w:eastAsia="ru-RU"/>
        </w:rPr>
        <w:t xml:space="preserve">6 г.</w:t>
      </w:r>
      <w:r>
        <w:rPr>
          <w:rFonts w:eastAsia="Times New Roman"/>
          <w:bCs/>
          <w:sz w:val="24"/>
          <w:szCs w:val="24"/>
          <w:u w:val="single"/>
          <w:lang w:eastAsia="ru-RU"/>
        </w:rPr>
      </w:r>
      <w:r>
        <w:rPr>
          <w:rFonts w:eastAsia="Times New Roman"/>
          <w:bCs/>
          <w:sz w:val="24"/>
          <w:szCs w:val="24"/>
          <w:u w:val="single"/>
          <w:lang w:eastAsia="ru-RU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Департамент земельных отношений администрации города Перми, именуемый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в дальнейшем Продавец, в лице _____________________, действующего на основании ______________________________, с одной стороны, и ___________________, именуемы</w:t>
      </w:r>
      <w:r>
        <w:rPr>
          <w:sz w:val="24"/>
          <w:szCs w:val="24"/>
        </w:rPr>
        <w:t xml:space="preserve">й(</w:t>
      </w:r>
      <w:r>
        <w:rPr>
          <w:sz w:val="24"/>
          <w:szCs w:val="24"/>
        </w:rPr>
        <w:t xml:space="preserve">ая</w:t>
      </w:r>
      <w:r>
        <w:rPr>
          <w:sz w:val="24"/>
          <w:szCs w:val="24"/>
        </w:rPr>
        <w:t xml:space="preserve">) в дальнейшем Покупатель, в лице ________________, действующего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на основании __________________, протокола ___________________ от _________ по лоту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 (далее - протокол), с другой стороны, совместно именуемые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Стороны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, заключили настоящий договор о следующем.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</w:t>
      </w:r>
      <w:r>
        <w:rPr>
          <w:b/>
          <w:sz w:val="24"/>
          <w:szCs w:val="24"/>
        </w:rPr>
        <w:t xml:space="preserve">. Предмет договора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1.1. Во исполнение протокола Продавец обязуется передать в собственность Покупателю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земельный участок площадью </w:t>
      </w:r>
      <w:r>
        <w:rPr>
          <w:b/>
          <w:sz w:val="24"/>
          <w:szCs w:val="24"/>
        </w:rPr>
        <w:t xml:space="preserve">750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кв</w:t>
      </w:r>
      <w:r>
        <w:rPr>
          <w:b/>
          <w:sz w:val="24"/>
          <w:szCs w:val="24"/>
        </w:rPr>
        <w:t xml:space="preserve">.м</w:t>
      </w:r>
      <w:r>
        <w:rPr>
          <w:sz w:val="24"/>
          <w:szCs w:val="24"/>
        </w:rPr>
        <w:t xml:space="preserve"> с кадастровым номером </w:t>
      </w:r>
      <w:r>
        <w:rPr>
          <w:b/>
          <w:sz w:val="24"/>
          <w:szCs w:val="24"/>
        </w:rPr>
        <w:t xml:space="preserve">59:01:2512464:185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 счет земель населенных пунктов, расположенный по адресу: </w:t>
      </w:r>
      <w:r>
        <w:rPr>
          <w:b/>
          <w:bCs/>
          <w:sz w:val="24"/>
          <w:szCs w:val="24"/>
        </w:rPr>
        <w:t xml:space="preserve">Российская Федерация, Пермский край, г.о. Пермский, г. Пермь, ул. Мачтовая, з/у 29б</w:t>
      </w:r>
      <w:r>
        <w:rPr>
          <w:b/>
          <w:sz w:val="24"/>
          <w:szCs w:val="24"/>
        </w:rPr>
        <w:t xml:space="preserve"> (далее - земельный участок),</w:t>
      </w:r>
      <w:r>
        <w:rPr>
          <w:sz w:val="24"/>
          <w:szCs w:val="24"/>
        </w:rPr>
        <w:t xml:space="preserve"> предназначенный </w:t>
      </w:r>
      <w:r>
        <w:rPr>
          <w:b/>
          <w:sz w:val="24"/>
          <w:szCs w:val="24"/>
        </w:rPr>
        <w:t xml:space="preserve">для индивидуального жилищного строительства</w:t>
      </w:r>
      <w:r>
        <w:rPr>
          <w:sz w:val="24"/>
          <w:szCs w:val="24"/>
        </w:rPr>
        <w:t xml:space="preserve">, а Покупатель обязуется принять и оплатить указанное имущество.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В границах земельного участка расположена сеть электрического снабжения, сведения о которой отсутствуют в Едином государственном реестре недвижимости.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firstLine="720"/>
        <w:rPr>
          <w:sz w:val="24"/>
          <w:szCs w:val="24"/>
        </w:rPr>
      </w:pPr>
      <w:r/>
      <w:bookmarkStart w:id="2" w:name="_GoBack"/>
      <w:r/>
      <w:bookmarkEnd w:id="2"/>
      <w:r>
        <w:rPr>
          <w:sz w:val="24"/>
          <w:szCs w:val="24"/>
        </w:rPr>
        <w:t xml:space="preserve">1.2. Р</w:t>
      </w:r>
      <w:r>
        <w:rPr>
          <w:sz w:val="24"/>
          <w:szCs w:val="24"/>
        </w:rPr>
        <w:t xml:space="preserve">азрешенно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использовани</w:t>
      </w:r>
      <w:r>
        <w:rPr>
          <w:sz w:val="24"/>
          <w:szCs w:val="24"/>
        </w:rPr>
        <w:t xml:space="preserve">е - </w:t>
      </w:r>
      <w:r>
        <w:rPr>
          <w:rFonts w:eastAsia="Times New Roman"/>
          <w:b/>
          <w:sz w:val="24"/>
          <w:szCs w:val="24"/>
          <w:lang w:eastAsia="ru-RU"/>
        </w:rPr>
        <w:t xml:space="preserve">для индивидуального жилищного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 xml:space="preserve">с</w:t>
      </w:r>
      <w:r>
        <w:rPr>
          <w:rFonts w:eastAsia="Times New Roman"/>
          <w:b/>
          <w:sz w:val="24"/>
          <w:szCs w:val="24"/>
          <w:lang w:eastAsia="ru-RU"/>
        </w:rPr>
        <w:t xml:space="preserve">троительства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 xml:space="preserve">(2.1)</w:t>
      </w:r>
      <w:r>
        <w:rPr>
          <w:b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II</w:t>
      </w:r>
      <w:r>
        <w:rPr>
          <w:b/>
          <w:sz w:val="24"/>
          <w:szCs w:val="24"/>
        </w:rPr>
        <w:t xml:space="preserve">. Стоимость сделки и порядок оп</w:t>
      </w:r>
      <w:r>
        <w:rPr>
          <w:b/>
          <w:sz w:val="24"/>
          <w:szCs w:val="24"/>
        </w:rPr>
        <w:t xml:space="preserve">латы</w:t>
      </w:r>
      <w:bookmarkStart w:id="3" w:name="Par635"/>
      <w:r/>
      <w:bookmarkEnd w:id="3"/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2.1. Цена земельного участка составляет </w:t>
      </w:r>
      <w:bookmarkStart w:id="4" w:name="Par637"/>
      <w:r/>
      <w:bookmarkEnd w:id="4"/>
      <w:r>
        <w:rPr>
          <w:b/>
          <w:sz w:val="24"/>
          <w:szCs w:val="24"/>
        </w:rPr>
        <w:t xml:space="preserve">___________________</w:t>
      </w:r>
      <w:r>
        <w:rPr>
          <w:b/>
          <w:sz w:val="24"/>
          <w:szCs w:val="24"/>
        </w:rPr>
        <w:t xml:space="preserve">  рублей </w:t>
      </w:r>
      <w:r>
        <w:rPr>
          <w:b/>
          <w:sz w:val="24"/>
          <w:szCs w:val="24"/>
        </w:rPr>
        <w:t xml:space="preserve">(</w:t>
      </w:r>
      <w:r>
        <w:rPr>
          <w:b/>
          <w:sz w:val="24"/>
          <w:szCs w:val="24"/>
        </w:rPr>
        <w:t xml:space="preserve">________________________________________________________________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рублей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___</w:t>
      </w:r>
      <w:r>
        <w:rPr>
          <w:b/>
          <w:sz w:val="24"/>
          <w:szCs w:val="24"/>
        </w:rPr>
        <w:t xml:space="preserve"> копеек).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2.2. Покупатель перечисляет денежные средства, определенные в пункте 2.1 настоящего договора, в порядке, установленном разделом </w:t>
      </w:r>
      <w:r>
        <w:rPr>
          <w:sz w:val="24"/>
          <w:szCs w:val="24"/>
        </w:rPr>
        <w:t xml:space="preserve">4</w:t>
      </w:r>
      <w:r>
        <w:rPr>
          <w:sz w:val="24"/>
          <w:szCs w:val="24"/>
        </w:rPr>
        <w:t xml:space="preserve">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2.3. Сумма задатка, внесенная Покупателем для участия в аукционе, засчитывается </w:t>
      </w:r>
      <w:r>
        <w:rPr>
          <w:sz w:val="24"/>
          <w:szCs w:val="24"/>
        </w:rPr>
        <w:br/>
        <w:t xml:space="preserve">в оплату приобретаемого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III</w:t>
      </w:r>
      <w:r>
        <w:rPr>
          <w:b/>
          <w:sz w:val="24"/>
          <w:szCs w:val="24"/>
        </w:rPr>
        <w:t xml:space="preserve">. Обязанности сторон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3.1. Продавец обязуется передать земельный участок свободным от любых прав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и претензий третьих лиц, о которых в момент заключения договора Продавец знал или должен был знать, по акту приема-передачи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 Покупатель обязуется: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>
        <w:rPr>
          <w:sz w:val="24"/>
          <w:szCs w:val="24"/>
        </w:rPr>
        <w:t xml:space="preserve">оплатить стоимость земельного</w:t>
      </w:r>
      <w:r>
        <w:rPr>
          <w:sz w:val="24"/>
          <w:szCs w:val="24"/>
        </w:rPr>
        <w:t xml:space="preserve"> участка в соответствии с требованиями, содержащимися в разделе 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 настоящего договора;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3.2.2. принять земельный участок в собственность по акту приема-передачи;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3.2.3. производить мероприятия в целях охраны земельного участка, в том числе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по сохранению почв и их плодородия, по защите земель от негативных (вредных) воздействий, результате которых происходит загрязнение, истощение, деградация, порча, уничтожение земельного участка и почв, по ликвидации загрязнения земельного участка;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3.2.4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облюдать требования, предусмотренные Земельным кодексом Российской Федерации, федеральными законами.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IV</w:t>
      </w:r>
      <w:r>
        <w:rPr>
          <w:b/>
          <w:sz w:val="24"/>
          <w:szCs w:val="24"/>
        </w:rPr>
        <w:t xml:space="preserve">. П</w:t>
      </w:r>
      <w:r>
        <w:rPr>
          <w:b/>
          <w:sz w:val="24"/>
          <w:szCs w:val="24"/>
        </w:rPr>
        <w:t xml:space="preserve">орядок заключения договора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4.1. Покупатель в течение 15 дней со дня размещения протокола перечисляет денежные средства, определенные в пункте 2.1 настоя</w:t>
      </w:r>
      <w:r>
        <w:rPr>
          <w:sz w:val="24"/>
          <w:szCs w:val="24"/>
        </w:rPr>
        <w:t xml:space="preserve">щего договора, на счет Продавца.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Реквизиты платежа: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Получатель: УФК по Пермскому краю (Департамент земельных отношений администрации г. Перми),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ИНН 5902293379 КПП 590201001 БИК 015773997 ОКТМО: 57701000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УФК по Пермскому краю (Департамент земельных отношений администрации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г. Перми) ОТДЕЛЕНИЕ ПЕРМЬ БАНКА РОССИИ//УФК по Пермскому краю г. Пермь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Номер корреспондентского счета: 40102810145370000048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Номер счета УФК по Пермскому краю: 03100643000000015600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КБК 99211406012040000430 Доходы от продажи земельных участков, государственная собственность на которые не разграничена и которые расположены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в границах городских округов.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4.2. Продавец в течение 5 дней со дня истечения 10-дневного срока со дня размещения протокола направляет Покупателю подписанный проект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4.3. После подписания Покупателем проекта договора Продавец в течение 5 дней направляет Покупателю подписанный акт приема-передачи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4.4. В случае отсутствия оплаты в размере, предусмотренном пунктом 2.1 настоящего договора, акт приема-передачи земельного участка не направляется Покупателю для подписания, договор считается незаключенным.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В случае нарушения срока, установленного в пункте 4.1 настоящего договора, Покупатель уплачивает Продавцу неустойку в размере 0,03 % от суммы, указанной в пункте 2.1 настоящего договора, за каждый день просрочки.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4.5. Продавец в течение 5 рабочих дней с момента подписания акта приема-передачи земельного участка направляет договор в установленном законом порядке для осуществления государственной регистрации права.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V</w:t>
      </w:r>
      <w:r>
        <w:rPr>
          <w:b/>
          <w:sz w:val="24"/>
          <w:szCs w:val="24"/>
        </w:rPr>
        <w:t xml:space="preserve">. Срок действия договора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считается заключенным с момента подписания Сторонами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и действует до полного выполнения Сторонами своих обязательств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/>
      <w:bookmarkStart w:id="5" w:name="Par683"/>
      <w:r/>
      <w:bookmarkEnd w:id="5"/>
      <w:r>
        <w:rPr>
          <w:b/>
          <w:sz w:val="24"/>
          <w:szCs w:val="24"/>
          <w:lang w:val="en-US"/>
        </w:rPr>
        <w:t xml:space="preserve">VI</w:t>
      </w:r>
      <w:r>
        <w:rPr>
          <w:b/>
          <w:sz w:val="24"/>
          <w:szCs w:val="24"/>
        </w:rPr>
        <w:t xml:space="preserve">. Ответственность сторон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Стороны несут ответственность за ненадлежащее выполнение условий договора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в соответствии с действующим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/>
      <w:bookmarkStart w:id="6" w:name="Par694"/>
      <w:r/>
      <w:bookmarkStart w:id="7" w:name="Par699"/>
      <w:r/>
      <w:bookmarkEnd w:id="6"/>
      <w:r/>
      <w:bookmarkEnd w:id="7"/>
      <w:r>
        <w:rPr>
          <w:b/>
          <w:sz w:val="24"/>
          <w:szCs w:val="24"/>
          <w:lang w:val="en-US"/>
        </w:rPr>
        <w:t xml:space="preserve">VII</w:t>
      </w:r>
      <w:r>
        <w:rPr>
          <w:b/>
          <w:sz w:val="24"/>
          <w:szCs w:val="24"/>
        </w:rPr>
        <w:t xml:space="preserve">. Заключ</w:t>
      </w:r>
      <w:r>
        <w:rPr>
          <w:b/>
          <w:sz w:val="24"/>
          <w:szCs w:val="24"/>
        </w:rPr>
        <w:t xml:space="preserve">ительные положения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7.1. Спор, возникающий из настоящего договора или в связи с ним, подлежит рассмотрению в Арбитражном суде Пермского края или в суде общей юрисдикции, расположенном на территории города Перми.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Стороны извещаются о рассмотрении дела любым способом, в том числе посредством отправки электронных сообщений, смс-сообщений, по реквизитам сторон, указанным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в настоящем договоре.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7.2. Споры по настоящему договору могут быть переданы на разрешение суда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по истечении 15 календарных дней со дня направления претензии (требования).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7.3. Все уведомления и сообщения направляются сторонами в письменной форме,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а также в электронной форме по телекоммуникационным каналам связи.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7.4. Во всем остальном, что не предусмотрено настоящим договором, стороны руководствуются действующим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7.5. Настоящий договор заключается в электронной форме и подписывается усиленной квалифицированной электронной подписью каждой из Сторон.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Стороны признают настоящий договор, подписанный с использованием усиленной квалифицированной электронной подписи, электронным документом, равнозначным документу на бумажном носителе, подписанным собственноручной подписью Сторон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по 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Неотъемлемой частью настоящего договора являются: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акт приема-передачи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Оплата за земельный участок в сумме, указанной в </w:t>
      </w:r>
      <w:r>
        <w:rPr>
          <w:sz w:val="24"/>
          <w:szCs w:val="24"/>
        </w:rPr>
        <w:t xml:space="preserve">пункте 2.1 настоящего договора,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произведена полностью. Реквизиты документ</w:t>
      </w:r>
      <w:r>
        <w:rPr>
          <w:sz w:val="24"/>
          <w:szCs w:val="24"/>
        </w:rPr>
        <w:t xml:space="preserve">а(</w:t>
      </w:r>
      <w:r>
        <w:rPr>
          <w:sz w:val="24"/>
          <w:szCs w:val="24"/>
        </w:rPr>
        <w:t xml:space="preserve">ов</w:t>
      </w:r>
      <w:r>
        <w:rPr>
          <w:sz w:val="24"/>
          <w:szCs w:val="24"/>
        </w:rPr>
        <w:t xml:space="preserve">), подтверждающего(их)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перечисление денежных сре</w:t>
      </w:r>
      <w:r>
        <w:rPr>
          <w:sz w:val="24"/>
          <w:szCs w:val="24"/>
        </w:rPr>
        <w:t xml:space="preserve">дств 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р</w:t>
      </w:r>
      <w:r>
        <w:rPr>
          <w:sz w:val="24"/>
          <w:szCs w:val="24"/>
        </w:rPr>
        <w:t xml:space="preserve">одавцу___________</w:t>
      </w:r>
      <w:r>
        <w:rPr>
          <w:sz w:val="24"/>
          <w:szCs w:val="24"/>
        </w:rPr>
        <w:t xml:space="preserve">_________________</w:t>
      </w:r>
      <w:r>
        <w:rPr>
          <w:sz w:val="24"/>
          <w:szCs w:val="24"/>
        </w:rPr>
        <w:t xml:space="preserve">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</w:t>
      </w:r>
      <w:r>
        <w:rPr>
          <w:sz w:val="24"/>
          <w:szCs w:val="24"/>
        </w:rPr>
        <w:t xml:space="preserve">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(наименование, дата, номер)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center"/>
        <w:spacing w:line="264" w:lineRule="auto"/>
        <w:rPr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center"/>
        <w:spacing w:line="264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VIII. Адреса, реквизиты и подписи сторон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</w:rPr>
      </w:r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456"/>
        <w:gridCol w:w="5102"/>
      </w:tblGrid>
      <w:tr>
        <w:tblPrEx/>
        <w:trPr>
          <w:trHeight w:val="24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8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tabs>
                <w:tab w:val="left" w:pos="1943" w:leader="none"/>
                <w:tab w:val="center" w:pos="475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Продавец: </w:t>
            </w:r>
            <w:r>
              <w:rPr>
                <w:sz w:val="24"/>
                <w:szCs w:val="24"/>
              </w:rPr>
              <w:tab/>
              <w:t xml:space="preserve">                                         Покупатель: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56" w:type="dxa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Департамент земельных отношений администрации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2" w:type="dxa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456" w:type="dxa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614000, г. Пермь, ул. Сибирская, 15,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тел. 8(342)212-30-71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Адрес регистрации: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адрес фактического проживания: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паспорт гражданина РФ: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выдан: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дата выдачи: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электронная почта: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тел. 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ИНН 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СНИЛС 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1827"/>
        <w:jc w:val="both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181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510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4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Продавец:</w:t>
              <w:br/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10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Покупатель: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____________________________</w:t>
            </w:r>
            <w:r>
              <w:rPr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182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426" w:right="1134" w:bottom="709" w:left="1134" w:header="709" w:footer="28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</w:endnote>
  <w:endnote w:type="continuationSeparator" w:id="0">
    <w:p>
      <w:r>
        <w:continuationSeparator/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</w:footnote>
  <w:footnote w:type="continuationSeparator" w:id="0">
    <w:p>
      <w:r>
        <w:continuationSeparator/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895230433"/>
      <w:docPartObj>
        <w:docPartGallery w:val="Page Numbers (Top of Page)"/>
        <w:docPartUnique w:val="true"/>
      </w:docPartObj>
      <w:rPr/>
    </w:sdtPr>
    <w:sdtContent>
      <w:p>
        <w:pPr>
          <w:pStyle w:val="180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09"/>
    </w:pPr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634">
    <w:name w:val="Heading 1"/>
    <w:basedOn w:val="1804"/>
    <w:next w:val="1804"/>
    <w:link w:val="1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635">
    <w:name w:val="Heading 1 Char"/>
    <w:basedOn w:val="1806"/>
    <w:link w:val="1634"/>
    <w:uiPriority w:val="9"/>
    <w:rPr>
      <w:rFonts w:ascii="Arial" w:hAnsi="Arial" w:eastAsia="Arial" w:cs="Arial"/>
      <w:sz w:val="40"/>
      <w:szCs w:val="40"/>
    </w:rPr>
  </w:style>
  <w:style w:type="paragraph" w:styleId="1636">
    <w:name w:val="Heading 2"/>
    <w:basedOn w:val="1804"/>
    <w:next w:val="1804"/>
    <w:link w:val="1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37">
    <w:name w:val="Heading 2 Char"/>
    <w:basedOn w:val="1806"/>
    <w:link w:val="1636"/>
    <w:uiPriority w:val="9"/>
    <w:rPr>
      <w:rFonts w:ascii="Arial" w:hAnsi="Arial" w:eastAsia="Arial" w:cs="Arial"/>
      <w:sz w:val="34"/>
    </w:rPr>
  </w:style>
  <w:style w:type="character" w:styleId="1638">
    <w:name w:val="Heading 3 Char"/>
    <w:basedOn w:val="1806"/>
    <w:link w:val="1805"/>
    <w:uiPriority w:val="9"/>
    <w:rPr>
      <w:rFonts w:ascii="Arial" w:hAnsi="Arial" w:eastAsia="Arial" w:cs="Arial"/>
      <w:sz w:val="30"/>
      <w:szCs w:val="30"/>
    </w:rPr>
  </w:style>
  <w:style w:type="paragraph" w:styleId="1639">
    <w:name w:val="Heading 4"/>
    <w:basedOn w:val="1804"/>
    <w:next w:val="1804"/>
    <w:link w:val="164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640">
    <w:name w:val="Heading 4 Char"/>
    <w:basedOn w:val="1806"/>
    <w:link w:val="1639"/>
    <w:uiPriority w:val="9"/>
    <w:rPr>
      <w:rFonts w:ascii="Arial" w:hAnsi="Arial" w:eastAsia="Arial" w:cs="Arial"/>
      <w:b/>
      <w:bCs/>
      <w:sz w:val="26"/>
      <w:szCs w:val="26"/>
    </w:rPr>
  </w:style>
  <w:style w:type="paragraph" w:styleId="1641">
    <w:name w:val="Heading 5"/>
    <w:basedOn w:val="1804"/>
    <w:next w:val="1804"/>
    <w:link w:val="164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642">
    <w:name w:val="Heading 5 Char"/>
    <w:basedOn w:val="1806"/>
    <w:link w:val="1641"/>
    <w:uiPriority w:val="9"/>
    <w:rPr>
      <w:rFonts w:ascii="Arial" w:hAnsi="Arial" w:eastAsia="Arial" w:cs="Arial"/>
      <w:b/>
      <w:bCs/>
      <w:sz w:val="24"/>
      <w:szCs w:val="24"/>
    </w:rPr>
  </w:style>
  <w:style w:type="paragraph" w:styleId="1643">
    <w:name w:val="Heading 6"/>
    <w:basedOn w:val="1804"/>
    <w:next w:val="1804"/>
    <w:link w:val="16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1644">
    <w:name w:val="Heading 6 Char"/>
    <w:basedOn w:val="1806"/>
    <w:link w:val="1643"/>
    <w:uiPriority w:val="9"/>
    <w:rPr>
      <w:rFonts w:ascii="Arial" w:hAnsi="Arial" w:eastAsia="Arial" w:cs="Arial"/>
      <w:b/>
      <w:bCs/>
      <w:sz w:val="22"/>
      <w:szCs w:val="22"/>
    </w:rPr>
  </w:style>
  <w:style w:type="paragraph" w:styleId="1645">
    <w:name w:val="Heading 7"/>
    <w:basedOn w:val="1804"/>
    <w:next w:val="1804"/>
    <w:link w:val="16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646">
    <w:name w:val="Heading 7 Char"/>
    <w:basedOn w:val="1806"/>
    <w:link w:val="16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1647">
    <w:name w:val="Heading 8"/>
    <w:basedOn w:val="1804"/>
    <w:next w:val="1804"/>
    <w:link w:val="16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1648">
    <w:name w:val="Heading 8 Char"/>
    <w:basedOn w:val="1806"/>
    <w:link w:val="1647"/>
    <w:uiPriority w:val="9"/>
    <w:rPr>
      <w:rFonts w:ascii="Arial" w:hAnsi="Arial" w:eastAsia="Arial" w:cs="Arial"/>
      <w:i/>
      <w:iCs/>
      <w:sz w:val="22"/>
      <w:szCs w:val="22"/>
    </w:rPr>
  </w:style>
  <w:style w:type="paragraph" w:styleId="1649">
    <w:name w:val="Heading 9"/>
    <w:basedOn w:val="1804"/>
    <w:next w:val="1804"/>
    <w:link w:val="16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650">
    <w:name w:val="Heading 9 Char"/>
    <w:basedOn w:val="1806"/>
    <w:link w:val="1649"/>
    <w:uiPriority w:val="9"/>
    <w:rPr>
      <w:rFonts w:ascii="Arial" w:hAnsi="Arial" w:eastAsia="Arial" w:cs="Arial"/>
      <w:i/>
      <w:iCs/>
      <w:sz w:val="21"/>
      <w:szCs w:val="21"/>
    </w:rPr>
  </w:style>
  <w:style w:type="paragraph" w:styleId="1651">
    <w:name w:val="No Spacing"/>
    <w:uiPriority w:val="1"/>
    <w:qFormat/>
    <w:pPr>
      <w:spacing w:before="0" w:after="0" w:line="240" w:lineRule="auto"/>
    </w:pPr>
  </w:style>
  <w:style w:type="paragraph" w:styleId="1652">
    <w:name w:val="Title"/>
    <w:basedOn w:val="1804"/>
    <w:next w:val="1804"/>
    <w:link w:val="16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653">
    <w:name w:val="Title Char"/>
    <w:basedOn w:val="1806"/>
    <w:link w:val="1652"/>
    <w:uiPriority w:val="10"/>
    <w:rPr>
      <w:sz w:val="48"/>
      <w:szCs w:val="48"/>
    </w:rPr>
  </w:style>
  <w:style w:type="paragraph" w:styleId="1654">
    <w:name w:val="Subtitle"/>
    <w:basedOn w:val="1804"/>
    <w:next w:val="1804"/>
    <w:link w:val="1655"/>
    <w:uiPriority w:val="11"/>
    <w:qFormat/>
    <w:pPr>
      <w:spacing w:before="200" w:after="200"/>
    </w:pPr>
    <w:rPr>
      <w:sz w:val="24"/>
      <w:szCs w:val="24"/>
    </w:rPr>
  </w:style>
  <w:style w:type="character" w:styleId="1655">
    <w:name w:val="Subtitle Char"/>
    <w:basedOn w:val="1806"/>
    <w:link w:val="1654"/>
    <w:uiPriority w:val="11"/>
    <w:rPr>
      <w:sz w:val="24"/>
      <w:szCs w:val="24"/>
    </w:rPr>
  </w:style>
  <w:style w:type="paragraph" w:styleId="1656">
    <w:name w:val="Quote"/>
    <w:basedOn w:val="1804"/>
    <w:next w:val="1804"/>
    <w:link w:val="1657"/>
    <w:uiPriority w:val="29"/>
    <w:qFormat/>
    <w:pPr>
      <w:ind w:left="720" w:right="720"/>
    </w:pPr>
    <w:rPr>
      <w:i/>
    </w:rPr>
  </w:style>
  <w:style w:type="character" w:styleId="1657">
    <w:name w:val="Quote Char"/>
    <w:link w:val="1656"/>
    <w:uiPriority w:val="29"/>
    <w:rPr>
      <w:i/>
    </w:rPr>
  </w:style>
  <w:style w:type="paragraph" w:styleId="1658">
    <w:name w:val="Intense Quote"/>
    <w:basedOn w:val="1804"/>
    <w:next w:val="1804"/>
    <w:link w:val="165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659">
    <w:name w:val="Intense Quote Char"/>
    <w:link w:val="1658"/>
    <w:uiPriority w:val="30"/>
    <w:rPr>
      <w:i/>
    </w:rPr>
  </w:style>
  <w:style w:type="character" w:styleId="1660">
    <w:name w:val="Header Char"/>
    <w:basedOn w:val="1806"/>
    <w:link w:val="1809"/>
    <w:uiPriority w:val="99"/>
  </w:style>
  <w:style w:type="character" w:styleId="1661">
    <w:name w:val="Footer Char"/>
    <w:basedOn w:val="1806"/>
    <w:link w:val="1811"/>
    <w:uiPriority w:val="99"/>
  </w:style>
  <w:style w:type="character" w:styleId="1662">
    <w:name w:val="Caption Char"/>
    <w:basedOn w:val="1825"/>
    <w:link w:val="1811"/>
    <w:uiPriority w:val="99"/>
  </w:style>
  <w:style w:type="table" w:styleId="1663">
    <w:name w:val="Table Grid Light"/>
    <w:basedOn w:val="18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64">
    <w:name w:val="Plain Table 1"/>
    <w:basedOn w:val="18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65">
    <w:name w:val="Plain Table 2"/>
    <w:basedOn w:val="18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66">
    <w:name w:val="Plain Table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667">
    <w:name w:val="Plain Table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68">
    <w:name w:val="Plain Table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669">
    <w:name w:val="Grid Table 1 Light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0">
    <w:name w:val="Grid Table 1 Light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1">
    <w:name w:val="Grid Table 1 Light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2">
    <w:name w:val="Grid Table 1 Light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3">
    <w:name w:val="Grid Table 1 Light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4">
    <w:name w:val="Grid Table 1 Light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5">
    <w:name w:val="Grid Table 1 Light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76">
    <w:name w:val="Grid Table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7">
    <w:name w:val="Grid Table 2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8">
    <w:name w:val="Grid Table 2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79">
    <w:name w:val="Grid Table 2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0">
    <w:name w:val="Grid Table 2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1">
    <w:name w:val="Grid Table 2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2">
    <w:name w:val="Grid Table 2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3">
    <w:name w:val="Grid Table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4">
    <w:name w:val="Grid Table 3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5">
    <w:name w:val="Grid Table 3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6">
    <w:name w:val="Grid Table 3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7">
    <w:name w:val="Grid Table 3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8">
    <w:name w:val="Grid Table 3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89">
    <w:name w:val="Grid Table 3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0">
    <w:name w:val="Grid Table 4"/>
    <w:basedOn w:val="1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691">
    <w:name w:val="Grid Table 4 - Accent 1"/>
    <w:basedOn w:val="1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692">
    <w:name w:val="Grid Table 4 - Accent 2"/>
    <w:basedOn w:val="1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693">
    <w:name w:val="Grid Table 4 - Accent 3"/>
    <w:basedOn w:val="1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694">
    <w:name w:val="Grid Table 4 - Accent 4"/>
    <w:basedOn w:val="1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695">
    <w:name w:val="Grid Table 4 - Accent 5"/>
    <w:basedOn w:val="1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696">
    <w:name w:val="Grid Table 4 - Accent 6"/>
    <w:basedOn w:val="18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697">
    <w:name w:val="Grid Table 5 Dark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698">
    <w:name w:val="Grid Table 5 Dark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699">
    <w:name w:val="Grid Table 5 Dark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700">
    <w:name w:val="Grid Table 5 Dark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701">
    <w:name w:val="Grid Table 5 Dark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702">
    <w:name w:val="Grid Table 5 Dark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703">
    <w:name w:val="Grid Table 5 Dark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704">
    <w:name w:val="Grid Table 6 Colorful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705">
    <w:name w:val="Grid Table 6 Colorful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706">
    <w:name w:val="Grid Table 6 Colorful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707">
    <w:name w:val="Grid Table 6 Colorful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708">
    <w:name w:val="Grid Table 6 Colorful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709">
    <w:name w:val="Grid Table 6 Colorful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710">
    <w:name w:val="Grid Table 6 Colorful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711">
    <w:name w:val="Grid Table 7 Colorful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2">
    <w:name w:val="Grid Table 7 Colorful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3">
    <w:name w:val="Grid Table 7 Colorful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4">
    <w:name w:val="Grid Table 7 Colorful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5">
    <w:name w:val="Grid Table 7 Colorful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6">
    <w:name w:val="Grid Table 7 Colorful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7">
    <w:name w:val="Grid Table 7 Colorful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8">
    <w:name w:val="List Table 1 Light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9">
    <w:name w:val="List Table 1 Light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0">
    <w:name w:val="List Table 1 Light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1">
    <w:name w:val="List Table 1 Light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2">
    <w:name w:val="List Table 1 Light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3">
    <w:name w:val="List Table 1 Light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4">
    <w:name w:val="List Table 1 Light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25">
    <w:name w:val="List Table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726">
    <w:name w:val="List Table 2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727">
    <w:name w:val="List Table 2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728">
    <w:name w:val="List Table 2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729">
    <w:name w:val="List Table 2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730">
    <w:name w:val="List Table 2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731">
    <w:name w:val="List Table 2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732">
    <w:name w:val="List Table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33">
    <w:name w:val="List Table 3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34">
    <w:name w:val="List Table 3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35">
    <w:name w:val="List Table 3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36">
    <w:name w:val="List Table 3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37">
    <w:name w:val="List Table 3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38">
    <w:name w:val="List Table 3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39">
    <w:name w:val="List Table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0">
    <w:name w:val="List Table 4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1">
    <w:name w:val="List Table 4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2">
    <w:name w:val="List Table 4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3">
    <w:name w:val="List Table 4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4">
    <w:name w:val="List Table 4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5">
    <w:name w:val="List Table 4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46">
    <w:name w:val="List Table 5 Dark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47">
    <w:name w:val="List Table 5 Dark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48">
    <w:name w:val="List Table 5 Dark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49">
    <w:name w:val="List Table 5 Dark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50">
    <w:name w:val="List Table 5 Dark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51">
    <w:name w:val="List Table 5 Dark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52">
    <w:name w:val="List Table 5 Dark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53">
    <w:name w:val="List Table 6 Colorful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754">
    <w:name w:val="List Table 6 Colorful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755">
    <w:name w:val="List Table 6 Colorful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756">
    <w:name w:val="List Table 6 Colorful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757">
    <w:name w:val="List Table 6 Colorful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758">
    <w:name w:val="List Table 6 Colorful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759">
    <w:name w:val="List Table 6 Colorful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760">
    <w:name w:val="List Table 7 Colorful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761">
    <w:name w:val="List Table 7 Colorful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762">
    <w:name w:val="List Table 7 Colorful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763">
    <w:name w:val="List Table 7 Colorful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764">
    <w:name w:val="List Table 7 Colorful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765">
    <w:name w:val="List Table 7 Colorful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766">
    <w:name w:val="List Table 7 Colorful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767">
    <w:name w:val="Lined - Accent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768">
    <w:name w:val="Lined - Accent 1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769">
    <w:name w:val="Lined - Accent 2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770">
    <w:name w:val="Lined - Accent 3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771">
    <w:name w:val="Lined - Accent 4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772">
    <w:name w:val="Lined - Accent 5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773">
    <w:name w:val="Lined - Accent 6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774">
    <w:name w:val="Bordered &amp; Lined - Accent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775">
    <w:name w:val="Bordered &amp; Lined - Accent 1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776">
    <w:name w:val="Bordered &amp; Lined - Accent 2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777">
    <w:name w:val="Bordered &amp; Lined - Accent 3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778">
    <w:name w:val="Bordered &amp; Lined - Accent 4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779">
    <w:name w:val="Bordered &amp; Lined - Accent 5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780">
    <w:name w:val="Bordered &amp; Lined - Accent 6"/>
    <w:basedOn w:val="18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781">
    <w:name w:val="Bordered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82">
    <w:name w:val="Bordered - Accent 1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83">
    <w:name w:val="Bordered - Accent 2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84">
    <w:name w:val="Bordered - Accent 3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85">
    <w:name w:val="Bordered - Accent 4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86">
    <w:name w:val="Bordered - Accent 5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87">
    <w:name w:val="Bordered - Accent 6"/>
    <w:basedOn w:val="18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88">
    <w:name w:val="Hyperlink"/>
    <w:uiPriority w:val="99"/>
    <w:unhideWhenUsed/>
    <w:rPr>
      <w:color w:val="0000ff" w:themeColor="hyperlink"/>
      <w:u w:val="single"/>
    </w:rPr>
  </w:style>
  <w:style w:type="character" w:styleId="1789">
    <w:name w:val="Footnote Text Char"/>
    <w:link w:val="1815"/>
    <w:uiPriority w:val="99"/>
    <w:rPr>
      <w:sz w:val="18"/>
    </w:rPr>
  </w:style>
  <w:style w:type="paragraph" w:styleId="1790">
    <w:name w:val="endnote text"/>
    <w:basedOn w:val="1804"/>
    <w:link w:val="1791"/>
    <w:uiPriority w:val="99"/>
    <w:semiHidden/>
    <w:unhideWhenUsed/>
    <w:pPr>
      <w:spacing w:after="0" w:line="240" w:lineRule="auto"/>
    </w:pPr>
    <w:rPr>
      <w:sz w:val="20"/>
    </w:rPr>
  </w:style>
  <w:style w:type="character" w:styleId="1791">
    <w:name w:val="Endnote Text Char"/>
    <w:link w:val="1790"/>
    <w:uiPriority w:val="99"/>
    <w:rPr>
      <w:sz w:val="20"/>
    </w:rPr>
  </w:style>
  <w:style w:type="character" w:styleId="1792">
    <w:name w:val="endnote reference"/>
    <w:basedOn w:val="1806"/>
    <w:uiPriority w:val="99"/>
    <w:semiHidden/>
    <w:unhideWhenUsed/>
    <w:rPr>
      <w:vertAlign w:val="superscript"/>
    </w:rPr>
  </w:style>
  <w:style w:type="paragraph" w:styleId="1793">
    <w:name w:val="toc 1"/>
    <w:basedOn w:val="1804"/>
    <w:next w:val="1804"/>
    <w:uiPriority w:val="39"/>
    <w:unhideWhenUsed/>
    <w:pPr>
      <w:ind w:left="0" w:right="0" w:firstLine="0"/>
      <w:spacing w:after="57"/>
    </w:pPr>
  </w:style>
  <w:style w:type="paragraph" w:styleId="1794">
    <w:name w:val="toc 2"/>
    <w:basedOn w:val="1804"/>
    <w:next w:val="1804"/>
    <w:uiPriority w:val="39"/>
    <w:unhideWhenUsed/>
    <w:pPr>
      <w:ind w:left="283" w:right="0" w:firstLine="0"/>
      <w:spacing w:after="57"/>
    </w:pPr>
  </w:style>
  <w:style w:type="paragraph" w:styleId="1795">
    <w:name w:val="toc 3"/>
    <w:basedOn w:val="1804"/>
    <w:next w:val="1804"/>
    <w:uiPriority w:val="39"/>
    <w:unhideWhenUsed/>
    <w:pPr>
      <w:ind w:left="567" w:right="0" w:firstLine="0"/>
      <w:spacing w:after="57"/>
    </w:pPr>
  </w:style>
  <w:style w:type="paragraph" w:styleId="1796">
    <w:name w:val="toc 4"/>
    <w:basedOn w:val="1804"/>
    <w:next w:val="1804"/>
    <w:uiPriority w:val="39"/>
    <w:unhideWhenUsed/>
    <w:pPr>
      <w:ind w:left="850" w:right="0" w:firstLine="0"/>
      <w:spacing w:after="57"/>
    </w:pPr>
  </w:style>
  <w:style w:type="paragraph" w:styleId="1797">
    <w:name w:val="toc 5"/>
    <w:basedOn w:val="1804"/>
    <w:next w:val="1804"/>
    <w:uiPriority w:val="39"/>
    <w:unhideWhenUsed/>
    <w:pPr>
      <w:ind w:left="1134" w:right="0" w:firstLine="0"/>
      <w:spacing w:after="57"/>
    </w:pPr>
  </w:style>
  <w:style w:type="paragraph" w:styleId="1798">
    <w:name w:val="toc 6"/>
    <w:basedOn w:val="1804"/>
    <w:next w:val="1804"/>
    <w:uiPriority w:val="39"/>
    <w:unhideWhenUsed/>
    <w:pPr>
      <w:ind w:left="1417" w:right="0" w:firstLine="0"/>
      <w:spacing w:after="57"/>
    </w:pPr>
  </w:style>
  <w:style w:type="paragraph" w:styleId="1799">
    <w:name w:val="toc 7"/>
    <w:basedOn w:val="1804"/>
    <w:next w:val="1804"/>
    <w:uiPriority w:val="39"/>
    <w:unhideWhenUsed/>
    <w:pPr>
      <w:ind w:left="1701" w:right="0" w:firstLine="0"/>
      <w:spacing w:after="57"/>
    </w:pPr>
  </w:style>
  <w:style w:type="paragraph" w:styleId="1800">
    <w:name w:val="toc 8"/>
    <w:basedOn w:val="1804"/>
    <w:next w:val="1804"/>
    <w:uiPriority w:val="39"/>
    <w:unhideWhenUsed/>
    <w:pPr>
      <w:ind w:left="1984" w:right="0" w:firstLine="0"/>
      <w:spacing w:after="57"/>
    </w:pPr>
  </w:style>
  <w:style w:type="paragraph" w:styleId="1801">
    <w:name w:val="toc 9"/>
    <w:basedOn w:val="1804"/>
    <w:next w:val="1804"/>
    <w:uiPriority w:val="39"/>
    <w:unhideWhenUsed/>
    <w:pPr>
      <w:ind w:left="2268" w:right="0" w:firstLine="0"/>
      <w:spacing w:after="57"/>
    </w:pPr>
  </w:style>
  <w:style w:type="paragraph" w:styleId="1802">
    <w:name w:val="TOC Heading"/>
    <w:uiPriority w:val="39"/>
    <w:unhideWhenUsed/>
  </w:style>
  <w:style w:type="paragraph" w:styleId="1803">
    <w:name w:val="table of figures"/>
    <w:basedOn w:val="1804"/>
    <w:next w:val="1804"/>
    <w:uiPriority w:val="99"/>
    <w:unhideWhenUsed/>
    <w:pPr>
      <w:spacing w:after="0" w:afterAutospacing="0"/>
    </w:pPr>
  </w:style>
  <w:style w:type="paragraph" w:styleId="1804" w:default="1">
    <w:name w:val="Normal"/>
    <w:qFormat/>
    <w:pPr>
      <w:ind w:firstLine="708"/>
      <w:jc w:val="both"/>
      <w:spacing w:after="0" w:line="240" w:lineRule="auto"/>
    </w:pPr>
    <w:rPr>
      <w:rFonts w:ascii="Times New Roman" w:hAnsi="Times New Roman" w:cs="Times New Roman"/>
      <w:szCs w:val="20"/>
    </w:rPr>
  </w:style>
  <w:style w:type="paragraph" w:styleId="1805">
    <w:name w:val="Heading 3"/>
    <w:basedOn w:val="1804"/>
    <w:next w:val="1804"/>
    <w:link w:val="1820"/>
    <w:uiPriority w:val="99"/>
    <w:qFormat/>
    <w:pPr>
      <w:ind w:firstLine="0"/>
      <w:jc w:val="center"/>
      <w:keepNext/>
      <w:outlineLvl w:val="2"/>
    </w:pPr>
    <w:rPr>
      <w:b/>
      <w:bCs/>
      <w:szCs w:val="22"/>
    </w:rPr>
  </w:style>
  <w:style w:type="character" w:styleId="1806" w:default="1">
    <w:name w:val="Default Paragraph Font"/>
    <w:uiPriority w:val="1"/>
    <w:semiHidden/>
    <w:unhideWhenUsed/>
  </w:style>
  <w:style w:type="table" w:styleId="180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808" w:default="1">
    <w:name w:val="No List"/>
    <w:uiPriority w:val="99"/>
    <w:semiHidden/>
    <w:unhideWhenUsed/>
  </w:style>
  <w:style w:type="paragraph" w:styleId="1809">
    <w:name w:val="Header"/>
    <w:basedOn w:val="1804"/>
    <w:link w:val="181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810" w:customStyle="1">
    <w:name w:val="Верхний колонтитул Знак"/>
    <w:basedOn w:val="1806"/>
    <w:link w:val="1809"/>
    <w:uiPriority w:val="99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811">
    <w:name w:val="Footer"/>
    <w:basedOn w:val="1804"/>
    <w:link w:val="181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812" w:customStyle="1">
    <w:name w:val="Нижний колонтитул Знак"/>
    <w:basedOn w:val="1806"/>
    <w:link w:val="1811"/>
    <w:uiPriority w:val="99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813">
    <w:name w:val="Body Text Indent 2"/>
    <w:basedOn w:val="1804"/>
    <w:link w:val="1814"/>
    <w:uiPriority w:val="99"/>
    <w:unhideWhenUsed/>
    <w:pPr>
      <w:ind w:left="283" w:firstLine="0"/>
      <w:jc w:val="left"/>
      <w:spacing w:after="120" w:line="480" w:lineRule="auto"/>
    </w:pPr>
    <w:rPr>
      <w:sz w:val="24"/>
    </w:rPr>
  </w:style>
  <w:style w:type="character" w:styleId="1814" w:customStyle="1">
    <w:name w:val="Основной текст с отступом 2 Знак"/>
    <w:basedOn w:val="1806"/>
    <w:link w:val="181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15">
    <w:name w:val="footnote text"/>
    <w:basedOn w:val="1804"/>
    <w:link w:val="1816"/>
    <w:uiPriority w:val="99"/>
    <w:unhideWhenUsed/>
    <w:pPr>
      <w:ind w:firstLine="0"/>
      <w:jc w:val="left"/>
    </w:pPr>
    <w:rPr>
      <w:rFonts w:asciiTheme="minorHAnsi" w:hAnsiTheme="minorHAnsi" w:cstheme="minorBidi"/>
      <w:sz w:val="20"/>
    </w:rPr>
  </w:style>
  <w:style w:type="character" w:styleId="1816" w:customStyle="1">
    <w:name w:val="Текст сноски Знак"/>
    <w:basedOn w:val="1806"/>
    <w:link w:val="1815"/>
    <w:uiPriority w:val="99"/>
    <w:rPr>
      <w:sz w:val="20"/>
      <w:szCs w:val="20"/>
    </w:rPr>
  </w:style>
  <w:style w:type="character" w:styleId="1817">
    <w:name w:val="footnote reference"/>
    <w:uiPriority w:val="99"/>
    <w:unhideWhenUsed/>
    <w:rPr>
      <w:vertAlign w:val="superscript"/>
    </w:rPr>
  </w:style>
  <w:style w:type="table" w:styleId="1818" w:customStyle="1">
    <w:name w:val="Сетка таблицы1"/>
    <w:basedOn w:val="1807"/>
    <w:next w:val="1819"/>
    <w:uiPriority w:val="59"/>
    <w:pPr>
      <w:spacing w:after="0" w:line="240" w:lineRule="auto"/>
    </w:pPr>
    <w:rPr>
      <w:rFonts w:ascii="Times New Roman" w:hAnsi="Times New Roman" w:eastAsia="Times New Roman" w:cs="Times New Roman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819">
    <w:name w:val="Table Grid"/>
    <w:basedOn w:val="18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1820" w:customStyle="1">
    <w:name w:val="Заголовок 3 Знак"/>
    <w:basedOn w:val="1806"/>
    <w:link w:val="1805"/>
    <w:uiPriority w:val="99"/>
    <w:rPr>
      <w:rFonts w:ascii="Times New Roman" w:hAnsi="Times New Roman" w:eastAsia="Times New Roman" w:cs="Times New Roman"/>
      <w:b/>
      <w:bCs/>
      <w:lang w:eastAsia="ru-RU"/>
    </w:rPr>
  </w:style>
  <w:style w:type="paragraph" w:styleId="1821">
    <w:name w:val="Body Text 2"/>
    <w:basedOn w:val="1804"/>
    <w:link w:val="1822"/>
    <w:uiPriority w:val="99"/>
    <w:semiHidden/>
    <w:pPr>
      <w:ind w:firstLine="0"/>
      <w:spacing w:after="120" w:line="480" w:lineRule="auto"/>
    </w:pPr>
    <w:rPr>
      <w:sz w:val="24"/>
    </w:rPr>
  </w:style>
  <w:style w:type="character" w:styleId="1822" w:customStyle="1">
    <w:name w:val="Основной текст 2 Знак"/>
    <w:basedOn w:val="1806"/>
    <w:link w:val="1821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23">
    <w:name w:val="Body Text"/>
    <w:basedOn w:val="1804"/>
    <w:link w:val="1824"/>
    <w:uiPriority w:val="99"/>
    <w:semiHidden/>
    <w:pPr>
      <w:ind w:firstLine="0"/>
      <w:spacing w:after="120" w:line="276" w:lineRule="auto"/>
    </w:pPr>
    <w:rPr>
      <w:sz w:val="24"/>
    </w:rPr>
  </w:style>
  <w:style w:type="character" w:styleId="1824" w:customStyle="1">
    <w:name w:val="Основной текст Знак"/>
    <w:basedOn w:val="1806"/>
    <w:link w:val="1823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25">
    <w:name w:val="Caption"/>
    <w:basedOn w:val="1804"/>
    <w:next w:val="1804"/>
    <w:uiPriority w:val="99"/>
    <w:qFormat/>
    <w:pPr>
      <w:ind w:firstLine="0"/>
      <w:jc w:val="center"/>
    </w:pPr>
    <w:rPr>
      <w:b/>
      <w:bCs/>
      <w:szCs w:val="28"/>
    </w:rPr>
  </w:style>
  <w:style w:type="paragraph" w:styleId="1826">
    <w:name w:val="List Paragraph"/>
    <w:basedOn w:val="1804"/>
    <w:uiPriority w:val="34"/>
    <w:qFormat/>
    <w:pPr>
      <w:contextualSpacing/>
      <w:ind w:left="720"/>
    </w:pPr>
  </w:style>
  <w:style w:type="paragraph" w:styleId="1827" w:customStyle="1">
    <w:name w:val="ConsPlus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828">
    <w:name w:val="Balloon Text"/>
    <w:basedOn w:val="1804"/>
    <w:link w:val="1829"/>
    <w:uiPriority w:val="99"/>
    <w:semiHidden/>
    <w:unhideWhenUsed/>
    <w:rPr>
      <w:rFonts w:ascii="Tahoma" w:hAnsi="Tahoma" w:cs="Tahoma"/>
      <w:sz w:val="16"/>
      <w:szCs w:val="16"/>
    </w:rPr>
  </w:style>
  <w:style w:type="character" w:styleId="1829" w:customStyle="1">
    <w:name w:val="Текст выноски Знак"/>
    <w:basedOn w:val="1806"/>
    <w:link w:val="1828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4F88C-0581-4697-B4C7-9C526F1D1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revision>160</cp:revision>
  <dcterms:created xsi:type="dcterms:W3CDTF">2023-11-30T07:40:00Z</dcterms:created>
  <dcterms:modified xsi:type="dcterms:W3CDTF">2026-09-03T11:12:50Z</dcterms:modified>
</cp:coreProperties>
</file>