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</w:r>
    </w:p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732" w:leader="none"/>
          <w:tab w:val="left" w:pos="5812" w:leader="none"/>
        </w:tabs>
        <w:spacing w:lineRule="exact" w:line="240"/>
        <w:ind w:firstLine="5670" w:left="0"/>
        <w:jc w:val="both"/>
        <w:outlineLvl w:val="5"/>
        <w:rPr>
          <w:sz w:val="28"/>
          <w:szCs w:val="28"/>
        </w:rPr>
      </w:pPr>
      <w:r>
        <w:rPr>
          <w:bCs/>
          <w:sz w:val="28"/>
          <w:szCs w:val="28"/>
        </w:rPr>
        <w:t>Приложение 2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6" w:left="5664"/>
        <w:rPr>
          <w:sz w:val="28"/>
          <w:szCs w:val="28"/>
        </w:rPr>
      </w:pPr>
      <w:r>
        <w:rPr>
          <w:sz w:val="28"/>
          <w:szCs w:val="28"/>
        </w:rPr>
        <w:t>к приказу начальника департамента имущественных отношений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>администрации города Перми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09.10.2026 № 059-19-01-11-164</w:t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 xml:space="preserve">Извещение о проведении 12.11.2026 электронных аукционов по продаже </w:t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земельных участков</w:t>
      </w:r>
    </w:p>
    <w:p>
      <w:pPr>
        <w:pStyle w:val="PlainTex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shd w:fill="FFFFFF" w:val="clear"/>
        </w:rPr>
        <w:t xml:space="preserve">Электронные аукционы по продаже земельных участков (далее – аукцион) проводятся </w:t>
        <w:br/>
        <w:t xml:space="preserve">в соответствии со статьями 39.11, 39.12, 39.13, 39.18 Земельного кодекса Российской Федерации, Положением о департаменте имущественных отношений администрации города Перми, утвержденным решением Пермской городской Думы от 12 сентября 2006 г. № 210, постановлением администрации города Перми от 20 ноября 2008 г. № 1089 «О комиссии по проведению аукционов по продаже земельных участков, находящихся в муниципальной собственности города Перми, </w:t>
        <w:br/>
        <w:t xml:space="preserve">и участков, собственность на которые не разграничена, объектов незавершенного строительства, расположенных на земельных участках, находящихся  в муниципальной собственности города Перми, и участках, собственность на которые  не разграничена, или на право заключения договоров аренды земельных участков, находящихся в муниципальной собственности города Перми, </w:t>
        <w:br/>
      </w:r>
      <w:r>
        <w:rPr>
          <w:rFonts w:eastAsia="Droid Sans Fallback" w:cs="Lohit Devanagari"/>
          <w:color w:val="000000"/>
          <w:sz w:val="24"/>
          <w:szCs w:val="24"/>
          <w:shd w:fill="FFFFFF" w:val="clear"/>
          <w:lang w:val="ru-RU" w:eastAsia="zh-CN" w:bidi="ar-SA"/>
        </w:rPr>
        <w:t xml:space="preserve">и участков, собственность на которые не разграничена» (далее – комиссия), регламентом работы электронной площадки АО «Сбербанк-АСТ», регламентом работы торговой секции </w:t>
        <w:br/>
        <w:t>АО «Сбербанк-АСТ».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b/>
          <w:bCs/>
        </w:rPr>
      </w:pPr>
      <w:r>
        <w:rPr>
          <w:b/>
          <w:bCs/>
        </w:rPr>
        <w:t xml:space="preserve">Орган, принявший решение о проведении аукциона: </w:t>
      </w:r>
      <w:r>
        <w:rPr>
          <w:bCs/>
        </w:rPr>
        <w:t xml:space="preserve"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212-33-48 (аналитический отдел), адрес электронной почты: </w:t>
      </w:r>
      <w:r>
        <w:rPr>
          <w:rStyle w:val="Hyperlink"/>
          <w:bCs/>
          <w:sz w:val="24"/>
          <w:szCs w:val="24"/>
          <w:lang w:val="en-US"/>
        </w:rPr>
        <w:t>dzo@perm.permkrai.ru.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b w:val="false"/>
          <w:bCs w:val="false"/>
          <w:sz w:val="24"/>
          <w:szCs w:val="24"/>
        </w:rPr>
      </w:pPr>
      <w:r>
        <w:rPr>
          <w:b/>
          <w:bCs/>
        </w:rPr>
        <w:t xml:space="preserve">Организатор аукциона </w:t>
      </w:r>
      <w:r>
        <w:rPr>
          <w:bCs/>
        </w:rPr>
        <w:t>(далее – Организатор аукциона)</w:t>
      </w:r>
      <w:r>
        <w:rPr>
          <w:b/>
          <w:bCs/>
        </w:rPr>
        <w:t xml:space="preserve">: </w:t>
      </w:r>
      <w:r>
        <w:rPr>
          <w:bCs/>
        </w:rPr>
        <w:t>департамент имущественных отношений администрации города Перми, местонахождение: 614000, г. Пермь, ул. Сибирская,14, почтовый адрес: 614000, г. Пермь, ул. Сибирская,14, телефон 212-77-24 (отдел по распоряжению муниципальным имуществом), адрес электронной почты:</w:t>
      </w:r>
      <w:r>
        <w:rPr>
          <w:b/>
          <w:bCs/>
        </w:rPr>
        <w:t xml:space="preserve"> </w:t>
      </w:r>
      <w:r>
        <w:rPr>
          <w:sz w:val="24"/>
          <w:szCs w:val="24"/>
          <w:lang w:val="en-US"/>
        </w:rPr>
        <w:t>dio</w:t>
      </w:r>
      <w:r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perm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permkrai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b w:val="false"/>
          <w:bCs w:val="false"/>
          <w:sz w:val="24"/>
          <w:szCs w:val="24"/>
        </w:rPr>
        <w:t>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sz w:val="24"/>
          <w:szCs w:val="24"/>
        </w:rPr>
      </w:pPr>
      <w:r>
        <w:rPr>
          <w:b/>
          <w:bCs/>
        </w:rPr>
        <w:t>Реквизиты приказа об организации проведения аукциона:</w:t>
      </w:r>
      <w:r>
        <w:rPr>
          <w:bCs/>
        </w:rPr>
        <w:t xml:space="preserve"> приказ начальника департамента имущественных отношений администрации города Перми от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8"/>
        </w:rPr>
        <w:t>09.10.2026 № 059-19-01-11-164.</w:t>
      </w:r>
    </w:p>
    <w:p>
      <w:pPr>
        <w:pStyle w:val="BodyTextIndent3"/>
        <w:numPr>
          <w:ilvl w:val="0"/>
          <w:numId w:val="0"/>
        </w:numPr>
        <w:spacing w:before="0" w:after="0"/>
        <w:ind w:firstLine="567" w:left="-567"/>
        <w:jc w:val="both"/>
        <w:outlineLvl w:val="0"/>
        <w:rPr>
          <w:rFonts w:eastAsia="Courier New"/>
          <w:b/>
          <w:color w:val="000000"/>
          <w:lang w:val="ru-RU" w:bidi="ru-RU"/>
        </w:rPr>
      </w:pPr>
      <w:r>
        <w:rPr>
          <w:sz w:val="24"/>
          <w:szCs w:val="24"/>
          <w:lang w:val="ru-RU"/>
        </w:rPr>
        <w:t xml:space="preserve">Извещение о проведение электронных аукционов размещается на официальном сайте Российской Федерации для размещения информации о проведении торгов </w:t>
      </w:r>
      <w:hyperlink r:id="rId2" w:tgtFrame="http://www.torgi.gov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torgi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gov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color w:val="000000"/>
          <w:sz w:val="24"/>
          <w:szCs w:val="24"/>
          <w:u w:val="none"/>
        </w:rPr>
        <w:t xml:space="preserve"> (далее – ГИС Торги)</w:t>
      </w:r>
      <w:r>
        <w:rPr>
          <w:b/>
          <w:sz w:val="24"/>
          <w:szCs w:val="24"/>
          <w:lang w:val="ru-RU"/>
        </w:rPr>
        <w:t>,</w:t>
      </w:r>
      <w:r>
        <w:rPr>
          <w:b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официальном сайте муниципального образования город Пермь в информационно-телекоммуникационной сети «Интернет» </w:t>
      </w:r>
      <w:hyperlink r:id="rId3" w:tgtFrame="http://www.gorodperm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gorodperm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sz w:val="24"/>
          <w:szCs w:val="24"/>
          <w:lang w:val="ru-RU"/>
        </w:rPr>
        <w:t xml:space="preserve"> и на электронной </w:t>
      </w:r>
      <w:r>
        <w:rPr>
          <w:bCs/>
          <w:sz w:val="24"/>
          <w:szCs w:val="24"/>
          <w:lang w:val="ru-RU" w:bidi="ru-RU"/>
        </w:rPr>
        <w:t xml:space="preserve">площадке </w:t>
      </w:r>
      <w:hyperlink r:id="rId4" w:tgtFrame="http://utp.sberbank-ast.ru/">
        <w:r>
          <w:rPr>
            <w:rStyle w:val="Hyperlink"/>
            <w:sz w:val="24"/>
            <w:szCs w:val="24"/>
          </w:rPr>
          <w:t>http</w:t>
        </w:r>
        <w:r>
          <w:rPr>
            <w:rStyle w:val="Hyperlink"/>
            <w:sz w:val="24"/>
            <w:szCs w:val="24"/>
            <w:lang w:val="ru-RU"/>
          </w:rPr>
          <w:t>://</w:t>
        </w:r>
        <w:r>
          <w:rPr>
            <w:rStyle w:val="Hyperlink"/>
            <w:sz w:val="24"/>
            <w:szCs w:val="24"/>
          </w:rPr>
          <w:t>utp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sberbank</w:t>
        </w:r>
        <w:r>
          <w:rPr>
            <w:rStyle w:val="Hyperlink"/>
            <w:sz w:val="24"/>
            <w:szCs w:val="24"/>
            <w:lang w:val="ru-RU"/>
          </w:rPr>
          <w:t>-</w:t>
        </w:r>
        <w:r>
          <w:rPr>
            <w:rStyle w:val="Hyperlink"/>
            <w:sz w:val="24"/>
            <w:szCs w:val="24"/>
          </w:rPr>
          <w:t>ast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ru</w:t>
        </w:r>
      </w:hyperlink>
      <w:r>
        <w:rPr>
          <w:bCs/>
          <w:sz w:val="24"/>
          <w:szCs w:val="24"/>
          <w:lang w:val="ru-RU" w:bidi="ru-RU"/>
        </w:rPr>
        <w:t>.</w:t>
      </w:r>
    </w:p>
    <w:p>
      <w:pPr>
        <w:pStyle w:val="Normal"/>
        <w:widowControl w:val="false"/>
        <w:ind w:firstLine="567" w:left="-567"/>
        <w:jc w:val="both"/>
        <w:rPr>
          <w:rFonts w:eastAsia="Courier New"/>
          <w:b/>
          <w:color w:val="000000"/>
          <w:lang w:eastAsia="en-US" w:bidi="ru-RU"/>
        </w:rPr>
      </w:pPr>
      <w:r>
        <w:rPr>
          <w:rFonts w:eastAsia="Courier New"/>
          <w:b/>
          <w:color w:val="000000"/>
          <w:lang w:bidi="ru-RU"/>
        </w:rPr>
        <w:t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>:</w:t>
      </w:r>
      <w:r>
        <w:rPr>
          <w:rFonts w:eastAsia="Courier New" w:cs="Courier New" w:ascii="Courier New" w:hAnsi="Courier New"/>
          <w:color w:val="000000"/>
          <w:lang w:bidi="ru-RU"/>
        </w:rPr>
        <w:t xml:space="preserve"> </w:t>
      </w:r>
      <w:hyperlink r:id="rId5" w:tgtFrame="http://utp.sberbank-ast.ru/">
        <w:r>
          <w:rPr>
            <w:rStyle w:val="Hyperlink"/>
          </w:rPr>
          <w:t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</w:t>
        <w:br/>
        <w:t xml:space="preserve">(далее – торговая секция).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rFonts w:eastAsia="Courier New"/>
          <w:color w:val="000000"/>
          <w:lang w:bidi="ru-RU"/>
        </w:rPr>
      </w:pPr>
      <w:r>
        <w:rPr>
          <w:rFonts w:eastAsia="Courier New"/>
          <w:b/>
          <w:color w:val="000000"/>
          <w:lang w:eastAsia="en-US" w:bidi="ru-RU"/>
        </w:rPr>
        <w:t>Владелец электронной площадки</w:t>
      </w:r>
      <w:r>
        <w:rPr>
          <w:rFonts w:eastAsia="Courier New"/>
          <w:color w:val="000000"/>
          <w:lang w:eastAsia="en-US" w:bidi="ru-RU"/>
        </w:rPr>
        <w:t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6" w:tgtFrame="https://utp.sberbank-ast.ru/Main/Notice/988/Reglament">
        <w:r>
          <w:rPr>
            <w:rStyle w:val="Hyperlink"/>
            <w:rFonts w:eastAsia="Courier New"/>
            <w:lang w:bidi="ru-RU"/>
          </w:rPr>
          <w:t>https://utp.sberbank-ast.ru/Main/Notice/988/Reglament</w:t>
        </w:r>
      </w:hyperlink>
      <w:r>
        <w:rPr>
          <w:rFonts w:eastAsia="Courier New"/>
          <w:lang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rFonts w:eastAsia="Courier New"/>
          <w:lang w:bidi="ru-RU"/>
        </w:rPr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br w:type="textWrapping" w:clear="all"/>
      </w:r>
      <w:hyperlink r:id="rId7" w:tgtFrame="https://utp.sberbank-ast.ru/AP/Notice/1027/Instructions">
        <w:r>
          <w:rPr>
            <w:rStyle w:val="Hyperlink"/>
            <w:rFonts w:eastAsia="Calibri"/>
            <w:lang w:eastAsia="en-US"/>
          </w:rPr>
          <w:t>https://utp.sberbank-ast.ru/AP/Notice/1027/Instructions</w:t>
        </w:r>
      </w:hyperlink>
      <w:r>
        <w:rPr>
          <w:rFonts w:eastAsia="Calibri"/>
          <w:lang w:eastAsia="en-US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</w:rPr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>
          <w:rFonts w:eastAsia="Courier New"/>
          <w:lang w:bidi="ru-RU"/>
        </w:rPr>
        <w:br w:type="textWrapping" w:clear="all"/>
      </w:r>
      <w:r>
        <w:rPr>
          <w:bCs/>
          <w:lang w:eastAsia="en-US" w:bidi="ru-RU"/>
        </w:rPr>
        <w:t>размещена по адресу:</w:t>
      </w:r>
      <w:r>
        <w:rPr>
          <w:rFonts w:eastAsia="Calibri" w:cs="Calibri" w:ascii="Calibri" w:hAnsi="Calibri"/>
          <w:sz w:val="22"/>
          <w:szCs w:val="22"/>
          <w:lang w:eastAsia="en-US"/>
        </w:rPr>
        <w:t xml:space="preserve"> </w:t>
      </w:r>
      <w:hyperlink r:id="rId8" w:tgtFrame="https://utp.sberbank-ast.ru/AP/Notice/652/Instructions">
        <w:r>
          <w:rPr>
            <w:rStyle w:val="Hyperlink"/>
            <w:bCs/>
            <w:lang w:eastAsia="en-US" w:bidi="ru-RU"/>
          </w:rPr>
          <w:t>https://utp.sberbank-ast.ru/AP/Notice/652/Instructions</w:t>
        </w:r>
      </w:hyperlink>
      <w:r>
        <w:rPr>
          <w:bCs/>
          <w:lang w:eastAsia="en-US" w:bidi="ru-RU"/>
        </w:rPr>
        <w:t>.</w:t>
      </w:r>
    </w:p>
    <w:p>
      <w:pPr>
        <w:pStyle w:val="Normal"/>
        <w:widowControl w:val="false"/>
        <w:ind w:firstLine="567" w:left="-567"/>
        <w:jc w:val="both"/>
        <w:rPr>
          <w:highlight w:val="none"/>
        </w:rPr>
      </w:pPr>
      <w:r>
        <w:rPr>
          <w:b/>
          <w:bCs/>
        </w:rPr>
        <w:t xml:space="preserve">Орган, уполномоченный на заключение договора купли-продажи земельного участка: </w:t>
      </w:r>
      <w:r>
        <w:rPr>
          <w:bCs/>
        </w:rPr>
        <w:t xml:space="preserve">департамент земельных отношений администрации города Перми, местонахождение: 614000, </w:t>
        <w:br/>
        <w:t>г. Пермь, ул. Сибирская,15, почтовый адрес: 614000, г. Пермь, ул. Сибирская,15, телефон 212-61-90 (отдел договоров), адрес электронной почты:</w:t>
      </w:r>
      <w:r>
        <w:rPr>
          <w:bCs/>
          <w:sz w:val="24"/>
          <w:szCs w:val="24"/>
        </w:rPr>
        <w:t xml:space="preserve"> </w:t>
      </w:r>
      <w:r>
        <w:rPr>
          <w:rStyle w:val="Hyperlink"/>
          <w:bCs/>
          <w:sz w:val="24"/>
          <w:szCs w:val="24"/>
          <w:lang w:val="en-US"/>
        </w:rPr>
        <w:t>dzo</w:t>
      </w:r>
      <w:r>
        <w:rPr>
          <w:rStyle w:val="Hyperlink"/>
          <w:bCs/>
          <w:sz w:val="24"/>
          <w:szCs w:val="24"/>
        </w:rPr>
        <w:t>@</w:t>
      </w:r>
      <w:r>
        <w:rPr>
          <w:rStyle w:val="Hyperlink"/>
          <w:bCs/>
          <w:sz w:val="24"/>
          <w:szCs w:val="24"/>
          <w:lang w:val="en-US"/>
        </w:rPr>
        <w:t>perm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permkrai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ru.</w:t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b/>
          <w:bCs/>
        </w:rPr>
      </w:r>
    </w:p>
    <w:p>
      <w:pPr>
        <w:pStyle w:val="PlainText"/>
        <w:spacing w:lineRule="exact" w:line="240"/>
        <w:ind w:hanging="1134" w:left="1134"/>
        <w:jc w:val="center"/>
        <w:rPr>
          <w:b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Сведения о лотах (предметах аукциона)</w:t>
      </w:r>
    </w:p>
    <w:p>
      <w:pPr>
        <w:pStyle w:val="PlainText"/>
        <w:spacing w:lineRule="exact" w:line="240"/>
        <w:ind w:hanging="1134" w:left="1134"/>
        <w:jc w:val="center"/>
        <w:rPr>
          <w:b/>
          <w:lang w:val="ru-RU"/>
        </w:rPr>
      </w:pPr>
      <w:r>
        <w:rPr>
          <w:b/>
          <w:lang w:val="ru-RU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b/>
          <w:lang w:val="en-US"/>
        </w:rPr>
        <w:t>Лот № 1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308"/>
        <w:gridCol w:w="6821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города Перми</w:t>
            </w:r>
            <w:r>
              <w:rPr>
                <w:sz w:val="20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от 15 декабря 2025 г. № 21-01-03-9717 </w:t>
            </w:r>
            <w:r>
              <w:rPr>
                <w:rFonts w:eastAsia="Times New Roman" w:cs="Times New Roman"/>
                <w:color w:val="000000"/>
                <w:sz w:val="24"/>
                <w:szCs w:val="28"/>
              </w:rPr>
              <w:t>«О проведении аукциона по продаже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Бузулукская, з/у 30б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59:01:1810025:155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Ж-5 «Зона индивидуальной усадебной жилой застройки</w:t>
            </w:r>
            <w:r>
              <w:rPr>
                <w:sz w:val="24"/>
                <w:szCs w:val="24"/>
              </w:rPr>
              <w:t>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15.06.2026г. No КУВИ-001/2026-80609029 (далее - ЕГРН)</w:t>
            </w:r>
            <w:r>
              <w:rPr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12.11.2025 № РФ-59-2-03-0-00-2025-2740-0 (далее – ГПЗУ). (приложение 2 к настоящему извещению).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 на участке произрастают деревья, кустарники.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расположен по адресу: г. Пермь, ул. Заборная, 43 (пожарный водоем).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администрации Кировского района </w:t>
            </w:r>
            <w:r>
              <w:rPr>
                <w:color w:val="auto"/>
                <w:sz w:val="24"/>
                <w:szCs w:val="24"/>
              </w:rPr>
              <w:t>от 09.10.2025 № 059-23-01-25/3-472,  акте обследования от 08.10.2025).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соответствии с копией планшета 1:500 (требуется корректура)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В соответствии с геодезической съемкой, выполненной в 2024 году, Участок зарос кустарником и лиственными лесами.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35" w:before="0" w:afterAutospacing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сведениям, содержащимся в ЕГРН, ГПЗУ </w:t>
              <w:br/>
              <w:t xml:space="preserve">и справке по градостроительным условиям участка </w:t>
              <w:br/>
              <w:t xml:space="preserve">от 16.06.2026 № 683599 </w:t>
            </w:r>
            <w:r>
              <w:rPr>
                <w:color w:themeColor="text1" w:val="000000"/>
                <w:sz w:val="24"/>
                <w:szCs w:val="24"/>
              </w:rPr>
              <w:t xml:space="preserve">Участок расположен в границах зоны с особыми условиями использования территории: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приаэродромная территория аэродрома аэропорта Большое Савино, реестровый номер 59:32-6.553;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highlight w:val="white"/>
              </w:rPr>
              <w:t xml:space="preserve">Проектирование и строительство вести в соответствии: </w:t>
              <w:br/>
              <w:t xml:space="preserve">с постановлением Правительства Российской Федерации </w:t>
              <w:br/>
              <w:t xml:space="preserve">от 11.03.2010 № 138 «Об утверждении Федеральных правил использования воздушного пространства Российской Федерации»: «Запрещается размещать </w:t>
              <w:br/>
              <w:t xml:space="preserve">в полосах воздушных подходов на удалении до 30 км, </w:t>
              <w:br/>
              <w:t xml:space="preserve">а вне полос воздушных подходов – до 15 км </w:t>
              <w:br/>
              <w:t>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Участке произрастает 1188 дерева: береза 594 шт., ель 594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Средняя стоимость в ценах 2025 года одного дерева лиственной породы от 25 тыс. руб., а хвойной – </w:t>
              <w:br/>
              <w:t>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22.10.2025 № 378.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22.10.2025 № 059-33-01-10/3-97).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Дополнительно сообщаем, постановлением администрации города Перми от 23.12.2016 № 1159, в отношении территории, включающей рассматриваемые земельные участки, утверждены проект планировки территории и проект межевания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Проектом планировки территории предусмотрено установление красных линий, обозначающих территории общего пользования (улицы, проезды), для обеспечения доступа к земельным участкам, проектом межевания территории сформирован земельный участок (№ 26 </w:t>
              <w:br/>
              <w:t>на чертеже межевания) с видом разрешенного использования «территории общего пользования, предназначенные для формирования земельных участков в целях размещения линейных объектов инженерной и транспортной инфраструктуры». Но фактически улица, проезд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Таким образом, на сегодняшний день условия примыкания земельных участков к улично-дорожной сети города Перми отсутствуют</w:t>
            </w:r>
            <w:r>
              <w:rPr>
                <w:color w:val="auto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д</w:t>
            </w:r>
            <w:r>
              <w:rPr>
                <w:b/>
                <w:color w:val="auto"/>
                <w:sz w:val="24"/>
                <w:szCs w:val="24"/>
              </w:rPr>
              <w:t>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059-24-01-36/3-3789).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Источники противопожарного водоснабжения (далее - ИПВ) на указанной территории отсутствуют. Ближайший ИПВ (пожарный водоем) расположен в радиусе 795 метров по адресу: ул. Грушевая/ул. Налимихинская.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Построен в 2017 году, находится в оперативном управлении администрации Кировского района города Перми.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 спасательного гарнизона для тушения пожаров и проведения аварийно- 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</w:t>
              <w:br/>
              <w:t>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Помещения для аварийно - 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Объекты общественной безопасности, отнесенные к объектам полиции (участковые пункты полиции) в данном микрорайоне (Налимиха)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Ближайший участковый пункт расположен по адресу: г. Пермь, ул. Судозаводская, д. 8 (микрорайон Нижняя Курья, Кировский район).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На указанных территориях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размещение сиренно-речевых узлов согласно пунктам 6.38, 6.39 СП 165.1325800.2014 «Свод правил. Инженерно-технические мероприятия по гражданской обороне. Актуализированная редакция СНиП 2.01.51-90», утвержденные Приказом Минстроя России от 12.11.2014 № 705/пр.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По информации, предоставленной письмом Министерства территориальной безопасности Пермского края от 07.10.2020 № 964с, рассматриваемые территории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Иная информация, в части полномочий департамента общественной безопасности администрации города Перми, отсутствует.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13.10.2025 № 059-10-01-27/3-2250).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период до 2028 года на территории, где расположен Участок, схемами не предусмотрено строительство сетей водоснабжения и водоотведения в мкр. Налимиха.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Для определения технической возможности подключения объекта капитального строительства к сетям водоснабжения и водоотведения необходимо обратиться к гарантирующей организации для проведения гидравлического расчета.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059-04-17/3-985-ри).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40" w:left="85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r>
              <w:rPr>
                <w:sz w:val="24"/>
                <w:szCs w:val="24"/>
              </w:rPr>
              <w:t>www.gorodperm.ru.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val="auto"/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спальни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); кухни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в климатических районах строительства IА, IБ, IГ, IД, определяемых по СП 131.13330, должна быть не менее 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val="auto"/>
                <w:sz w:val="24"/>
                <w:szCs w:val="24"/>
              </w:rPr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с наклонными ограждающими конструкциями или </w:t>
              <w:br/>
              <w:t>в мансардном этаже, допускается уменьшение высоты помещений (от пола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highlight w:val="white"/>
              </w:rPr>
            </w:pPr>
            <w:r>
              <w:rPr>
                <w:color w:val="auto"/>
                <w:sz w:val="24"/>
              </w:rPr>
              <w:t>м</w:t>
            </w:r>
            <w:r>
              <w:rPr>
                <w:color w:val="auto"/>
                <w:sz w:val="24"/>
                <w:highlight w:val="white"/>
              </w:rPr>
              <w:t xml:space="preserve">аксимальный выступ за красную линию нависающих частей здания наземных уровней, выступающих </w:t>
              <w:br/>
              <w:t>из плоскости наружной стены фасада здания на высоте</w:t>
              <w:br/>
              <w:t>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документации по планировке территории, утвержденной постановлением администрации города Перми от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23.12.2016 № 1</w:t>
            </w:r>
            <w:r>
              <w:rPr>
                <w:color w:val="auto"/>
                <w:sz w:val="24"/>
                <w:szCs w:val="24"/>
              </w:rPr>
              <w:t>159, предельная высота жилой застройки – до 10,5 метров.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5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9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Порядок технологического присоединения </w:t>
              <w:br/>
              <w:t xml:space="preserve"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</w:t>
              <w:br/>
              <w:t>от 27.12.2004 № 861 (далее – Правила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Для получения технических условий и заключения договора на технологическое присоединении необходимо направить в адрес филиала ПАО «Россети Урал» - «Пермэнерго»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«Россети» на сайте: </w:t>
            </w:r>
            <w:hyperlink r:id="rId10" w:tgtFrame="https://">
              <w:r>
                <w:rPr>
                  <w:rStyle w:val="Hyperlink"/>
                  <w:color w:themeColor="text1" w:val="000000"/>
                  <w:sz w:val="24"/>
                  <w:szCs w:val="24"/>
                </w:rPr>
                <w:t>https://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 - «Пермэнерго» по адресу: г. Пермь, ул. Камчатовская, д. 26, а также почтовым отправлением по адресу: 614016,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color w:themeColor="text1" w:val="000000"/>
                <w:sz w:val="24"/>
                <w:szCs w:val="24"/>
              </w:rPr>
              <w:t xml:space="preserve">филиала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городские электрические сети» </w:t>
            </w:r>
            <w:r>
              <w:rPr>
                <w:color w:themeColor="text1" w:val="000000"/>
                <w:sz w:val="24"/>
                <w:szCs w:val="24"/>
              </w:rPr>
              <w:t>от 18.12.2025 № ПЭ/ПГЭС/01/22/17020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Участок расположен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Для запроса информации о возможности подключения земельного участка рекомендуется обратиться 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ПАО «Т П</w:t>
            </w:r>
            <w:r>
              <w:rPr>
                <w:b/>
                <w:color w:val="auto"/>
                <w:sz w:val="24"/>
                <w:szCs w:val="24"/>
              </w:rPr>
              <w:t>люс»</w:t>
            </w:r>
            <w:r>
              <w:rPr>
                <w:color w:val="auto"/>
                <w:sz w:val="24"/>
                <w:szCs w:val="24"/>
              </w:rPr>
              <w:t xml:space="preserve"> от 09.10.2025 № 51000-32-03665).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отсутствует. Рекомендовано рассмотреть альтернативный источник теплоснабжения – электричество, газ, дрова, пеллеты.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 xml:space="preserve"> от 17.12.2025 № 059-04-25/3-249-ри).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Ближайшей сетью водоснабжения, эксплуатируемой </w:t>
              <w:br/>
              <w:t>ООО «Новогор-Прикамье» является водопровод, Д-150 мм на пересечении ул. Рижская-ул. Солдатская на расстоянии -2,5 км.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границах Участка отсутствуют централизованные сети канализации,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Ближайшие сети водоотведения эксплуатируемые </w:t>
              <w:br/>
              <w:t>ООО «Новогор-Прикамье», располагаются в районе здания по ул. Вольская, 15 ориентировочно на расстоянии-3,0 км.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При проектировании может быть применен альтернативный способ водоснабжения без подключения к централизованной системе водоснабжения (от скважины)  и альтернативный способ канализования, без подключения к централизованной системе канализации г. Перми (отвод стоков на локальные очистные сооружения, канализование объекта </w:t>
              <w:br/>
              <w:t xml:space="preserve">в выгребную яму с последующим вывозом стоков </w:t>
              <w:br/>
              <w:t>спец. машинами),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ООО «НОВОГОР - 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водоснабжения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val="ru-RU" w:eastAsia="ru-RU" w:bidi="ru-RU"/>
                <w14:ligatures w14:val="none"/>
              </w:rPr>
            </w:pPr>
            <w:r>
              <w:rPr>
                <w:color w:val="auto"/>
                <w:sz w:val="24"/>
                <w:szCs w:val="24"/>
                <w:lang w:val="ru-RU" w:eastAsia="ru-RU" w:bidi="ru-RU"/>
              </w:rPr>
              <w:t>Кроме того, ООО «НОВОГОР - Прикамье» не располагает сведениями о наличии сетей 3-х лиц в границах Участка.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14.10.2025 № 110-15891).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val="ru-RU" w:eastAsia="ru-RU" w:bidi="ru-RU"/>
              </w:rPr>
            </w:pPr>
            <w:r>
              <w:rPr>
                <w:color w:val="auto"/>
                <w:sz w:val="24"/>
                <w:szCs w:val="24"/>
                <w:lang w:val="ru-RU" w:eastAsia="ru-RU" w:bidi="ru-RU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6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определения месторасположения газораспределительных сетей на интересуемом земельном участке необходимо направить в адрес Филиала </w:t>
              <w:br/>
              <w:t>в г. Пермь AO «Газпром газораспределение Пермь» инженерно—топографический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ул. Уральская, 104, через Единый центр предоставления услуг по адресу:г.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13.10.2025 № ПФ-7410).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к узлу ВОЛС (г. Пермь, ул. Заречная , 162А), максимальную нагрузку в точке подключения (технологического присоединения) необходимо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Для подключения технологического присоединения </w:t>
              <w:br/>
              <w:t>к сетям электросвязи 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val="auto"/>
                <w:szCs w:val="24"/>
              </w:rPr>
              <w:t xml:space="preserve">Для получения технических условий на подключение </w:t>
              <w:br/>
              <w:t xml:space="preserve">к сетям связи необходимо обратиться в Отдел продаж </w:t>
              <w:br/>
              <w:t>и обслуживания по адресу: г. Пермь, ул. Крупской, 2, тел.:(342) 235-57-34 или направить запрос на perm-mail@ural.rt.ru.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15.10.2025 № 01/05/152430/25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right="-263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>По условиям пункта 4.1 проекта договора купли-продажи земельного участка, приобретаемого на торгах в форме аукциона (Приложение 1 к настоящему извещению),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победитель аукциона, иное лицо, с которым договор заключается в соответствии с п.13, п.14, п. 20 или п. 25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  <w:br/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протокола о результатах аукциона, 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</w:t>
            </w:r>
            <w:r>
              <w:rPr>
                <w:sz w:val="24"/>
                <w:szCs w:val="24"/>
                <w:shd w:fill="auto" w:val="clear"/>
              </w:rPr>
              <w:t>за земельный участок (за вычетом задатка, внесенного для участия в аукционе) на счет департамента земельных отношений администрации города Перми, 614015, ул. Сибирская,15, тел. 212-61-90 (отдел договоров), реквизиты которого указаны в проекте договора купли-продажи земельного участка (Приложение 1 к настоящему извещению)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1 772 100 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«Шаг аукциона» (5% от начальной цены предмета аукциона)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88 605 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Форма заявки на участие 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</w:t>
              <w:br/>
              <w:t xml:space="preserve">о государственной регистрации юридического лица </w:t>
              <w:br/>
              <w:t>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Размер задатка (50% от 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886 050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26.09.2025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купли-продажи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приобретаемого на торгах в форме аукциона,  является Приложением 1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7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осмотра земельного участка на местности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b/>
          <w:lang w:val="en-US"/>
        </w:rPr>
        <w:t>Лот № 2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308"/>
        <w:gridCol w:w="6821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 xml:space="preserve">департамента земельных отношений администрации города Перми </w:t>
            </w:r>
            <w:r>
              <w:rPr>
                <w:sz w:val="24"/>
                <w:szCs w:val="28"/>
              </w:rPr>
              <w:t>от 18 сентября 2025 г. № 21-01-03-7402 «О проведении аукциона по продаже земельного участка в Орджоникидзевском районе города Перми»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color w:val="000000"/>
                <w:sz w:val="24"/>
                <w:szCs w:val="28"/>
              </w:rPr>
              <w:t>от 13 октября 2025 г. № 21-01-08-7939 «О внесении изменений в пункт                           1 распоряжения начальника департамента земельных отношений администрации города Перми от 18 сентября 2025 г. № 21-01-03-7402 «О проведении аукциона по продаже земельного участка в Орджоникидзевском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Токарная, з/у 27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1147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59:01:3812844:151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Ж-4 «Зона индивиду</w:t>
            </w:r>
            <w:r>
              <w:rPr>
                <w:sz w:val="24"/>
                <w:szCs w:val="24"/>
              </w:rPr>
              <w:t>альной жилой застройки городского типа»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в выписке из Единого государственного реестра недвижимости об объекте недвижимости от 18.06.2026г. No КУВИ-001/2026-82303295 </w:t>
            </w:r>
            <w:r>
              <w:rPr>
                <w:sz w:val="24"/>
                <w:szCs w:val="24"/>
                <w:shd w:fill="auto" w:val="clear"/>
                <w14:ligatures w14:val="none"/>
              </w:rPr>
              <w:t>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03.09.2025 № РФ-59-2-03-0-00-2025-2187-0 (далее – ГПЗУ) (приложение 4 к настоящему извещению).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 южной стороны огорожен деревянным ветхим забором, доступ частично ограничен, состояние рельефа – ровное. На обследуемом участке произрастают многолетние хвойные и лиственные деревья, низкорослые кустарники, расположен строительный (деревянный) мусор. Над земельным участком проходит газопровод низкого давления.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Близлежащий пожарный водоем расположен по адресу: Пермский край, г. Пермь, Орджоникидзевский район, </w:t>
              <w:br/>
              <w:t>ул. Токарная, 14б.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color w:val="auto"/>
                <w:sz w:val="24"/>
                <w:szCs w:val="24"/>
              </w:rPr>
              <w:t xml:space="preserve">администрации Орджоникидзевского района </w:t>
            </w:r>
            <w:r>
              <w:rPr>
                <w:color w:val="auto"/>
                <w:sz w:val="24"/>
                <w:szCs w:val="24"/>
              </w:rPr>
              <w:t>от 21.05.2026 № 059-37-01-32/3-2854, в акте обследования от 19.05.2026 № 48).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В соответствии со сведениями ЕГРН,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геодезической съемкой, выполненной в 2025 году, </w:t>
            </w:r>
            <w:r>
              <w:rPr>
                <w:color w:val="auto"/>
                <w:sz w:val="24"/>
                <w:szCs w:val="24"/>
              </w:rPr>
              <w:t xml:space="preserve">с востока, в границах участка, установлено ограждение – деревянный забор смежного земельного участка с кадастровым номером 59:01:3812844:15. </w:t>
              <w:br/>
              <w:t xml:space="preserve">С запада, в границах участка, частично установлено ограждение – деревянный забор и некапитальное строение смежного земельного участка с кадастровым номером 59:01:3812844:138. Северная часть участка заросла сплошными зарослями - кустарником. С </w:t>
            </w:r>
            <w:r>
              <w:rPr>
                <w:color w:val="auto"/>
                <w:sz w:val="24"/>
                <w:szCs w:val="24"/>
                <w:highlight w:val="white"/>
              </w:rPr>
              <w:t>запада на восток участок пересекает газопровод</w:t>
            </w:r>
            <w:r>
              <w:rPr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white"/>
              </w:rPr>
            </w:pPr>
            <w:r>
              <w:rPr>
                <w:color w:themeColor="accent3" w:themeShade="bf" w:val="auto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сведениям, содержащимся в ЕГРН, ГПЗУ </w:t>
              <w:br/>
              <w:t xml:space="preserve">и справке по градостроительным условиям участка </w:t>
              <w:br/>
              <w:t xml:space="preserve">от 18.06.2026 № 683919 Участок полностью расположен </w:t>
              <w:br/>
              <w:t>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accent1" w:themeShade="bf"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приаэродромная территория аэродрома аэропорта Большое Савино, реестровый номер 59:32-6.553;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1" w:themeShade="bf"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частично охранная зона газопровода низкого давления, реестровый номер 59:01-6.5086, площадью 62 кв.м;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 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 постановлением Правительства РФ от 20.11.2000 № 878 «Об утверждении Правил охраны газораспределительных сетей».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Размещение объекта необходимо предусматривать строго за пределами охранных зон сетей в соответствии норм, указанных в таблице 12.5 СП 42.13330.2016 «Градостроительство планировка и застройка городских и сельских поселений» (актуализированная редакция СНиП 2.07.01-89*), утвержденных Приказом Минстроя от 30 декабря 2016 г. № 1034/пр.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</w:rPr>
              <w:t>Необходимо соблюдать ограничения в использовании объекта недвижимости в границах охранной зоны газопровода низкого давления, предусмотренные постановлением Правительства и статьей 56 Земельного кодекса Российской Федерации.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На Участке произрастает 21 дерево: береза 18 шт., черемуха 2 шт., яблоня 1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08.09.2025 № 278.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у</w:t>
            </w:r>
            <w:r>
              <w:rPr>
                <w:b/>
                <w:color w:val="auto"/>
                <w:sz w:val="24"/>
                <w:szCs w:val="24"/>
              </w:rPr>
              <w:t>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08.09.2025 № 059-33-01-10/3-613).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</w:rPr>
              <w:t>Для примыкания Участка к улично-дорожной сети города Перми необходимо выполнить условия, указанные в письме.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</w:rPr>
              <w:t>Также направлена информация о соблюдении Правил благоустройства территории города Перми, утвержденных решением Пермской городской Думы от 15.12.2020 № 277, при строительстве объектовнедвижимости на земельных участках, предоставленных на торгах.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 xml:space="preserve">в интересах которых осуществляются строительство, реконструкция, капитальный ремонт, ремонт пересечений </w:t>
              <w:br/>
              <w:t>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 от 29.08.2025 № 059-24-01-36/3-3128).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Источник противопожарного водоснабжения (пожарный резервуар) построен в 2024-2025 годах в радиусе 200 метров по адресу: ул. Токарная напротив дома № 39.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Информация о подразделениях пожарной охраны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Волховская, 37 (ПСЧ - 57 10- 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Объекты общественной безопасности, отнесенные к объектам полиции (участковые пункты полиции), в данном микрорайоне (Чапаево)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Ближайший участковый пункт расположен по адресу: г. Пермь, ул. Переулок Талицкий, 8, (микрорайон Кислотные Дачи, Орджоникидзевский района). 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По информации, предоставленной Министерством территориальной безопасности Пермского края (письмо </w:t>
              <w:br/>
              <w:t>от 07.10.2020 № 964с), рассматриваемый земельный участок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Указанный земельный участок находится в зоне действия системы оповещения населения города Перми, установленной по ул. Ольховская, 2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28.08.2025 № 059-10-01-27/3-1859).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ind w:firstLine="425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</w:t>
            </w:r>
            <w:r>
              <w:rPr>
                <w:b/>
                <w:bCs/>
                <w:color w:val="auto"/>
                <w:sz w:val="24"/>
                <w:szCs w:val="24"/>
              </w:rPr>
              <w:t>предусмотрено</w:t>
            </w:r>
            <w:r>
              <w:rPr>
                <w:color w:val="auto"/>
                <w:sz w:val="24"/>
                <w:szCs w:val="24"/>
              </w:rPr>
              <w:t xml:space="preserve"> строительство сетей водоснабжения и водоотведения в мкр. Чапаевский, мероприятие финансированием не обеспечено.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29.08.2025 № 059-04-17/3-798-ри).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40" w:left="85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r>
              <w:rPr>
                <w:sz w:val="24"/>
                <w:szCs w:val="24"/>
              </w:rPr>
              <w:t>www.gorodperm.ru.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 xml:space="preserve"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</w:t>
              <w:br/>
              <w:t>или несколько (общую комнату или гостиную, спальню),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val="auto"/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спальни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); кухни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val="auto"/>
                <w:sz w:val="24"/>
                <w:szCs w:val="24"/>
              </w:rPr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с наклонными ограждающими конструкциями или </w:t>
              <w:br/>
              <w:t>в мансардном этаже, допускается уменьшение высоты помещений (от пола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минимальный отступ от границ Участка до места допустимого размещения зданий, строений </w:t>
              <w:br/>
              <w:t>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highlight w:val="white"/>
              </w:rPr>
            </w:pPr>
            <w:r>
              <w:rPr>
                <w:color w:val="auto"/>
                <w:sz w:val="24"/>
              </w:rPr>
              <w:t>м</w:t>
            </w:r>
            <w:r>
              <w:rPr>
                <w:color w:val="auto"/>
                <w:sz w:val="24"/>
                <w:highlight w:val="white"/>
              </w:rPr>
              <w:t>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документации по планировке территории, утвержденной постановлением администрации города Перми от 23.12.2015 № 1102, предельная высота жилой застройки – до 10,5 метров.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5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bidi w:val="0"/>
              <w:spacing w:before="0" w:after="0"/>
              <w:ind w:firstLine="283" w:left="113" w:right="113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1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Порядок технологического присоединения </w:t>
              <w:br/>
              <w:t xml:space="preserve"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</w:t>
              <w:br/>
              <w:t>от 27.12.2004 № 861 (далее – Правила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технических условий и заключения договора на технологическое присоединении необходимо подать через единый портал электросетевых услуг группы компаний «Россети» па сайте: https://nopтал —тп.рф, через Мобильное приложение ПAO «Росеети» или при очном приёме в Центре обслуживания клиентов филиала «Россети Урал» -«Пермэнерго» по адресу: г. Пермь, ул. Камчатовская, д. 26, а также почтовым отправлением по адресу: 614016, г. Пермь, </w:t>
              <w:br/>
              <w:t>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филиала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val="auto"/>
                <w:sz w:val="24"/>
                <w:szCs w:val="24"/>
              </w:rPr>
              <w:t>городские электрические сети»</w:t>
            </w:r>
            <w:r>
              <w:rPr>
                <w:color w:val="auto"/>
                <w:sz w:val="24"/>
                <w:szCs w:val="24"/>
              </w:rPr>
              <w:t xml:space="preserve">  от 28.08.2025 № ПЭ/ПГЭС/22/357).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Участок расположен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Для запроса информации о возможности подключения земельного участка рекомендуется обратиться 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01.09.2025 № 51000-32-03146).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отсутствует. Рекомендовано рассмотреть альтернативный источник теплоснабжения – электричество, газ, дрова, пеллеты.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04.09.2025 № 059-04-25/3-160-ри).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6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определения месторасположения газораспределительных сетей на интересуемом земельном участке необходимо направить в адрес Филиала </w:t>
              <w:br/>
              <w:t>в г. Пермь AO «Газпром газораспределение Пермь» инженерно—топографический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17.09.2025 № ПФ-6613).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Ближайшей точкой подключения к сетям водоснабжения, эксплуатируемой ООО «НОВОГОР-Прикамье» является водовод Д-1000 мм внутри квартала, ориентировочное расстояние от земельного участка - 280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Ближайшей точкой подключения к сетям водоотведения, эксплуатируемой ООО «НОВОГОР-Прикамье» является уличная сеть канализации Д-200 мм по ул. Липовая, ориентировочное расстояние </w:t>
              <w:br/>
              <w:t>от земельного участка - 1,4 км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При проектировании может быть применен альтернативный способ водоснабжения без подключения к централизованной системе водоснабжения (от скважины)  и альтернативный способ канализования, без подключения к централизованной системе канализации г. Перми (отвод стоков на локальные очистные сооружения, канализование объекта </w:t>
              <w:br/>
              <w:t>в выгребную яму с последующим вывозом стоков спец. машинами),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ООО «НОВОГОР - 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водоснабжения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lang w:val="ru-RU" w:eastAsia="ru-RU" w:bidi="ru-RU"/>
              </w:rPr>
              <w:t>Кроме того, ООО «НОВОГОР-Прикамье» не располагает сведениями о наличии сетей 3-х лиц в границах Участка.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29.08.2025 № 110-13240).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val="ru-RU" w:eastAsia="ru-RU" w:bidi="ru-RU"/>
              </w:rPr>
            </w:pPr>
            <w:r>
              <w:rPr>
                <w:color w:val="auto"/>
                <w:sz w:val="24"/>
                <w:szCs w:val="24"/>
                <w:lang w:val="ru-RU" w:eastAsia="ru-RU" w:bidi="ru-RU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к узлу ВОЛС (г. Пермь, ул. Кронита, д. 8), максимальную нагрузку в точке подключения (технологического присоединения) необходимо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В границах Участка сети ПАО «Ростелеком»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Cs w:val="24"/>
              </w:rPr>
              <w:t xml:space="preserve">Для получения технических условий на подключение </w:t>
              <w:br/>
              <w:t xml:space="preserve">к сетям связи необходимо обратиться в Отдел продаж </w:t>
              <w:br/>
              <w:t>и обслуживания по адресу: г. Пермь, ул. Крупской, 2, тел.:(342) 235-57-34 или направить запрос на perm-mail@ural.rt.ru.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29.08.2025 № 01/05/126257/25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right="-263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>По условиям пункта 4.1 проекта договора купли-продажи земельного участка, приобретаемого на торгах в форме аукциона (Приложение 3 к настоящему извещению),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победитель аукциона, иное лицо, с которым договор заключается в соответствии с п.13, п.14, п. 20 или п. 25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 протокола о результатах аукциона, 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</w:t>
            </w:r>
            <w:r>
              <w:rPr>
                <w:sz w:val="24"/>
                <w:szCs w:val="24"/>
                <w:shd w:fill="auto" w:val="clear"/>
              </w:rPr>
              <w:t>за земельный участок (за вычетом задатка, внесенного для участия в аукционе) на счет департамента земельных отношений администрации города Перми, 614015, ул. Сибирская,15, тел. 212-61-90 (отдел договоров), реквизиты которого указаны в проекте договора купли-продажи земельного участка (Приложение 3 к настоящему извещению)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1 924 400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«Шаг аукциона» (5% от начальной цены предмета аукциона)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96 220 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Форма заявки на участие 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</w:t>
              <w:br/>
              <w:t xml:space="preserve">о государственной регистрации юридического лица </w:t>
              <w:br/>
              <w:t>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Размер задатка (50% от 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962 200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06.12.2024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купли-продажи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приобретаемого на торгах в форме аукциона, является Приложением 3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7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осмотра земельного участка на местности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right="-263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b/>
          <w:lang w:val="en-US"/>
        </w:rPr>
        <w:t>Лот № 3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265"/>
        <w:gridCol w:w="6864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/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Администрация города Перми, распоряжение начальника департамента земельных отношений администрации города Перми</w:t>
            </w:r>
            <w:r>
              <w:rPr>
                <w:sz w:val="20"/>
                <w:szCs w:val="24"/>
              </w:rPr>
              <w:t xml:space="preserve"> </w:t>
            </w:r>
            <w:r>
              <w:rPr>
                <w:sz w:val="24"/>
                <w:szCs w:val="28"/>
              </w:rPr>
              <w:t>от  23 декабря 2024 г. № 21-01-03-11696 «О проведении аукциона по продаже земельного участка в Орджоникидзевском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Северная, з/у 4л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/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600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/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59:01:3610003:141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муниципальная собственность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Ж-5 «Зона индивидуальной усадебной жилой застройки»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12.03.2026г.           № КУВИ-001/2026-32832264</w:t>
            </w:r>
            <w:r>
              <w:rPr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от 05.12.2024 № РФ-59-2-03-0-00-2024-2567-0 (далее – ГПЗУ) (приложение 6 к настоящему извещению).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В соответствии со сведениями из ЕГРН и копией планшета М 1:500 (требующего корректуры) в границах Участка объекты капитального строительства отсутствуют.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При визуальном осмотре установлено, что ничем не огорожен, доступ не ограничен. Состояние рельефа земельного участка - сильный уклон. На земельном участке произрастают низкорослые кустарники, лиственные и хвойные деревья. Объекты капитального/некапитального строительства отсутствуют. Подход/подъезд к Участку ниже уровня земельного участка.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  <w:u w:val="none"/>
              </w:rPr>
              <w:t xml:space="preserve">Согласно сведениям, предоставленным отделением надзорной деятельности и профилактической работы </w:t>
              <w:br/>
              <w:t xml:space="preserve">г. Перми по Орджоникидзевскому району 1 ОНПР </w:t>
              <w:br/>
              <w:t>по городу Перми УНПР Главного управления МЧС России по Пермскому краю, близлежащий пожарный гидрант расположен по адресу: Пермский край, г. Пермь, Орджоникидзевский район, ул. Ленина, 10.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</w:rPr>
              <w:t>администрации Орджоникидзевского района города Перми</w:t>
            </w:r>
            <w:r>
              <w:rPr>
                <w:sz w:val="24"/>
                <w:szCs w:val="24"/>
              </w:rPr>
              <w:t xml:space="preserve"> </w:t>
              <w:br/>
              <w:t>от 04.02.2026 № 059-37-01-32/3-544, в акте обследования от 04.02.2026 № 5).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Согласно сведениям, содержащимся в ГПЗУ, ЕГРН                       и справке по градостроительным условиям от 12.03.2026                  № 669093, Участок расположен в границах зон </w:t>
              <w:br/>
              <w:t>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в зоне санитарной охраны Чусовского узла водозаборов               (II пояс), реестровый номер границы 59:00-6.649;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в зоне санитарной охраны Чусовского узла водозаборов             (III пояс), реестровый номер границы 59:00-6.649.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Проектирование и строительство вести в соответствии с постановлением Главного государственного санитарного врача РФ от 14.03.2002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2.1.4.1110-02»;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в части водоохранной зоны Камского водохранилища, реестровый номер границы 59:01-6.1326;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в части прибрежной защитной полосы Камского водохранилища, реестровый номер границы 59:01-6.4321.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/>
              <w:t>Проектирование и строительство вести в соответствии со ст. 65 Водного кодекса Российской Федерации от 03 июня 2006 года № 74-ФЗ.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На Участке произрастает 11 деревьев пород – ива 2 шт., черемуха 2 шт., рябина 3 шт., береза 4 шт.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Победителю аукциона необходимо соблюдать условия строительства, перечисленные в перечне мероприятий по охране окружающей среды от 20.12.2024 № 278.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sz w:val="24"/>
                <w:szCs w:val="24"/>
              </w:rPr>
              <w:t xml:space="preserve"> от 20.12.2024 № 059-33-01-10/3-845).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На территории, где расположен Участок, на период до 2028 года схемами не предусмотрено строительство сетей водоснабжения и водоотведения. Для определения технической возможности подключения объекта капитального строительства к сетям водоснабжения и водоотведения необходимо обратиться к гарантирующей организации для проведения гидравлического расчета.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sz w:val="24"/>
                <w:szCs w:val="24"/>
              </w:rPr>
              <w:t xml:space="preserve">департамента жилищно-коммунального хозяйства администрации города Перми  </w:t>
            </w:r>
            <w:r>
              <w:rPr>
                <w:sz w:val="24"/>
                <w:szCs w:val="24"/>
              </w:rPr>
              <w:t xml:space="preserve"> от 04.12.2024 № 059-04-17/3-1198-ри).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</w:rPr>
              <w:t>Бюджетом города Перми на 2024 год и плановый период 2025-2026 годов мероприятия по строительству, реконструкции, капитальному ремонту улично-дорожной сети на Участке не предусмотрены.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Для примыкания Участка к улично-дорожной сети города Перми необходимо выполнить условия, указанные в письме.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Также направляется информация о необходимости соблюдения Правил благоустройства территории города Перми, утвержденных решением Пермской городской Думы от 15.12.2020 № 277, при строительстве объектов недвижимости на земельных участках, предоставленных на торгах.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В соответствии с Федеральным законом от 08.11.2007 № 257, расходы на строительства, реконструкцию, капитальный ремонт, ремонт пересечений и примыканий, в том числе расходы на выполнение дополнительных работ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осуществляется строительство, реконструкция, капитальный ремонт, ремонт пересечений </w:t>
              <w:br/>
              <w:t>или примыканий.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sz w:val="24"/>
                <w:szCs w:val="24"/>
              </w:rPr>
              <w:t xml:space="preserve"> от 28.11.2024 № 059-24-01-36/3-4320).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Ближайшее подразделение пожарной охраны расположено по адресу: ул. Васнецова, 7 (ПСЧ-7 10-ПСО);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объекты общественной безопасности, отнесенные </w:t>
              <w:br/>
              <w:t xml:space="preserve">к объектам полиции (участковые пункты полиции) </w:t>
              <w:br/>
              <w:t>в данном микрорайоне (Голованово) отсутствуют. Ближайший участковый пункт расположен по адресу: г. Пермь, ул. Бенгальская, д. 6, (микрорайон Бумкомбинат, Орджоникидзевского района). 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На данной территории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размещение сиренно-речевых узлов.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При размещении объектов на вышеуказанной территории необходимо соблюдать нормы и требования действующего законодательства: Федеральных законов от 21.12.1994 № 69-ФЗ «О пожарной безопасности» и от 22.07.2008 № 123-ФЗ «Технический регламент о требованиях пожарной безопасности».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sz w:val="24"/>
                <w:szCs w:val="24"/>
              </w:rPr>
              <w:t xml:space="preserve"> от 27.11.2024 № 059-10-01-27/3-1974).</w:t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r>
              <w:rPr>
                <w:sz w:val="24"/>
                <w:szCs w:val="24"/>
              </w:rPr>
              <w:t>www.gorodperm.ru.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(ред. от 17.05.2023):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санузел, переднюю.</w:t>
            </w:r>
          </w:p>
          <w:p>
            <w:pPr>
              <w:pStyle w:val="Normal"/>
              <w:spacing w:lineRule="auto" w:line="240" w:before="0" w:after="0"/>
              <w:ind w:firstLine="459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– 14 м2, общей комнаты в доме с числом комнат две и более – 16 м2, спальни – 8 м2 (на двух человек – 10 м2); кухни – 8 м2; кухонной зоны в кухне-столовой – 6 м2. В домах с одной комнатой допускается проектировать кухни или кухни-ниши площадью не менее 5 м2. Площадь спальни и кухни в мансардном этаже (или этаже с наклонными ограждающими конструкциями) допускается не менее 7 м2 при условии, что общая жилая комната имеет площадь не менее 16 м2.</w:t>
            </w:r>
          </w:p>
          <w:p>
            <w:pPr>
              <w:pStyle w:val="Normal"/>
              <w:spacing w:lineRule="auto" w:line="240" w:before="0" w:after="0"/>
              <w:ind w:firstLine="459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Согласно пункту 6.2 СП 55.13330.2016 высота (от пола до потолка) комнат и кухни (кухни-столовой) в климатических районах строительства IА, IБ, IГ, IД, определяемых по СП 131.13330, должна быть не менее 2,7 м, а в других климатических районах строительства – не менее 2,5 м. Высота внутридомовых коридоров, холлов, передних, антресолей должна составлять не менее 2,1 м, а высота пути эвакуации – не менее 2,2 м.</w:t>
            </w:r>
          </w:p>
          <w:p>
            <w:pPr>
              <w:pStyle w:val="Normal"/>
              <w:spacing w:lineRule="auto" w:line="240" w:before="0" w:after="0"/>
              <w:ind w:firstLine="459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В жилых комнатах и кухнях, расположенных в этажах с наклонными ограждающими конструкциями или в мансардном этаже, допускается уменьшение высоты помещений (от поладо потолка), относительно нормируемой на площади, не превышающей 50%.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</w:rPr>
              <w:t>Согласно информации, содержащейся в ГПЗУ, предельная высота зданий, строений  не более 10,5 м (документация по планировке территории, утвержденная постановлением администрации города Перми от 22.12.2017 № 1178).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</w:rPr>
              <w:t>Минимальный отступ от границ земельного участка до места допустимого размещения зданий, строений, сооружений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смежных земельных участков при блокированной жилой застройке) – 3 м.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</w:rPr>
              <w:t>Максимальный процент застройки в границах Участка – 40%.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/>
              <w:t>С уведомлением о планируемом строительстве жилого дома рекомендуется обратиться в уполномоченный орган администрации города Перми.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529"/>
              <w:rPr/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2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</w:rPr>
              <w:t>О наличии технической возможности технологического присоединения энергопринимающего устройства объекта с предполагаемым электоропотреблением 15 кВт, сообщается следующее.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0"/>
              </w:rPr>
              <w:t>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27.12.2004 № 861 (далее – Правила), конкретные технические условия на энергосбережение объекта разрабатываются в составе договора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0"/>
              </w:rPr>
              <w:t>Плата за технологическое присоединение энергопринимающих устройств устанавливается исходя из стоимости мероприятий по технологическому присоединению,  размер платы определяется по утвержденным тарифам согласно постановлению Министерства тарифного регулирования и энергетики Пермского края от 23.11.2023 № 121-тп (в последней редакции).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0"/>
              </w:rPr>
              <w:t>Электроснабжение объекта возможно будет осуществить при условии строительства питающей линии электропередачи 0,4 кВ на основании договора об осуществлении технологического присоединения объекта к электрическим сетям филиала «Пермэнерго».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sz w:val="24"/>
                <w:szCs w:val="24"/>
              </w:rPr>
              <w:t>фи</w:t>
            </w:r>
            <w:r>
              <w:rPr>
                <w:b/>
                <w:sz w:val="24"/>
                <w:szCs w:val="24"/>
              </w:rPr>
              <w:t xml:space="preserve">лиала ПАО «Россети Урал» - «Пермэнерго» </w:t>
            </w:r>
            <w:r>
              <w:rPr>
                <w:sz w:val="24"/>
                <w:szCs w:val="24"/>
              </w:rPr>
              <w:t>(ранее – ОАО «МРСК Урала – филиал Пермэнерго») от 10.12.2024 № ПЭ/ПГЭС/01/22/13767</w:t>
            </w:r>
            <w:r>
              <w:rPr>
                <w:b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</w:rPr>
              <w:t>Техническая возможность подключения объекта капитального строительства с предполагаемой максимальной нагрузкой (часовым расходом газа) 8м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sz w:val="24"/>
                <w:szCs w:val="24"/>
              </w:rPr>
              <w:t>АО «Газпром газораспределение Пермь»</w:t>
            </w:r>
            <w:r>
              <w:rPr>
                <w:sz w:val="24"/>
                <w:szCs w:val="24"/>
              </w:rPr>
              <w:t xml:space="preserve"> от 29.11.2024 № ПФ-7861).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О наличии технической возможности подключения объекта капитального строительства с планируемой величиной подключаемой нагрузки по водоснабжению и водоотведению – 1,0 м3/сут. к централизованным системам водоснабжения и водоотведения сообщается следующее.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</w:rPr>
              <w:t>Ближайшей точкой подключения к сетям водоснабжения эксплуатируемой ООО «НОВОГОР-Прикамье» является водовод Д-63 мм по ул. Зеленая, ул. Северная.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sz w:val="24"/>
                <w:szCs w:val="24"/>
              </w:rPr>
              <w:t xml:space="preserve">ООО «НОВОГОР-Прикамье» </w:t>
            </w:r>
            <w:r>
              <w:rPr>
                <w:sz w:val="24"/>
                <w:szCs w:val="24"/>
              </w:rPr>
              <w:t>от 28.11.2024 № 110-19528).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Участок расположен вне зоны теплоснабжения ПАО                  «Т Плюс».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Для запроса информации о возможности подключения земельного участка рекомендуется обратиться 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bCs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илиала «Пермский ПАО «Т Плюс»</w:t>
            </w:r>
            <w:r>
              <w:rPr>
                <w:sz w:val="24"/>
                <w:szCs w:val="24"/>
              </w:rPr>
              <w:t xml:space="preserve"> от 06.12.2024 № 51000-32-04378).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</w:rPr>
              <w:t>Те</w:t>
            </w:r>
            <w:r>
              <w:rPr>
                <w:sz w:val="24"/>
                <w:szCs w:val="24"/>
              </w:rPr>
              <w:t>хническая возможность подключения к сетям теплоснабжения отсутствует. Рекомендовано рассмотреть альтернативный источник теплоснабжения – газ, дрова, пеллеты.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sz w:val="24"/>
                <w:szCs w:val="24"/>
              </w:rPr>
              <w:t xml:space="preserve"> от 18.12.2024 № 059-04-25/3-152-ри).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Техническое присоединение планируемых к строительству объектов в границах Участка может быть произведено в точке подключения – узел ВОЛС (г. Пермь, ул. Бенгальская, 14А),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Cs w:val="24"/>
              </w:rPr>
              <w:t>Для подключения (технологического присоединения) вышеуказанных объектов к сетям электросвязи 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</w:rPr>
              <w:t>ПАО «Ростелеком»</w:t>
            </w:r>
            <w:r>
              <w:rPr>
                <w:sz w:val="24"/>
                <w:szCs w:val="24"/>
              </w:rPr>
              <w:t xml:space="preserve"> от 04.12.2024 № 01/05/187729/24).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right="-263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>По условиям пункта 4.1 проекта договора купли-продажи земельного участка, приобретаемого на торгах в форме аукциона (Приложение 5 к настоящему извещению),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>победитель аукциона, иное лицо, с которым договор заключается в соответствии с п.13, п.14, п. 20 или п. 25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 протокола о результатах аукциона, 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</w:t>
            </w:r>
            <w:r>
              <w:rPr>
                <w:sz w:val="24"/>
                <w:szCs w:val="24"/>
                <w:shd w:fill="auto" w:val="clear"/>
              </w:rPr>
              <w:t>за земельный участок (за вычетом задатка, внесенного для участия в аукционе) 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купли-продажи земельного участка (Приложение 5 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496 272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«Шаг аукциона» (5% от начальной цены 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24 813,6 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Форма заявки на участие 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Размер задатка (50% от 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248 136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12.11.2024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Проект договора купли-продажи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приобретаемого на торгах в форме аукциона,  является Приложением 5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7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/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b/>
          <w:lang w:val="en-US"/>
        </w:rPr>
        <w:t>Лот № 4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265"/>
        <w:gridCol w:w="6864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/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Администрация города Перми, распоряжение начальника департамента земельных отношений администрации города Перми</w:t>
            </w:r>
            <w:r>
              <w:rPr>
                <w:sz w:val="20"/>
                <w:szCs w:val="24"/>
              </w:rPr>
              <w:t xml:space="preserve"> </w:t>
            </w:r>
            <w:r>
              <w:rPr>
                <w:sz w:val="24"/>
                <w:szCs w:val="28"/>
                <w:highlight w:val="white"/>
              </w:rPr>
              <w:t>от 30 сентября 2024 г. № 21-01-03-8652 «О проведении аукциона по продаже земельного участка  в Орджоникизевском районе города Перми», от 25 февраля 2025 г.                               № 21-01-03-1567 «О внесении изменений в пункт 1 распоряжения начальника департамента земельных отношений администрации города Перми от 30 сентября 2024 г. № 21-01-03-8652 «О проведении аукциона по продаже земельного участка  в Орджоникидзевском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г.о. Пермский, г. Пермь, ул. Мачтовая, з/у 29б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/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750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/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59:01:2512464:185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 (2.1)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Ж-6 «Зона индивидуальной жилой застройки, ориентированной</w:t>
            </w:r>
          </w:p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на природно-рекреационный каркас»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31.08.2026г.                  № КУВИ-001/2026-117145462</w:t>
            </w:r>
            <w:r>
              <w:rPr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от 28.08.2026 № РФ-59-2-03-0-00-2026-2380-0 (далее – ГПЗУ) (приложение 8 к настоящему извещению).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Состояние рельефа ровное. Доступ (подход/подъезд) на Участок не ограничен. На Участке произрастают кустарники и многолетние лиственные и хвойные деревья. В границе видимости объекты капитального/некапитального строительства отсутствуют.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Согласно сведениям, предоставленным отделением надзорной деятельности и профилактической работы </w:t>
              <w:br/>
              <w:t xml:space="preserve">г. Перми по Орджоникидзевскому району 1 ОНПР </w:t>
              <w:br/>
              <w:t>по городу Перми УНПР Главного управления МЧС России по Пермскому краю, близлежащий пожарный водоем, относительно вышеуказанного земельного участка, расположен по адресу: Пермский край, г. Пермь, Орджоникидзевский район (сев. широта: 58.1511782, вост. долгота: 56.3105944), близлежащие пожарные гидранты, относительно вышеуказанного земельного участка, расположены по адресу: Пермский край, г. Пермь, Орджоникидзевский район (сев. широта: 58.1529218, вост. долгота: 56.3089215), (сев. широта: 58.1521872, вост. долгота: 56.3098362), (сев. широта: 58.1517342, вост. долгота: 56.3100951), (сев. широта: 58.1509649, вост. Долгота: 56.3104866).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0" w:name="undefined"/>
            <w:bookmarkEnd w:id="0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администрации Орджоникидзевского района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10.08.2026 № 059-37-01-32/3-4718, в акте обследования от 09.08.2026 № 73).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Согласно сведениям, содержащимся в ЕГРН, ГПЗУ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  <w:br/>
              <w:t xml:space="preserve">и справке по градостроительным условиям участка </w:t>
              <w:br/>
              <w:t>от 31.08.2026 № 692343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</w:rPr>
              <w:t>сведения о расположении Участка в границах зон с особыми условиями использования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Согласно геодезической съемке 2023 года в границах Участка расположена сеть электроснабжения, сведения </w:t>
              <w:br/>
              <w:t>о которой отсутствуют в ЕГРН. По границе Участка находятся 2 металлические трубы.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Размещение объекта необходимо предусматривать строго за пределами охранных зон сетей электроснабжения в соответствии норм СП 42.13330.2016 «Градостроительство. Планировка и застройка городских и сельских поселений».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pacing w:val="0"/>
                <w:sz w:val="24"/>
                <w:szCs w:val="24"/>
              </w:rPr>
              <w:t>При проектировании и строительстве необходимо учитывать требования 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На Участке произрастают 50 деревьев пород «ива», «береза», «рябина», а также 15 шт. кустарников лиственных пород.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Восстановительная стоимость сносимых зеленых насаждений в ценах 2026 года: одного лиственного дерева от 40 тыс. руб., хвойной – от 50 тыс. руб.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</w:rPr>
              <w:t xml:space="preserve">Победителю аукциона необходимо соблюдать условия строительства, перечисленные в перечне мероприятий </w:t>
              <w:br/>
              <w:t>по охране окружающей среды от 04.08.2026 № 176.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1" w:name="undefined_Копия_1"/>
            <w:bookmarkEnd w:id="1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  <w:highlight w:val="white"/>
              </w:rPr>
              <w:t>у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правления по экологии и природопользованию администрации города Перми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от 04.08.2026 № 059-33-01-10/3-446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TableParagraph"/>
              <w:tabs>
                <w:tab w:val="clear" w:pos="708"/>
                <w:tab w:val="left" w:pos="2172" w:leader="none"/>
                <w:tab w:val="left" w:pos="2951" w:leader="none"/>
                <w:tab w:val="left" w:pos="4109" w:leader="none"/>
                <w:tab w:val="left" w:pos="4239" w:leader="none"/>
              </w:tabs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</w:t>
              <w:br/>
              <w:t xml:space="preserve">на территории индивидуальной жилой застройки </w:t>
              <w:br/>
              <w:t>в мкр. Заозерье.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2" w:name="undefined_Копия_2"/>
            <w:bookmarkEnd w:id="2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04.08.2026 № 059-04-17/3-621-ри).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966, </w:t>
              <w:br/>
              <w:t>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Программой комплексного развития транспортной инфраструктуры города Перми на 2025-2043 годы, утвержденной Решением Пермской городской Думы </w:t>
              <w:br/>
              <w:t>от 16.12.2025 № 238, мероприятия по строительству, реконструкции, капитальному ремонту улично-дорожной сети на рассматриваемой территории также не предусмотрены.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Для примыкания Участка к улично-дорожной сети города Перми необходимо выполнить условия, указанные в указанном письме.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Дополнительно направляется информация о соблюдении Правил благоустройства территории города Перми, утвержденных решением Пермской городской Думы от 15.12.2020 № 277.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</w:t>
              <w:br/>
              <w:t>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3" w:name="undefined_Копия_3"/>
            <w:bookmarkEnd w:id="3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31.07.2026 № 059-24-01-36/3-2499).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/>
            </w:pPr>
            <w:r>
              <w:rPr>
                <w:sz w:val="24"/>
                <w:szCs w:val="24"/>
              </w:rPr>
              <w:t>Источники противопожарного водоснабжения (пожарные гидранты на сети водоснабжения) расположены по адресу: ул. Трясолобовая, 1б.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/>
            </w:pPr>
            <w:r>
              <w:rPr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/>
            </w:pPr>
            <w:r>
              <w:rPr>
                <w:sz w:val="24"/>
                <w:szCs w:val="24"/>
              </w:rPr>
              <w:t>Подразделение пожарной охраны расположено по адресу: ул. Васнецова, 4 (ПСЧ-7 10-ПСО).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/>
            </w:pPr>
            <w:r>
              <w:rPr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/>
            </w:pPr>
            <w:r>
              <w:rPr>
                <w:sz w:val="24"/>
                <w:szCs w:val="24"/>
              </w:rPr>
              <w:t>Близлежащий объект общественной безопасности, отнесенный к объектам полиции (участковый пункт полиции) расположен по адресу: г. Пермь, ул. Трясолобова, 98 (Орджоникидзевский район). 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/>
            </w:pPr>
            <w:r>
              <w:rPr/>
              <w:t>Данная территория находится в зоне действия региональной системы оповещения населения города Перми, установленной по адресу: ул. Радистов, д. 13 – 1500 метров.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4" w:name="undefined_Копия_4"/>
            <w:bookmarkEnd w:id="4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департамента общественной безопасности администрации города Перми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от 29.07.2026 № 059-10-01-27/3-1114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r>
              <w:rPr>
                <w:sz w:val="24"/>
                <w:szCs w:val="24"/>
              </w:rPr>
              <w:t>www.gorodperm.ru.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ГПЗУ: Минимальный отступ от границ земельного участка – 3 м, до места допустимого размещения зданий, строений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Максимальный процент застройки – 30 %.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застройки. В случае если в границах территориальной зоны предусматривается осуществление деятельности по комплексному развитию территории, расчет показателей минимально допустимого уровня обеспеченности территории объектами коммунальной, транспортной, социальной инфраструктур и расчет показателей максимально допустимого уровня территориальной доступности указанных объектов для населения осуществляются в соответствии с утвержденными нормативами градостроительного проектирования.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В соответствии с документацией по планировке территории, утвержденной постановлением администрации города Перми </w:t>
            </w:r>
            <w:r>
              <w:rPr>
                <w:sz w:val="24"/>
                <w:szCs w:val="24"/>
                <w:highlight w:val="white"/>
              </w:rPr>
              <w:t>от 23.12.2016 № 1159, возможная предельная высота жилой застройки – до 10,5 м.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Проектирование и строительство необходимо вести </w:t>
              <w:br/>
              <w:t xml:space="preserve"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(ред. от 17.05.2023): Дом должен включать жилые комнаты – одну или несколько (общую комнату </w:t>
              <w:br/>
              <w:t>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санузел, переднюю.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– 14 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, общей комнаты в доме с числом комнат две и более – 16 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, спальни – 8 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(на двух человек – 10 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); кухни – 8 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; кухонной зоны в кухне-столовой – 6 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. В домах с одной комнатой допускается проектировать кухни или кухни-ниши площадью не менее 5 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. Площадь спальни и кухни в мансардном этаже (или этаже </w:t>
              <w:br/>
              <w:t>с наклонными ограждающими конструкциями) допускается не менее 7 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при условии, что общая жилая комната имеет площадь не менее 16 м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</w:t>
              <w:br/>
              <w:t xml:space="preserve">в климатических районах строительства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А,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Б,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Г,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Д, определяемых по СП 131.13330, должна быть не менее </w:t>
              <w:br/>
              <w:t xml:space="preserve">2,7 м, а в других климатических районах строительства – не менее 2,5 м. Высота внутридомовых коридоров, холлов, передних, антресолей должна составлять не менее 2,1 м, </w:t>
              <w:br/>
              <w:t>а высота пути эвакуации – не менее 2,2 м.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жилых комнатах и кухнях, расположенных в этажах </w:t>
              <w:br/>
              <w:t xml:space="preserve">с наклонными ограждающими конструкциями </w:t>
              <w:br/>
              <w:t>или в мансардном этаже, допускается уменьшение высоты помещений (от пола до потолка), относительно нормируемой на площади, не превышающей 50%.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Droid Sans Fallback" w:cs="Lohit Devanagari"/>
                <w:color w:themeColor="text1" w:val="000000"/>
                <w:sz w:val="24"/>
                <w:szCs w:val="24"/>
                <w:highlight w:val="white"/>
                <w:lang w:val="ru-RU" w:eastAsia="zh-CN" w:bidi="ar-SA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529"/>
              <w:rPr/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3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Наличие технической возможности технологического присоединения энергопринимающих устройств объектов с присоединяющей мощностью 15кВт.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В соответствии с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«Правилами технологического присоединения.энергопринимающих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</w:t>
            </w:r>
            <w:r>
              <w:rPr>
                <w:color w:themeColor="text1" w:val="000000"/>
                <w:sz w:val="24"/>
                <w:szCs w:val="24"/>
              </w:rPr>
              <w:t>утвержденными постановлением Правительства Российской Федерации от 27.12.2004 № 861 (далее – Правила), конкретные технические условия на энергоснабжение объекта будут разработаны в составе договора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Плата за технологическое присоединение энергопринимающих устройств устанавливается исходя из стоимости мероприятий по технологическому присоединению, размер платы определяется по утвержденным тарифам согласно постановлению РСТ Пермского края от 23.11.2023 №121-тп (в последней редакции).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Для заключения договора на технологическое присоединение необходимо представить письменную заявку с приложением необходимых документов и сведений, указанных в п.10 Правил.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Электроснабжение объектов, размещаемых на указанных площадках, возможно будет осуществить при условии строительства питающих линий электропередач 0,4 кВ на основании договора об осуществлении технологического присоединения объекта к электрическим сетям филиала «Пермэнерго» (при подготовке ГПЗУ необходимо предусмотреть трассы для строительства ЛЭП 0,4 кВ).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Подать заявку на технологическое присоединение возможно через единый федеральный портал электросетевых услуг группы компаний «Россети» на сайте: </w:t>
            </w:r>
            <w:hyperlink r:id="rId14" w:tgtFrame="https://портал">
              <w:r>
                <w:rPr>
                  <w:rStyle w:val="Hyperlink"/>
                  <w:color w:themeColor="text1" w:val="000000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Hyperlink"/>
                  <w:color w:themeColor="text1" w:val="000000"/>
                  <w:sz w:val="24"/>
                  <w:szCs w:val="24"/>
                </w:rPr>
                <w:t>://портал</w:t>
              </w:r>
            </w:hyperlink>
            <w:r>
              <w:rPr>
                <w:color w:themeColor="text1" w:val="000000"/>
                <w:sz w:val="24"/>
                <w:szCs w:val="24"/>
              </w:rPr>
              <w:t>-тп.рф или через Мобильное приложение ПАО «Россети»).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5" w:name="undefined_Копия_5"/>
            <w:bookmarkEnd w:id="5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ПАО «Россети Урал» – филиал «Пермэнерго»</w:t>
            </w:r>
            <w:r>
              <w:rPr>
                <w:color w:themeColor="text1" w:val="000000"/>
                <w:sz w:val="24"/>
                <w:szCs w:val="24"/>
              </w:rPr>
              <w:t xml:space="preserve"> от 22.08.2024 № ПЭ/ПГЭС/01/22/8890).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Участок расположен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6" w:name="undefined_Копия_6"/>
            <w:bookmarkEnd w:id="6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ПАО «Т Плюс»</w:t>
            </w:r>
            <w:r>
              <w:rPr>
                <w:color w:themeColor="text1" w:val="000000"/>
                <w:sz w:val="24"/>
                <w:szCs w:val="24"/>
              </w:rPr>
              <w:t xml:space="preserve"> от 23.08.2024 № 51000-32-02792).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yellow"/>
              </w:rPr>
            </w:pPr>
            <w:r>
              <w:rPr>
                <w:color w:themeColor="text1" w:val="000000"/>
                <w:sz w:val="24"/>
                <w:szCs w:val="24"/>
              </w:rPr>
              <w:t>Техническая возможность подключения объекта капитального строительства к сетям теплоснабжения отсутствует. Рекомендовано рассмотреть альтернативный источник теплоснабжения – газ, дрова, пеллеты.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7" w:name="undefined_Копия_7"/>
            <w:bookmarkEnd w:id="7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>департамента жилищно-коммунального хозяйства</w:t>
            </w:r>
            <w:r>
              <w:rPr>
                <w:color w:themeColor="text1" w:val="000000"/>
                <w:sz w:val="24"/>
                <w:szCs w:val="24"/>
              </w:rPr>
              <w:t xml:space="preserve"> от 11.09.2024 № 059-04-25/3-101-ри).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определения месторасположения газораспределительных сетей на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tabs>
                <w:tab w:val="clear" w:pos="708"/>
                <w:tab w:val="left" w:pos="1022" w:leader="none"/>
                <w:tab w:val="left" w:pos="2102" w:leader="none"/>
                <w:tab w:val="left" w:pos="2548" w:leader="none"/>
                <w:tab w:val="left" w:pos="4051" w:leader="none"/>
                <w:tab w:val="left" w:pos="4533" w:leader="none"/>
                <w:tab w:val="left" w:pos="5168" w:leader="none"/>
                <w:tab w:val="left" w:pos="6458" w:leader="none"/>
                <w:tab w:val="left" w:pos="7210" w:leader="none"/>
                <w:tab w:val="left" w:pos="7748" w:leader="none"/>
                <w:tab w:val="left" w:pos="8771" w:leader="none"/>
                <w:tab w:val="left" w:pos="9165" w:leader="none"/>
              </w:tabs>
              <w:spacing w:lineRule="auto" w:line="240" w:before="0" w:after="0"/>
              <w:ind w:firstLine="28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sz w:val="24"/>
                <w:szCs w:val="24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филиала в г. Пермь AO «Газпром газораспределение Пермь» (на электронную почту </w:t>
            </w:r>
            <w:r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</w:rPr>
              <w:t>ost@pf.ugaz.ru;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</w:t>
            </w:r>
            <w:r>
              <w:rPr>
                <w:sz w:val="24"/>
                <w:szCs w:val="24"/>
                <w:lang w:val="en-US"/>
              </w:rPr>
              <w:t>y</w:t>
            </w:r>
            <w:r>
              <w:rPr>
                <w:sz w:val="24"/>
                <w:szCs w:val="24"/>
              </w:rPr>
              <w:t>-ср с 8:00 до 17:00, чт с 11:00 до 20:00, пт с 8:00 до 16:00, вторая суббота месяца с 08:00 до 16:00). Заявку о заключении договора о подключении (технологическом присоединении) по типовой форме с пакетом документов в соответствии с п.11,16 Постановления Правительства 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8" w:name="undefined_Копия_8"/>
            <w:bookmarkEnd w:id="8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themeColor="text1" w:val="000000"/>
                <w:sz w:val="24"/>
                <w:szCs w:val="24"/>
              </w:rPr>
              <w:t xml:space="preserve"> от 27.08.2024 № ПФ-5552).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14"/>
              <w:ind w:firstLine="283"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текущую дату в микрорайоне «Заозерье» отсутствуют сети водопровода, эксплуатируемые ООО «НОВОГОР-Прикамье».</w:t>
            </w:r>
          </w:p>
          <w:p>
            <w:pPr>
              <w:pStyle w:val="14"/>
              <w:ind w:firstLine="283"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настоящее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время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сети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водоснабжения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микрорайона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«Заозерье»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эксплуатирует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MП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«Пермводоканал»,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которое,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постановлением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администрации г. Перми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24.07.2013 г.</w:t>
            </w:r>
            <w:r>
              <w:rPr>
                <w:spacing w:val="40"/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604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(ред.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14.12.2023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 1405)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«Об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определении гарантирующих организаций в сфере водоснабжения и водоотведения на территории города Перми», является гарантирующей организацией для централизованной системы холодного водоснабжения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микрорайоне «Заозерье».</w:t>
            </w:r>
          </w:p>
          <w:p>
            <w:pPr>
              <w:pStyle w:val="14"/>
              <w:ind w:firstLine="283"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Кроме того, в районе Участка отсутствуют сети канализации,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эксплуатируемые ООО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«НОВОГОР-Прикамье».</w:t>
            </w:r>
          </w:p>
          <w:p>
            <w:pPr>
              <w:pStyle w:val="14"/>
              <w:ind w:firstLine="283"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Альтернативным методом отвода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канализационных стоков могут быть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локальные очистные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cооружения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либо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выгребная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яма,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последующим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вывозом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стоков спец.машинами, при этом состав стоков должен соответствовать всем нормативным требованиям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Российской Федерации.</w:t>
            </w:r>
          </w:p>
          <w:p>
            <w:pPr>
              <w:pStyle w:val="14"/>
              <w:ind w:firstLine="283" w:left="0" w:righ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объектов необходимо предусматривать</w:t>
            </w:r>
            <w:r>
              <w:rPr>
                <w:spacing w:val="7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строго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пределами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охранных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зон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сетей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водопровода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канализации в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r>
              <w:rPr>
                <w:spacing w:val="80"/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нормами</w:t>
            </w:r>
            <w:r>
              <w:rPr>
                <w:spacing w:val="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CП,</w:t>
            </w:r>
            <w:r>
              <w:rPr>
                <w:spacing w:val="7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том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числе</w:t>
            </w:r>
            <w:r>
              <w:rPr>
                <w:spacing w:val="7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таблицей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12.5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CП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42.13330.2016 «Градостроительство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планировка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застройка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городских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сельских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поселений».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9" w:name="undefined_Копия_9"/>
            <w:bookmarkEnd w:id="9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ООО «НОВОГОР-Прикамье» </w:t>
            </w:r>
            <w:r>
              <w:rPr>
                <w:color w:themeColor="text1" w:val="000000"/>
                <w:sz w:val="24"/>
                <w:szCs w:val="24"/>
              </w:rPr>
              <w:t>от 29.08.2024 № 110-14272).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pacing w:val="-2"/>
                <w:sz w:val="24"/>
                <w:szCs w:val="24"/>
              </w:rPr>
            </w:pPr>
            <w:r>
              <w:rPr>
                <w:color w:themeColor="text1" w:val="000000"/>
                <w:spacing w:val="-2"/>
                <w:sz w:val="24"/>
                <w:szCs w:val="24"/>
              </w:rPr>
            </w:r>
          </w:p>
          <w:p>
            <w:pPr>
              <w:pStyle w:val="14"/>
              <w:spacing w:before="1" w:after="0"/>
              <w:ind w:firstLine="283"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Ближайшей точкой подключения к сетям водоснабжения, эксплуатируемым </w:t>
              <w:br/>
              <w:t>МП «Пермводоканал», является сеть водопровода Д-150 мм по ул. Трясолобова.</w:t>
            </w:r>
          </w:p>
          <w:p>
            <w:pPr>
              <w:pStyle w:val="14"/>
              <w:ind w:firstLine="283"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районе Участка отсутствуют централизованные сети водоотведения, эксплуатируемые МП «Пермводоканал».</w:t>
            </w:r>
          </w:p>
          <w:p>
            <w:pPr>
              <w:pStyle w:val="14"/>
              <w:ind w:firstLine="283" w:left="0" w:right="0"/>
              <w:jc w:val="both"/>
              <w:rPr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При проектировании может быть применен альтернативный способ водоотведения, без подключения к централизованной системе канализации г. Перми, с отводом канализационных стоков на локальные очистные сооружения, либо в канализационные колодцы-накопители, с последующим вывозом стоков специализированными машинами,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bookmarkStart w:id="10" w:name="undefined_Копия_10"/>
            <w:bookmarkEnd w:id="10"/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pacing w:val="-2"/>
                <w:sz w:val="24"/>
                <w:szCs w:val="24"/>
              </w:rPr>
              <w:t>МП «Пермводоканал»</w:t>
            </w:r>
            <w:r>
              <w:rPr>
                <w:color w:themeColor="text1" w:val="000000"/>
                <w:spacing w:val="-2"/>
                <w:sz w:val="24"/>
                <w:szCs w:val="24"/>
              </w:rPr>
              <w:t xml:space="preserve"> от 13.09.2024 № 059-04-ПВК-01-вн-523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right="-263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>По условиям пункта 4.1 проекта договора купли-продажи земельного участка, приобретаемого на торгах в форме аукциона (Приложение 7 к настоящему извещению),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>победитель аукциона, иное лицо, с которым договор заключается в соответствии с п.13, п.14, п. 20 или п. 25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 протокола о результатах аукциона, 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</w:t>
            </w:r>
            <w:r>
              <w:rPr>
                <w:sz w:val="24"/>
                <w:szCs w:val="24"/>
                <w:shd w:fill="auto" w:val="clear"/>
              </w:rPr>
              <w:t>за земельный участок (за вычетом задатка, внесенного для участия в аукционе) 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купли-продажи земельного участка (Приложение 7 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933 885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«Шаг аукциона» (5% от начальной цены 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46 694,25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Форма заявки на участие 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Размер задатка (50% от 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466 942,5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01.07.2022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Проект договора купли-продажи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приобретаемого на торгах в форме аукциона,  является Приложением 7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7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/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sz w:val="20"/>
          <w:szCs w:val="20"/>
        </w:rPr>
      </w:r>
      <w:bookmarkStart w:id="11" w:name="_GoBack_Копия_1_Копия_1"/>
      <w:bookmarkStart w:id="12" w:name="_GoBack_Копия_1_Копия_1_Копия_1_Копия_1"/>
      <w:bookmarkStart w:id="13" w:name="_GoBack_Копия_1"/>
      <w:bookmarkStart w:id="14" w:name="_GoBack_Копия_1_Копия_1_Копия_1"/>
      <w:bookmarkStart w:id="15" w:name="_GoBack_Копия_1_Копия_1"/>
      <w:bookmarkStart w:id="16" w:name="_GoBack_Копия_1_Копия_1_Копия_1_Копия_1"/>
      <w:bookmarkStart w:id="17" w:name="_GoBack_Копия_1"/>
      <w:bookmarkStart w:id="18" w:name="_GoBack_Копия_1_Копия_1_Копия_1"/>
      <w:bookmarkEnd w:id="15"/>
      <w:bookmarkEnd w:id="16"/>
      <w:bookmarkEnd w:id="17"/>
      <w:bookmarkEnd w:id="18"/>
    </w:p>
    <w:p>
      <w:pPr>
        <w:pStyle w:val="Normal"/>
        <w:widowControl w:val="false"/>
        <w:spacing w:before="0" w:after="0"/>
        <w:ind w:left="567"/>
        <w:contextualSpacing/>
        <w:jc w:val="center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>Сроки, время подачи заявок, рассмотрения заявок, проведения аукциона</w:t>
      </w:r>
    </w:p>
    <w:p>
      <w:pPr>
        <w:pStyle w:val="Normal"/>
        <w:widowControl w:val="false"/>
        <w:spacing w:before="0" w:after="0"/>
        <w:ind w:left="567"/>
        <w:contextualSpacing/>
        <w:jc w:val="center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и время начала срока подачи заявок на участие в аукционе – 17.10.2026</w:t>
      </w:r>
      <w:r>
        <w:rPr>
          <w:rFonts w:eastAsia="Courier New"/>
          <w:lang w:bidi="ru-RU"/>
        </w:rPr>
        <w:t xml:space="preserve"> в 9:00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>по местному времени (7:00 МСК).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>Дата и время окончания срока подачи заявок на участие в аукционе – 10.11.2026</w:t>
      </w:r>
      <w:r>
        <w:rPr>
          <w:rFonts w:eastAsia="Courier New"/>
          <w:lang w:bidi="ru-RU"/>
        </w:rPr>
        <w:t xml:space="preserve">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 xml:space="preserve">в 18:00 по местному времени (16:00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–</w:t>
      </w:r>
      <w:r>
        <w:rPr>
          <w:rFonts w:eastAsia="Courier New"/>
          <w:b/>
          <w:bCs/>
          <w:lang w:bidi="ru-RU"/>
        </w:rPr>
        <w:t xml:space="preserve"> 11.11.2026.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bCs/>
          <w:lang w:bidi="ru-RU"/>
        </w:rPr>
        <w:t xml:space="preserve">Дата проведения аукциона (дата и время начала приема предложений </w:t>
      </w:r>
      <w:r>
        <w:rPr>
          <w:rFonts w:eastAsia="Courier New"/>
          <w:b/>
          <w:bCs/>
          <w:lang w:bidi="ru-RU"/>
        </w:rPr>
        <w:br w:type="textWrapping" w:clear="all"/>
      </w:r>
      <w:r>
        <w:rPr>
          <w:rFonts w:eastAsia="Courier New"/>
          <w:b/>
          <w:bCs/>
          <w:lang w:bidi="ru-RU"/>
        </w:rPr>
        <w:t>от участников аукциона) – 12.11</w:t>
      </w:r>
      <w:r>
        <w:rPr>
          <w:rFonts w:eastAsia="Courier New"/>
          <w:b/>
          <w:lang w:bidi="ru-RU"/>
        </w:rPr>
        <w:t>.2026</w:t>
      </w:r>
      <w:r>
        <w:rPr>
          <w:rFonts w:eastAsia="Courier New"/>
          <w:lang w:bidi="ru-RU"/>
        </w:rPr>
        <w:t xml:space="preserve"> в 09:00 по местному времени (07:00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/>
      </w:pPr>
      <w:r>
        <w:rPr>
          <w:b/>
        </w:rPr>
        <w:t>Место подачи (приема) заявок и место проведения аукциона:</w:t>
      </w:r>
      <w:r>
        <w:rPr/>
        <w:t xml:space="preserve"> электронная 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ind w:firstLine="709" w:left="-567"/>
        <w:jc w:val="center"/>
        <w:rPr>
          <w:b/>
        </w:rPr>
      </w:pPr>
      <w:r>
        <w:rPr>
          <w:b/>
        </w:rPr>
        <w:t>Плата оператору электронной площадки за участие в электронном аукционе</w:t>
      </w:r>
    </w:p>
    <w:p>
      <w:pPr>
        <w:pStyle w:val="Normal"/>
        <w:widowControl w:val="false"/>
        <w:ind w:firstLine="709" w:left="-567"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ind w:firstLine="709" w:left="-567"/>
        <w:jc w:val="both"/>
        <w:rPr/>
      </w:pPr>
      <w:r>
        <w:rPr/>
        <w:t xml:space="preserve">В соответствии с постановлением Правительства Российской Федерации от 10 мая 2018 г. </w:t>
      </w:r>
      <w:r>
        <w:rPr/>
        <w:br w:type="textWrapping" w:clear="all"/>
      </w:r>
      <w:r>
        <w:rPr/>
        <w:t>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установления ее предельных размеров» оператор электронной площадки вправе взимать плату с победителя аукциона или иного лица, с которыми в соответствии с пунктами 13, 14, 20 и 25 статьи 39.12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в размере 1% начальной цены предмета аукциона, но не более 5 тыс. рублей без учета налога на добавленную стоимость.</w:t>
      </w:r>
    </w:p>
    <w:p>
      <w:pPr>
        <w:pStyle w:val="Normal"/>
        <w:widowControl w:val="false"/>
        <w:ind w:firstLine="709" w:left="-567"/>
        <w:jc w:val="both"/>
        <w:rPr/>
      </w:pPr>
      <w:r>
        <w:rPr/>
        <w:t>По информации оператора электронной площадки АО «Сбербанк-АСТ» в настоящее время взимание платы не установлено.</w:t>
      </w:r>
    </w:p>
    <w:p>
      <w:pPr>
        <w:pStyle w:val="Normal"/>
        <w:widowControl w:val="false"/>
        <w:ind w:firstLine="709" w:left="-567"/>
        <w:jc w:val="both"/>
        <w:rPr/>
      </w:pPr>
      <w:r>
        <w:rPr/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>Размер задатка для участия в аукционе, порядок его внесения и возврата, реквизиты счета для перечисления задатка</w:t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 xml:space="preserve">Заявители, зарегистрированные на электронной площадке в установленном порядке, </w:t>
        <w:br/>
        <w:t xml:space="preserve">до подачи заявки на участие в аукционе (далее – заявка), осуществляют перечисление суммы задатка на участие в аукционе на банковские реквизиты Оператора, размещенные в открытой части торговой секции.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 xml:space="preserve">В момент подачи заявки Оператор проверяет наличие денежной суммы в размере задатка </w:t>
      </w:r>
      <w:r>
        <w:rPr>
          <w:bCs/>
          <w:lang w:bidi="ru-RU"/>
        </w:rPr>
        <w:br w:type="textWrapping" w:clear="all"/>
      </w:r>
      <w:r>
        <w:rPr>
          <w:bCs/>
          <w:lang w:bidi="ru-RU"/>
        </w:rPr>
        <w:t>на лицевом счете заявителя и осуществляет блокирование необходимой денежной суммы.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>Представление документов, подтверждающих внесение задатка, признается заключением соглашения о задатке (п.2 ст. 39.12 Земельного кодекса Российской Федерации).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>Сумма задатка для участия в аукционе определяется в размере 50 процентов начальной цены предмета аукциона. Размер задатка в извещении о проведении аукциона указан по каждому лоту.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  <w:lang w:bidi="ru-RU"/>
        </w:rPr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</w:p>
    <w:p>
      <w:pPr>
        <w:pStyle w:val="Normal"/>
        <w:widowControl w:val="false"/>
        <w:ind w:firstLine="567" w:left="-567"/>
        <w:jc w:val="both"/>
        <w:rPr>
          <w:rFonts w:eastAsia="Calibri"/>
          <w:bCs/>
          <w:lang w:eastAsia="en-US"/>
        </w:rPr>
      </w:pPr>
      <w:r>
        <w:rPr>
          <w:b/>
          <w:bCs/>
          <w:lang w:bidi="ru-RU"/>
        </w:rPr>
        <w:t>Задаток перечисляется на реквизиты Оператора электронной площадки (</w:t>
      </w:r>
      <w:hyperlink r:id="rId15" w:tgtFrame="http://utp.sberbank-ast.ru/AP/Notice/653/Requisites">
        <w:r>
          <w:rPr>
            <w:rStyle w:val="Hyperlink"/>
            <w:b/>
            <w:bCs/>
            <w:lang w:bidi="ru-RU"/>
          </w:rPr>
          <w:t>http://utp.sberbank-ast.ru/AP/Notice/653/Requisites</w:t>
        </w:r>
      </w:hyperlink>
      <w:r>
        <w:rPr>
          <w:b/>
          <w:bCs/>
          <w:lang w:bidi="ru-RU"/>
        </w:rPr>
        <w:t>).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Получатель: АО «Сбербанк-АСТ»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ИНН: 7707308480, КПП: 770401001, </w:t>
      </w:r>
    </w:p>
    <w:p>
      <w:pPr>
        <w:pStyle w:val="Normal"/>
        <w:spacing w:lineRule="exact" w:line="240"/>
        <w:rPr/>
      </w:pPr>
      <w:r>
        <w:rPr>
          <w:rFonts w:eastAsia="Calibri"/>
          <w:bCs/>
          <w:lang w:eastAsia="en-US"/>
        </w:rPr>
        <w:t>Банк получателя: ПАО «СБЕРБАНК РОССИИ» Г. МОСКВА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/>
        <w:t xml:space="preserve">Расчетный счет: </w:t>
      </w:r>
      <w:r>
        <w:rPr>
          <w:rFonts w:eastAsia="Calibri"/>
          <w:bCs/>
          <w:lang w:eastAsia="en-US"/>
        </w:rPr>
        <w:t>40702810300020038047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БИК: 044525225</w:t>
      </w:r>
    </w:p>
    <w:p>
      <w:pPr>
        <w:pStyle w:val="Normal"/>
        <w:spacing w:lineRule="exact" w:line="240"/>
        <w:rPr>
          <w:bCs/>
          <w:lang w:bidi="ru-RU"/>
        </w:rPr>
      </w:pPr>
      <w:r>
        <w:rPr>
          <w:rFonts w:eastAsia="Calibri"/>
          <w:bCs/>
          <w:lang w:eastAsia="en-US"/>
        </w:rPr>
        <w:t>Корреспондентский счет: 30101810400000000225</w:t>
      </w:r>
    </w:p>
    <w:p>
      <w:pPr>
        <w:pStyle w:val="Normal"/>
        <w:widowControl w:val="false"/>
        <w:ind w:firstLine="567" w:left="-567"/>
        <w:jc w:val="both"/>
        <w:rPr>
          <w:b/>
        </w:rPr>
      </w:pPr>
      <w:r>
        <w:rPr>
          <w:bCs/>
          <w:lang w:bidi="ru-RU"/>
        </w:rPr>
        <w:t>В платёжном поручении в части «Назначение платежа» необходимо указать: Задаток по лоту  № ___, ИНН плательщика. НДС не облагается.</w:t>
      </w:r>
    </w:p>
    <w:p>
      <w:pPr>
        <w:pStyle w:val="Normal"/>
        <w:widowControl w:val="false"/>
        <w:ind w:firstLine="567" w:left="-567"/>
        <w:jc w:val="both"/>
        <w:rPr>
          <w:bCs/>
          <w:lang w:bidi="ru-RU"/>
        </w:rPr>
      </w:pPr>
      <w:r>
        <w:rPr>
          <w:b/>
        </w:rPr>
        <w:t xml:space="preserve">Срок внесения задатка, т.е. поступления суммы задатка на счет </w:t>
      </w:r>
      <w:r>
        <w:rPr>
          <w:rFonts w:eastAsia="Calibri"/>
          <w:b/>
        </w:rPr>
        <w:t>Оператора</w:t>
      </w:r>
      <w:r>
        <w:rPr>
          <w:b/>
        </w:rPr>
        <w:t xml:space="preserve">: </w:t>
      </w:r>
      <w:r>
        <w:rPr>
          <w:b/>
        </w:rPr>
        <w:br w:type="textWrapping" w:clear="all"/>
      </w:r>
      <w:r>
        <w:rPr>
          <w:bCs/>
          <w:lang w:bidi="ru-RU"/>
        </w:rPr>
        <w:t>c 17.10.2026 по 10.11.2026.</w:t>
      </w:r>
    </w:p>
    <w:p>
      <w:pPr>
        <w:pStyle w:val="Normal"/>
        <w:widowControl w:val="false"/>
        <w:ind w:firstLine="709" w:left="-567"/>
        <w:jc w:val="both"/>
        <w:rPr>
          <w:bCs/>
          <w:lang w:bidi="ru-RU"/>
        </w:rPr>
      </w:pPr>
      <w:r>
        <w:rPr>
          <w:bCs/>
          <w:lang w:bidi="ru-RU"/>
        </w:rPr>
      </w:r>
    </w:p>
    <w:p>
      <w:pPr>
        <w:pStyle w:val="Normal"/>
        <w:widowControl w:val="false"/>
        <w:ind w:firstLine="709" w:left="-567"/>
        <w:jc w:val="center"/>
        <w:rPr>
          <w:b/>
          <w:lang w:bidi="ru-RU"/>
        </w:rPr>
      </w:pPr>
      <w:r>
        <w:rPr>
          <w:b/>
          <w:lang w:bidi="ru-RU"/>
        </w:rPr>
        <w:t>Порядок возврата задатка:</w:t>
      </w:r>
    </w:p>
    <w:p>
      <w:pPr>
        <w:pStyle w:val="Normal"/>
        <w:widowControl w:val="false"/>
        <w:ind w:firstLine="709" w:left="-567"/>
        <w:jc w:val="both"/>
        <w:rPr>
          <w:b/>
          <w:lang w:bidi="ru-RU"/>
        </w:rPr>
      </w:pPr>
      <w:r>
        <w:rPr>
          <w:b/>
          <w:lang w:bidi="ru-RU"/>
        </w:rPr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lang w:bidi="ru-RU"/>
        </w:rPr>
      </w:pPr>
      <w:r>
        <w:rPr>
          <w:bCs/>
          <w:lang w:bidi="ru-RU"/>
        </w:rPr>
        <w:t>Задаток возвращается лицам, участвовавшим в аукционе, но не победившим в нем, в течение трех ра</w:t>
      </w:r>
      <w:r>
        <w:rPr>
          <w:bCs/>
          <w:shd w:fill="auto" w:val="clear"/>
          <w:lang w:bidi="ru-RU"/>
        </w:rPr>
        <w:t xml:space="preserve">бочих дней со дня подписания протокола о результатах аукциона, </w:t>
      </w:r>
      <w:r>
        <w:rPr>
          <w:b w:val="false"/>
          <w:bCs/>
          <w:shd w:fill="auto" w:val="clear"/>
          <w:lang w:bidi="ru-RU"/>
        </w:rPr>
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земельного участка.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 xml:space="preserve">Заявителю, не допущенному к участию в аукционе, внесенный им задаток возвращается </w:t>
      </w:r>
      <w:r>
        <w:rPr>
          <w:shd w:fill="auto" w:val="clear"/>
          <w:lang w:bidi="ru-RU"/>
        </w:rPr>
        <w:br w:type="textWrapping" w:clear="all"/>
      </w:r>
      <w:r>
        <w:rPr>
          <w:shd w:fill="auto" w:val="clear"/>
          <w:lang w:bidi="ru-RU"/>
        </w:rPr>
        <w:t xml:space="preserve">в течение трех рабочих дней со дня оформления протокола рассмотрения заявок на участие                                в аукционе.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 xml:space="preserve">Оператор прекращает блокирование в отношении денежных средств участников аукциона, заблокированных в размере задатков на их лицевых счетах на электронной площадке после публикации протокола о результатах аукциона, за исключением единственного заявителя, признанного участником аукциона, победителя аукциона, единственного принявшего участие </w:t>
        <w:br/>
        <w:t xml:space="preserve">в аукционе участника, а также </w:t>
      </w:r>
      <w:r>
        <w:rPr>
          <w:b w:val="false"/>
          <w:shd w:fill="auto" w:val="clear"/>
          <w:lang w:bidi="ru-RU"/>
        </w:rPr>
        <w:t>участника аукциона, который сделал предпоследнее предложение                       о цене предмета аукциона.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 xml:space="preserve">Организатор аукциона посредством штатного интерфейса торговой секции </w:t>
      </w:r>
      <w:r>
        <w:rPr>
          <w:shd w:fill="auto" w:val="clear"/>
          <w:lang w:bidi="ru-RU"/>
        </w:rPr>
        <w:br w:type="textWrapping" w:clear="all"/>
      </w:r>
      <w:r>
        <w:rPr>
          <w:shd w:fill="auto" w:val="clear"/>
          <w:lang w:bidi="ru-RU"/>
        </w:rPr>
        <w:t>в установленные сроки формирует поручение Оператору: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>- о перечислении задатка единственного заявителя, признанного участником аукциона,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                                 с пунктами 13, 14, 20 или 25 ст. 39.12 Земельного кодекса Российской Федерации, засчитываются                                   в оплату приобретаемого земельного участка. Задатки, внесенные этими лицами, не заключившими         в установленном настоящей статьей порядке договор купли-продажи земельного участка вследствие уклонения от заключения указанного договора, не возвращаются. </w:t>
      </w:r>
    </w:p>
    <w:p>
      <w:pPr>
        <w:pStyle w:val="Normal"/>
        <w:widowControl w:val="false"/>
        <w:spacing w:lineRule="auto" w:line="276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Организатор аукциона вправе:</w:t>
      </w:r>
    </w:p>
    <w:p>
      <w:pPr>
        <w:pStyle w:val="Normal"/>
        <w:widowControl w:val="false"/>
        <w:jc w:val="center"/>
        <w:rPr>
          <w:rFonts w:eastAsia="Courier New"/>
          <w:highlight w:val="none"/>
          <w:shd w:fill="auto" w:val="clear"/>
          <w:lang w:bidi="ru-RU"/>
        </w:rPr>
      </w:pPr>
      <w:r>
        <w:rPr>
          <w:rFonts w:eastAsia="Courier New"/>
          <w:shd w:fill="auto" w:val="clear"/>
          <w:lang w:bidi="ru-RU"/>
        </w:rPr>
      </w:r>
    </w:p>
    <w:p>
      <w:pPr>
        <w:pStyle w:val="BodyText"/>
        <w:widowControl w:val="false"/>
        <w:ind w:firstLine="709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Не позднее чем за один рабочий день до даты окончания приема заявок на участие в аукционе 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 п. 19 ст. 39.11 Земельного кодекса Российской Федерации, изменений в извещение о проведении аукциона до дня проведения аукциона такой срок составлял не менее десяти рабочих дней. </w:t>
      </w: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Информация о внесении изменений в извещение                                    о проведении аукциона размещается на официальных сайтах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>www.torgi.gov.ru,  www.gorodperm.ru.</w:t>
      </w:r>
    </w:p>
    <w:p>
      <w:pPr>
        <w:pStyle w:val="BodyText"/>
        <w:widowControl w:val="false"/>
        <w:ind w:firstLine="709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В случае, если за один рабочий день до даты окончания приема заявок на участие в аукционе не поступило ни одной заявки, организатор аукциона до момента окончания срока подачи заявок на участие в аукционе может принять решение о продлении срока подачи заявок в соответствии </w:t>
        <w:br/>
        <w:t>с правилами, предусмотренными п. 22.1  ст. 39.11 Земельного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 xml:space="preserve">В соответствии с п. 4 ст. 448 Гражданского кодекса Российской Федерации отказаться </w:t>
      </w:r>
      <w:r>
        <w:rPr/>
        <w:br w:type="textWrapping" w:clear="all"/>
      </w:r>
      <w:r>
        <w:rPr/>
        <w:t xml:space="preserve">от проведения аукциона в любое время, но не позднее чем за три дня до наступления даты </w:t>
      </w:r>
      <w:r>
        <w:rPr/>
        <w:br w:type="textWrapping" w:clear="all"/>
      </w:r>
      <w:r>
        <w:rPr/>
        <w:t xml:space="preserve">его проведения, указанной в извещении </w:t>
      </w:r>
      <w:r>
        <w:rPr>
          <w:shd w:fill="auto" w:val="clear"/>
        </w:rPr>
        <w:t xml:space="preserve">о проведении аукциона. </w:t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 xml:space="preserve">Организатор аукциона обязан: 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Принять решение об отказе в проведении аукциона в случае выявления обстоятельств,предусмотренных п. 8 ст. 39.11 Земельного кодекса Российской Федерации.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Извещение об отказе в проведении аукциона размещается организатором аукциона </w:t>
        <w:br/>
        <w:t xml:space="preserve">на официальных сайтах 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 xml:space="preserve">www.torgi.gov.ru,  www.gorodperm.ru </w:t>
      </w:r>
      <w:r>
        <w:rPr>
          <w:shd w:fill="auto" w:val="clear"/>
        </w:rPr>
        <w:t xml:space="preserve"> и на электронной площадке в течение трех дней со дня принятия данного решения.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 течение трех дней со дня принятия решения об отказе в проведении аукциона участники аукциона извещаются об отказе в проведении аукциона, внесенные задатки возвращаются его участникам.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В случае отказа от проведения аукциона организатором (в т. ч. одного или нескольких лотов), Оператор в течение одного часа прекращает блокирование денежных средств участников аукциона </w:t>
        <w:br/>
        <w:t>в размере задатка на их лицевых счетах на электронной площадке.</w:t>
      </w:r>
    </w:p>
    <w:p>
      <w:pPr>
        <w:pStyle w:val="Normal"/>
        <w:widowControl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left="502"/>
        <w:jc w:val="center"/>
        <w:rPr>
          <w:highlight w:val="none"/>
          <w:shd w:fill="auto" w:val="clear"/>
        </w:rPr>
      </w:pPr>
      <w:r>
        <w:rPr>
          <w:rFonts w:eastAsia="Courier New"/>
          <w:b/>
          <w:shd w:fill="auto" w:val="clear"/>
          <w:lang w:bidi="ru-RU"/>
        </w:rPr>
        <w:t>Порядок регистрации на электронной площадке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>Для обеспечения доступа к участию в аукционе заявителю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>Регистрация на электронной площадке проводится в соответствии с регламентом электронной площадки.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Дата и время регистрации участников аукциона на участие в аукционе на электронной площадке на сайте в сети Интернет: c 17.10.2026 по 10.11.2026 с 9.00 до 18.00 по местному времени (7:00 – 16:00 МСК). </w:t>
      </w:r>
    </w:p>
    <w:p>
      <w:pPr>
        <w:pStyle w:val="NormalWeb"/>
        <w:jc w:val="center"/>
        <w:rPr>
          <w:highlight w:val="none"/>
          <w:shd w:fill="auto" w:val="clear"/>
        </w:rPr>
      </w:pPr>
      <w:r>
        <w:rPr>
          <w:b/>
          <w:color w:val="000000"/>
          <w:shd w:fill="auto" w:val="clear"/>
        </w:rPr>
        <w:t>Разъяснение положений извещения о проведении аукциона</w:t>
      </w:r>
    </w:p>
    <w:p>
      <w:pPr>
        <w:pStyle w:val="ListParagraph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На этапе приема заявок любое заинтересованное лицо вправе не позднее 10 календарных дней до окончания срока подачи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площадки. Запросы о разъяснении положений извещения, полученные после вышеуказанного срока, </w:t>
        <w:br/>
        <w:t>не рассматриваются.</w:t>
      </w:r>
    </w:p>
    <w:p>
      <w:pPr>
        <w:pStyle w:val="ListParagraph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Ответ на запрос о разъяснении положений извещения должен быть подготовлен в течение трех рабочих дней со дня поступления указанного запроса.  </w:t>
      </w:r>
    </w:p>
    <w:p>
      <w:pPr>
        <w:pStyle w:val="Normal"/>
        <w:widowControl w:val="false"/>
        <w:spacing w:lineRule="auto" w:line="276"/>
        <w:ind w:firstLine="709" w:left="-567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b/>
          <w:bCs/>
          <w:shd w:fill="auto" w:val="clear"/>
        </w:rPr>
        <w:t>Требования к содержанию и составу заявки на участие в аукционе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rFonts w:eastAsia="Courier New"/>
          <w:shd w:fill="auto" w:val="clear"/>
          <w:lang w:bidi="ru-RU"/>
        </w:rPr>
        <w:t xml:space="preserve">Для участия в аукционе заявители представляют в установленный в извещении </w:t>
      </w:r>
      <w:r>
        <w:rPr>
          <w:rFonts w:eastAsia="Courier New"/>
          <w:shd w:fill="auto" w:val="clear"/>
          <w:lang w:bidi="ru-RU"/>
        </w:rPr>
        <w:br w:type="textWrapping" w:clear="all"/>
      </w:r>
      <w:r>
        <w:rPr>
          <w:rFonts w:eastAsia="Courier New"/>
          <w:shd w:fill="auto" w:val="clear"/>
          <w:lang w:bidi="ru-RU"/>
        </w:rPr>
        <w:t>о проведении аукциона срок следующие документы: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1) копии документов, удостоверяющих личность заявителя (для граждан), всех страниц;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2) надлежащим образом заверенный перевод на русский язык документов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3) документы, подтверждающие внесение задатка.</w:t>
      </w:r>
    </w:p>
    <w:p>
      <w:pPr>
        <w:pStyle w:val="Normal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ind w:firstLine="708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Инструкция по заполнению и подаче заявки, порядок приема заявки</w:t>
      </w:r>
    </w:p>
    <w:p>
      <w:pPr>
        <w:pStyle w:val="Normal"/>
        <w:ind w:firstLine="708"/>
        <w:jc w:val="center"/>
        <w:rPr>
          <w:b/>
          <w:highlight w:val="none"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                       с приложением документов, указанных в подпунктах 2 - 4 пункта 1, пункте 1.1 статьи 39.12 Земельного кодекса Российской Федерации (копии </w:t>
      </w:r>
      <w:r>
        <w:rPr>
          <w:b w:val="false"/>
          <w:shd w:fill="auto" w:val="clear"/>
        </w:rPr>
        <w:t xml:space="preserve">документов, удостоверяющих личность заявителя (для граждан); </w:t>
      </w:r>
      <w:r>
        <w:rPr>
          <w:b w:val="false"/>
        </w:rPr>
        <w:t xml:space="preserve">надлежащим образом заверенный перевод на русский язык документов                                        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>
      <w:pPr>
        <w:pStyle w:val="Normal"/>
        <w:ind w:firstLine="567" w:left="-567"/>
        <w:jc w:val="both"/>
        <w:rPr>
          <w:highlight w:val="none"/>
        </w:rPr>
      </w:pPr>
      <w:r>
        <w:rPr>
          <w:sz w:val="24"/>
          <w:szCs w:val="24"/>
        </w:rPr>
        <w:t>На каждый лот представляется отдельный пакет документов.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Заполнение заявки осуществляется в соответствии с порядком, определенным регламентом электронной площадки АО «Сбербанк-АСТ».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Все документы и сведения, связанные с получением регистрации на универсальной торговой платформе и проведением закупок/продаж, направляются заявителями, пользователями, оператором электронной площадки либо размещаются ими на универсальной торговой платформе в форме электронных документов (п. 10.1.1.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Пользователи принимают, что в случае наличия требований к формату и содержанию электронного документа, в системе используются электронные документы установленного формата (п. 10.2.3.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Заявка подается в виде электронного документа, подписанного электронной подписью заявителя (п. 3.2.2. Регламента торговой секции).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Заявитель заполняет электронную форму заявки, при</w:t>
      </w:r>
      <w:r>
        <w:rPr>
          <w:shd w:fill="auto" w:val="clear"/>
        </w:rPr>
        <w:t>кладывает предусмотренные извещением о проведении аукциона файлы документов (при необходимости). Документы и сведения из регистрационных данных заявителя на универсальной торговой платформе, актуальные на дату и время окончания приема заявок, направляются оператором электронной площадки вместе с заявкой организатору аукциона после окончания приема заявок (п. 3.2.3. Регламента торговой секции).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Подача заявки осуществляется заявителем, зарегистрированным в торговой секции,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из личного кабинета посредством штатного интерфейса отдельно по каждому лоту в сроки, установленные в извещении о проведении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Заявитель вправе подать заявку в любое время с момента размещения извещения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 до предусмотренных указанным извещением даты и времени окончания срока подачи заявок.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Один заявитель вправе подать только одну заявку на участие в аукционе в отношении каждого лота.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Участие в аукционе возможно при наличии на лицевом счете заявителя денежных средств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 xml:space="preserve">в размере не менее чем размер задатка на участие в аукционе, предусмотренный извещением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Все документы, входящие в состав заявки, должны иметь четко читаемый текст.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предоставляется организатору аукциона через Оператора.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Заявка не может быть принята Оператором в случае: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а) отсутствия на лицевом счете заявителя достаточной суммы денежных средств 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в размере задатка;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б) подачи заявителем второй заявки на участие в отношении одного и того же лота при условии, что поданная ранее заявка таким заявителем не отозвана;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в) подачи заявки по истечении установленного срока подачи заявок;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г) некорректного заполнения формы заявки, в том числе незаполнения полей, являющихся обязательными для заполнения.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Заявителям, признанным участниками аукциона, и заявителям, не допущенным к участию </w:t>
        <w:br/>
        <w:t xml:space="preserve">в аукционе, оператор электронной площадки направляет в электронной форме уведомления </w:t>
        <w:br/>
        <w:t xml:space="preserve">о принятых в отношении их решениях не позднее дня, следующего после дня подписания протокола рассмотрения заявок на участие в аукционе. 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spacing w:lineRule="auto" w:line="276"/>
        <w:ind w:firstLine="567" w:left="-567"/>
        <w:jc w:val="both"/>
        <w:outlineLvl w:val="0"/>
        <w:rPr>
          <w:bCs/>
          <w:highlight w:val="none"/>
          <w:shd w:fill="auto" w:val="clear"/>
        </w:rPr>
      </w:pPr>
      <w:r>
        <w:rPr>
          <w:bCs/>
          <w:shd w:fill="auto" w:val="clear"/>
        </w:rPr>
      </w:r>
    </w:p>
    <w:p>
      <w:pPr>
        <w:pStyle w:val="Normal"/>
        <w:widowControl w:val="false"/>
        <w:ind w:left="502"/>
        <w:jc w:val="center"/>
        <w:rPr>
          <w:highlight w:val="none"/>
          <w:shd w:fill="auto" w:val="clear"/>
        </w:rPr>
      </w:pPr>
      <w:r>
        <w:rPr>
          <w:b/>
          <w:bCs/>
          <w:shd w:fill="auto" w:val="clear"/>
          <w:lang w:bidi="ru-RU"/>
        </w:rPr>
        <w:t>Порядок и срок изменения, отзыва заявки на участие в аукционе</w:t>
      </w:r>
    </w:p>
    <w:p>
      <w:pPr>
        <w:pStyle w:val="Normal"/>
        <w:widowControl w:val="false"/>
        <w:ind w:left="502"/>
        <w:rPr>
          <w:b/>
          <w:bCs/>
          <w:highlight w:val="none"/>
          <w:shd w:fill="auto" w:val="clear"/>
          <w:lang w:bidi="ru-RU"/>
        </w:rPr>
      </w:pPr>
      <w:r>
        <w:rPr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Заявитель имеет право отозвать принятую организатором аукциона заявку на участие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 xml:space="preserve">в аукционе до дня окончания срока приема заявок, путем направления уведомления об отзыве заявки на электронную площадку. В случае отзыва заявки в установленном порядке, уведомление об отзыве заявки поступает в «личный кабинет» организатора аукциона, о чем заявителю направляется соответствующее уведомление. Заявителю внесенный им задаток возвращается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bCs/>
          <w:shd w:fill="auto" w:val="clear"/>
        </w:rPr>
        <w:t>Определение участников аукциона</w:t>
      </w:r>
    </w:p>
    <w:p>
      <w:pPr>
        <w:pStyle w:val="Normal"/>
        <w:jc w:val="center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По результатам рассмотрения заявок комиссия принимает решение о допуске заявителей 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к участию в аукционе или об отказе в допуске к участию в аукционе.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Заявитель не допускается к участию в аукционе в следующих случаях: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z w:val="20"/>
          <w:shd w:fill="auto" w:val="clear"/>
        </w:rPr>
        <w:t xml:space="preserve">1) </w:t>
      </w:r>
      <w:r>
        <w:rPr>
          <w:shd w:fill="auto" w:val="clear"/>
        </w:rPr>
        <w:t>непредставление необходимых для участия в аукционе документов или представление недостоверных сведений;</w:t>
      </w:r>
    </w:p>
    <w:p>
      <w:pPr>
        <w:pStyle w:val="Normal"/>
        <w:widowControl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2) непоступление задатка на дату рассмотрения заявок на участие в аукционе;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</w:t>
        <w:br/>
        <w:t>в аренду;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В день признания заявителей участниками аукциона, указанный в извещении </w:t>
        <w:br/>
        <w:t>о проведении аукциона, оператор через «личный кабинет» организатора торгов обеспечивает доступ организатора торгов к поданным  заявителями заявкам и документам, а также к журналу приема заявок.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Заявитель приобретает статус участника аукциона с момента подписания протокола рассмотрения заявок.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Не позднее следующего рабочего дня после дня подписания протокола рассмотрения заявок, всем заявителям оператором электронной площадки направляется в личные кабинеты уведомления 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BodyText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                           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При признании аукциона несостоявшимся в протокол рассмотрения заявок на участие в аукционе, включается информация об основании признания аукциона несостоявшимся и сведения, указанные в подпункте 4 пункта 15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, в отношении лиц, указанных в пунктах 13 и 14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Федерации.</w:t>
      </w:r>
    </w:p>
    <w:p>
      <w:pPr>
        <w:pStyle w:val="Normal"/>
        <w:widowControl w:val="false"/>
        <w:spacing w:lineRule="auto" w:line="276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bCs/>
          <w:shd w:fill="auto" w:val="clear"/>
        </w:rPr>
        <w:t>Порядок проведения аукциона</w:t>
      </w:r>
    </w:p>
    <w:p>
      <w:pPr>
        <w:pStyle w:val="Normal"/>
        <w:widowControl w:val="false"/>
        <w:ind w:left="502"/>
        <w:jc w:val="center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«Шаг аукциона» устанавливается Организатором аукциона в фиксированной сумме, составляющей 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5% от начальной цены предмета аукциона</w:t>
      </w:r>
      <w:r>
        <w:rPr>
          <w:rFonts w:eastAsia="Calibri"/>
          <w:shd w:fill="auto" w:val="clear"/>
        </w:rPr>
        <w:t>, и не изменяется в течение всего времени подачи предложений о цене.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1) предложение о цене предмета аукциона увеличивает текущее максимальное предложение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цене предмета аукциона на величину «шага аукциона»;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Время для подачи предложений о цене аукциона определяется в следующем порядке: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Время ожидания предложения участника аукциона о цене предмета аукциона составляет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 xml:space="preserve">10 (десять) минут. При поступлении предложения участника аукциона </w:t>
        <w:br/>
        <w:t>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</w:t>
        <w:br/>
        <w:t>а так же как время, оставшееся до окончания торгов в минутах.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в момент его поступления и соответствующее уведомление участника аукциона, в случаях, если: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предложение о цене аукциона предоставлено до начала или по истечении установленного времени для подачи предложений о цене аукциона;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ниже начальной цены;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равно нулю;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не соответствует увеличению текущей цены на величину «шага аукциона»;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предыдущее представленное данным участником аукциона предложение о цене аукциона является лучшим текущим предложением о цене;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участником аукциона предложение о цене аукциона меньше ранее представленных предложений.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Победителем аукциона признается участник аукциона, предложивший наибольшую цену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за земельный участок.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</w:t>
      </w:r>
    </w:p>
    <w:p>
      <w:pPr>
        <w:pStyle w:val="Normal"/>
        <w:ind w:firstLine="567" w:left="-567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b/>
          <w:bCs/>
          <w:shd w:fill="auto" w:val="clear"/>
        </w:rPr>
        <w:t>Порядок и срок заключения договора</w:t>
      </w:r>
      <w:r>
        <w:rPr>
          <w:b/>
          <w:bCs/>
          <w:shd w:fill="auto" w:val="clear"/>
        </w:rPr>
        <w:br w:type="textWrapping" w:clear="all"/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По результатам проведения аукциона не допускается заключение договора купли-продажи земельного участка,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аукционе в случае, ес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ли аукцион признан несостоявшимся, либо протокола о результатах аукциона на официальных сайтах www.torgi.gov.ru,  www.gorodperm.ru.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Департамент земельных отношений администрации города Перми обязан в течение пяти дней со дня истечения срока, предусмотренного пунктом 11 статьи 39.13 Земельного кодекса Российской Федерации, направить победителю аукциона или иным лицам, с которыми </w:t>
        <w:br/>
        <w:t xml:space="preserve">в соответствии с пунктами 13, 14, 20 и 25 статьи 39.12 Земельного кодекса Российской Федерации заключается договор купли-продажи земельного участка, находящегося </w:t>
        <w:br/>
        <w:t>в государственной или муниципальной собственности, подписанный проект договора купли-продажи земельного участка, находящегося в государственной или муниципальной собственности.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По результатам проведения аукциона договор купли-продажи земельного участка,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>Проекты договоров являются частью извещения и представлены в Приложениях 1,3,5,7</w:t>
        <w:br/>
        <w:t>к настоящему извещению.</w:t>
        <w:tab/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Если договор купли-продажи  в течение десяти рабочих дней со дня направления победителю аукциона проекта указанного договора не был им подписан и представлен в департамент земельных отношений администрации города Перми, департамент земельных отношений администрации города Перми направляет указанный договор участнику аукциона, который сделал предпоследнее предложение о цене предмета аукциона, </w:t>
      </w:r>
      <w:r>
        <w:rPr>
          <w:b w:val="false"/>
          <w:bCs/>
          <w:shd w:fill="auto" w:val="clear"/>
        </w:rPr>
        <w:t>для их заключения по цене, предложенной таким участником аукциона.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67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rFonts w:eastAsia="Courier New"/>
          <w:shd w:fill="auto" w:val="clear"/>
          <w:lang w:bidi="ru-RU"/>
        </w:rPr>
        <w:t>Сведения о победителях аукционов, уклонившихся от заключения договора купли-продажи, являющегося предметом аукциона, и об иных лицах, с которыми указанный договор заключается в соответствии с пунктом 13, 14, 20 или 25 ст. 39.12 Земельного кодекса Российской Федерации и которые уклонились от их заключения, включаются в реестр недобросовестных участников аукциона.</w:t>
      </w:r>
    </w:p>
    <w:sectPr>
      <w:headerReference w:type="default" r:id="rId16"/>
      <w:headerReference w:type="first" r:id="rId17"/>
      <w:type w:val="nextPage"/>
      <w:pgSz w:w="11906" w:h="16838"/>
      <w:pgMar w:left="1418" w:right="567" w:gutter="0" w:header="363" w:top="420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Calibri Light">
    <w:charset w:val="01"/>
    <w:family w:val="roman"/>
    <w:pitch w:val="variable"/>
  </w:font>
  <w:font w:name="Open Sans">
    <w:charset w:val="01"/>
    <w:family w:val="roman"/>
    <w:pitch w:val="variable"/>
  </w:font>
  <w:font w:name="Consultant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0"/>
        <w:szCs w:val="28"/>
      </w:rPr>
    </w:pPr>
    <w:r>
      <w:rPr>
        <w:sz w:val="20"/>
        <w:szCs w:val="28"/>
      </w:rPr>
      <w:fldChar w:fldCharType="begin"/>
    </w:r>
    <w:r>
      <w:rPr>
        <w:sz w:val="20"/>
        <w:szCs w:val="28"/>
      </w:rPr>
      <w:instrText xml:space="preserve"> PAGE </w:instrText>
    </w:r>
    <w:r>
      <w:rPr>
        <w:sz w:val="20"/>
        <w:szCs w:val="28"/>
      </w:rPr>
      <w:fldChar w:fldCharType="separate"/>
    </w:r>
    <w:r>
      <w:rPr>
        <w:sz w:val="20"/>
        <w:szCs w:val="28"/>
      </w:rPr>
      <w:t>41</w:t>
    </w:r>
    <w:r>
      <w:rPr>
        <w:sz w:val="20"/>
        <w:szCs w:val="28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" w:customStyle="1">
    <w:name w:val="Заголовок Знак1"/>
    <w:uiPriority w:val="10"/>
    <w:qFormat/>
    <w:rPr>
      <w:sz w:val="48"/>
      <w:szCs w:val="48"/>
    </w:rPr>
  </w:style>
  <w:style w:type="character" w:styleId="Style5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6" w:customStyle="1">
    <w:name w:val="Выделенная цитата Знак"/>
    <w:uiPriority w:val="30"/>
    <w:qFormat/>
    <w:rPr>
      <w:i/>
    </w:rPr>
  </w:style>
  <w:style w:type="character" w:styleId="12" w:customStyle="1">
    <w:name w:val="Верхний колонтитул Знак1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13" w:customStyle="1">
    <w:name w:val="Нижний колонтитул Знак1"/>
    <w:uiPriority w:val="99"/>
    <w:qFormat/>
    <w:rPr/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>
      <w:sz w:val="16"/>
      <w:szCs w:val="16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/>
  </w:style>
  <w:style w:type="character" w:styleId="WW8Num18z0" w:customStyle="1">
    <w:name w:val="WW8Num18z0"/>
    <w:qFormat/>
    <w:rPr/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/>
  </w:style>
  <w:style w:type="character" w:styleId="WW8Num21z0" w:customStyle="1">
    <w:name w:val="WW8Num21z0"/>
    <w:qFormat/>
    <w:rPr/>
  </w:style>
  <w:style w:type="character" w:styleId="WW8Num22z0" w:customStyle="1">
    <w:name w:val="WW8Num22z0"/>
    <w:qFormat/>
    <w:rPr/>
  </w:style>
  <w:style w:type="character" w:styleId="WW8Num23z0" w:customStyle="1">
    <w:name w:val="WW8Num23z0"/>
    <w:qFormat/>
    <w:rPr/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/>
  </w:style>
  <w:style w:type="character" w:styleId="WW8Num27z0" w:customStyle="1">
    <w:name w:val="WW8Num27z0"/>
    <w:qFormat/>
    <w:rPr/>
  </w:style>
  <w:style w:type="character" w:styleId="WW8Num29z0" w:customStyle="1">
    <w:name w:val="WW8Num29z0"/>
    <w:qFormat/>
    <w:rPr>
      <w:rFonts w:ascii="Symbol" w:hAnsi="Symbol" w:cs="Symbol"/>
    </w:rPr>
  </w:style>
  <w:style w:type="character" w:styleId="WW8Num30z0" w:customStyle="1">
    <w:name w:val="WW8Num30z0"/>
    <w:qFormat/>
    <w:rPr/>
  </w:style>
  <w:style w:type="character" w:styleId="WW8Num31z0" w:customStyle="1">
    <w:name w:val="WW8Num31z0"/>
    <w:qFormat/>
    <w:rPr/>
  </w:style>
  <w:style w:type="character" w:styleId="WW8Num32z0" w:customStyle="1">
    <w:name w:val="WW8Num32z0"/>
    <w:qFormat/>
    <w:rPr/>
  </w:style>
  <w:style w:type="character" w:styleId="WW8Num33z0" w:customStyle="1">
    <w:name w:val="WW8Num33z0"/>
    <w:qFormat/>
    <w:rPr/>
  </w:style>
  <w:style w:type="character" w:styleId="WW8Num34z0" w:customStyle="1">
    <w:name w:val="WW8Num34z0"/>
    <w:qFormat/>
    <w:rPr/>
  </w:style>
  <w:style w:type="character" w:styleId="Pagenumber">
    <w:name w:val="page number"/>
    <w:basedOn w:val="DefaultParagraphFont"/>
    <w:qFormat/>
    <w:rPr/>
  </w:style>
  <w:style w:type="character" w:styleId="Style11" w:customStyle="1">
    <w:name w:val="Текст Знак"/>
    <w:qFormat/>
    <w:rPr>
      <w:rFonts w:ascii="Courier New" w:hAnsi="Courier New" w:cs="Courier New"/>
    </w:rPr>
  </w:style>
  <w:style w:type="character" w:styleId="Style12" w:customStyle="1">
    <w:name w:val="Верхний колонтитул Знак"/>
    <w:qFormat/>
    <w:rPr>
      <w:sz w:val="16"/>
      <w:lang w:val="ru-RU" w:bidi="ar-SA"/>
    </w:rPr>
  </w:style>
  <w:style w:type="character" w:styleId="31" w:customStyle="1">
    <w:name w:val="Основной текст с отступом 3 Знак"/>
    <w:qFormat/>
    <w:rPr>
      <w:sz w:val="16"/>
      <w:szCs w:val="16"/>
    </w:rPr>
  </w:style>
  <w:style w:type="character" w:styleId="Hyperlink">
    <w:name w:val="Hyperlink"/>
    <w:rPr>
      <w:color w:val="0563C1"/>
      <w:u w:val="single"/>
    </w:rPr>
  </w:style>
  <w:style w:type="character" w:styleId="Style13" w:customStyle="1">
    <w:name w:val="Абзац списка Знак"/>
    <w:qFormat/>
    <w:rPr>
      <w:sz w:val="24"/>
      <w:szCs w:val="24"/>
    </w:rPr>
  </w:style>
  <w:style w:type="character" w:styleId="6" w:customStyle="1">
    <w:name w:val="Заголовок 6 Знак"/>
    <w:qFormat/>
    <w:rPr>
      <w:b/>
      <w:bCs/>
      <w:sz w:val="22"/>
      <w:szCs w:val="22"/>
    </w:rPr>
  </w:style>
  <w:style w:type="character" w:styleId="Style14" w:customStyle="1">
    <w:name w:val="Название Знак"/>
    <w:qFormat/>
    <w:rPr>
      <w:sz w:val="28"/>
      <w:lang w:val="ru-RU" w:bidi="ar-SA"/>
    </w:rPr>
  </w:style>
  <w:style w:type="character" w:styleId="Style15" w:customStyle="1">
    <w:name w:val="Заголовок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6" w:customStyle="1">
    <w:name w:val="Нижний колонтитул Знак"/>
    <w:qFormat/>
    <w:rPr/>
  </w:style>
  <w:style w:type="character" w:styleId="FollowedHyperlink">
    <w:name w:val="FollowedHyperlink"/>
    <w:rPr>
      <w:color w:val="954F72"/>
      <w:u w:val="single"/>
    </w:rPr>
  </w:style>
  <w:style w:type="character" w:styleId="Style17" w:customStyle="1">
    <w:name w:val="Гиперссылка"/>
    <w:qFormat/>
    <w:rPr>
      <w:color w:val="0000FF"/>
      <w:u w:val="single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jc w:val="right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08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/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/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pPr/>
    <w:rPr/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PlainText">
    <w:name w:val="Plain Text"/>
    <w:basedOn w:val="Normal"/>
    <w:qFormat/>
    <w:pPr/>
    <w:rPr>
      <w:rFonts w:ascii="Courier New" w:hAnsi="Courier New" w:cs="Courier New"/>
      <w:sz w:val="20"/>
      <w:szCs w:val="20"/>
      <w:lang w:val="en-US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Consultant" w:hAnsi="Consultant" w:eastAsia="Droid Sans Fallback" w:cs="Consultant"/>
      <w:color w:val="auto"/>
      <w:kern w:val="0"/>
      <w:sz w:val="20"/>
      <w:szCs w:val="20"/>
      <w:lang w:val="ru-RU" w:eastAsia="zh-CN" w:bidi="ar-SA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21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2" w:customStyle="1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0"/>
      <w:szCs w:val="20"/>
      <w:lang w:val="ru-RU" w:eastAsia="zh-CN" w:bidi="ar-SA"/>
    </w:rPr>
  </w:style>
  <w:style w:type="paragraph" w:styleId="Header">
    <w:name w:val="Header"/>
    <w:pPr>
      <w:widowControl/>
      <w:tabs>
        <w:tab w:val="clear" w:pos="708"/>
        <w:tab w:val="center" w:pos="4153" w:leader="none"/>
        <w:tab w:val="right" w:pos="8306" w:leader="none"/>
      </w:tabs>
      <w:suppressAutoHyphens w:val="true"/>
      <w:bidi w:val="0"/>
      <w:spacing w:before="0" w:after="0"/>
      <w:jc w:val="center"/>
    </w:pPr>
    <w:rPr>
      <w:rFonts w:ascii="Times New Roman" w:hAnsi="Times New Roman" w:eastAsia="Droid Sans Fallback" w:cs="Lohit Devanagari"/>
      <w:color w:val="auto"/>
      <w:kern w:val="0"/>
      <w:sz w:val="16"/>
      <w:szCs w:val="20"/>
      <w:lang w:val="ru-RU" w:eastAsia="zh-CN" w:bidi="ar-SA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000000"/>
      <w:kern w:val="0"/>
      <w:sz w:val="24"/>
      <w:szCs w:val="24"/>
      <w:lang w:val="ru-RU" w:eastAsia="zh-CN" w:bidi="ar-SA"/>
    </w:rPr>
  </w:style>
  <w:style w:type="paragraph" w:styleId="Style2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14">
    <w:name w:val="Основной текст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TableParagraph">
    <w:name w:val="Table Paragraph"/>
    <w:qFormat/>
    <w:pPr>
      <w:widowControl w:val="false"/>
      <w:suppressAutoHyphens w:val="true"/>
      <w:bidi w:val="0"/>
      <w:spacing w:before="0" w:after="0"/>
      <w:ind w:hanging="0" w:left="107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imesNewRoman">
    <w:name w:val="Times New Roman"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firstLine="311" w:left="0" w:right="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styleId="825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6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7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28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29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30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1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2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9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0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1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2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3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4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5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6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7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8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9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0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1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2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3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54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55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56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57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58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59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60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6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6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6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6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67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6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6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7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7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7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7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74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7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7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7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7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7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1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89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90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91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92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93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94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95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6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7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8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99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0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1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2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3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4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5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6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7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8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9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6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1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1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1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2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2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2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23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2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2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2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2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2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2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30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31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32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33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34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35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36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37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38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39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0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1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2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3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44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45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46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47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48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49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50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51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://www.gorodperm.ru/" TargetMode="External"/><Relationship Id="rId4" Type="http://schemas.openxmlformats.org/officeDocument/2006/relationships/hyperlink" Target="http://utp.sberbank-ast.ru/" TargetMode="External"/><Relationship Id="rId5" Type="http://schemas.openxmlformats.org/officeDocument/2006/relationships/hyperlink" Target="http://utp.sberbank-ast.ru/" TargetMode="External"/><Relationship Id="rId6" Type="http://schemas.openxmlformats.org/officeDocument/2006/relationships/hyperlink" Target="https://utp.sberbank-ast.ru/Main/Notice/988/Reglament" TargetMode="External"/><Relationship Id="rId7" Type="http://schemas.openxmlformats.org/officeDocument/2006/relationships/hyperlink" Target="https://utp.sberbank-ast.ru/AP/Notice/1027/Instructions" TargetMode="External"/><Relationship Id="rId8" Type="http://schemas.openxmlformats.org/officeDocument/2006/relationships/hyperlink" Target="https://utp.sberbank-ast.ru/AP/Notice/652/Instructions" TargetMode="External"/><Relationship Id="rId9" Type="http://schemas.openxmlformats.org/officeDocument/2006/relationships/hyperlink" Target="http://www.gorodperm.ru/" TargetMode="External"/><Relationship Id="rId10" Type="http://schemas.openxmlformats.org/officeDocument/2006/relationships/hyperlink" Target="https://" TargetMode="External"/><Relationship Id="rId11" Type="http://schemas.openxmlformats.org/officeDocument/2006/relationships/hyperlink" Target="http://www.gorodperm.ru/" TargetMode="External"/><Relationship Id="rId12" Type="http://schemas.openxmlformats.org/officeDocument/2006/relationships/hyperlink" Target="http://www.gorodperm.ru/" TargetMode="External"/><Relationship Id="rId13" Type="http://schemas.openxmlformats.org/officeDocument/2006/relationships/hyperlink" Target="http://www.gorodperm.ru/" TargetMode="External"/><Relationship Id="rId14" Type="http://schemas.openxmlformats.org/officeDocument/2006/relationships/hyperlink" Target="https://&#1087;&#1086;&#1088;&#1090;&#1072;&#1083;" TargetMode="External"/><Relationship Id="rId15" Type="http://schemas.openxmlformats.org/officeDocument/2006/relationships/hyperlink" Target="http://utp.sberbank-ast.ru/AP/Notice/653/Requisites" TargetMode="External"/><Relationship Id="rId16" Type="http://schemas.openxmlformats.org/officeDocument/2006/relationships/header" Target="header1.xml"/><Relationship Id="rId17" Type="http://schemas.openxmlformats.org/officeDocument/2006/relationships/header" Target="header2.xm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Application>LibreOffice/7.6.7.2$Linux_X86_64 LibreOffice_project/60$Build-2</Application>
  <AppVersion>15.0000</AppVersion>
  <Pages>41</Pages>
  <Words>12803</Words>
  <Characters>91999</Characters>
  <CharactersWithSpaces>104859</CharactersWithSpaces>
  <Paragraphs>607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2023-10-30T09:15:00Z</dcterms:created>
  <dc:creator>Tatyannikova</dc:creator>
  <dc:description/>
  <dc:language>ru-RU</dc:language>
  <cp:lastModifiedBy/>
  <dcterms:modified xsi:type="dcterms:W3CDTF">2026-10-09T11:12:12Z</dcterms:modified>
  <cp:revision>383</cp:revision>
  <dc:subject/>
  <dc:title>Департамент имущественных отношений администрации города Перми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