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6"/>
        <w:ind w:left="1134" w:right="-261" w:hanging="113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766"/>
        <w:ind w:left="1134" w:right="-261" w:hanging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47"/>
        <w:numPr>
          <w:ilvl w:val="0"/>
          <w:numId w:val="0"/>
        </w:numPr>
        <w:ind w:left="0" w:firstLine="5670"/>
        <w:jc w:val="both"/>
        <w:spacing w:line="240" w:lineRule="exact"/>
        <w:tabs>
          <w:tab w:val="clear" w:pos="708" w:leader="none"/>
          <w:tab w:val="left" w:pos="4732" w:leader="none"/>
          <w:tab w:val="left" w:pos="5812" w:leader="none"/>
        </w:tabs>
        <w:rPr>
          <w:sz w:val="28"/>
          <w:szCs w:val="28"/>
        </w:rPr>
        <w:outlineLvl w:val="5"/>
      </w:pPr>
      <w:r>
        <w:rPr>
          <w:bCs/>
          <w:sz w:val="28"/>
          <w:szCs w:val="28"/>
        </w:rPr>
        <w:t xml:space="preserve">Приложение 2</w:t>
      </w:r>
      <w:r>
        <w:rPr>
          <w:sz w:val="28"/>
          <w:szCs w:val="28"/>
        </w:rPr>
      </w:r>
    </w:p>
    <w:p>
      <w:pPr>
        <w:pStyle w:val="647"/>
        <w:ind w:left="5664" w:firstLine="6"/>
        <w:spacing w:line="240" w:lineRule="exact"/>
        <w:tabs>
          <w:tab w:val="clear" w:pos="708" w:leader="none"/>
          <w:tab w:val="left" w:pos="473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приказу начальника департамента имущественных отношений</w:t>
      </w:r>
      <w:r>
        <w:rPr>
          <w:sz w:val="28"/>
          <w:szCs w:val="28"/>
        </w:rPr>
      </w:r>
    </w:p>
    <w:p>
      <w:pPr>
        <w:pStyle w:val="647"/>
        <w:ind w:firstLine="5670"/>
        <w:spacing w:line="240" w:lineRule="exact"/>
        <w:tabs>
          <w:tab w:val="clear" w:pos="708" w:leader="none"/>
          <w:tab w:val="left" w:pos="473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Перми</w:t>
      </w:r>
      <w:r>
        <w:rPr>
          <w:sz w:val="28"/>
          <w:szCs w:val="28"/>
        </w:rPr>
      </w:r>
    </w:p>
    <w:p>
      <w:pPr>
        <w:pStyle w:val="647"/>
        <w:ind w:firstLine="5670"/>
        <w:spacing w:line="240" w:lineRule="exact"/>
        <w:tabs>
          <w:tab w:val="clear" w:pos="708" w:leader="none"/>
          <w:tab w:val="left" w:pos="473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 09.10.2026 № 059-19-01-11-165</w:t>
      </w:r>
      <w:r>
        <w:rPr>
          <w:sz w:val="28"/>
          <w:szCs w:val="28"/>
        </w:rPr>
      </w:r>
    </w:p>
    <w:p>
      <w:pPr>
        <w:pStyle w:val="647"/>
        <w:ind w:left="283"/>
        <w:jc w:val="center"/>
        <w:tabs>
          <w:tab w:val="clear" w:pos="708" w:leader="none"/>
          <w:tab w:val="left" w:pos="473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66"/>
        <w:ind w:left="1134" w:hanging="1134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Извещение о проведении 12.11.2026 электронного аукциона по продаже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</w:p>
    <w:p>
      <w:pPr>
        <w:pStyle w:val="766"/>
        <w:ind w:left="1134" w:hanging="1134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земельного участка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</w:p>
    <w:p>
      <w:pPr>
        <w:pStyle w:val="766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</w:p>
    <w:p>
      <w:pPr>
        <w:pStyle w:val="647"/>
        <w:ind w:left="-567" w:firstLine="567"/>
        <w:jc w:val="both"/>
        <w:widowControl w:val="off"/>
        <w:rPr>
          <w:b/>
          <w:bCs/>
        </w:rPr>
      </w:pPr>
      <w:r>
        <w:rPr>
          <w:shd w:val="clear" w:color="auto" w:fill="ffffff"/>
        </w:rPr>
        <w:t xml:space="preserve">Электронный аукцион по продаже земельного участка (далее – аукцион) проводится                             в соответствии со статьями 39.11, 39.12, 39.13, 39.18 Земельного кодекса Российской Федерации,  статьей 17.3 Федерального закона от 26 июля 2006</w:t>
      </w:r>
      <w:r>
        <w:rPr>
          <w:shd w:val="clear" w:color="auto" w:fill="ffffff"/>
        </w:rPr>
        <w:t xml:space="preserve"> г. № 135-ФЗ «О защите конкуренции»,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</w:t>
      </w:r>
      <w:r>
        <w:rPr>
          <w:shd w:val="clear" w:color="auto" w:fill="ffffff"/>
        </w:rPr>
        <w:t xml:space="preserve">1089 «О комиссии по проведению аукционов по продаже земельных участков, находящихся в муниципальной собственности города Перми,                          и участков, собственность на которые не разграничена, объектов незавершенного строительства, расположен</w:t>
      </w:r>
      <w:r>
        <w:rPr>
          <w:shd w:val="clear" w:color="auto" w:fill="ffffff"/>
        </w:rPr>
        <w:t xml:space="preserve">ных на земельных участках, находящихся  в муниципальной собственности города Перми, и участках, собственность на которые  не разграничена, или на право заключения договоров аренды земельных участков, находящихся 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val="clear" w:color="auto" w:fill="ffffff"/>
          <w:lang w:val="ru-RU" w:eastAsia="zh-CN" w:bidi="ar-SA"/>
        </w:rPr>
        <w:t xml:space="preserve">                              и участков, собственность на которые 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  <w:r>
        <w:rPr>
          <w:b/>
          <w:bCs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left" w:pos="9355" w:leader="none"/>
        </w:tabs>
        <w:rPr>
          <w:b/>
          <w:bCs/>
        </w:rPr>
        <w:outlineLvl w:val="0"/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730"/>
          <w:bCs/>
          <w:sz w:val="24"/>
          <w:szCs w:val="24"/>
          <w:lang w:val="en-US"/>
        </w:rPr>
        <w:t xml:space="preserve">dzo@perm.permkrai.ru.</w:t>
      </w:r>
      <w:r>
        <w:rPr>
          <w:b/>
          <w:bCs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left" w:pos="9355" w:leader="none"/>
        </w:tabs>
        <w:rPr>
          <w:b/>
          <w:bCs/>
          <w:sz w:val="24"/>
          <w:szCs w:val="24"/>
        </w:rPr>
        <w:outlineLvl w:val="0"/>
      </w:pPr>
      <w:r>
        <w:rPr>
          <w:b/>
          <w:bCs/>
        </w:rPr>
        <w:t xml:space="preserve">Организатор аукциона </w:t>
      </w:r>
      <w:r>
        <w:rPr>
          <w:bCs/>
        </w:rPr>
        <w:t xml:space="preserve"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 xml:space="preserve">депар</w:t>
      </w:r>
      <w:r>
        <w:rPr>
          <w:bCs/>
        </w:rPr>
        <w:t xml:space="preserve">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 xml:space="preserve">dio</w:t>
      </w:r>
      <w:r>
        <w:rPr>
          <w:sz w:val="24"/>
          <w:szCs w:val="24"/>
        </w:rPr>
        <w:t xml:space="preserve">@</w:t>
      </w:r>
      <w:r>
        <w:rPr>
          <w:sz w:val="24"/>
          <w:szCs w:val="24"/>
          <w:lang w:val="en-US"/>
        </w:rPr>
        <w:t xml:space="preserve">perm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permkrai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ru</w:t>
      </w:r>
      <w:r>
        <w:rPr>
          <w:b/>
          <w:bCs/>
          <w:sz w:val="24"/>
          <w:szCs w:val="24"/>
        </w:rPr>
        <w:t xml:space="preserve">.</w:t>
      </w:r>
      <w:r>
        <w:rPr>
          <w:b/>
          <w:bCs/>
          <w:sz w:val="24"/>
          <w:szCs w:val="24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left" w:pos="9355" w:leader="none"/>
        </w:tabs>
        <w:rPr>
          <w:sz w:val="24"/>
          <w:szCs w:val="24"/>
        </w:rPr>
        <w:outlineLvl w:val="0"/>
      </w:pPr>
      <w:r>
        <w:rPr>
          <w:b/>
          <w:bCs/>
        </w:rPr>
        <w:t xml:space="preserve"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</w:t>
      </w:r>
      <w:r>
        <w:rPr>
          <w:bCs/>
          <w:sz w:val="20"/>
          <w:szCs w:val="24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09.10.2026 № 059-19-01-11-165</w:t>
      </w:r>
      <w:r/>
      <w:r>
        <w:rPr>
          <w:bCs/>
          <w:sz w:val="20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776"/>
        <w:numPr>
          <w:ilvl w:val="0"/>
          <w:numId w:val="0"/>
        </w:numPr>
        <w:ind w:left="-567" w:firstLine="567"/>
        <w:jc w:val="both"/>
        <w:spacing w:before="0" w:after="0"/>
        <w:rPr>
          <w:rFonts w:eastAsia="Courier New"/>
          <w:b/>
          <w:color w:val="000000"/>
          <w:lang w:val="ru-RU" w:bidi="ru-RU"/>
        </w:rPr>
        <w:outlineLvl w:val="0"/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11" w:tooltip="http://www.torgi.gov.ru/" w:history="1">
        <w:r>
          <w:rPr>
            <w:rStyle w:val="730"/>
            <w:color w:val="000000"/>
            <w:sz w:val="24"/>
            <w:szCs w:val="24"/>
            <w:u w:val="none"/>
          </w:rPr>
          <w:t xml:space="preserve">www</w:t>
        </w:r>
        <w:r>
          <w:rPr>
            <w:rStyle w:val="730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30"/>
            <w:color w:val="000000"/>
            <w:sz w:val="24"/>
            <w:szCs w:val="24"/>
            <w:u w:val="none"/>
          </w:rPr>
          <w:t xml:space="preserve">torgi</w:t>
        </w:r>
        <w:r>
          <w:rPr>
            <w:rStyle w:val="730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30"/>
            <w:color w:val="000000"/>
            <w:sz w:val="24"/>
            <w:szCs w:val="24"/>
            <w:u w:val="none"/>
          </w:rPr>
          <w:t xml:space="preserve">gov</w:t>
        </w:r>
        <w:r>
          <w:rPr>
            <w:rStyle w:val="730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30"/>
            <w:color w:val="000000"/>
            <w:sz w:val="24"/>
            <w:szCs w:val="24"/>
            <w:u w:val="none"/>
          </w:rPr>
          <w:t xml:space="preserve">ru</w:t>
        </w:r>
      </w:hyperlink>
      <w:r>
        <w:rPr>
          <w:color w:val="000000"/>
          <w:sz w:val="24"/>
          <w:szCs w:val="24"/>
          <w:u w:val="none"/>
        </w:rPr>
        <w:t xml:space="preserve"> (далее – ГИС Торги)</w:t>
      </w:r>
      <w:r>
        <w:rPr>
          <w:b/>
          <w:sz w:val="24"/>
          <w:szCs w:val="24"/>
          <w:lang w:val="ru-RU"/>
        </w:rPr>
        <w:t xml:space="preserve"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в информационно-телекоммуникационной сети «Интернет» </w:t>
      </w:r>
      <w:hyperlink r:id="rId12" w:tooltip="http://www.gorodperm.ru/" w:history="1">
        <w:r>
          <w:rPr>
            <w:rStyle w:val="730"/>
            <w:color w:val="000000"/>
            <w:sz w:val="24"/>
            <w:szCs w:val="24"/>
            <w:u w:val="none"/>
          </w:rPr>
          <w:t xml:space="preserve">www</w:t>
        </w:r>
        <w:r>
          <w:rPr>
            <w:rStyle w:val="730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30"/>
            <w:color w:val="000000"/>
            <w:sz w:val="24"/>
            <w:szCs w:val="24"/>
            <w:u w:val="none"/>
          </w:rPr>
          <w:t xml:space="preserve">gorodperm</w:t>
        </w:r>
        <w:r>
          <w:rPr>
            <w:rStyle w:val="730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30"/>
            <w:color w:val="000000"/>
            <w:sz w:val="24"/>
            <w:szCs w:val="24"/>
            <w:u w:val="none"/>
          </w:rPr>
          <w:t xml:space="preserve"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13" w:tooltip="http://utp.sberbank-ast.ru/" w:history="1">
        <w:r>
          <w:rPr>
            <w:rStyle w:val="730"/>
            <w:sz w:val="24"/>
            <w:szCs w:val="24"/>
          </w:rPr>
          <w:t xml:space="preserve">http</w:t>
        </w:r>
        <w:r>
          <w:rPr>
            <w:rStyle w:val="730"/>
            <w:sz w:val="24"/>
            <w:szCs w:val="24"/>
            <w:lang w:val="ru-RU"/>
          </w:rPr>
          <w:t xml:space="preserve">://</w:t>
        </w:r>
        <w:r>
          <w:rPr>
            <w:rStyle w:val="730"/>
            <w:sz w:val="24"/>
            <w:szCs w:val="24"/>
          </w:rPr>
          <w:t xml:space="preserve">utp</w:t>
        </w:r>
        <w:r>
          <w:rPr>
            <w:rStyle w:val="730"/>
            <w:sz w:val="24"/>
            <w:szCs w:val="24"/>
            <w:lang w:val="ru-RU"/>
          </w:rPr>
          <w:t xml:space="preserve">.</w:t>
        </w:r>
        <w:r>
          <w:rPr>
            <w:rStyle w:val="730"/>
            <w:sz w:val="24"/>
            <w:szCs w:val="24"/>
          </w:rPr>
          <w:t xml:space="preserve">sberbank</w:t>
        </w:r>
        <w:r>
          <w:rPr>
            <w:rStyle w:val="730"/>
            <w:sz w:val="24"/>
            <w:szCs w:val="24"/>
            <w:lang w:val="ru-RU"/>
          </w:rPr>
          <w:t xml:space="preserve">-</w:t>
        </w:r>
        <w:r>
          <w:rPr>
            <w:rStyle w:val="730"/>
            <w:sz w:val="24"/>
            <w:szCs w:val="24"/>
          </w:rPr>
          <w:t xml:space="preserve">ast</w:t>
        </w:r>
        <w:r>
          <w:rPr>
            <w:rStyle w:val="730"/>
            <w:sz w:val="24"/>
            <w:szCs w:val="24"/>
            <w:lang w:val="ru-RU"/>
          </w:rPr>
          <w:t xml:space="preserve">.</w:t>
        </w:r>
        <w:r>
          <w:rPr>
            <w:rStyle w:val="730"/>
            <w:sz w:val="24"/>
            <w:szCs w:val="24"/>
          </w:rPr>
          <w:t xml:space="preserve">ru</w:t>
        </w:r>
      </w:hyperlink>
      <w:r>
        <w:rPr>
          <w:bCs/>
          <w:sz w:val="24"/>
          <w:szCs w:val="24"/>
          <w:lang w:val="ru-RU" w:bidi="ru-RU"/>
        </w:rPr>
        <w:t xml:space="preserve">.</w:t>
      </w:r>
      <w:r>
        <w:rPr>
          <w:rFonts w:eastAsia="Courier New"/>
          <w:b/>
          <w:color w:val="000000"/>
          <w:lang w:val="ru-RU" w:bidi="ru-RU"/>
        </w:rPr>
      </w:r>
    </w:p>
    <w:p>
      <w:pPr>
        <w:pStyle w:val="647"/>
        <w:ind w:left="-567" w:firstLine="567"/>
        <w:jc w:val="both"/>
        <w:widowControl w:val="off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 xml:space="preserve"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 xml:space="preserve">:</w:t>
      </w:r>
      <w:r>
        <w:rPr>
          <w:rFonts w:ascii="Courier New" w:hAnsi="Courier New" w:eastAsia="Courier New" w:cs="Courier New"/>
          <w:color w:val="000000"/>
          <w:lang w:bidi="ru-RU"/>
        </w:rPr>
        <w:t xml:space="preserve"> </w:t>
      </w:r>
      <w:hyperlink r:id="rId14" w:tooltip="http://utp.sberbank-ast.ru/" w:history="1">
        <w:r>
          <w:rPr>
            <w:rStyle w:val="730"/>
          </w:rPr>
          <w:t xml:space="preserve"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(далее – торговая секция). </w:t>
      </w:r>
      <w:r>
        <w:rPr>
          <w:rFonts w:eastAsia="Courier New"/>
          <w:b/>
          <w:color w:val="000000"/>
          <w:lang w:eastAsia="en-US" w:bidi="ru-RU"/>
        </w:rPr>
      </w:r>
    </w:p>
    <w:p>
      <w:pPr>
        <w:pStyle w:val="647"/>
        <w:contextualSpacing/>
        <w:ind w:left="-567" w:firstLine="567"/>
        <w:jc w:val="both"/>
        <w:spacing w:before="0" w:after="0"/>
        <w:widowControl w:val="off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 xml:space="preserve">Владелец электронной площадки</w:t>
      </w:r>
      <w:r>
        <w:rPr>
          <w:rFonts w:eastAsia="Courier New"/>
          <w:color w:val="000000"/>
          <w:lang w:eastAsia="en-US" w:bidi="ru-RU"/>
        </w:rPr>
        <w:t xml:space="preserve"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 xml:space="preserve">.</w:t>
      </w:r>
      <w:r>
        <w:rPr>
          <w:rFonts w:eastAsia="Courier New"/>
          <w:color w:val="000000"/>
          <w:lang w:bidi="ru-RU"/>
        </w:rPr>
      </w:r>
    </w:p>
    <w:p>
      <w:pPr>
        <w:pStyle w:val="647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15" w:tooltip="https://utp.sberbank-ast.ru/Main/Notice/988/Reglament" w:history="1">
        <w:r>
          <w:rPr>
            <w:rStyle w:val="730"/>
            <w:rFonts w:eastAsia="Courier New"/>
            <w:lang w:bidi="ru-RU"/>
          </w:rPr>
          <w:t xml:space="preserve">https://utp.sberbank-ast.ru/Main/Notice/988/Reglament</w:t>
        </w:r>
      </w:hyperlink>
      <w:r>
        <w:rPr>
          <w:rFonts w:eastAsia="Courier New"/>
          <w:lang w:bidi="ru-RU"/>
        </w:rPr>
        <w:t xml:space="preserve">.</w:t>
      </w:r>
      <w:r>
        <w:rPr>
          <w:bCs/>
          <w:lang w:bidi="ru-RU"/>
        </w:rPr>
      </w:r>
    </w:p>
    <w:p>
      <w:pPr>
        <w:pStyle w:val="647"/>
        <w:contextualSpacing/>
        <w:ind w:left="-567" w:firstLine="56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textWrapping" w:clear="all"/>
      </w:r>
      <w:hyperlink r:id="rId16" w:tooltip="https://utp.sberbank-ast.ru/AP/Notice/1027/Instructions" w:history="1">
        <w:r>
          <w:rPr>
            <w:rStyle w:val="730"/>
            <w:rFonts w:eastAsia="Calibri"/>
            <w:lang w:eastAsia="en-US"/>
          </w:rPr>
          <w:t xml:space="preserve">https://utp.sberbank-ast.ru/AP/Notice/1027/Instructions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ourier New"/>
          <w:lang w:bidi="ru-RU"/>
        </w:rPr>
      </w:r>
    </w:p>
    <w:p>
      <w:pPr>
        <w:pStyle w:val="647"/>
        <w:contextualSpacing/>
        <w:ind w:left="-567" w:firstLine="567"/>
        <w:jc w:val="both"/>
        <w:spacing w:before="0" w:after="0"/>
        <w:widowControl w:val="off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 xml:space="preserve">размещена по адресу: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hyperlink r:id="rId17" w:tooltip="https://utp.sberbank-ast.ru/AP/Notice/652/Instructions" w:history="1">
        <w:r>
          <w:rPr>
            <w:rStyle w:val="730"/>
            <w:bCs/>
            <w:lang w:eastAsia="en-US" w:bidi="ru-RU"/>
          </w:rPr>
          <w:t xml:space="preserve">https://utp.sberbank-ast.ru/AP/Notice/652/Instructions</w:t>
        </w:r>
      </w:hyperlink>
      <w:r>
        <w:rPr>
          <w:bCs/>
          <w:lang w:eastAsia="en-US" w:bidi="ru-RU"/>
        </w:rPr>
        <w:t xml:space="preserve">.</w:t>
      </w:r>
      <w:r>
        <w:rPr>
          <w:b/>
          <w:bCs/>
        </w:rPr>
      </w:r>
    </w:p>
    <w:p>
      <w:pPr>
        <w:pStyle w:val="647"/>
        <w:ind w:left="-567" w:firstLine="567"/>
        <w:jc w:val="both"/>
        <w:widowControl w:val="off"/>
        <w:rPr>
          <w:highlight w:val="none"/>
        </w:rPr>
      </w:pPr>
      <w:r>
        <w:rPr>
          <w:b/>
          <w:bCs/>
        </w:rPr>
        <w:t xml:space="preserve">Орган, уполномоченный на заключение договора купли-продажи земельного участка: </w:t>
      </w:r>
      <w:r>
        <w:rPr>
          <w:bCs/>
        </w:rPr>
        <w:t xml:space="preserve">департамент земельных отношений администрации города Перми, местонахождение: 614000,                       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730"/>
          <w:bCs/>
          <w:sz w:val="24"/>
          <w:szCs w:val="24"/>
          <w:lang w:val="en-US"/>
        </w:rPr>
        <w:t xml:space="preserve">dzo</w:t>
      </w:r>
      <w:r>
        <w:rPr>
          <w:rStyle w:val="730"/>
          <w:bCs/>
          <w:sz w:val="24"/>
          <w:szCs w:val="24"/>
        </w:rPr>
        <w:t xml:space="preserve">@</w:t>
      </w:r>
      <w:r>
        <w:rPr>
          <w:rStyle w:val="730"/>
          <w:bCs/>
          <w:sz w:val="24"/>
          <w:szCs w:val="24"/>
          <w:lang w:val="en-US"/>
        </w:rPr>
        <w:t xml:space="preserve">perm</w:t>
      </w:r>
      <w:r>
        <w:rPr>
          <w:rStyle w:val="730"/>
          <w:bCs/>
          <w:sz w:val="24"/>
          <w:szCs w:val="24"/>
        </w:rPr>
        <w:t xml:space="preserve">.</w:t>
      </w:r>
      <w:r>
        <w:rPr>
          <w:rStyle w:val="730"/>
          <w:bCs/>
          <w:sz w:val="24"/>
          <w:szCs w:val="24"/>
          <w:lang w:val="en-US"/>
        </w:rPr>
        <w:t xml:space="preserve">permkrai</w:t>
      </w:r>
      <w:r>
        <w:rPr>
          <w:rStyle w:val="730"/>
          <w:bCs/>
          <w:sz w:val="24"/>
          <w:szCs w:val="24"/>
        </w:rPr>
        <w:t xml:space="preserve">.</w:t>
      </w:r>
      <w:r>
        <w:rPr>
          <w:rStyle w:val="730"/>
          <w:bCs/>
          <w:sz w:val="24"/>
          <w:szCs w:val="24"/>
          <w:lang w:val="en-US"/>
        </w:rPr>
        <w:t xml:space="preserve">ru.</w:t>
      </w:r>
      <w:r>
        <w:rPr>
          <w:highlight w:val="none"/>
        </w:rPr>
      </w:r>
    </w:p>
    <w:p>
      <w:pPr>
        <w:pStyle w:val="647"/>
        <w:ind w:left="-567" w:firstLine="567"/>
        <w:jc w:val="both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766"/>
        <w:ind w:left="1134" w:hanging="1134"/>
        <w:jc w:val="center"/>
        <w:spacing w:line="240" w:lineRule="exact"/>
        <w:rPr>
          <w:b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Сведения о лотах (предметах аукциона)</w:t>
      </w:r>
      <w:r>
        <w:rPr>
          <w:b/>
          <w:lang w:val="ru-RU"/>
        </w:rPr>
      </w:r>
    </w:p>
    <w:p>
      <w:pPr>
        <w:pStyle w:val="766"/>
        <w:ind w:left="1134" w:hanging="1134"/>
        <w:jc w:val="center"/>
        <w:spacing w:line="24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47"/>
        <w:ind w:right="-263"/>
        <w:tabs>
          <w:tab w:val="clear" w:pos="708" w:leader="none"/>
          <w:tab w:val="left" w:pos="5103" w:leader="none"/>
        </w:tabs>
        <w:rPr>
          <w:sz w:val="20"/>
          <w:szCs w:val="20"/>
          <w:highlight w:val="none"/>
        </w:rPr>
      </w:pPr>
      <w:r>
        <w:rPr>
          <w:b/>
          <w:lang w:val="en-US"/>
        </w:rPr>
        <w:t xml:space="preserve">Лот № 1</w:t>
      </w:r>
      <w:r>
        <w:rPr>
          <w:sz w:val="20"/>
          <w:szCs w:val="20"/>
          <w:highlight w:val="none"/>
        </w:rPr>
      </w:r>
    </w:p>
    <w:tbl>
      <w:tblPr>
        <w:tblW w:w="10530" w:type="dxa"/>
        <w:tblInd w:w="-47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52"/>
        <w:gridCol w:w="3312"/>
        <w:gridCol w:w="6866"/>
      </w:tblGrid>
      <w:tr>
        <w:tblPrEx/>
        <w:trPr>
          <w:trHeight w:val="8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right="0"/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</w:t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ind w:right="0"/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местного самоуправления, принявшего решение о проведении аукциона, реквизиты указанного решения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 департамента земельных отношений администрации города Перми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от 27 августа 2026 г. № 21-01-03-6059 </w:t>
            </w:r>
            <w:r>
              <w:rPr>
                <w:rFonts w:eastAsia="Times New Roman" w:cs="Times New Roman"/>
                <w:color w:val="000000"/>
                <w:sz w:val="24"/>
                <w:szCs w:val="28"/>
              </w:rPr>
              <w:t xml:space="preserve">«О проведении аукциона по продаже земельного участка в Индустриальном районе города Перми»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по продаже земельного участка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restart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720" w:right="-263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местоположение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Пермский край, г.о. Пермский, г. Пермь, ул. 1-я Красавинская, з/у 29а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720" w:right="-263"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472 кв. м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720" w:right="-263"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кадастровый номер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59:01:4613894:166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720" w:right="113" w:hanging="36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права на земельный участок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государственная собственность не разграничена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720" w:right="113" w:hanging="36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для индивидуального жилищного строительства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720" w:right="113" w:hanging="36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 xml:space="preserve">категории земель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земли населенных пунктов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3"/>
              </w:numPr>
              <w:ind w:left="720" w:right="113" w:hanging="36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 xml:space="preserve">территориальной зоне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right="-263"/>
              <w:jc w:val="both"/>
            </w:pPr>
            <w:r>
              <w:rPr>
                <w:sz w:val="24"/>
                <w:szCs w:val="24"/>
              </w:rPr>
              <w:t xml:space="preserve">Ж-5 «Зона индивидуальной усадебной жилой застройки»</w:t>
            </w:r>
            <w:r/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720" w:right="113" w:hanging="36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ограничение прав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Ограничения прав подробно описаны:</w:t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ind w:firstLine="31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от 09.09.2026г.                    № КУВИ-001/2026-122270778 (далее - ЕГРН)</w:t>
            </w:r>
            <w:r>
              <w:rPr>
                <w:sz w:val="24"/>
                <w:szCs w:val="24"/>
                <w14:ligatures w14:val="none"/>
              </w:rPr>
              <w:t xml:space="preserve">;</w:t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pStyle w:val="647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градостроительном плане земельного участка</w:t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</w:t>
            </w:r>
            <w:r>
              <w:rPr>
                <w:color w:val="000000"/>
                <w:sz w:val="24"/>
                <w:szCs w:val="24"/>
              </w:rPr>
              <w:t xml:space="preserve">.08.2026 № РФ-59-2-03-0-00-2026-2123-0</w:t>
            </w:r>
            <w:r>
              <w:rPr>
                <w:sz w:val="24"/>
                <w:szCs w:val="24"/>
              </w:rPr>
              <w:t xml:space="preserve"> (далее – ГПЗУ) (</w:t>
            </w:r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</w:rPr>
              <w:t xml:space="preserve">Приложение 2 к настоящему извещению)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/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Доступ к Участку ограничен со всех сторон, в границах территор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ии отсутствуют движимые и недвижимые объекты, однако по границе Участка с западной стороны установлен металлический забор, находящийся на муниципальной территории. С восточной, южной и северной сторон Участок ограничен заборами соседних земельных участков.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Близлежащие пожарные гидранты расположены :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–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ул. 1-я Красавинская, 50, собственник ООО «Новогор-Прикамье»;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–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1-я Красавинская, 72, собственник ООО «Новогор-Прикамье».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Близлежащий подземный ж/б пожарный водоем: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–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1 -я Красавинская, 74, собственник администрация </w:t>
              <w:br/>
              <w:t xml:space="preserve">г. Перми.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администрации Индустриального района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31.07.2026 № 059-16-01-16/2-1641, в акте обследования от 31.07.2026 № 105).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/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Земельный участок визуально просматривается через ограждение  сетку-рабицу.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соответствии с копией планшета 1:500 (требуется корректура) объекты капитального/некапитального строительства в границах Участка отсутствуют. С севе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ро-западной стороны по границе Участка расположен воздушный газопровод на металлических опорах. С южной стороны в границах участка расположены заросли кустарника-малины. С северо-восточной стороны по границе участка расположено ограждение-деревянный забор.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соответствии с геодезической съемкой, выполненной в 2026 году, доступ к Участку ограничен сеткой - рабицей. С северо -западной и юго-восточной сторон вдоль границ Участка расположен воздушный газопровод на металлических опорах.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0"/>
              <w:jc w:val="both"/>
              <w:spacing w:before="0" w:after="0" w:line="240" w:lineRule="auto"/>
            </w:pPr>
            <w:r/>
            <w:r/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сведениям, содержащимся в ЕГРН, ГПЗУ и справке по градостроительным условиям участка от 09.09.2026 № 693511 Участок расположен в границах зон с особыми условиями использования территории: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полностью, приаэродромная территория аэродрома аэропорта Большое Савино, реестровый номер 59:32-6.553;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полностью, зона санитарной охраны водозаборной скважины № 20712 (III пояс), реестровый номер 59:00-6.2018;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полностью, водоохранная зона, реестровый номер 59:00-6.1411;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полностью, прибрежная защитная полоса, реестровый номер 59:00-6.1412;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частично, площадью 2 кв.м ОХРАННАЯ ЗОНА BЛ 0,4 КB ОТ КТП 7015, реестровый номер 59:01-6.4459;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частично, площадью 111 кв.м ОХРАННАЯ ЗОНА КВЛ 6 кВ ф. КОНДРАТОВО, реестровый номер 59:01-6.4459;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     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частично, п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лощадью 75 кв.м Охранная зона газопровода высокого и низкого давления по ул. В-Муллинская, 1-я, 2-я Красавинская, 1-я, 2-я, 3-я Урожайная, Ш.Космонавтов, Открытая, Пойменная, пер.Верхнемуллинский, ул. 2-я Пыжевская, г. Перми, реестровый номер 59:01-6.3418;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Проектиро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вание и строительство вести в соответствии: </w:t>
              <w:br/>
              <w:t xml:space="preserve">     с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постановлением Правительст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ва РФ от 20 ноября 2000 № 878 «Об утверждении Правил охраны газораспределительных сетей» с приказом Министерства природных ресурсов, лесного хозяйства и экологии Пермского края от 15.03.2021 </w:t>
              <w:br/>
              <w:t xml:space="preserve">№ 30-01-02-265 "Об утверждении проекта зон санитарной охраны"; П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остановление Главного государственного санитарного врач Российской Федерации от 14.03.2002 472 № 10 "О введении в действие санитарных правил и норм "Зоны санитарной охраны источников водоснабжения и водопроводов питьевого назначения. СанПиН 2.1.4.1110-02".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С приказ министерства природных ресурс</w:t>
            </w: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ов, лесного хозяйства и экологии Пермского края № 30-01-02-969 </w:t>
              <w:br/>
              <w:t xml:space="preserve">от 24.11.2020 "Об утверждении установленных границ </w:t>
              <w:br/>
              <w:t xml:space="preserve">472 водоохранных зон, границ прибрежных защитных полос и границ береговых линий бассейна реки Верхняя Мулянка на территории Пермского края".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На Участке произрастает 3 дерева - 2 сосны, 1 клен ясенелистный, и кустарник- малина 2 кв.м, ирга 2 кв.м.».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Средняя стоимость в ценах 2026 г. одного дерева лиственной породы от 40 тыс. руб., а хвойной – от 50 тыс. руб.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Победителю аукциона необходимо соблюдать условия строительства, перечисленные в перечне мероприятий по охране окружающей среды от 13.08.2026 № 190.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13.08.2026 № 059-33-01-10/3-472).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Муниципальной программой «Дорожная деятельность и благоустройство города Перми», у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твержденной постановлением администрации города Перми от 18.10.2024 № 966,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Программой комплексного развития трансп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ортной инфраструктуры города Перми на 2025-2043 годы, утвержденной Решением Пермской городской Думы от 16.12.2025 № 238, мероприятия по строительству, реконструкции, капитальному ремонту улично-дорожной сети на рассматриваемых территориях не предусмотрены.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Постановлением администрации города Перми </w:t>
              <w:br/>
              <w:t xml:space="preserve">от 23.1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2.2016 № 1159 утверждены проект планировки территории и проект межевания территории. Проектом планировки территории не установлены красные линии, обозначающие территории общего пользования (улицы, проезды), для обеспечения доступа к Участку. </w:t>
              <w:br/>
              <w:t xml:space="preserve">По информации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, имеющейся в департаменте дорог </w:t>
              <w:br/>
              <w:t xml:space="preserve">и благоустройства администрации города Перми, улично-дорожная сеть для обеспечения доступа к Участку отсутствует. В настоящее время доступ к Участку с территории общего пользования (земельный участок с кадастровым номером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59:01:0000000:94045 по ул. Черногорской) возможен через земли государственная собственность на которые </w:t>
              <w:br/>
              <w:t xml:space="preserve">не разграничена. Примыкание Участка к улично-дорожной сети возможно при строительстве улично-дорожной сети для обеспечения доступа к указанным участкам.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Для примыкания Участка к улично-дорожной сети города Перми необходимо: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разработать проект организации дорожного движения </w:t>
              <w:br/>
              <w:t xml:space="preserve">и согласовать в установленном порядке с ГКУ «Центр безопасности дорожного движения Пермского края» </w:t>
              <w:br/>
              <w:t xml:space="preserve">(ул. Пермская, 164, тел. 236-21-84); получить согласие владельца автомобильной дороги (порядок выда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автомобильной дороги общего пользования местного значения с другими авто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мобильными дорогами, примыкания автомобильной дороги общего пользования местного значения к другой автомобильной дороге, а также перечень документов, необходимых для выдачи согласия, утверждены Постановлением администрации города Перми от 31.01.2022 № 45).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Также направляем информацию о соблюдении Правил благоустройства территории города Перми, утвержденных решением Пермской городской Думы от 15.12.2020 № 277, </w:t>
              <w:br/>
              <w:t xml:space="preserve">при строительстве объектов недвижимости на земельных участках, предоставленных на торгах: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предусмотреть электроосвещение территории объекта;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стоянку для временного хранения транспорта разместить в границах отведенного под строительство земельного участка вне территории общего пользования;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предусмотреть устройство подъезда к земельному участку или ликвидацию разрушений, повреждений дорожного покрытия существующего проезда от границ земельного участка до существующей улично-дорожной сети города Перми, а также наружное освещение подъезда.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соответствии с Федеральным законом от 08.11.2007 № 257-ФЗ «Об автомобильных дорогах и о дорожной деятельности в Российской Фед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22.07.2026 № 059-24-01-36/3-2388).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Источники противопожарного водоснабжения (далее - ИПВ) на указанной территории отсутствуют.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 спасательного гарнизона для тушения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пожаров и проведения аварийно- 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Беляева, 29 (ПСЧ-2 10-ПСО).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Помещения для аварийно-спасательных служб и (или) аварийно-спасательных формирований на указанной территории отсутствуют.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Объекты общественной безопасности, отнесенные к объектам полиции (участковые пункты полиц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ии) в данном микрорайоне отсутствуют. Ближайший участковый пункт расположен по адресу: г. Пермь, ул. Экскаваторная, 57 (Индустриальный район). В настоящее время в указанном микрорайоне строительство (приобретение) участковых пунктов полиции не планируется.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настоящее время в указанном микрорайоне строительство (приобретение) участковых пунктов полиции не планируется.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На указанных территориях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от 12.11.2014 № 705/пр.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 информации, предоставленной письмом Министерства территориальной безопасности Пермского края от 07.10.2020 № 964с, рассматриваемые территории попадает в зону возможного химического заражения в особый период.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Иная информация, в части полномочий департамента общественной безопасности администрации города Перми, отсутствует.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департамента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22.07.2026 № 059-10-01-27/3-1084).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На период до 2028 года на территории, где расположен Участок, схемами не предусмотрено строительство сетей водоснабжения и водоотведения в мкр. Кировский поселок Схемами не предусмотрено.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Для определения технической возможности подключения объекта капитального строительства к сетям водоснабжения и водоотведения необходимо обратиться к гарантирующей организации для проведения гидравлического расчета.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24.07.2026 № 059-04-17/3-595-ри).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>
          <w:trHeight w:val="10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240" w:right="113" w:firstLine="27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 xml:space="preserve">объекта капитального строительства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firstLine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647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val="clear" w:color="auto" w:fill="ffffff"/>
              </w:rPr>
              <w:t xml:space="preserve">документации по земельному участку, размещенной   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torgi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gov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shd w:val="clear" w:color="auto" w:fill="ffffff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8" w:tooltip="http://www.gorodperm.ru/" w:history="1">
              <w:r>
                <w:rPr>
                  <w:rStyle w:val="730"/>
                  <w:sz w:val="24"/>
                  <w:szCs w:val="24"/>
                </w:rPr>
                <w:t xml:space="preserve">www.gorodperm.ru</w:t>
              </w:r>
            </w:hyperlink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647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 xml:space="preserve">в соответствии с пунктом 4.5 СП 55.13330.2016 Свода Правил. Дома жилые одноквартирные. СНиП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а также вспомогательные помещения: переднюю, кухню </w:t>
              <w:br/>
              <w:t xml:space="preserve">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 xml:space="preserve">, переднюю.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 xml:space="preserve"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 xml:space="preserve"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  <w:br/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 xml:space="preserve"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2,2 м.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 xml:space="preserve"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до потолка), относительно нормируемой на площади, не превышающей 50%.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 ГПЗУ: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минимальный отступ от границ Участка до места допустимого размещения зданий, строений (за исключением гр</w:t>
            </w:r>
            <w:r>
              <w:rPr>
                <w:color w:val="auto"/>
                <w:sz w:val="24"/>
                <w:szCs w:val="24"/>
              </w:rPr>
              <w:t xml:space="preserve">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tabs>
                <w:tab w:val="clear" w:pos="708" w:leader="none"/>
                <w:tab w:val="right" w:pos="6000" w:leader="none"/>
              </w:tabs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color w:val="auto"/>
                <w:sz w:val="24"/>
              </w:rPr>
              <w:t xml:space="preserve">м</w:t>
            </w:r>
            <w:r>
              <w:rPr>
                <w:color w:val="auto"/>
                <w:sz w:val="24"/>
                <w:highlight w:val="white"/>
              </w:rPr>
              <w:t xml:space="preserve">аксимальный выступ за красную линию нависающих частей здания наземных уровней, выступающих из плоскости наружной стены фасада здан</w:t>
            </w:r>
            <w:r>
              <w:rPr>
                <w:color w:val="auto"/>
                <w:sz w:val="24"/>
                <w:highlight w:val="white"/>
              </w:rPr>
              <w:t xml:space="preserve">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  <w:r>
              <w:rPr>
                <w:rFonts w:ascii="Times New Roman" w:hAnsi="Times New Roman"/>
                <w:color w:val="auto"/>
                <w:sz w:val="24"/>
                <w:highlight w:val="whit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документации по планировке территории, утвержденной постановлением администрации города Перми от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22.12.2017 № 1</w:t>
            </w:r>
            <w:r>
              <w:rPr>
                <w:color w:val="auto"/>
                <w:sz w:val="24"/>
                <w:szCs w:val="24"/>
              </w:rPr>
              <w:t xml:space="preserve">178, предельная высота жилой застройки – до 10,5 метров.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 xml:space="preserve">с уведомлением о планируемом строительстве жилого дома.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740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vMerge w:val="continue"/>
            <w:textDirection w:val="lrTb"/>
            <w:noWrap w:val="false"/>
          </w:tcPr>
          <w:p>
            <w:pPr>
              <w:pStyle w:val="647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numPr>
                <w:ilvl w:val="0"/>
                <w:numId w:val="2"/>
              </w:numPr>
              <w:ind w:left="240" w:right="0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val="clear" w:color="auto" w:fill="ffffff"/>
              </w:rPr>
              <w:t xml:space="preserve">документации по земельному участку, размещенной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torgi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gov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shd w:val="clear" w:color="auto" w:fill="ffffff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9" w:tooltip="http://www.gorodperm.ru/" w:history="1">
              <w:r>
                <w:rPr>
                  <w:rStyle w:val="730"/>
                  <w:color w:val="000000"/>
                  <w:sz w:val="24"/>
                  <w:szCs w:val="24"/>
                </w:rPr>
                <w:t xml:space="preserve">www.gorodperm.ru</w:t>
              </w:r>
            </w:hyperlink>
            <w:r>
              <w:rPr>
                <w:color w:val="000000"/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си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пунктам 15, 25, 25.1 Правил ТП технические услов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Для получения технических условий и заключения договора на технологическое присоединении необходимо напр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20" w:tooltip="https://" w:history="1">
              <w:r>
                <w:rPr>
                  <w:color w:val="auto"/>
                  <w:sz w:val="24"/>
                  <w:szCs w:val="24"/>
                  <w:highlight w:val="white"/>
                </w:rPr>
                <w:t xml:space="preserve">https://</w:t>
              </w:r>
            </w:hyperlink>
            <w:r>
              <w:rPr>
                <w:color w:val="auto"/>
                <w:sz w:val="24"/>
                <w:szCs w:val="24"/>
                <w:highlight w:val="white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лиала «Россети Урал»-«Пермэнерго»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филиала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ПАО «Россети Урал» - «Пермэнерго» Пермские городские электрические сети»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04.08.2026 № ПЭ/ПГЭС/01/22/11621).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Участок расположен вне зоны теплоснабжения ПАО «Т Плюс».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Для запроса информации о возможности подключения земельного участка рекомендуется обратиться </w:t>
              <w:br/>
              <w:t xml:space="preserve">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ПАО «Т Плюс»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23.07.2026 № 51000-32-02913).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Техническая возможность подключения к сетям теплоснабжения отсутствует. Рекомендовано рассмотреть альтернативный источник теплоснабжения – газ, электричество, дрова, пеллеты.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 от 10.08.2026 № 059-04-25/3-148-ри).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Ближайшей сетью водоснабжения, эксплуатируемой </w:t>
              <w:br/>
              <w:t xml:space="preserve">ООО «Новогор-Прикамье» является водопровод, Д-50 мм </w:t>
              <w:br/>
              <w:t xml:space="preserve">по ул. 3-я Кордонная,  на расстоянии - 0,7 км.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границах Участка отсутствуют централизованные сети канализации, эксплуатируемые ООО «Новогор-Прикамье».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Ближайшей сетью водоотведения, эксплуатируемой ООО «Новогор-Прикамье», является сеть канализации, Д-500 по ул. Шоссе Космонавтов, ориентировочно на расстоянии-1,3 км.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Кроме того, ООО «НОВОГОР - Прикамье» не располагает сведениями о наличии сетей 3-x лиц в границах вышеуказанного земельного участка.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Обязательства ООО «НОВОГОР-Прикамье», по обеспечению подключения объекта капитального строительства к сетям водопровода и канализации в соответствии с техническими условиями прекращаются в случае, если в те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чение 1 года с даты получения технических условий правообладатель земельного участка не определит необходимую ему подключаемую нагрузку и не обратится с заявлением о подключении объекта капитального строительства к сетям инженерно-технического обеспечения.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ООО «НОВОГОР-Прикамье»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22.07.2026 № 110-11116).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По данным участкам проходят сети газораспределения.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Для рассмотрения вопроса о предос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Оверятская, 54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АО «Газпром газораспределение Пермь»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19.08.2026 № ПФ-5729).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Возможная точка подключения (АТС/Узел доступа) расположена по адресу: г. Пермь, ул. Красавинская 2-я, 79. Максимальная нагрузка в возможной точке подключения определяется договором.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Запрос о выдаче технических условий может быть подан одним из следующих способов: единый портал Госуслуг, официальный сайт оператора, электронная почта, почтовая корреспонденция.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 xml:space="preserve">и обслуживания по адресу: г. Пермь, ул. Крупской, 2, тел.:(342) 235-57-34 или направить запрос на perm-mail@ural.rt.ru.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ПАО «Ростелеком»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22.07.2026 № 01/05/125658/26).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647"/>
              <w:ind w:left="0" w:right="0" w:firstLine="283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13" w:right="57" w:firstLine="0"/>
              <w:jc w:val="left"/>
              <w:spacing w:before="0" w:after="0"/>
              <w:widowControl/>
              <w:rPr>
                <w:highlight w:val="none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Начальная цена предмета аукциона</w:t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47"/>
              <w:ind w:left="113" w:right="57" w:firstLine="0"/>
              <w:jc w:val="left"/>
              <w:spacing w:before="0" w:after="0"/>
              <w:widowControl/>
              <w:rPr>
                <w:highlight w:val="none"/>
                <w:shd w:val="clear" w:color="auto" w:fill="auto"/>
              </w:rPr>
            </w:pPr>
            <w:r>
              <w:rPr>
                <w:b/>
                <w:sz w:val="24"/>
                <w:szCs w:val="24"/>
                <w:shd w:val="clear" w:color="auto" w:fill="auto"/>
              </w:rPr>
              <w:t xml:space="preserve">(рыночная стоимость земельного участка)</w:t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47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pStyle w:val="647"/>
              <w:ind w:left="120" w:right="0" w:firstLine="0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</w:rPr>
              <w:t xml:space="preserve">По условиям пункта 4.1 проекта договора купли-продажи земельного участка, приобретаемого на торгах в форме аукциона (Приложение 1 к настоящему извещению),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647"/>
              <w:ind w:left="120" w:right="0" w:firstLine="0"/>
              <w:rPr>
                <w:highlight w:val="none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победитель аукциона, иное лицо, с которым договор заключается в соответствии с п.13, п.14, п. 20 или п. 25</w:t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47"/>
              <w:ind w:left="120" w:right="0" w:firstLine="0"/>
              <w:rPr>
                <w:highlight w:val="none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ст. 39.12 Земельного Кодекса Российской Федерации (далее – ЗК РФ), обязан </w:t>
            </w:r>
            <w:r>
              <w:rPr>
                <w:b/>
                <w:sz w:val="24"/>
                <w:szCs w:val="24"/>
                <w:shd w:val="clear" w:color="auto" w:fill="auto"/>
              </w:rPr>
              <w:t xml:space="preserve">в течение 15 дней</w:t>
            </w:r>
            <w:r>
              <w:rPr>
                <w:sz w:val="24"/>
                <w:szCs w:val="24"/>
                <w:shd w:val="clear" w:color="auto" w:fill="auto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val="clear" w:color="auto" w:fill="auto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val="clear" w:color="auto" w:fill="auto"/>
              </w:rPr>
              <w:t xml:space="preserve">за земельный участок (за вычетом задатка, внесенного для участия в</w:t>
            </w:r>
            <w:r>
              <w:rPr>
                <w:sz w:val="24"/>
                <w:szCs w:val="24"/>
                <w:shd w:val="clear" w:color="auto" w:fill="auto"/>
              </w:rPr>
              <w:t xml:space="preserve">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1 к настоящему извещению)</w:t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1 747 684 руб.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«Шаг аукциона» (5% от</w:t>
            </w:r>
            <w:r>
              <w:rPr>
                <w:sz w:val="24"/>
                <w:szCs w:val="24"/>
                <w:shd w:val="clear" w:color="auto" w:fill="auto"/>
              </w:rPr>
            </w:r>
          </w:p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highlight w:val="none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начальной цены предмета аукциона)</w:t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87 384,2 руб.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highlight w:val="none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Форма заявки на участие в аукционе</w:t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на участие в электронном аукционе с указанием</w:t>
              <w:br/>
              <w:t xml:space="preserve"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2-3 пункта 1, пункте 1.1 статьи 39.12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 Земельного кодекса Российской Федерации (копии документов, удостоверяющих личность заявителя (для граждан) всех страниц; надлежащим образом заверенный перевод на русский язык документов</w:t>
              <w:br/>
              <w:t xml:space="preserve">о государственной регистрации юридического лица</w:t>
              <w:br/>
              <w:t xml:space="preserve">в соответствии с зако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нодательством иностранного государства в случае, если заявителем является иностранное юридическое лицо).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  <w:r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r>
          </w:p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каждый лот представляется отдельный пакет документов.</w:t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Размер задатка (50% от</w:t>
            </w:r>
            <w:r>
              <w:rPr>
                <w:sz w:val="24"/>
                <w:szCs w:val="24"/>
                <w:shd w:val="clear" w:color="auto" w:fill="auto"/>
              </w:rPr>
            </w:r>
          </w:p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highlight w:val="none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начальной цены предмета аукциона)</w:t>
            </w:r>
            <w:r>
              <w:rPr>
                <w:highlight w:val="none"/>
              </w:rPr>
            </w:r>
          </w:p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873 842 руб.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b w:val="0"/>
                <w:bCs w:val="0"/>
                <w:shd w:val="clear" w:color="auto" w:fill="auto"/>
              </w:rPr>
            </w:pPr>
            <w:r>
              <w:rPr>
                <w:sz w:val="24"/>
                <w:szCs w:val="24"/>
                <w:shd w:val="clear" w:color="auto" w:fill="auto"/>
              </w:rPr>
              <w:t xml:space="preserve">Дата </w:t>
            </w:r>
            <w:r>
              <w:rPr>
                <w:b w:val="0"/>
                <w:shd w:val="clear" w:color="auto" w:fill="auto"/>
              </w:rPr>
              <w:t xml:space="preserve">размещения</w:t>
            </w:r>
            <w:r>
              <w:rPr>
                <w:b w:val="0"/>
                <w:bCs w:val="0"/>
                <w:shd w:val="clear" w:color="auto" w:fill="auto"/>
              </w:rPr>
            </w:r>
          </w:p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highlight w:val="none"/>
              </w:rPr>
            </w:pPr>
            <w:r>
              <w:rPr>
                <w:b w:val="0"/>
                <w:shd w:val="clear" w:color="auto" w:fill="auto"/>
              </w:rPr>
              <w:t xml:space="preserve">извещения в соответствии с пп. 1 п. 1 ст. 39.18 Земельного кодекса Российской Федерации на  </w:t>
            </w:r>
            <w:r>
              <w:rPr>
                <w:b w:val="0"/>
                <w:sz w:val="24"/>
                <w:szCs w:val="24"/>
                <w:shd w:val="clear" w:color="auto" w:fill="auto"/>
                <w:lang w:val="en-US" w:eastAsia="en-US"/>
              </w:rPr>
              <w:t xml:space="preserve">сайтах www.torgi.gov.ru, www.gorodperm.ru</w:t>
            </w:r>
            <w:r>
              <w:rPr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29.05.2026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8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купли-продажи земельного</w:t>
            </w:r>
            <w:r>
              <w:rPr>
                <w:sz w:val="24"/>
                <w:szCs w:val="24"/>
              </w:rPr>
            </w:r>
          </w:p>
          <w:p>
            <w:pPr>
              <w:pStyle w:val="647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                    приобретаемого на торгах в форме аукциона, является </w:t>
              <w:br/>
              <w:t xml:space="preserve">Приложением 1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 xml:space="preserve"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6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12" w:type="dxa"/>
            <w:textDirection w:val="lrTb"/>
            <w:noWrap w:val="false"/>
          </w:tcPr>
          <w:p>
            <w:pPr>
              <w:pStyle w:val="647"/>
              <w:ind w:left="120" w:right="-26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на местности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6" w:type="dxa"/>
            <w:textDirection w:val="lrTb"/>
            <w:noWrap w:val="false"/>
          </w:tcPr>
          <w:p>
            <w:pPr>
              <w:pStyle w:val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  самостоятельно в любое время с даты опубликования настоящего извещения.</w:t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766"/>
        <w:ind w:left="1134" w:hanging="1134"/>
        <w:jc w:val="center"/>
        <w:spacing w:line="24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47"/>
        <w:contextualSpacing/>
        <w:ind w:left="567"/>
        <w:jc w:val="center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Сроки, время подачи заявок, рассмотрения заявок, проведения аукциона</w:t>
      </w:r>
      <w:r>
        <w:rPr>
          <w:rFonts w:eastAsia="Courier New"/>
          <w:b/>
          <w:lang w:bidi="ru-RU"/>
        </w:rPr>
      </w:r>
    </w:p>
    <w:p>
      <w:pPr>
        <w:pStyle w:val="647"/>
        <w:contextualSpacing/>
        <w:ind w:left="567"/>
        <w:jc w:val="center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начала срока подачи заявок на участие в аукционе – 10.10.2026</w:t>
      </w:r>
      <w:r>
        <w:rPr>
          <w:rFonts w:eastAsia="Courier New"/>
          <w:lang w:bidi="ru-RU"/>
        </w:rPr>
        <w:t xml:space="preserve"> в 9:00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по местному времени (7:00 МСК).</w:t>
      </w:r>
      <w:r>
        <w:rPr>
          <w:rFonts w:eastAsia="Courier New"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Дата и время окончания срока подачи заявок на участие в аукционе – 10.11.2026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  <w:r>
        <w:rPr>
          <w:rFonts w:eastAsia="Courier New"/>
          <w:b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11.11.2026. </w:t>
      </w:r>
      <w:r>
        <w:rPr>
          <w:rFonts w:eastAsia="Courier New"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  <w:r>
        <w:rPr>
          <w:rFonts w:eastAsia="Courier New"/>
          <w:b/>
          <w:bCs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 xml:space="preserve">от участников аукциона) – 12.11</w:t>
      </w:r>
      <w:r>
        <w:rPr>
          <w:rFonts w:eastAsia="Courier New"/>
          <w:b/>
          <w:lang w:bidi="ru-RU"/>
        </w:rPr>
        <w:t xml:space="preserve">.2026</w:t>
      </w:r>
      <w:r>
        <w:rPr>
          <w:rFonts w:eastAsia="Courier New"/>
          <w:lang w:bidi="ru-RU"/>
        </w:rPr>
        <w:t xml:space="preserve"> в 09:00 по местному времени (07:00 МСК). </w:t>
      </w:r>
      <w:r>
        <w:rPr>
          <w:rFonts w:eastAsia="Courier New"/>
          <w:b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47"/>
        <w:ind w:left="-567" w:firstLine="709"/>
        <w:jc w:val="both"/>
        <w:widowControl w:val="off"/>
      </w:pPr>
      <w:r>
        <w:rPr>
          <w:b/>
        </w:rPr>
        <w:t xml:space="preserve">Место подачи (приема) заявок и место проведения аукциона:</w:t>
      </w:r>
      <w:r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  <w:r/>
    </w:p>
    <w:p>
      <w:pPr>
        <w:pStyle w:val="647"/>
        <w:ind w:left="-567" w:firstLine="709"/>
        <w:jc w:val="both"/>
        <w:widowControl w:val="off"/>
      </w:pPr>
      <w:r/>
      <w:r/>
    </w:p>
    <w:p>
      <w:pPr>
        <w:pStyle w:val="647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  <w:t xml:space="preserve">Размер задатка для участия в аукционе, порядок его внесения и возврата, реквизиты счета для перечисления задатка</w:t>
      </w:r>
      <w:r>
        <w:rPr>
          <w:b/>
          <w:bCs/>
          <w:lang w:bidi="ru-RU"/>
        </w:rPr>
      </w:r>
    </w:p>
    <w:p>
      <w:pPr>
        <w:pStyle w:val="647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740"/>
        <w:contextualSpacing/>
        <w:ind w:left="-567" w:firstLine="567"/>
        <w:jc w:val="both"/>
        <w:spacing w:before="0" w:after="0"/>
        <w:widowControl w:val="off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Оператора. </w:t>
      </w:r>
      <w:r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r>
    </w:p>
    <w:p>
      <w:pPr>
        <w:pStyle w:val="740"/>
        <w:contextualSpacing/>
        <w:ind w:left="-567" w:firstLine="567"/>
        <w:jc w:val="both"/>
        <w:spacing w:before="0" w:after="0"/>
        <w:widowControl w:val="off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 xml:space="preserve">В этом случае документы, подтверждающие внесение задатка, заявителем не представляются. </w:t>
      </w:r>
      <w:r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r>
    </w:p>
    <w:p>
      <w:pPr>
        <w:pStyle w:val="740"/>
        <w:contextualSpacing/>
        <w:ind w:left="-567" w:firstLine="567"/>
        <w:jc w:val="both"/>
        <w:spacing w:before="0" w:after="0"/>
        <w:widowControl w:val="off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 xml:space="preserve">Информация о внесении заявителем денежных средств в размере задатка направляется Оператором Организатору аукциона вместе с заявкой на участие в аукционе (далее - заявка). </w:t>
      </w:r>
      <w:r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r>
    </w:p>
    <w:p>
      <w:pPr>
        <w:pStyle w:val="740"/>
        <w:contextualSpacing/>
        <w:ind w:left="-567" w:firstLine="567"/>
        <w:jc w:val="both"/>
        <w:spacing w:before="0" w:after="0"/>
        <w:widowControl w:val="off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 xml:space="preserve">Блокирование денежных средств в размере задатка Оператором на расчетном счете Оператора признается заключением соглашения о задатке.</w:t>
      </w:r>
      <w:r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r>
    </w:p>
    <w:p>
      <w:pPr>
        <w:pStyle w:val="647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bCs/>
          <w:lang w:bidi="ru-RU"/>
        </w:rPr>
        <w:t xml:space="preserve">Сумма задатка для участия в аукционе определяется в размере 50 процентов начальной цены предмета аукциона. Размер задатка в извещении о проведении аукциона указан по каждому лоту.</w:t>
      </w:r>
      <w:r>
        <w:rPr>
          <w:bCs/>
          <w:lang w:bidi="ru-RU"/>
        </w:rPr>
      </w:r>
    </w:p>
    <w:p>
      <w:pPr>
        <w:pStyle w:val="647"/>
        <w:contextualSpacing/>
        <w:ind w:left="-567" w:firstLine="567"/>
        <w:jc w:val="both"/>
        <w:spacing w:before="0" w:after="0"/>
        <w:widowControl w:val="off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  <w:r>
        <w:rPr>
          <w:b/>
          <w:bCs/>
          <w:lang w:bidi="ru-RU"/>
        </w:rPr>
      </w:r>
    </w:p>
    <w:p>
      <w:pPr>
        <w:pStyle w:val="647"/>
        <w:ind w:left="-567" w:firstLine="567"/>
        <w:jc w:val="both"/>
        <w:widowControl w:val="off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 xml:space="preserve">Задаток перечисляется на реквизиты Оператора электронной площадки (</w:t>
      </w:r>
      <w:hyperlink r:id="rId21" w:tooltip="http://utp.sberbank-ast.ru/AP/Notice/653/Requisites" w:history="1">
        <w:r>
          <w:rPr>
            <w:rStyle w:val="730"/>
            <w:b/>
            <w:bCs/>
            <w:lang w:bidi="ru-RU"/>
          </w:rPr>
          <w:t xml:space="preserve">http://utp.sberbank-ast.ru/AP/Notice/653/Requisites</w:t>
        </w:r>
      </w:hyperlink>
      <w:r>
        <w:rPr>
          <w:b/>
          <w:bCs/>
          <w:lang w:bidi="ru-RU"/>
        </w:rPr>
        <w:t xml:space="preserve">).</w:t>
      </w:r>
      <w:r>
        <w:rPr>
          <w:rFonts w:eastAsia="Calibri"/>
          <w:bCs/>
          <w:lang w:eastAsia="en-US"/>
        </w:rPr>
      </w:r>
    </w:p>
    <w:p>
      <w:pPr>
        <w:pStyle w:val="647"/>
        <w:spacing w:line="240" w:lineRule="exac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Получатель: АО «Сбербанк-АСТ»</w:t>
      </w:r>
      <w:r>
        <w:rPr>
          <w:rFonts w:eastAsia="Calibri"/>
          <w:bCs/>
          <w:lang w:eastAsia="en-US"/>
        </w:rPr>
      </w:r>
    </w:p>
    <w:p>
      <w:pPr>
        <w:pStyle w:val="647"/>
        <w:spacing w:line="240" w:lineRule="exac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  <w:r>
        <w:rPr>
          <w:rFonts w:eastAsia="Calibri"/>
          <w:bCs/>
          <w:lang w:eastAsia="en-US"/>
        </w:rPr>
      </w:r>
    </w:p>
    <w:p>
      <w:pPr>
        <w:pStyle w:val="647"/>
        <w:spacing w:line="240" w:lineRule="exact"/>
      </w:pPr>
      <w:r>
        <w:rPr>
          <w:rFonts w:eastAsia="Calibri"/>
          <w:bCs/>
          <w:lang w:eastAsia="en-US"/>
        </w:rPr>
        <w:t xml:space="preserve">Банк получателя: ПАО «СБЕРБАНК РОССИИ» Г. МОСКВА</w:t>
      </w:r>
      <w:r/>
    </w:p>
    <w:p>
      <w:pPr>
        <w:pStyle w:val="647"/>
        <w:spacing w:line="240" w:lineRule="exact"/>
        <w:rPr>
          <w:rFonts w:eastAsia="Calibri"/>
          <w:bCs/>
          <w:lang w:eastAsia="en-US"/>
        </w:rPr>
      </w:pPr>
      <w:r>
        <w:t xml:space="preserve">Расчетный счет: </w:t>
      </w:r>
      <w:r>
        <w:rPr>
          <w:rFonts w:eastAsia="Calibri"/>
          <w:bCs/>
          <w:lang w:eastAsia="en-US"/>
        </w:rPr>
        <w:t xml:space="preserve">40702810300020038047</w:t>
      </w:r>
      <w:r>
        <w:rPr>
          <w:rFonts w:eastAsia="Calibri"/>
          <w:bCs/>
          <w:lang w:eastAsia="en-US"/>
        </w:rPr>
      </w:r>
    </w:p>
    <w:p>
      <w:pPr>
        <w:pStyle w:val="647"/>
        <w:spacing w:line="240" w:lineRule="exac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БИК: 044525225</w:t>
      </w:r>
      <w:r>
        <w:rPr>
          <w:rFonts w:eastAsia="Calibri"/>
          <w:bCs/>
          <w:lang w:eastAsia="en-US"/>
        </w:rPr>
      </w:r>
    </w:p>
    <w:p>
      <w:pPr>
        <w:pStyle w:val="647"/>
        <w:spacing w:line="240" w:lineRule="exact"/>
        <w:rPr>
          <w:bCs/>
          <w:lang w:bidi="ru-RU"/>
        </w:rPr>
      </w:pPr>
      <w:r>
        <w:rPr>
          <w:rFonts w:eastAsia="Calibri"/>
          <w:bCs/>
          <w:lang w:eastAsia="en-US"/>
        </w:rPr>
        <w:t xml:space="preserve">Корреспондентский счет: 30101810400000000225</w:t>
      </w:r>
      <w:r>
        <w:rPr>
          <w:bCs/>
          <w:lang w:bidi="ru-RU"/>
        </w:rPr>
      </w:r>
    </w:p>
    <w:p>
      <w:pPr>
        <w:pStyle w:val="647"/>
        <w:ind w:left="-567" w:firstLine="567"/>
        <w:jc w:val="both"/>
        <w:widowControl w:val="off"/>
        <w:rPr>
          <w:b/>
        </w:rPr>
      </w:pPr>
      <w:r>
        <w:rPr>
          <w:bCs/>
          <w:lang w:bidi="ru-RU"/>
        </w:rPr>
        <w:t xml:space="preserve">В платёжном поручении в части «Назначение платежа» необходимо указать: Задаток по лоту  № ___, ИНН плательщика. НДС не облагается.</w:t>
      </w:r>
      <w:r>
        <w:rPr>
          <w:b/>
        </w:rPr>
      </w:r>
    </w:p>
    <w:p>
      <w:pPr>
        <w:pStyle w:val="647"/>
        <w:ind w:left="-567" w:firstLine="567"/>
        <w:jc w:val="both"/>
        <w:widowControl w:val="off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 xml:space="preserve"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Cs/>
          <w:lang w:bidi="ru-RU"/>
        </w:rPr>
        <w:t xml:space="preserve">c 10.10.2026 по 10.11.2026.</w:t>
      </w:r>
      <w:r>
        <w:rPr>
          <w:bCs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bCs/>
          <w:lang w:bidi="ru-RU"/>
        </w:rPr>
      </w:pP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647"/>
        <w:ind w:left="-567" w:firstLine="709"/>
        <w:jc w:val="center"/>
        <w:widowControl w:val="off"/>
        <w:rPr>
          <w:b/>
          <w:lang w:bidi="ru-RU"/>
        </w:rPr>
      </w:pPr>
      <w:r>
        <w:rPr>
          <w:b/>
          <w:lang w:bidi="ru-RU"/>
        </w:rPr>
        <w:t xml:space="preserve">Порядок возврата задатка:</w:t>
      </w:r>
      <w:r>
        <w:rPr>
          <w:b/>
          <w:lang w:bidi="ru-RU"/>
        </w:rPr>
      </w:r>
    </w:p>
    <w:p>
      <w:pPr>
        <w:pStyle w:val="647"/>
        <w:ind w:left="-567" w:firstLine="709"/>
        <w:jc w:val="both"/>
        <w:widowControl w:val="off"/>
        <w:rPr>
          <w:b/>
          <w:lang w:bidi="ru-RU"/>
        </w:rPr>
      </w:pPr>
      <w:r>
        <w:rPr>
          <w:b/>
          <w:lang w:bidi="ru-RU"/>
        </w:rPr>
      </w:r>
      <w:r>
        <w:rPr>
          <w:b/>
          <w:lang w:bidi="ru-RU"/>
        </w:rPr>
      </w:r>
    </w:p>
    <w:p>
      <w:pPr>
        <w:pStyle w:val="740"/>
        <w:ind w:left="-567" w:firstLine="709"/>
        <w:jc w:val="both"/>
        <w:widowControl w:val="off"/>
        <w:rPr>
          <w:b w:val="0"/>
          <w:sz w:val="24"/>
          <w:szCs w:val="24"/>
          <w:highlight w:val="none"/>
          <w:shd w:val="clear" w:color="auto" w:fill="auto"/>
          <w:lang w:bidi="ru-RU"/>
        </w:rPr>
      </w:pPr>
      <w:r>
        <w:rPr>
          <w:b w:val="0"/>
          <w:sz w:val="24"/>
          <w:szCs w:val="24"/>
          <w:shd w:val="clear" w:color="auto" w:fill="auto"/>
          <w:lang w:bidi="ru-RU"/>
        </w:rPr>
        <w:t xml:space="preserve">Оператор обеспечивает возврат заблокированных в размере задатка на расчетном счете Оператора денежных средств лицам, участвовавшим в электронном аукц</w:t>
      </w:r>
      <w:r>
        <w:rPr>
          <w:b w:val="0"/>
          <w:sz w:val="24"/>
          <w:szCs w:val="24"/>
          <w:shd w:val="clear" w:color="auto" w:fill="auto"/>
          <w:lang w:bidi="ru-RU"/>
        </w:rPr>
        <w:t xml:space="preserve">ионе, но не победившим в нем, за исключением участника аукциона, который сделал предпоследнее предложение о цене предмета электронного аукциона, в течение трех рабочих дней со дня подписания протокола о результатах электронного аукциона. Денежные средства </w:t>
      </w:r>
      <w:r>
        <w:rPr>
          <w:b w:val="0"/>
          <w:sz w:val="24"/>
          <w:szCs w:val="24"/>
          <w:shd w:val="clear" w:color="auto" w:fill="auto"/>
          <w:lang w:bidi="ru-RU"/>
        </w:rPr>
        <w:t xml:space="preserve">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купли-продажи земельного участка победителем аукциона.</w:t>
      </w:r>
      <w:r>
        <w:rPr>
          <w:b w:val="0"/>
          <w:sz w:val="24"/>
          <w:szCs w:val="24"/>
          <w:highlight w:val="none"/>
          <w:shd w:val="clear" w:color="auto" w:fill="auto"/>
          <w:lang w:bidi="ru-RU"/>
        </w:rPr>
      </w:r>
    </w:p>
    <w:p>
      <w:pPr>
        <w:pStyle w:val="740"/>
        <w:ind w:left="-567" w:firstLine="709"/>
        <w:jc w:val="both"/>
        <w:widowControl w:val="off"/>
        <w:rPr>
          <w:sz w:val="24"/>
          <w:szCs w:val="24"/>
          <w:highlight w:val="none"/>
          <w:shd w:val="clear" w:color="auto" w:fill="auto"/>
        </w:rPr>
      </w:pPr>
      <w:r>
        <w:rPr>
          <w:b w:val="0"/>
          <w:bCs/>
          <w:sz w:val="24"/>
          <w:szCs w:val="24"/>
          <w:shd w:val="clear" w:color="auto" w:fill="auto"/>
          <w:lang w:bidi="ru-RU"/>
        </w:rPr>
        <w:t xml:space="preserve">Оператор обеспечивает во</w:t>
      </w:r>
      <w:r>
        <w:rPr>
          <w:b w:val="0"/>
          <w:bCs/>
          <w:sz w:val="24"/>
          <w:szCs w:val="24"/>
          <w:shd w:val="clear" w:color="auto" w:fill="auto"/>
          <w:lang w:bidi="ru-RU"/>
        </w:rPr>
        <w:t xml:space="preserve">зврат заблокированных в размере задатка на расчетном счете оператора денежных средств заявителю, не допущенному к участию в электронном аукционе, в течение трех рабочих дней со дня оформления протокола рассмотрения заявок на участие в электронном аукционе.</w:t>
      </w:r>
      <w:r>
        <w:rPr>
          <w:sz w:val="24"/>
          <w:szCs w:val="24"/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  <w:lang w:bidi="ru-RU"/>
        </w:rPr>
        <w:t xml:space="preserve">Организатор аукциона посредством штатного интерфейса торговой секции</w:t>
      </w:r>
      <w:r>
        <w:rPr>
          <w:shd w:val="clear" w:color="auto" w:fill="auto"/>
          <w:lang w:bidi="ru-RU"/>
        </w:rPr>
        <w:br w:type="textWrapping" w:clear="all"/>
      </w:r>
      <w:r>
        <w:rPr>
          <w:shd w:val="clear" w:color="auto" w:fill="auto"/>
          <w:lang w:bidi="ru-RU"/>
        </w:rPr>
        <w:t xml:space="preserve">в установленные сроки формирует поручение Оператору: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  <w:lang w:bidi="ru-RU"/>
        </w:rPr>
        <w:t xml:space="preserve">- о</w:t>
      </w:r>
      <w:r>
        <w:rPr>
          <w:shd w:val="clear" w:color="auto" w:fill="auto"/>
          <w:lang w:bidi="ru-RU"/>
        </w:rPr>
        <w:t xml:space="preserve">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Задаток, внесенный лицом, признанным победителем аукц</w:t>
      </w:r>
      <w:r>
        <w:rPr>
          <w:bCs/>
          <w:shd w:val="clear" w:color="auto" w:fill="auto"/>
          <w:lang w:bidi="ru-RU"/>
        </w:rPr>
        <w:t xml:space="preserve">иона, задаток, внесенный иным лицом, с которым договор купли-продажи земельного участка заключается в соответствии                            с пунктами 13, 14, 20 или 25 ст. 39.12 Земельного кодекса Российской Федерации, засчитываются                     </w:t>
      </w:r>
      <w:r>
        <w:rPr>
          <w:bCs/>
          <w:shd w:val="clear" w:color="auto" w:fill="auto"/>
          <w:lang w:bidi="ru-RU"/>
        </w:rPr>
        <w:t xml:space="preserve">  в оплату приобретаемого земельного участка. Задатки, внесенные этими лицами, не заключившими      в установленном настоящей статьей порядке договор купли-продажи земельного участка вследствие уклонения от заключения указанного договора, не возвращаются. </w:t>
      </w:r>
      <w:r>
        <w:rPr>
          <w:highlight w:val="none"/>
          <w:shd w:val="clear" w:color="auto" w:fill="auto"/>
        </w:rPr>
      </w:r>
    </w:p>
    <w:p>
      <w:pPr>
        <w:pStyle w:val="647"/>
        <w:jc w:val="both"/>
        <w:spacing w:line="276" w:lineRule="auto"/>
        <w:widowControl w:val="off"/>
        <w:rPr>
          <w:bCs/>
          <w:highlight w:val="none"/>
          <w:shd w:val="clear" w:color="auto" w:fill="auto"/>
          <w:lang w:bidi="ru-RU"/>
        </w:rPr>
      </w:pPr>
      <w:r>
        <w:rPr>
          <w:bCs/>
          <w:shd w:val="clear" w:color="auto" w:fill="auto"/>
          <w:lang w:bidi="ru-RU"/>
        </w:rPr>
      </w:r>
      <w:r>
        <w:rPr>
          <w:bCs/>
          <w:highlight w:val="none"/>
          <w:shd w:val="clear" w:color="auto" w:fill="auto"/>
          <w:lang w:bidi="ru-RU"/>
        </w:rPr>
      </w:r>
    </w:p>
    <w:p>
      <w:pPr>
        <w:pStyle w:val="647"/>
        <w:jc w:val="center"/>
        <w:widowControl w:val="off"/>
        <w:rPr>
          <w:highlight w:val="none"/>
          <w:shd w:val="clear" w:color="auto" w:fill="auto"/>
        </w:rPr>
      </w:pPr>
      <w:r>
        <w:rPr>
          <w:b/>
          <w:shd w:val="clear" w:color="auto" w:fill="auto"/>
        </w:rPr>
        <w:t xml:space="preserve">Организатор аукциона вправе:</w:t>
      </w:r>
      <w:r>
        <w:rPr>
          <w:highlight w:val="none"/>
          <w:shd w:val="clear" w:color="auto" w:fill="auto"/>
        </w:rPr>
      </w:r>
    </w:p>
    <w:p>
      <w:pPr>
        <w:pStyle w:val="647"/>
        <w:jc w:val="center"/>
        <w:widowControl w:val="off"/>
        <w:rPr>
          <w:rFonts w:eastAsia="Courier New"/>
          <w:highlight w:val="none"/>
          <w:shd w:val="clear" w:color="auto" w:fill="auto"/>
          <w:lang w:bidi="ru-RU"/>
        </w:rPr>
      </w:pPr>
      <w:r>
        <w:rPr>
          <w:rFonts w:eastAsia="Courier New"/>
          <w:shd w:val="clear" w:color="auto" w:fill="auto"/>
          <w:lang w:bidi="ru-RU"/>
        </w:rPr>
      </w:r>
      <w:r>
        <w:rPr>
          <w:rFonts w:eastAsia="Courier New"/>
          <w:highlight w:val="none"/>
          <w:shd w:val="clear" w:color="auto" w:fill="auto"/>
          <w:lang w:bidi="ru-RU"/>
        </w:rPr>
      </w:r>
    </w:p>
    <w:p>
      <w:pPr>
        <w:pStyle w:val="740"/>
        <w:ind w:left="-567" w:firstLine="709"/>
        <w:jc w:val="both"/>
        <w:widowControl w:val="off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Не позднее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0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Информация о внесении изменений в извещение                             о проведении аукциона размещается на официальных сайтах </w:t>
      </w:r>
      <w:r>
        <w:rPr>
          <w:rFonts w:eastAsia="Droid Sans Fallback" w:cs="Lohit Devanagari"/>
          <w:b w:val="0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www.torgi.gov.ru,  www.gorodperm.ru.</w:t>
      </w:r>
      <w:r>
        <w:rPr>
          <w:highlight w:val="none"/>
          <w:shd w:val="clear" w:color="auto" w:fill="auto"/>
        </w:rPr>
      </w:r>
    </w:p>
    <w:p>
      <w:pPr>
        <w:pStyle w:val="740"/>
        <w:ind w:left="-567" w:firstLine="709"/>
        <w:jc w:val="both"/>
        <w:widowControl w:val="off"/>
        <w:rPr>
          <w:highlight w:val="none"/>
          <w:shd w:val="clear" w:color="auto" w:fill="auto"/>
        </w:rPr>
      </w:pPr>
      <w:r>
        <w:rPr>
          <w:rFonts w:eastAsia="Droid Sans Fallback" w:cs="Lohit Devanagari"/>
          <w:b w:val="0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В случае, если за один рабочий день до даты окончания приема заявок на участие в аукционе не поступило ни одной заявки, организато</w:t>
      </w:r>
      <w:r>
        <w:rPr>
          <w:rFonts w:eastAsia="Droid Sans Fallback" w:cs="Lohit Devanagari"/>
          <w:b w:val="0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р аукциона до момента окончания срока подачи заявок на участие в аукционе может принять решение о продлении срока подачи заявок в соответствии                         с правилами, предусмотренными п. 22.1  ст. 39.11 Земельного кодекса Российской Федерации.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</w:pPr>
      <w:r>
        <w:rPr>
          <w:shd w:val="clear" w:color="auto" w:fill="auto"/>
        </w:rPr>
        <w:t xml:space="preserve">В соответствии с п. 4 ст. 448 Гражданского кодекса Российской Федерации отказаться </w:t>
      </w:r>
      <w:r>
        <w:br w:type="textWrapping" w:clear="all"/>
      </w:r>
      <w:r>
        <w:t xml:space="preserve">от проведения аукциона в любое время, но не позднее чем за три дня до наступления даты </w:t>
      </w:r>
      <w:r>
        <w:br w:type="textWrapping" w:clear="all"/>
      </w:r>
      <w:r>
        <w:t xml:space="preserve">его проведения, указанной в извещении </w:t>
      </w:r>
      <w:r>
        <w:rPr>
          <w:shd w:val="clear" w:color="auto" w:fill="auto"/>
        </w:rPr>
        <w:t xml:space="preserve">о проведении аукциона. </w:t>
      </w:r>
      <w:r/>
    </w:p>
    <w:p>
      <w:pPr>
        <w:pStyle w:val="647"/>
        <w:jc w:val="center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47"/>
        <w:jc w:val="center"/>
        <w:widowControl w:val="off"/>
        <w:rPr>
          <w:highlight w:val="none"/>
          <w:shd w:val="clear" w:color="auto" w:fill="auto"/>
        </w:rPr>
      </w:pPr>
      <w:r>
        <w:rPr>
          <w:b/>
          <w:shd w:val="clear" w:color="auto" w:fill="auto"/>
        </w:rPr>
        <w:t xml:space="preserve">Организатор аукциона обязан:  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shd w:val="clear" w:color="auto" w:fill="auto"/>
        </w:rPr>
      </w:pPr>
      <w:r>
        <w:rPr>
          <w:shd w:val="clear" w:color="auto" w:fill="auto"/>
        </w:rPr>
      </w:r>
      <w:r>
        <w:rPr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Извещение об отказе в проведении аукциона размещается организатором аукциона                              на официальных сайтах  </w:t>
      </w:r>
      <w:r>
        <w:rPr>
          <w:rFonts w:eastAsia="Droid Sans Fallback" w:cs="Lohit Devanagari"/>
          <w:b w:val="0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www.torgi.gov.ru,  www.gorodperm.ru </w:t>
      </w:r>
      <w:r>
        <w:rPr>
          <w:shd w:val="clear" w:color="auto" w:fill="auto"/>
        </w:rPr>
        <w:t xml:space="preserve"> и на электронной площадке в течение трех дней со дня принятия данного решения.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 сл</w:t>
      </w:r>
      <w:r>
        <w:rPr>
          <w:shd w:val="clear" w:color="auto" w:fill="auto"/>
        </w:rPr>
        <w:t xml:space="preserve">учае отказа от проведения аукциона организатором (в т. ч. одного или нескольких лотов), Оператор в течение одного часа прекращает блокирование денежных средств участников аукциона              в размере задатка на их лицевых счетах на электронной площадке.</w:t>
      </w:r>
      <w:r>
        <w:rPr>
          <w:highlight w:val="none"/>
          <w:shd w:val="clear" w:color="auto" w:fill="auto"/>
        </w:rPr>
      </w:r>
    </w:p>
    <w:p>
      <w:pPr>
        <w:pStyle w:val="64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47"/>
        <w:ind w:left="502"/>
        <w:jc w:val="center"/>
        <w:widowControl w:val="off"/>
        <w:rPr>
          <w:highlight w:val="none"/>
          <w:shd w:val="clear" w:color="auto" w:fill="auto"/>
        </w:rPr>
      </w:pPr>
      <w:r>
        <w:rPr>
          <w:rFonts w:eastAsia="Courier New"/>
          <w:b/>
          <w:shd w:val="clear" w:color="auto" w:fill="auto"/>
          <w:lang w:bidi="ru-RU"/>
        </w:rPr>
        <w:t xml:space="preserve">Порядок регистрации на электронной площадке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t xml:space="preserve">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Регистрация на электронной площадке проводится в соответствии с регламентом электронной площадки.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10.10.2026 по 10.11.2026 с 9.00 до 18.00 по местному времени (7:00 – 16:00 МСК). </w:t>
      </w:r>
      <w:r>
        <w:rPr>
          <w:highlight w:val="none"/>
          <w:shd w:val="clear" w:color="auto" w:fill="auto"/>
        </w:rPr>
      </w:r>
    </w:p>
    <w:p>
      <w:pPr>
        <w:pStyle w:val="777"/>
        <w:jc w:val="center"/>
        <w:rPr>
          <w:highlight w:val="none"/>
          <w:shd w:val="clear" w:color="auto" w:fill="auto"/>
        </w:rPr>
      </w:pPr>
      <w:r>
        <w:rPr>
          <w:b/>
          <w:color w:val="000000"/>
          <w:shd w:val="clear" w:color="auto" w:fill="auto"/>
        </w:rPr>
        <w:t xml:space="preserve">Разъяснение положений извещения о проведении аукциона</w:t>
      </w:r>
      <w:r>
        <w:rPr>
          <w:highlight w:val="none"/>
          <w:shd w:val="clear" w:color="auto" w:fill="auto"/>
        </w:rPr>
      </w:r>
    </w:p>
    <w:p>
      <w:pPr>
        <w:pStyle w:val="744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</w:t>
      </w:r>
      <w:r>
        <w:rPr>
          <w:bCs/>
          <w:shd w:val="clear" w:color="auto" w:fill="auto"/>
          <w:lang w:bidi="ru-RU"/>
        </w:rPr>
        <w:t xml:space="preserve">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</w:t>
        <w:br/>
        <w:t xml:space="preserve">не рассматриваются.</w:t>
      </w:r>
      <w:r>
        <w:rPr>
          <w:highlight w:val="none"/>
          <w:shd w:val="clear" w:color="auto" w:fill="auto"/>
        </w:rPr>
      </w:r>
    </w:p>
    <w:p>
      <w:pPr>
        <w:pStyle w:val="744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709"/>
        <w:jc w:val="both"/>
        <w:spacing w:line="276" w:lineRule="auto"/>
        <w:widowControl w:val="off"/>
        <w:rPr>
          <w:bCs/>
          <w:highlight w:val="none"/>
          <w:shd w:val="clear" w:color="auto" w:fill="auto"/>
          <w:lang w:bidi="ru-RU"/>
        </w:rPr>
      </w:pPr>
      <w:r>
        <w:rPr>
          <w:bCs/>
          <w:shd w:val="clear" w:color="auto" w:fill="auto"/>
          <w:lang w:bidi="ru-RU"/>
        </w:rPr>
      </w:r>
      <w:r>
        <w:rPr>
          <w:bCs/>
          <w:highlight w:val="none"/>
          <w:shd w:val="clear" w:color="auto" w:fill="auto"/>
          <w:lang w:bidi="ru-RU"/>
        </w:rPr>
      </w:r>
    </w:p>
    <w:p>
      <w:pPr>
        <w:pStyle w:val="647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/>
          <w:bCs/>
          <w:shd w:val="clear" w:color="auto" w:fill="auto"/>
        </w:rPr>
        <w:t xml:space="preserve">Требования к содержанию и составу заявки на участие в аукционе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rFonts w:eastAsia="Courier New"/>
          <w:shd w:val="clear" w:color="auto" w:fill="auto"/>
          <w:lang w:bidi="ru-RU"/>
        </w:rPr>
        <w:t xml:space="preserve">Для участия в аукционе заявители представляют в установленный в извещении</w:t>
      </w:r>
      <w:r>
        <w:rPr>
          <w:rFonts w:eastAsia="Courier New"/>
          <w:shd w:val="clear" w:color="auto" w:fill="auto"/>
          <w:lang w:bidi="ru-RU"/>
        </w:rPr>
        <w:br w:type="textWrapping" w:clear="all"/>
      </w:r>
      <w:r>
        <w:rPr>
          <w:rFonts w:eastAsia="Courier New"/>
          <w:shd w:val="clear" w:color="auto" w:fill="auto"/>
          <w:lang w:bidi="ru-RU"/>
        </w:rPr>
        <w:t xml:space="preserve">о проведении аукциона срок следующие документы:</w:t>
      </w:r>
      <w:r>
        <w:rPr>
          <w:highlight w:val="none"/>
          <w:shd w:val="clear" w:color="auto" w:fill="auto"/>
        </w:rPr>
      </w:r>
    </w:p>
    <w:p>
      <w:pPr>
        <w:pStyle w:val="64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1) копии документов, удостоверяющих личность заявителя (для граждан), всех страниц;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2) надлежащим образом заверенный перевод на русский язык документов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highlight w:val="none"/>
          <w:shd w:val="clear" w:color="auto" w:fill="auto"/>
        </w:rPr>
      </w:r>
    </w:p>
    <w:p>
      <w:pPr>
        <w:pStyle w:val="647"/>
        <w:jc w:val="both"/>
        <w:rPr>
          <w:rFonts w:eastAsia="Calibri"/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</w:r>
      <w:r>
        <w:rPr>
          <w:rFonts w:eastAsia="Calibri"/>
          <w:highlight w:val="none"/>
          <w:shd w:val="clear" w:color="auto" w:fill="auto"/>
        </w:rPr>
      </w:r>
    </w:p>
    <w:p>
      <w:pPr>
        <w:pStyle w:val="647"/>
        <w:ind w:firstLine="708"/>
        <w:jc w:val="center"/>
        <w:rPr>
          <w:highlight w:val="none"/>
          <w:shd w:val="clear" w:color="auto" w:fill="auto"/>
        </w:rPr>
      </w:pPr>
      <w:r>
        <w:rPr>
          <w:b/>
          <w:shd w:val="clear" w:color="auto" w:fill="auto"/>
        </w:rPr>
        <w:t xml:space="preserve">Инструкция по заполнению и подаче заявки, порядок приема заявки</w:t>
      </w:r>
      <w:r>
        <w:rPr>
          <w:highlight w:val="none"/>
          <w:shd w:val="clear" w:color="auto" w:fill="auto"/>
        </w:rPr>
      </w:r>
    </w:p>
    <w:p>
      <w:pPr>
        <w:pStyle w:val="647"/>
        <w:ind w:firstLine="708"/>
        <w:jc w:val="center"/>
        <w:rPr>
          <w:b/>
          <w:highlight w:val="none"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на участие в электронном аукционе с указанием банковских реквизитов счета </w:t>
      </w:r>
      <w:r>
        <w:rPr>
          <w:shd w:val="clear" w:color="auto" w:fill="auto"/>
        </w:rPr>
        <w:t xml:space="preserve">                        для возврата задатка направляется оператору электронной площадки в форме электронного документа с приложением документов, указанных в подпунктах 2 - 3 пункта 1, пункте 1.1 статьи 39.12 Земельного кодекса Российской Федерации (копии </w:t>
      </w:r>
      <w:r>
        <w:rPr>
          <w:b w:val="0"/>
          <w:shd w:val="clear" w:color="auto" w:fill="auto"/>
        </w:rPr>
        <w:t xml:space="preserve">документов, удостоверяющих личность заявителя (для граждан) всех страниц; </w:t>
      </w:r>
      <w:r>
        <w:rPr>
          <w:b w:val="0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лицо).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</w:rPr>
      </w:pPr>
      <w:r>
        <w:rPr>
          <w:sz w:val="24"/>
          <w:szCs w:val="24"/>
        </w:rPr>
        <w:t xml:space="preserve">На каждый лот представляется отдельный пакет документов.</w:t>
      </w:r>
      <w:r>
        <w:rPr>
          <w:highlight w:val="none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Заполнение заявки осуществляется в соответствии с порядком, определенным регламентом электронной площадки АО «Сбербанк-АСТ».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Все документы и сведения, связанные с получением регистрации на универсальной торговой пла</w:t>
      </w:r>
      <w:r>
        <w:rPr>
          <w:shd w:val="clear" w:color="auto" w:fill="auto"/>
        </w:rPr>
        <w:t xml:space="preserve">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 Регламента Универсальной торговой платформы).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Заявка подается в виде электронного документа, подписанного электронной подписью заявителя (п. 3.2.2. Регламента торговой секции).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Заявитель заполняет электронную форму заявки, при</w:t>
      </w:r>
      <w:r>
        <w:rPr>
          <w:shd w:val="clear" w:color="auto" w:fill="auto"/>
        </w:rPr>
        <w:t xml:space="preserve">кладывает предусмотренные извещением          о проведении аукциона файлы документов (при необходимости). Документы и сведения                              из регистрационных данных заявителя н</w:t>
      </w:r>
      <w:r>
        <w:rPr>
          <w:shd w:val="clear" w:color="auto" w:fill="auto"/>
        </w:rPr>
        <w:t xml:space="preserve">а универсальной торговой платформе, актуальные на дату                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Подача заявки осуществляется заявителем, зарегистрированным в торговой секции,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из личного кабинета посредством штатного интерфейса отдельно по каждому лоту в сроки, установленные в извещении о проведении аукциона.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вправе подать заявку в любое время с момента размещения извещения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о проведении аукциона до предусмотренных указанным извещением даты и времени окончания срока подачи заявок.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Один заявитель вправе подать только одну заявку на участие в аукционе в отношении каждого лота.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Участие в аукционе возможно при наличии на лицевом счете заявителя денежных средств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в размере не менее чем размер задатка на участие в аукционе, предусмотренный извещением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о проведении аукциона.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Все документы, входящие в состав заявки, должны иметь четко читаемый текст.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предоставляется организатору аукциона через Оператора.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0" w:firstLine="0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Заявка не может быть принята Оператором в случае: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а) отсутствия на лицевом счете заявителя достаточной суммы денежных средств</w:t>
      </w:r>
      <w:r>
        <w:rPr>
          <w:bCs/>
          <w:shd w:val="clear" w:color="auto" w:fill="auto"/>
        </w:rPr>
        <w:br w:type="textWrapping" w:clear="all"/>
      </w:r>
      <w:r>
        <w:rPr>
          <w:bCs/>
          <w:shd w:val="clear" w:color="auto" w:fill="auto"/>
        </w:rPr>
        <w:t xml:space="preserve">в размере задатка;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0" w:firstLine="0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в) подачи заявки по истечении установленного срока подачи заявок;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г) некорректного заполнения формы заявки, в том числе незаполнения полей, являющихся обязательными для заполнения.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enter" w:pos="284" w:leader="none"/>
          <w:tab w:val="clear" w:pos="708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Заявителям, признанным участниками аукциона, и з</w:t>
      </w:r>
      <w:r>
        <w:rPr>
          <w:bCs/>
          <w:shd w:val="clear" w:color="auto" w:fill="auto"/>
        </w:rPr>
        <w:t xml:space="preserve">аявителям, не допущенным к участию</w:t>
        <w:br/>
        <w:t xml:space="preserve">в аукционе, оператор электронной площадки направляет в электронной форме уведомления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spacing w:line="276" w:lineRule="auto"/>
        <w:tabs>
          <w:tab w:val="center" w:pos="284" w:leader="none"/>
          <w:tab w:val="clear" w:pos="708" w:leader="none"/>
        </w:tabs>
        <w:rPr>
          <w:bCs/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</w:r>
      <w:r>
        <w:rPr>
          <w:bCs/>
          <w:highlight w:val="none"/>
          <w:shd w:val="clear" w:color="auto" w:fill="auto"/>
        </w:rPr>
      </w:r>
    </w:p>
    <w:p>
      <w:pPr>
        <w:pStyle w:val="647"/>
        <w:ind w:left="502"/>
        <w:jc w:val="center"/>
        <w:widowControl w:val="off"/>
        <w:rPr>
          <w:highlight w:val="none"/>
          <w:shd w:val="clear" w:color="auto" w:fill="auto"/>
        </w:rPr>
      </w:pPr>
      <w:r>
        <w:rPr>
          <w:b/>
          <w:bCs/>
          <w:shd w:val="clear" w:color="auto" w:fill="auto"/>
          <w:lang w:bidi="ru-RU"/>
        </w:rPr>
        <w:t xml:space="preserve">Порядок и срок изменения, отзыва заявки на участие в аукционе</w:t>
      </w:r>
      <w:r>
        <w:rPr>
          <w:highlight w:val="none"/>
          <w:shd w:val="clear" w:color="auto" w:fill="auto"/>
        </w:rPr>
      </w:r>
    </w:p>
    <w:p>
      <w:pPr>
        <w:pStyle w:val="647"/>
        <w:ind w:left="502"/>
        <w:widowControl w:val="off"/>
        <w:rPr>
          <w:b/>
          <w:bCs/>
          <w:highlight w:val="none"/>
          <w:shd w:val="clear" w:color="auto" w:fill="auto"/>
          <w:lang w:bidi="ru-RU"/>
        </w:rPr>
      </w:pPr>
      <w:r>
        <w:rPr>
          <w:b/>
          <w:bCs/>
          <w:shd w:val="clear" w:color="auto" w:fill="auto"/>
          <w:lang w:bidi="ru-RU"/>
        </w:rPr>
      </w:r>
      <w:r>
        <w:rPr>
          <w:b/>
          <w:bCs/>
          <w:highlight w:val="none"/>
          <w:shd w:val="clear" w:color="auto" w:fill="auto"/>
          <w:lang w:bidi="ru-RU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имеет право отозвать принятую организатором аукциона заявку на участие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в аукционе до дня окончания срока приема заявок, пут</w:t>
      </w:r>
      <w:r>
        <w:rPr>
          <w:shd w:val="clear" w:color="auto" w:fill="auto"/>
        </w:rPr>
        <w:t xml:space="preserve">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</w:t>
      </w:r>
      <w:r>
        <w:rPr>
          <w:highlight w:val="none"/>
          <w:shd w:val="clear" w:color="auto" w:fill="auto"/>
        </w:rPr>
      </w:r>
    </w:p>
    <w:p>
      <w:pPr>
        <w:pStyle w:val="740"/>
        <w:ind w:left="-567" w:firstLine="567"/>
        <w:jc w:val="both"/>
        <w:widowControl w:val="off"/>
        <w:rPr>
          <w:rFonts w:ascii="Times New Roman" w:hAnsi="Times New Roman" w:eastAsia="Droid Sans Fallback" w:cs="Lohit Devanagari"/>
          <w:color w:val="auto"/>
          <w:sz w:val="24"/>
          <w:szCs w:val="24"/>
          <w:shd w:val="clear" w:color="auto" w:fill="auto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В случае отзыва заявки заявителем до дня окончания срока приема заявок Оператор  обеспечивает возврат заявителю денежных средств, заблокированных в размере задатка на расчетном счете Оператора, в течение трех рабочих дней со дня отзыва заявки. </w:t>
      </w:r>
      <w:r>
        <w:rPr>
          <w:rFonts w:ascii="Times New Roman" w:hAnsi="Times New Roman" w:eastAsia="Droid Sans Fallback" w:cs="Lohit Devanagari"/>
          <w:color w:val="auto"/>
          <w:sz w:val="24"/>
          <w:szCs w:val="24"/>
          <w:shd w:val="clear" w:color="auto" w:fill="auto"/>
          <w:lang w:val="ru-RU" w:eastAsia="zh-CN" w:bidi="ar-SA"/>
        </w:rPr>
      </w:r>
    </w:p>
    <w:p>
      <w:pPr>
        <w:pStyle w:val="740"/>
        <w:ind w:left="-567" w:firstLine="567"/>
        <w:jc w:val="both"/>
        <w:widowControl w:val="off"/>
        <w:rPr>
          <w:rFonts w:ascii="Times New Roman" w:hAnsi="Times New Roman" w:eastAsia="Droid Sans Fallback" w:cs="Lohit Devanagari"/>
          <w:color w:val="auto"/>
          <w:sz w:val="24"/>
          <w:szCs w:val="24"/>
          <w:shd w:val="clear" w:color="auto" w:fill="auto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В случае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 отзыва заявки заявителем позднее дня окончания срока приема заявок денежные средства, заблокированные в размере задатка на расчетном счете Оператора, возвращаются в порядке, установленном пунктом 10.1 статьи 39.13  Земельного кодекса Российской Федерации.</w:t>
      </w:r>
      <w:r>
        <w:rPr>
          <w:rFonts w:ascii="Times New Roman" w:hAnsi="Times New Roman" w:eastAsia="Droid Sans Fallback" w:cs="Lohit Devanagari"/>
          <w:color w:val="auto"/>
          <w:sz w:val="24"/>
          <w:szCs w:val="24"/>
          <w:shd w:val="clear" w:color="auto" w:fill="auto"/>
          <w:lang w:val="ru-RU" w:eastAsia="zh-CN" w:bidi="ar-SA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47"/>
        <w:jc w:val="center"/>
        <w:rPr>
          <w:highlight w:val="none"/>
          <w:shd w:val="clear" w:color="auto" w:fill="auto"/>
        </w:rPr>
      </w:pPr>
      <w:r>
        <w:rPr>
          <w:b/>
          <w:bCs/>
          <w:shd w:val="clear" w:color="auto" w:fill="auto"/>
        </w:rPr>
        <w:t xml:space="preserve">Определение участников аукциона</w:t>
      </w:r>
      <w:r>
        <w:rPr>
          <w:highlight w:val="none"/>
          <w:shd w:val="clear" w:color="auto" w:fill="auto"/>
        </w:rPr>
      </w:r>
    </w:p>
    <w:p>
      <w:pPr>
        <w:pStyle w:val="647"/>
        <w:jc w:val="center"/>
        <w:rPr>
          <w:b/>
          <w:bCs/>
          <w:highlight w:val="none"/>
          <w:shd w:val="clear" w:color="auto" w:fill="auto"/>
        </w:rPr>
      </w:pPr>
      <w:r>
        <w:rPr>
          <w:b/>
          <w:bCs/>
          <w:shd w:val="clear" w:color="auto" w:fill="auto"/>
        </w:rPr>
      </w:r>
      <w:r>
        <w:rPr>
          <w:b/>
          <w:bCs/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bCs/>
          <w:shd w:val="clear" w:color="auto" w:fill="auto"/>
        </w:rPr>
        <w:t xml:space="preserve">По результатам рассмотрения заявок комиссия принимает решение о допуске заявителей</w:t>
      </w:r>
      <w:r>
        <w:rPr>
          <w:bCs/>
          <w:shd w:val="clear" w:color="auto" w:fill="auto"/>
        </w:rPr>
        <w:br w:type="textWrapping" w:clear="all"/>
      </w:r>
      <w:r>
        <w:rPr>
          <w:bCs/>
          <w:shd w:val="clear" w:color="auto" w:fill="auto"/>
        </w:rPr>
        <w:t xml:space="preserve">к участию в аукционе или об отказе в допуске к участию в аукционе.</w:t>
      </w:r>
      <w:r>
        <w:rPr>
          <w:highlight w:val="none"/>
          <w:shd w:val="clear" w:color="auto" w:fill="auto"/>
        </w:rPr>
      </w:r>
    </w:p>
    <w:p>
      <w:pPr>
        <w:pStyle w:val="64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не допускается к участию в аукционе в следующих случаях: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z w:val="20"/>
          <w:shd w:val="clear" w:color="auto" w:fill="auto"/>
        </w:rPr>
        <w:t xml:space="preserve">1) </w:t>
      </w:r>
      <w:r>
        <w:rPr>
          <w:shd w:val="clear" w:color="auto" w:fill="auto"/>
        </w:rPr>
        <w:t xml:space="preserve">непредставление необходимых для участия в аукционе документов или представление недостоверных сведений;</w:t>
      </w:r>
      <w:r>
        <w:rPr>
          <w:highlight w:val="none"/>
          <w:shd w:val="clear" w:color="auto" w:fill="auto"/>
        </w:rPr>
      </w:r>
    </w:p>
    <w:p>
      <w:pPr>
        <w:pStyle w:val="64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2) непоступление задатка на дату рассмотрения заявок на участие в аукционе;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3) подача зая</w:t>
      </w:r>
      <w:r>
        <w:rPr>
          <w:shd w:val="clear" w:color="auto" w:fill="auto"/>
        </w:rPr>
        <w:t xml:space="preserve">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</w:t>
        <w:br/>
        <w:t xml:space="preserve">в аренду;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4) наличие свед</w:t>
      </w:r>
      <w:r>
        <w:rPr>
          <w:shd w:val="clear" w:color="auto" w:fill="auto"/>
        </w:rPr>
        <w:t xml:space="preserve">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 день пр</w:t>
      </w:r>
      <w:r>
        <w:rPr>
          <w:shd w:val="clear" w:color="auto" w:fill="auto"/>
        </w:rPr>
        <w:t xml:space="preserve">изнания заявителей участниками аукциона, указанный в извещении</w:t>
        <w:br/>
        <w:t xml:space="preserve"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приобретает статус участника аукциона с момента подписания протокола рассмотрения заявок.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Не позднее следующего рабочего дня после дня подписа</w:t>
      </w:r>
      <w:r>
        <w:rPr>
          <w:shd w:val="clear" w:color="auto" w:fill="auto"/>
        </w:rPr>
        <w:t xml:space="preserve">ния протокола рассмотрения заявок, всем заявителям оператором электронной площадки направляется в личные кабинеты уведомления                  о признании их участниками аукциона или об отказе в признании участниками аукциона с указанием оснований отказа. </w:t>
      </w:r>
      <w:r>
        <w:rPr>
          <w:highlight w:val="none"/>
          <w:shd w:val="clear" w:color="auto" w:fill="auto"/>
        </w:rPr>
      </w:r>
    </w:p>
    <w:p>
      <w:pPr>
        <w:pStyle w:val="740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по результатам рассмотрения заявок на участие в аукционе принято решение об отказе в допуске к участию                       в аукционе всех заявителей или о допуске к участию в аукционе и признании участником аукциона только одного заявителя, аукцион приз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нается несостоявшимся. При признании аукциона несостоявшимся в протокол рассмотрения заявок на участие в аукционе, включается информация               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емельного кодекса Российской Федерации.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spacing w:line="276" w:lineRule="auto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47"/>
        <w:jc w:val="center"/>
        <w:rPr>
          <w:b/>
          <w:bCs/>
          <w:highlight w:val="none"/>
          <w:shd w:val="clear" w:color="auto" w:fill="auto"/>
        </w:rPr>
      </w:pPr>
      <w:r>
        <w:rPr>
          <w:b/>
          <w:bCs/>
          <w:shd w:val="clear" w:color="auto" w:fill="auto"/>
        </w:rPr>
        <w:t xml:space="preserve">Порядок проведения аукциона</w:t>
      </w:r>
      <w:r>
        <w:rPr>
          <w:b/>
          <w:bCs/>
          <w:highlight w:val="none"/>
          <w:shd w:val="clear" w:color="auto" w:fill="auto"/>
        </w:rPr>
      </w:r>
    </w:p>
    <w:p>
      <w:pPr>
        <w:pStyle w:val="647"/>
        <w:ind w:left="502"/>
        <w:jc w:val="center"/>
        <w:widowControl w:val="off"/>
        <w:rPr>
          <w:rFonts w:eastAsia="Courier New"/>
          <w:b/>
          <w:bCs/>
          <w:highlight w:val="none"/>
          <w:shd w:val="clear" w:color="auto" w:fill="auto"/>
          <w:lang w:bidi="ru-RU"/>
        </w:rPr>
      </w:pPr>
      <w:r>
        <w:rPr>
          <w:rFonts w:eastAsia="Courier New"/>
          <w:b/>
          <w:bCs/>
          <w:shd w:val="clear" w:color="auto" w:fill="auto"/>
          <w:lang w:bidi="ru-RU"/>
        </w:rPr>
      </w:r>
      <w:r>
        <w:rPr>
          <w:rFonts w:eastAsia="Courier New"/>
          <w:b/>
          <w:bCs/>
          <w:highlight w:val="none"/>
          <w:shd w:val="clear" w:color="auto" w:fill="auto"/>
          <w:lang w:bidi="ru-RU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5% от начальной цены предмета аукциона</w:t>
      </w:r>
      <w:r>
        <w:rPr>
          <w:rFonts w:eastAsia="Calibri"/>
          <w:shd w:val="clear" w:color="auto" w:fill="auto"/>
        </w:rPr>
        <w:t xml:space="preserve">, и не изменяется в течение всего времени подачи предложений о цене.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о цене предмета аукциона на величину «шага аукциона»;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Время для подачи предложений о цене аукциона определяется в следующем порядке: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Время ожидания предложения участника аукциона о цене предмета аукциона составляет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10 (десять) минут. При поступлении предложения участ</w:t>
      </w:r>
      <w:r>
        <w:rPr>
          <w:rFonts w:eastAsia="Calibri"/>
          <w:shd w:val="clear" w:color="auto" w:fill="auto"/>
        </w:rPr>
        <w:t xml:space="preserve">ника аукциона</w:t>
        <w:br/>
        <w:t xml:space="preserve"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Срок для подачи предложений о цене обновляется автоматически после улучшения текущего предложения о цене. Время срока подачи предложений </w:t>
      </w:r>
      <w:r>
        <w:rPr>
          <w:rFonts w:eastAsia="Calibri"/>
          <w:shd w:val="clear" w:color="auto" w:fill="auto"/>
        </w:rPr>
        <w:t xml:space="preserve">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в момент его поступления и соответствующее уведомление участника аукциона, в случаях, если: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предложение о цене аукциона предоставлено до начала или по истечении установленного времени для подачи предложений о цене аукциона;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предложение о цене аукциона ниже начальной цены;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предложение о цене аукциона равно нулю;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предложение о цене аукциона не соответствует увеличению текущей цены на величину «шага аукциона»;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предыдущее представленное данным участником аукциона предложение о цене аукциона является лучшим текущим предложением о цене;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участником аукциона предложение о цене аукциона меньше ранее представленных предложений.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Победителем аукциона признается участник аукциона, предложивший наибольшую цену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за земельный участок.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Электронный аукцион признается несостоявшимся в случае, если в электронном аукционе участвовал один участник электронного аукциона, в ходе проведения электронного аукциона ни один из участников не подал предложение о цене предмета аукциона.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rFonts w:eastAsia="Calibri"/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</w:r>
      <w:r>
        <w:rPr>
          <w:rFonts w:eastAsia="Calibri"/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/>
          <w:bCs/>
          <w:shd w:val="clear" w:color="auto" w:fill="auto"/>
        </w:rPr>
        <w:t xml:space="preserve">Порядок и срок заключения договора</w:t>
      </w:r>
      <w:r>
        <w:rPr>
          <w:b/>
          <w:bCs/>
          <w:shd w:val="clear" w:color="auto" w:fill="auto"/>
        </w:rPr>
        <w:br w:type="textWrapping" w:clear="all"/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По результатам провед</w:t>
      </w:r>
      <w:r>
        <w:rPr>
          <w:bCs/>
          <w:shd w:val="clear" w:color="auto" w:fill="auto"/>
        </w:rPr>
        <w:t xml:space="preserve">ения аукциона не допускается заключение договора купли-продажи земельного участка,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ли аукцион признан несостоявшимся, либо протокола о результатах аукциона на официальных сайтах www.torgi.gov.ru,  www.gorodperm.ru.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Департамент земельных отношений администрации города Перми обязан в течение п</w:t>
      </w:r>
      <w:r>
        <w:rPr>
          <w:bCs/>
          <w:shd w:val="clear" w:color="auto" w:fill="auto"/>
        </w:rPr>
        <w:t xml:space="preserve">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</w:t>
        <w:br/>
        <w:t xml:space="preserve">в соответствии с пунктами 13, 14, 20 и 25 статьи 39.12 Земельного кодекса Российско</w:t>
      </w:r>
      <w:r>
        <w:rPr>
          <w:bCs/>
          <w:shd w:val="clear" w:color="auto" w:fill="auto"/>
        </w:rPr>
        <w:t xml:space="preserve">й Федерации заключается договор купли-продажи земельного участка, находящегося </w:t>
        <w:br/>
        <w:t xml:space="preserve">в государственной или муниципальной собственности, подписанный проект договора купли-продажи земельного участка, находящегося в государственной или муниципальной собственности.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По р</w:t>
      </w:r>
      <w:r>
        <w:rPr>
          <w:bCs/>
          <w:shd w:val="clear" w:color="auto" w:fill="auto"/>
        </w:rPr>
        <w:t xml:space="preserve">езультатам проведения аукциона договор купли-продажи земельного участка,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bCs/>
          <w:shd w:val="clear" w:color="auto" w:fill="auto"/>
        </w:rPr>
        <w:t xml:space="preserve">Проект договора является частью извещения и представлен в Приложении 1</w:t>
        <w:br/>
        <w:t xml:space="preserve">к настоящему извещению.</w:t>
        <w:tab/>
      </w:r>
      <w:r>
        <w:rPr>
          <w:highlight w:val="none"/>
          <w:shd w:val="clear" w:color="auto" w:fill="auto"/>
        </w:rPr>
      </w:r>
    </w:p>
    <w:p>
      <w:pPr>
        <w:pStyle w:val="647"/>
        <w:ind w:left="-567" w:firstLine="567"/>
        <w:jc w:val="both"/>
        <w:rPr>
          <w:highlight w:val="none"/>
          <w:shd w:val="clear" w:color="auto" w:fill="auto"/>
        </w:rPr>
      </w:pPr>
      <w:r>
        <w:rPr>
          <w:bCs/>
          <w:shd w:val="clear" w:color="auto" w:fill="auto"/>
        </w:rPr>
        <w:t xml:space="preserve">Если договор купли-продажи  в течение десяти рабочих дней со дня направления победителю аукциона проекта указанного договора не был им подп</w:t>
      </w:r>
      <w:r>
        <w:rPr>
          <w:bCs/>
          <w:shd w:val="clear" w:color="auto" w:fill="auto"/>
        </w:rPr>
        <w:t xml:space="preserve">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</w:t>
      </w:r>
      <w:r>
        <w:rPr>
          <w:b w:val="0"/>
          <w:bCs/>
          <w:shd w:val="clear" w:color="auto" w:fill="auto"/>
        </w:rPr>
        <w:t xml:space="preserve">для их заключения по цене, предложенной таким участником аукциона.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enter" w:pos="567" w:leader="none"/>
          <w:tab w:val="clear" w:pos="708" w:leader="none"/>
        </w:tabs>
        <w:rPr>
          <w:highlight w:val="none"/>
          <w:shd w:val="clear" w:color="auto" w:fill="auto"/>
        </w:rPr>
        <w:outlineLvl w:val="0"/>
      </w:pPr>
      <w:r>
        <w:rPr>
          <w:rFonts w:eastAsia="Courier New"/>
          <w:shd w:val="clear" w:color="auto" w:fill="auto"/>
          <w:lang w:bidi="ru-RU"/>
        </w:rPr>
        <w:t xml:space="preserve">Сведения о победителях аукционов, уклонившихся от заключения договора купли-продажи, являющегося предметом а</w:t>
      </w:r>
      <w:r>
        <w:rPr>
          <w:rFonts w:eastAsia="Courier New"/>
          <w:shd w:val="clear" w:color="auto" w:fill="auto"/>
          <w:lang w:bidi="ru-RU"/>
        </w:rPr>
        <w:t xml:space="preserve">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  <w:r>
        <w:rPr>
          <w:highlight w:val="none"/>
          <w:shd w:val="clear" w:color="auto" w:fill="auto"/>
        </w:rPr>
      </w:r>
    </w:p>
    <w:p>
      <w:pPr>
        <w:pStyle w:val="647"/>
        <w:numPr>
          <w:ilvl w:val="0"/>
          <w:numId w:val="0"/>
        </w:numPr>
        <w:ind w:left="-567" w:firstLine="567"/>
        <w:jc w:val="both"/>
        <w:tabs>
          <w:tab w:val="center" w:pos="567" w:leader="none"/>
          <w:tab w:val="clear" w:pos="708" w:leader="none"/>
        </w:tabs>
        <w:rPr>
          <w:highlight w:val="none"/>
          <w:shd w:val="clear" w:color="auto" w:fill="auto"/>
        </w:rPr>
        <w:outlineLvl w:val="0"/>
      </w:pPr>
      <w:r>
        <w:rPr>
          <w:rFonts w:eastAsia="Courier New"/>
          <w:shd w:val="clear" w:color="auto" w:fill="auto"/>
          <w:lang w:bidi="ru-RU"/>
        </w:rPr>
        <w:t xml:space="preserve">Информация и документы о заключении договора купли-продажи земельного участка и (или) об оформлении иных документов по результатам проведения аукциона размещаются на ГИС Торги.</w:t>
      </w:r>
      <w:r>
        <w:rPr>
          <w:highlight w:val="none"/>
          <w:shd w:val="clear" w:color="auto" w:fill="auto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420" w:right="567" w:bottom="1134" w:left="1418" w:header="363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6030504020204"/>
  </w:font>
  <w:font w:name="Tahoma">
    <w:panose1 w:val="020B0606030504020204"/>
  </w:font>
  <w:font w:name="Open Sans">
    <w:panose1 w:val="020B0606030504020204"/>
  </w:font>
  <w:font w:name="Calibri Light">
    <w:panose1 w:val="020F0502020204030204"/>
  </w:font>
  <w:font w:name="Symbol">
    <w:panose1 w:val="05010000000000000000"/>
  </w:font>
  <w:font w:name="Arial">
    <w:panose1 w:val="020B0604020202020204"/>
  </w:font>
  <w:font w:name="Droid Sans Fallback">
    <w:panose1 w:val="020B0502000000000001"/>
  </w:font>
  <w:font w:name="Courier New">
    <w:panose1 w:val="02070409020205020404"/>
  </w:font>
  <w:font w:name="Lohit Devanagari">
    <w:panose1 w:val="020B0600000000000000"/>
  </w:font>
  <w:font w:name="Consultant">
    <w:panose1 w:val="02000603000000000000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5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 xml:space="preserve">18</w:t>
    </w:r>
    <w:r>
      <w:rPr>
        <w:sz w:val="20"/>
        <w:szCs w:val="28"/>
      </w:rPr>
      <w:fldChar w:fldCharType="end"/>
    </w:r>
    <w:r>
      <w:rPr>
        <w:sz w:val="20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48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pStyle w:val="65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7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zh-CN" w:bidi="ar-SA"/>
    </w:rPr>
  </w:style>
  <w:style w:type="paragraph" w:styleId="648">
    <w:name w:val="Heading 1"/>
    <w:basedOn w:val="647"/>
    <w:qFormat/>
    <w:pPr>
      <w:numPr>
        <w:ilvl w:val="0"/>
        <w:numId w:val="1"/>
      </w:numPr>
      <w:jc w:val="center"/>
      <w:keepNext/>
      <w:outlineLvl w:val="0"/>
    </w:pPr>
    <w:rPr>
      <w:b/>
      <w:sz w:val="28"/>
      <w:szCs w:val="20"/>
    </w:rPr>
  </w:style>
  <w:style w:type="paragraph" w:styleId="649">
    <w:name w:val="Heading 2"/>
    <w:basedOn w:val="6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0">
    <w:name w:val="Heading 3"/>
    <w:basedOn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1">
    <w:name w:val="Heading 4"/>
    <w:basedOn w:val="64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2">
    <w:name w:val="Heading 5"/>
    <w:basedOn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53">
    <w:name w:val="Heading 6"/>
    <w:basedOn w:val="647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654">
    <w:name w:val="Heading 7"/>
    <w:basedOn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55">
    <w:name w:val="Heading 8"/>
    <w:basedOn w:val="64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56">
    <w:name w:val="Heading 9"/>
    <w:basedOn w:val="6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7">
    <w:name w:val="Heading 1 Char"/>
    <w:basedOn w:val="674"/>
    <w:uiPriority w:val="9"/>
    <w:qFormat/>
    <w:rPr>
      <w:rFonts w:ascii="Arial" w:hAnsi="Arial" w:eastAsia="Arial" w:cs="Arial"/>
      <w:sz w:val="40"/>
      <w:szCs w:val="40"/>
    </w:rPr>
  </w:style>
  <w:style w:type="character" w:styleId="658">
    <w:name w:val="Heading 2 Char"/>
    <w:basedOn w:val="674"/>
    <w:uiPriority w:val="9"/>
    <w:qFormat/>
    <w:rPr>
      <w:rFonts w:ascii="Arial" w:hAnsi="Arial" w:eastAsia="Arial" w:cs="Arial"/>
      <w:sz w:val="34"/>
    </w:rPr>
  </w:style>
  <w:style w:type="character" w:styleId="659">
    <w:name w:val="Heading 3 Char"/>
    <w:basedOn w:val="674"/>
    <w:uiPriority w:val="9"/>
    <w:qFormat/>
    <w:rPr>
      <w:rFonts w:ascii="Arial" w:hAnsi="Arial" w:eastAsia="Arial" w:cs="Arial"/>
      <w:sz w:val="30"/>
      <w:szCs w:val="30"/>
    </w:rPr>
  </w:style>
  <w:style w:type="character" w:styleId="660">
    <w:name w:val="Heading 4 Char"/>
    <w:basedOn w:val="67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1">
    <w:name w:val="Heading 5 Char"/>
    <w:basedOn w:val="67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2">
    <w:name w:val="Heading 6 Char"/>
    <w:basedOn w:val="67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63">
    <w:name w:val="Heading 7 Char"/>
    <w:basedOn w:val="67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64">
    <w:name w:val="Heading 8 Char"/>
    <w:basedOn w:val="67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65">
    <w:name w:val="Heading 9 Char"/>
    <w:basedOn w:val="67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66">
    <w:name w:val="Title Char"/>
    <w:basedOn w:val="674"/>
    <w:uiPriority w:val="10"/>
    <w:qFormat/>
    <w:rPr>
      <w:sz w:val="48"/>
      <w:szCs w:val="48"/>
    </w:rPr>
  </w:style>
  <w:style w:type="character" w:styleId="667">
    <w:name w:val="Subtitle Char"/>
    <w:basedOn w:val="674"/>
    <w:uiPriority w:val="11"/>
    <w:qFormat/>
    <w:rPr>
      <w:sz w:val="24"/>
      <w:szCs w:val="24"/>
    </w:rPr>
  </w:style>
  <w:style w:type="character" w:styleId="668">
    <w:name w:val="Quote Char"/>
    <w:uiPriority w:val="29"/>
    <w:qFormat/>
    <w:rPr>
      <w:i/>
    </w:rPr>
  </w:style>
  <w:style w:type="character" w:styleId="669">
    <w:name w:val="Intense Quote Char"/>
    <w:uiPriority w:val="30"/>
    <w:qFormat/>
    <w:rPr>
      <w:i/>
    </w:rPr>
  </w:style>
  <w:style w:type="character" w:styleId="670">
    <w:name w:val="Header Char"/>
    <w:basedOn w:val="674"/>
    <w:uiPriority w:val="99"/>
    <w:qFormat/>
  </w:style>
  <w:style w:type="character" w:styleId="671">
    <w:name w:val="Caption Char"/>
    <w:uiPriority w:val="99"/>
    <w:qFormat/>
  </w:style>
  <w:style w:type="character" w:styleId="672">
    <w:name w:val="Footnote Text Char"/>
    <w:uiPriority w:val="99"/>
    <w:qFormat/>
    <w:rPr>
      <w:sz w:val="18"/>
    </w:rPr>
  </w:style>
  <w:style w:type="character" w:styleId="673">
    <w:name w:val="Endnote Text Char"/>
    <w:uiPriority w:val="99"/>
    <w:qFormat/>
    <w:rPr>
      <w:sz w:val="20"/>
    </w:rPr>
  </w:style>
  <w:style w:type="character" w:styleId="674" w:default="1">
    <w:name w:val="Default Paragraph Font"/>
    <w:uiPriority w:val="1"/>
    <w:semiHidden/>
    <w:unhideWhenUsed/>
    <w:qFormat/>
  </w:style>
  <w:style w:type="character" w:styleId="675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676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677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678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9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0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1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2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3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4" w:customStyle="1">
    <w:name w:val="Заголовок Знак1"/>
    <w:uiPriority w:val="10"/>
    <w:qFormat/>
    <w:rPr>
      <w:sz w:val="48"/>
      <w:szCs w:val="48"/>
    </w:rPr>
  </w:style>
  <w:style w:type="character" w:styleId="685" w:customStyle="1">
    <w:name w:val="Подзаголовок Знак"/>
    <w:uiPriority w:val="11"/>
    <w:qFormat/>
    <w:rPr>
      <w:sz w:val="24"/>
      <w:szCs w:val="24"/>
    </w:rPr>
  </w:style>
  <w:style w:type="character" w:styleId="686" w:customStyle="1">
    <w:name w:val="Цитата 2 Знак"/>
    <w:uiPriority w:val="29"/>
    <w:qFormat/>
    <w:rPr>
      <w:i/>
    </w:rPr>
  </w:style>
  <w:style w:type="character" w:styleId="687" w:customStyle="1">
    <w:name w:val="Выделенная цитата Знак"/>
    <w:uiPriority w:val="30"/>
    <w:qFormat/>
    <w:rPr>
      <w:i/>
    </w:rPr>
  </w:style>
  <w:style w:type="character" w:styleId="688" w:customStyle="1">
    <w:name w:val="Верхний колонтитул Знак1"/>
    <w:uiPriority w:val="99"/>
    <w:qFormat/>
  </w:style>
  <w:style w:type="character" w:styleId="689" w:customStyle="1">
    <w:name w:val="Footer Char"/>
    <w:uiPriority w:val="99"/>
    <w:qFormat/>
  </w:style>
  <w:style w:type="character" w:styleId="690" w:customStyle="1">
    <w:name w:val="Нижний колонтитул Знак1"/>
    <w:uiPriority w:val="99"/>
    <w:qFormat/>
  </w:style>
  <w:style w:type="character" w:styleId="691" w:customStyle="1">
    <w:name w:val="Текст сноски Знак"/>
    <w:uiPriority w:val="99"/>
    <w:qFormat/>
    <w:rPr>
      <w:sz w:val="18"/>
    </w:rPr>
  </w:style>
  <w:style w:type="character" w:styleId="692">
    <w:name w:val="Символ сноски"/>
    <w:uiPriority w:val="99"/>
    <w:unhideWhenUsed/>
    <w:qFormat/>
    <w:rPr>
      <w:vertAlign w:val="superscript"/>
    </w:rPr>
  </w:style>
  <w:style w:type="character" w:styleId="693">
    <w:name w:val="footnote reference"/>
    <w:rPr>
      <w:vertAlign w:val="superscript"/>
    </w:rPr>
  </w:style>
  <w:style w:type="character" w:styleId="694" w:customStyle="1">
    <w:name w:val="Текст концевой сноски Знак"/>
    <w:uiPriority w:val="99"/>
    <w:qFormat/>
    <w:rPr>
      <w:sz w:val="20"/>
    </w:rPr>
  </w:style>
  <w:style w:type="character" w:styleId="69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96">
    <w:name w:val="endnote reference"/>
    <w:rPr>
      <w:vertAlign w:val="superscript"/>
    </w:rPr>
  </w:style>
  <w:style w:type="character" w:styleId="697" w:customStyle="1">
    <w:name w:val="WW8Num2z0"/>
    <w:qFormat/>
    <w:rPr>
      <w:rFonts w:ascii="Symbol" w:hAnsi="Symbol" w:cs="Symbol"/>
    </w:rPr>
  </w:style>
  <w:style w:type="character" w:styleId="698" w:customStyle="1">
    <w:name w:val="WW8Num3z0"/>
    <w:qFormat/>
  </w:style>
  <w:style w:type="character" w:styleId="699" w:customStyle="1">
    <w:name w:val="WW8Num4z0"/>
    <w:qFormat/>
  </w:style>
  <w:style w:type="character" w:styleId="700" w:customStyle="1">
    <w:name w:val="WW8Num5z0"/>
    <w:qFormat/>
    <w:rPr>
      <w:sz w:val="16"/>
      <w:szCs w:val="16"/>
    </w:rPr>
  </w:style>
  <w:style w:type="character" w:styleId="701" w:customStyle="1">
    <w:name w:val="WW8Num6z0"/>
    <w:qFormat/>
  </w:style>
  <w:style w:type="character" w:styleId="702" w:customStyle="1">
    <w:name w:val="WW8Num7z0"/>
    <w:qFormat/>
  </w:style>
  <w:style w:type="character" w:styleId="703" w:customStyle="1">
    <w:name w:val="WW8Num8z0"/>
    <w:qFormat/>
  </w:style>
  <w:style w:type="character" w:styleId="704" w:customStyle="1">
    <w:name w:val="WW8Num9z0"/>
    <w:qFormat/>
  </w:style>
  <w:style w:type="character" w:styleId="705" w:customStyle="1">
    <w:name w:val="WW8Num10z0"/>
    <w:qFormat/>
  </w:style>
  <w:style w:type="character" w:styleId="706" w:customStyle="1">
    <w:name w:val="WW8Num11z0"/>
    <w:qFormat/>
  </w:style>
  <w:style w:type="character" w:styleId="707" w:customStyle="1">
    <w:name w:val="WW8Num12z0"/>
    <w:qFormat/>
  </w:style>
  <w:style w:type="character" w:styleId="708" w:customStyle="1">
    <w:name w:val="WW8Num13z0"/>
    <w:qFormat/>
  </w:style>
  <w:style w:type="character" w:styleId="709" w:customStyle="1">
    <w:name w:val="WW8Num14z0"/>
    <w:qFormat/>
  </w:style>
  <w:style w:type="character" w:styleId="710" w:customStyle="1">
    <w:name w:val="WW8Num15z0"/>
    <w:qFormat/>
  </w:style>
  <w:style w:type="character" w:styleId="711" w:customStyle="1">
    <w:name w:val="WW8Num18z0"/>
    <w:qFormat/>
  </w:style>
  <w:style w:type="character" w:styleId="712" w:customStyle="1">
    <w:name w:val="WW8Num19z0"/>
    <w:qFormat/>
  </w:style>
  <w:style w:type="character" w:styleId="713" w:customStyle="1">
    <w:name w:val="WW8Num20z0"/>
    <w:qFormat/>
  </w:style>
  <w:style w:type="character" w:styleId="714" w:customStyle="1">
    <w:name w:val="WW8Num21z0"/>
    <w:qFormat/>
  </w:style>
  <w:style w:type="character" w:styleId="715" w:customStyle="1">
    <w:name w:val="WW8Num22z0"/>
    <w:qFormat/>
  </w:style>
  <w:style w:type="character" w:styleId="716" w:customStyle="1">
    <w:name w:val="WW8Num23z0"/>
    <w:qFormat/>
  </w:style>
  <w:style w:type="character" w:styleId="717" w:customStyle="1">
    <w:name w:val="WW8Num25z0"/>
    <w:qFormat/>
  </w:style>
  <w:style w:type="character" w:styleId="718" w:customStyle="1">
    <w:name w:val="WW8Num26z0"/>
    <w:qFormat/>
  </w:style>
  <w:style w:type="character" w:styleId="719" w:customStyle="1">
    <w:name w:val="WW8Num27z0"/>
    <w:qFormat/>
  </w:style>
  <w:style w:type="character" w:styleId="720" w:customStyle="1">
    <w:name w:val="WW8Num29z0"/>
    <w:qFormat/>
    <w:rPr>
      <w:rFonts w:ascii="Symbol" w:hAnsi="Symbol" w:cs="Symbol"/>
    </w:rPr>
  </w:style>
  <w:style w:type="character" w:styleId="721" w:customStyle="1">
    <w:name w:val="WW8Num30z0"/>
    <w:qFormat/>
  </w:style>
  <w:style w:type="character" w:styleId="722" w:customStyle="1">
    <w:name w:val="WW8Num31z0"/>
    <w:qFormat/>
  </w:style>
  <w:style w:type="character" w:styleId="723" w:customStyle="1">
    <w:name w:val="WW8Num32z0"/>
    <w:qFormat/>
  </w:style>
  <w:style w:type="character" w:styleId="724" w:customStyle="1">
    <w:name w:val="WW8Num33z0"/>
    <w:qFormat/>
  </w:style>
  <w:style w:type="character" w:styleId="725" w:customStyle="1">
    <w:name w:val="WW8Num34z0"/>
    <w:qFormat/>
  </w:style>
  <w:style w:type="character" w:styleId="726">
    <w:name w:val="page number"/>
    <w:basedOn w:val="674"/>
    <w:qFormat/>
  </w:style>
  <w:style w:type="character" w:styleId="727" w:customStyle="1">
    <w:name w:val="Текст Знак"/>
    <w:qFormat/>
    <w:rPr>
      <w:rFonts w:ascii="Courier New" w:hAnsi="Courier New" w:cs="Courier New"/>
    </w:rPr>
  </w:style>
  <w:style w:type="character" w:styleId="728" w:customStyle="1">
    <w:name w:val="Верхний колонтитул Знак"/>
    <w:qFormat/>
    <w:rPr>
      <w:sz w:val="16"/>
      <w:lang w:val="ru-RU" w:bidi="ar-SA"/>
    </w:rPr>
  </w:style>
  <w:style w:type="character" w:styleId="729" w:customStyle="1">
    <w:name w:val="Основной текст с отступом 3 Знак"/>
    <w:qFormat/>
    <w:rPr>
      <w:sz w:val="16"/>
      <w:szCs w:val="16"/>
    </w:rPr>
  </w:style>
  <w:style w:type="character" w:styleId="730">
    <w:name w:val="Hyperlink"/>
    <w:rPr>
      <w:color w:val="0563c1"/>
      <w:u w:val="single"/>
    </w:rPr>
  </w:style>
  <w:style w:type="character" w:styleId="731" w:customStyle="1">
    <w:name w:val="Абзац списка Знак"/>
    <w:qFormat/>
    <w:rPr>
      <w:sz w:val="24"/>
      <w:szCs w:val="24"/>
    </w:rPr>
  </w:style>
  <w:style w:type="character" w:styleId="732" w:customStyle="1">
    <w:name w:val="Заголовок 6 Знак"/>
    <w:qFormat/>
    <w:rPr>
      <w:b/>
      <w:bCs/>
      <w:sz w:val="22"/>
      <w:szCs w:val="22"/>
    </w:rPr>
  </w:style>
  <w:style w:type="character" w:styleId="733" w:customStyle="1">
    <w:name w:val="Название Знак"/>
    <w:qFormat/>
    <w:rPr>
      <w:sz w:val="28"/>
      <w:lang w:val="ru-RU" w:bidi="ar-SA"/>
    </w:rPr>
  </w:style>
  <w:style w:type="character" w:styleId="734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735" w:customStyle="1">
    <w:name w:val="Нижний колонтитул Знак"/>
    <w:qFormat/>
  </w:style>
  <w:style w:type="character" w:styleId="736">
    <w:name w:val="FollowedHyperlink"/>
    <w:rPr>
      <w:color w:val="954f72"/>
      <w:u w:val="single"/>
    </w:rPr>
  </w:style>
  <w:style w:type="character" w:styleId="737" w:customStyle="1">
    <w:name w:val="Гиперссылка"/>
    <w:qFormat/>
    <w:rPr>
      <w:color w:val="0000ff"/>
      <w:u w:val="single"/>
    </w:rPr>
  </w:style>
  <w:style w:type="character" w:styleId="738">
    <w:name w:val="Символ нумерации"/>
    <w:qFormat/>
  </w:style>
  <w:style w:type="paragraph" w:styleId="739">
    <w:name w:val="Заголовок"/>
    <w:basedOn w:val="647"/>
    <w:next w:val="740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740">
    <w:name w:val="Body Text"/>
    <w:basedOn w:val="647"/>
    <w:pPr>
      <w:jc w:val="right"/>
    </w:pPr>
    <w:rPr>
      <w:sz w:val="28"/>
    </w:rPr>
  </w:style>
  <w:style w:type="paragraph" w:styleId="741">
    <w:name w:val="List"/>
    <w:basedOn w:val="740"/>
    <w:rPr>
      <w:rFonts w:cs="Lohit Devanagari"/>
    </w:rPr>
  </w:style>
  <w:style w:type="paragraph" w:styleId="742">
    <w:name w:val="Caption"/>
    <w:basedOn w:val="647"/>
    <w:link w:val="671"/>
    <w:qFormat/>
    <w:pPr>
      <w:spacing w:before="120" w:after="120"/>
      <w:suppressLineNumbers/>
    </w:pPr>
    <w:rPr>
      <w:rFonts w:cs="Lohit Devanagari"/>
      <w:i/>
      <w:iCs/>
    </w:rPr>
  </w:style>
  <w:style w:type="paragraph" w:styleId="743">
    <w:name w:val="Указатель"/>
    <w:basedOn w:val="647"/>
    <w:qFormat/>
    <w:pPr>
      <w:suppressLineNumbers/>
    </w:pPr>
    <w:rPr>
      <w:rFonts w:cs="Lohit Devanagari"/>
    </w:rPr>
  </w:style>
  <w:style w:type="paragraph" w:styleId="744">
    <w:name w:val="List Paragraph"/>
    <w:basedOn w:val="647"/>
    <w:qFormat/>
    <w:pPr>
      <w:ind w:left="708"/>
    </w:pPr>
  </w:style>
  <w:style w:type="paragraph" w:styleId="745">
    <w:name w:val="No Spacing"/>
    <w:uiPriority w:val="1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746">
    <w:name w:val="Title"/>
    <w:basedOn w:val="647"/>
    <w:qFormat/>
    <w:pPr>
      <w:jc w:val="center"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747">
    <w:name w:val="Subtitle"/>
    <w:basedOn w:val="647"/>
    <w:uiPriority w:val="11"/>
    <w:qFormat/>
    <w:pPr>
      <w:spacing w:before="200" w:after="200"/>
    </w:pPr>
  </w:style>
  <w:style w:type="paragraph" w:styleId="748">
    <w:name w:val="Quote"/>
    <w:basedOn w:val="647"/>
    <w:uiPriority w:val="29"/>
    <w:qFormat/>
    <w:pPr>
      <w:ind w:left="720" w:right="720"/>
    </w:pPr>
    <w:rPr>
      <w:i/>
    </w:rPr>
  </w:style>
  <w:style w:type="paragraph" w:styleId="749">
    <w:name w:val="Intense Quote"/>
    <w:basedOn w:val="64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0">
    <w:name w:val="footnote text"/>
    <w:basedOn w:val="647"/>
    <w:uiPriority w:val="99"/>
    <w:semiHidden/>
    <w:unhideWhenUsed/>
    <w:pPr>
      <w:spacing w:before="0" w:after="40"/>
    </w:pPr>
    <w:rPr>
      <w:sz w:val="18"/>
    </w:rPr>
  </w:style>
  <w:style w:type="paragraph" w:styleId="751">
    <w:name w:val="endnote text"/>
    <w:basedOn w:val="647"/>
    <w:uiPriority w:val="99"/>
    <w:semiHidden/>
    <w:unhideWhenUsed/>
    <w:rPr>
      <w:sz w:val="20"/>
    </w:rPr>
  </w:style>
  <w:style w:type="paragraph" w:styleId="752">
    <w:name w:val="toc 1"/>
    <w:basedOn w:val="647"/>
    <w:uiPriority w:val="39"/>
    <w:unhideWhenUsed/>
    <w:pPr>
      <w:spacing w:before="0" w:after="57"/>
    </w:pPr>
  </w:style>
  <w:style w:type="paragraph" w:styleId="753">
    <w:name w:val="toc 2"/>
    <w:basedOn w:val="647"/>
    <w:uiPriority w:val="39"/>
    <w:unhideWhenUsed/>
    <w:pPr>
      <w:ind w:left="283"/>
      <w:spacing w:before="0" w:after="57"/>
    </w:pPr>
  </w:style>
  <w:style w:type="paragraph" w:styleId="754">
    <w:name w:val="toc 3"/>
    <w:basedOn w:val="647"/>
    <w:uiPriority w:val="39"/>
    <w:unhideWhenUsed/>
    <w:pPr>
      <w:ind w:left="567"/>
      <w:spacing w:before="0" w:after="57"/>
    </w:pPr>
  </w:style>
  <w:style w:type="paragraph" w:styleId="755">
    <w:name w:val="toc 4"/>
    <w:basedOn w:val="647"/>
    <w:uiPriority w:val="39"/>
    <w:unhideWhenUsed/>
    <w:pPr>
      <w:ind w:left="850"/>
      <w:spacing w:before="0" w:after="57"/>
    </w:pPr>
  </w:style>
  <w:style w:type="paragraph" w:styleId="756">
    <w:name w:val="toc 5"/>
    <w:basedOn w:val="647"/>
    <w:uiPriority w:val="39"/>
    <w:unhideWhenUsed/>
    <w:pPr>
      <w:ind w:left="1134"/>
      <w:spacing w:before="0" w:after="57"/>
    </w:pPr>
  </w:style>
  <w:style w:type="paragraph" w:styleId="757">
    <w:name w:val="toc 6"/>
    <w:basedOn w:val="647"/>
    <w:uiPriority w:val="39"/>
    <w:unhideWhenUsed/>
    <w:pPr>
      <w:ind w:left="1417"/>
      <w:spacing w:before="0" w:after="57"/>
    </w:pPr>
  </w:style>
  <w:style w:type="paragraph" w:styleId="758">
    <w:name w:val="toc 7"/>
    <w:basedOn w:val="647"/>
    <w:uiPriority w:val="39"/>
    <w:unhideWhenUsed/>
    <w:pPr>
      <w:ind w:left="1701"/>
      <w:spacing w:before="0" w:after="57"/>
    </w:pPr>
  </w:style>
  <w:style w:type="paragraph" w:styleId="759">
    <w:name w:val="toc 8"/>
    <w:basedOn w:val="647"/>
    <w:uiPriority w:val="39"/>
    <w:unhideWhenUsed/>
    <w:pPr>
      <w:ind w:left="1984"/>
      <w:spacing w:before="0" w:after="57"/>
    </w:pPr>
  </w:style>
  <w:style w:type="paragraph" w:styleId="760">
    <w:name w:val="toc 9"/>
    <w:basedOn w:val="647"/>
    <w:uiPriority w:val="39"/>
    <w:unhideWhenUsed/>
    <w:pPr>
      <w:ind w:left="2268"/>
      <w:spacing w:before="0" w:after="57"/>
    </w:pPr>
  </w:style>
  <w:style w:type="paragraph" w:styleId="761">
    <w:name w:val="Index Heading"/>
    <w:basedOn w:val="739"/>
  </w:style>
  <w:style w:type="paragraph" w:styleId="762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763">
    <w:name w:val="table of figures"/>
    <w:basedOn w:val="647"/>
    <w:uiPriority w:val="99"/>
    <w:unhideWhenUsed/>
  </w:style>
  <w:style w:type="paragraph" w:styleId="764">
    <w:name w:val="index heading1"/>
    <w:basedOn w:val="647"/>
    <w:qFormat/>
    <w:pPr>
      <w:suppressLineNumbers/>
    </w:pPr>
    <w:rPr>
      <w:rFonts w:cs="Lohit Devanagari"/>
    </w:rPr>
  </w:style>
  <w:style w:type="paragraph" w:styleId="765" w:customStyle="1">
    <w:name w:val="Caption1"/>
    <w:basedOn w:val="647"/>
    <w:qFormat/>
    <w:pPr>
      <w:spacing w:before="120" w:after="120"/>
      <w:suppressLineNumbers/>
    </w:pPr>
    <w:rPr>
      <w:rFonts w:cs="Lohit Devanagari"/>
      <w:i/>
      <w:iCs/>
    </w:rPr>
  </w:style>
  <w:style w:type="paragraph" w:styleId="766">
    <w:name w:val="Plain Text"/>
    <w:basedOn w:val="647"/>
    <w:qFormat/>
    <w:rPr>
      <w:rFonts w:ascii="Courier New" w:hAnsi="Courier New" w:cs="Courier New"/>
      <w:sz w:val="20"/>
      <w:szCs w:val="20"/>
      <w:lang w:val="en-US"/>
    </w:rPr>
  </w:style>
  <w:style w:type="paragraph" w:styleId="767" w:customStyle="1">
    <w:name w:val="ConsNormal"/>
    <w:qFormat/>
    <w:pPr>
      <w:ind w:firstLine="720"/>
      <w:jc w:val="left"/>
      <w:spacing w:before="0" w:after="0"/>
      <w:widowControl/>
    </w:pPr>
    <w:rPr>
      <w:rFonts w:ascii="Consultant" w:hAnsi="Consultant" w:eastAsia="Droid Sans Fallback" w:cs="Consultant"/>
      <w:color w:val="auto"/>
      <w:sz w:val="20"/>
      <w:szCs w:val="20"/>
      <w:lang w:val="ru-RU" w:eastAsia="zh-CN" w:bidi="ar-SA"/>
    </w:rPr>
  </w:style>
  <w:style w:type="paragraph" w:styleId="768">
    <w:name w:val="Body Text 2"/>
    <w:basedOn w:val="647"/>
    <w:qFormat/>
    <w:pPr>
      <w:spacing w:before="0" w:after="120" w:line="480" w:lineRule="auto"/>
    </w:pPr>
  </w:style>
  <w:style w:type="paragraph" w:styleId="769">
    <w:name w:val="Body Text 3"/>
    <w:basedOn w:val="647"/>
    <w:qFormat/>
    <w:pPr>
      <w:spacing w:before="0" w:after="120"/>
    </w:pPr>
    <w:rPr>
      <w:sz w:val="16"/>
      <w:szCs w:val="16"/>
    </w:rPr>
  </w:style>
  <w:style w:type="paragraph" w:styleId="770" w:customStyle="1">
    <w:name w:val="Колонтитул"/>
    <w:basedOn w:val="647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71">
    <w:name w:val="Footer"/>
    <w:basedOn w:val="647"/>
    <w:pPr>
      <w:tabs>
        <w:tab w:val="clear" w:pos="708" w:leader="none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772">
    <w:name w:val="Balloon Text"/>
    <w:basedOn w:val="647"/>
    <w:qFormat/>
    <w:rPr>
      <w:rFonts w:ascii="Tahoma" w:hAnsi="Tahoma" w:cs="Tahoma"/>
      <w:sz w:val="16"/>
      <w:szCs w:val="16"/>
    </w:rPr>
  </w:style>
  <w:style w:type="paragraph" w:styleId="773" w:customStyle="1">
    <w:name w:val="Знак Знак Знак Знак Знак Знак Знак Знак Знак Знак Знак Знак"/>
    <w:basedOn w:val="647"/>
    <w:qFormat/>
    <w:rPr>
      <w:rFonts w:ascii="Verdana" w:hAnsi="Verdana" w:cs="Verdana"/>
      <w:sz w:val="20"/>
      <w:szCs w:val="20"/>
      <w:lang w:val="en-US"/>
    </w:rPr>
  </w:style>
  <w:style w:type="paragraph" w:styleId="774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Calibri" w:cs="Lohit Devanagari"/>
      <w:color w:val="auto"/>
      <w:sz w:val="20"/>
      <w:szCs w:val="20"/>
      <w:lang w:val="ru-RU" w:eastAsia="zh-CN" w:bidi="ar-SA"/>
    </w:rPr>
  </w:style>
  <w:style w:type="paragraph" w:styleId="775">
    <w:name w:val="Header"/>
    <w:pPr>
      <w:jc w:val="center"/>
      <w:spacing w:before="0" w:after="0"/>
      <w:widowControl/>
      <w:tabs>
        <w:tab w:val="clear" w:pos="708" w:leader="none"/>
        <w:tab w:val="center" w:pos="4153" w:leader="none"/>
        <w:tab w:val="right" w:pos="8306" w:leader="none"/>
      </w:tabs>
    </w:pPr>
    <w:rPr>
      <w:rFonts w:ascii="Times New Roman" w:hAnsi="Times New Roman" w:eastAsia="Droid Sans Fallback" w:cs="Lohit Devanagari"/>
      <w:color w:val="auto"/>
      <w:sz w:val="16"/>
      <w:szCs w:val="20"/>
      <w:lang w:val="ru-RU" w:eastAsia="zh-CN" w:bidi="ar-SA"/>
    </w:rPr>
  </w:style>
  <w:style w:type="paragraph" w:styleId="776">
    <w:name w:val="Body Text Indent 3"/>
    <w:basedOn w:val="647"/>
    <w:qFormat/>
    <w:pPr>
      <w:ind w:left="283"/>
      <w:spacing w:before="0" w:after="120"/>
    </w:pPr>
    <w:rPr>
      <w:sz w:val="16"/>
      <w:szCs w:val="16"/>
      <w:lang w:val="en-US"/>
    </w:rPr>
  </w:style>
  <w:style w:type="paragraph" w:styleId="777">
    <w:name w:val="Normal (Web)"/>
    <w:basedOn w:val="647"/>
    <w:qFormat/>
    <w:pPr>
      <w:spacing w:before="280" w:after="280"/>
    </w:pPr>
  </w:style>
  <w:style w:type="paragraph" w:styleId="778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000000"/>
      <w:sz w:val="24"/>
      <w:szCs w:val="24"/>
      <w:lang w:val="ru-RU" w:eastAsia="zh-CN" w:bidi="ar-SA"/>
    </w:rPr>
  </w:style>
  <w:style w:type="paragraph" w:styleId="779" w:customStyle="1">
    <w:name w:val="Содержимое таблицы"/>
    <w:basedOn w:val="647"/>
    <w:qFormat/>
    <w:pPr>
      <w:widowControl w:val="off"/>
      <w:suppressLineNumbers/>
    </w:pPr>
  </w:style>
  <w:style w:type="paragraph" w:styleId="780" w:customStyle="1">
    <w:name w:val="Заголовок таблицы"/>
    <w:basedOn w:val="779"/>
    <w:qFormat/>
    <w:pPr>
      <w:jc w:val="center"/>
    </w:pPr>
    <w:rPr>
      <w:b/>
      <w:bCs/>
    </w:rPr>
  </w:style>
  <w:style w:type="paragraph" w:styleId="781">
    <w:name w:val="Основной текст1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8"/>
      <w:szCs w:val="28"/>
      <w:lang w:val="ru-RU" w:eastAsia="ru-RU" w:bidi="ar-SA"/>
    </w:rPr>
  </w:style>
  <w:style w:type="paragraph" w:styleId="782">
    <w:name w:val="Table Paragraph"/>
    <w:qFormat/>
    <w:pPr>
      <w:ind w:left="107" w:right="0" w:firstLine="0"/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2"/>
      <w:szCs w:val="22"/>
      <w:lang w:val="ru-RU" w:eastAsia="ru-RU" w:bidi="ar-SA"/>
    </w:rPr>
  </w:style>
  <w:style w:type="paragraph" w:styleId="783">
    <w:name w:val="Times New Roman"/>
    <w:qFormat/>
    <w:pPr>
      <w:ind w:left="0" w:right="0" w:firstLine="311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784" w:default="1">
    <w:name w:val="No List"/>
    <w:uiPriority w:val="99"/>
    <w:semiHidden/>
    <w:unhideWhenUsed/>
    <w:qFormat/>
  </w:style>
  <w:style w:type="table" w:styleId="785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8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9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90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91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9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16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17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18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7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2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2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3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3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3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3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34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9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50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51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52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53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54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55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6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8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8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8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83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8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8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90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91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92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893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894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95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6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7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98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99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00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01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02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03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04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05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6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7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8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9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10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1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://www.torgi.gov.ru/" TargetMode="External"/><Relationship Id="rId12" Type="http://schemas.openxmlformats.org/officeDocument/2006/relationships/hyperlink" Target="http://www.gorodperm.ru/" TargetMode="External"/><Relationship Id="rId13" Type="http://schemas.openxmlformats.org/officeDocument/2006/relationships/hyperlink" Target="http://utp.sberbank-ast.ru/" TargetMode="External"/><Relationship Id="rId14" Type="http://schemas.openxmlformats.org/officeDocument/2006/relationships/hyperlink" Target="http://utp.sberbank-ast.ru/" TargetMode="External"/><Relationship Id="rId15" Type="http://schemas.openxmlformats.org/officeDocument/2006/relationships/hyperlink" Target="https://utp.sberbank-ast.ru/Main/Notice/988/Reglament" TargetMode="External"/><Relationship Id="rId16" Type="http://schemas.openxmlformats.org/officeDocument/2006/relationships/hyperlink" Target="https://utp.sberbank-ast.ru/AP/Notice/1027/Instructions" TargetMode="External"/><Relationship Id="rId17" Type="http://schemas.openxmlformats.org/officeDocument/2006/relationships/hyperlink" Target="https://utp.sberbank-ast.ru/AP/Notice/652/Instructions" TargetMode="External"/><Relationship Id="rId18" Type="http://schemas.openxmlformats.org/officeDocument/2006/relationships/hyperlink" Target="http://www.gorodperm.ru/" TargetMode="External"/><Relationship Id="rId19" Type="http://schemas.openxmlformats.org/officeDocument/2006/relationships/hyperlink" Target="http://www.gorodperm.ru/" TargetMode="External"/><Relationship Id="rId20" Type="http://schemas.openxmlformats.org/officeDocument/2006/relationships/hyperlink" Target="https://" TargetMode="External"/><Relationship Id="rId21" Type="http://schemas.openxmlformats.org/officeDocument/2006/relationships/hyperlink" Target="http://utp.sberbank-ast.ru/AP/Notice/653/Requisite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 администрации города Перми</dc:title>
  <dc:subject/>
  <dc:creator>Tatyannikova</dc:creator>
  <dc:description/>
  <dc:language>ru-RU</dc:language>
  <cp:revision>409</cp:revision>
  <dcterms:created xsi:type="dcterms:W3CDTF">2023-10-30T09:15:00Z</dcterms:created>
  <dcterms:modified xsi:type="dcterms:W3CDTF">2026-10-09T11:49:30Z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