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59:01:3610013:147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Российская Федерация, Пермский край, </w:t>
              <w:br/>
              <w:t xml:space="preserve">городской округ Пермский, город 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25.</w:t>
      </w:r>
      <w:r>
        <w:t xml:space="preserve">12.202</w:t>
      </w:r>
      <w:r>
        <w:t xml:space="preserve">5</w:t>
      </w:r>
      <w:r>
        <w:t xml:space="preserve"> по </w:t>
      </w:r>
      <w:r>
        <w:t xml:space="preserve">23.</w:t>
      </w:r>
      <w:r>
        <w:t xml:space="preserve">01.202</w:t>
      </w:r>
      <w:r>
        <w:t xml:space="preserve">6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связи: </w:t>
      </w:r>
      <w:r>
        <w:t xml:space="preserve">г. Пермь, ул. Сибирская, 15;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left="720" w:right="-1" w:firstLine="0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8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193</cp:revision>
  <dcterms:created xsi:type="dcterms:W3CDTF">2016-03-24T03:44:00Z</dcterms:created>
  <dcterms:modified xsi:type="dcterms:W3CDTF">2025-12-24T06:36:24Z</dcterms:modified>
</cp:coreProperties>
</file>