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59:01:3610007:213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городской округ Пермский, </w:t>
              <w:br/>
              <w:t xml:space="preserve">город Пермь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</w:t>
      </w:r>
      <w:r>
        <w:rPr>
          <w:rFonts w:eastAsia="Calibri"/>
          <w:b/>
          <w:sz w:val="28"/>
          <w:szCs w:val="28"/>
          <w:lang w:eastAsia="en-US"/>
        </w:rPr>
        <w:t xml:space="preserve">аренды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23.</w:t>
      </w:r>
      <w:r>
        <w:t xml:space="preserve">01.202</w:t>
      </w:r>
      <w:r>
        <w:t xml:space="preserve">6 по </w:t>
      </w:r>
      <w:r>
        <w:t xml:space="preserve">21.02.202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83</cp:revision>
  <dcterms:created xsi:type="dcterms:W3CDTF">2019-10-23T12:14:00Z</dcterms:created>
  <dcterms:modified xsi:type="dcterms:W3CDTF">2026-01-20T06:43:08Z</dcterms:modified>
  <cp:version>917504</cp:version>
</cp:coreProperties>
</file>