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header3.xml" ContentType="application/vnd.openxmlformats-officedocument.wordprocessingml.header+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bCs/>
        </w:rPr>
      </w:pP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0609663" behindDoc="1" locked="0" layoutInCell="1" allowOverlap="1">
                <wp:simplePos x="0" y="0"/>
                <wp:positionH relativeFrom="column">
                  <wp:posOffset>-614044</wp:posOffset>
                </wp:positionH>
                <wp:positionV relativeFrom="paragraph">
                  <wp:posOffset>-121919</wp:posOffset>
                </wp:positionV>
                <wp:extent cx="6858000" cy="9372600"/>
                <wp:effectExtent l="0" t="0" r="0" b="0"/>
                <wp:wrapNone/>
                <wp:docPr id="1" name="_x0000_s2366"/>
                <wp:cNvGraphicFramePr/>
                <a:graphic xmlns:a="http://schemas.openxmlformats.org/drawingml/2006/main">
                  <a:graphicData uri="http://schemas.microsoft.com/office/word/2010/wordprocessingShape">
                    <wps:wsp>
                      <wps:cNvPr id="0" name=""/>
                      <wps:cNvSpPr/>
                      <wps:spPr>
                        <a:xfrm>
                          <a:off x="0" y="0"/>
                          <a:ext cx="6858000" cy="9372600"/>
                        </a:xfrm>
                        <a:prstGeom prst="rect">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1" type="#_x0000_t1" style="position:absolute;z-index:-250609663;o:allowoverlap:true;o:allowincell:true;mso-position-horizontal-relative:text;margin-left:-48.35pt;mso-position-horizontal:absolute;mso-position-vertical-relative:text;margin-top:-9.60pt;mso-position-vertical:absolute;width:540.00pt;height:738.00pt;mso-wrap-distance-left:9.00pt;mso-wrap-distance-top:0.00pt;mso-wrap-distance-right:9.00pt;mso-wrap-distance-bottom:0.00pt;visibility:visible;" fillcolor="#FFFFFF" strokecolor="#000000"/>
            </w:pict>
          </mc:Fallback>
        </mc:AlternateContent>
      </w:r>
      <w:r>
        <w:rPr>
          <w:sz w:val="20"/>
        </w:rPr>
        <mc:AlternateContent>
          <mc:Choice Requires="wpg">
            <w:drawing>
              <wp:anchor xmlns:wp="http://schemas.openxmlformats.org/drawingml/2006/wordprocessingDrawing" xmlns:wp14="http://schemas.microsoft.com/office/word/2010/wordprocessingDrawing" distT="0" distB="0" distL="114300" distR="114300" simplePos="0" relativeHeight="251658249" behindDoc="0" locked="0" layoutInCell="1" allowOverlap="1">
                <wp:simplePos x="0" y="0"/>
                <wp:positionH relativeFrom="column">
                  <wp:posOffset>2935605</wp:posOffset>
                </wp:positionH>
                <wp:positionV relativeFrom="paragraph">
                  <wp:posOffset>1076325</wp:posOffset>
                </wp:positionV>
                <wp:extent cx="84455" cy="175260"/>
                <wp:effectExtent l="0" t="0" r="0" b="0"/>
                <wp:wrapNone/>
                <wp:docPr id="2" name="_x0000_s1349"/>
                <wp:cNvGraphicFramePr/>
                <a:graphic xmlns:a="http://schemas.openxmlformats.org/drawingml/2006/main">
                  <a:graphicData uri="http://schemas.microsoft.com/office/word/2010/wordprocessingShape">
                    <wps:wsp>
                      <wps:cNvPr id="0" name=""/>
                      <wps:cNvSpPr/>
                      <wps:spPr>
                        <a:xfrm>
                          <a:off x="0" y="0"/>
                          <a:ext cx="84455" cy="175260"/>
                        </a:xfrm>
                        <a:prstGeom prst="rect">
                          <a:avLst/>
                        </a:prstGeom>
                        <a:noFill/>
                        <a:ln>
                          <a:noFill/>
                        </a:ln>
                      </wps:spPr>
                      <wps:txbx>
                        <w:txbxContent>
                          <w:p>
                            <w:pPr>
                              <w:pStyle w:val="Normal"/>
                            </w:pPr>
                            <w:r>
                              <w:rPr>
                                <w:color w:val="000000"/>
                                <w:lang w:val="en-US"/>
                              </w:rPr>
                              <w:t xml:space="preserve"> </w:t>
                            </w:r>
                          </w:p>
                          <w:p>
                            <w:pPr>
                              <w:pStyle w:val="Normal"/>
                            </w:pPr>
                          </w:p>
                        </w:txbxContent>
                      </wps:txbx>
                      <wps:bodyPr wrap="square" lIns="0" tIns="0" rIns="0" bIns="0" upright="1"/>
                    </wps:wsp>
                  </a:graphicData>
                </a:graphic>
              </wp:anchor>
            </w:drawing>
          </mc:Choice>
          <mc:Fallback>
            <w:pict>
              <v:shape id="shape 1" o:spid="_x0000_s1" o:spt="1" type="#_x0000_t1" style="position:absolute;z-index:251658249;o:allowoverlap:true;o:allowincell:true;mso-position-horizontal-relative:text;margin-left:231.15pt;mso-position-horizontal:absolute;mso-position-vertical-relative:text;margin-top:84.75pt;mso-position-vertical:absolute;width:6.65pt;height:13.80pt;mso-wrap-distance-left:9.00pt;mso-wrap-distance-top:0.00pt;mso-wrap-distance-right:9.00pt;mso-wrap-distance-bottom:0.00pt;visibility:visible;" filled="f" stroked="f">
                <v:textbox inset="0,0,0,0">
                  <w:txbxContent>
                    <w:p>
                      <w:pPr>
                        <w:pStyle w:val="Normal"/>
                      </w:pPr>
                      <w:r>
                        <w:rPr>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8" behindDoc="0" locked="0" layoutInCell="1" allowOverlap="1">
                <wp:simplePos x="0" y="0"/>
                <wp:positionH relativeFrom="column">
                  <wp:posOffset>2935605</wp:posOffset>
                </wp:positionH>
                <wp:positionV relativeFrom="paragraph">
                  <wp:posOffset>936625</wp:posOffset>
                </wp:positionV>
                <wp:extent cx="87630" cy="175260"/>
                <wp:effectExtent l="0" t="0" r="0" b="0"/>
                <wp:wrapNone/>
                <wp:docPr id="3" name="_x0000_s1348"/>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2" o:spid="_x0000_s2" o:spt="1" type="#_x0000_t1" style="position:absolute;z-index:251658248;o:allowoverlap:true;o:allowincell:true;mso-position-horizontal-relative:text;margin-left:231.15pt;mso-position-horizontal:absolute;mso-position-vertical-relative:text;margin-top:73.7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7" behindDoc="0" locked="0" layoutInCell="1" allowOverlap="1">
                <wp:simplePos x="0" y="0"/>
                <wp:positionH relativeFrom="column">
                  <wp:posOffset>4866640</wp:posOffset>
                </wp:positionH>
                <wp:positionV relativeFrom="paragraph">
                  <wp:posOffset>798195</wp:posOffset>
                </wp:positionV>
                <wp:extent cx="87630" cy="175260"/>
                <wp:effectExtent l="0" t="0" r="0" b="0"/>
                <wp:wrapNone/>
                <wp:docPr id="4" name="_x0000_s1347"/>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3" o:spid="_x0000_s3" o:spt="1" type="#_x0000_t1" style="position:absolute;z-index:251658247;o:allowoverlap:true;o:allowincell:true;mso-position-horizontal-relative:text;margin-left:383.20pt;mso-position-horizontal:absolute;mso-position-vertical-relative:text;margin-top:62.8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6" behindDoc="0" locked="0" layoutInCell="1" allowOverlap="1">
                <wp:simplePos x="0" y="0"/>
                <wp:positionH relativeFrom="column">
                  <wp:posOffset>3519805</wp:posOffset>
                </wp:positionH>
                <wp:positionV relativeFrom="paragraph">
                  <wp:posOffset>659765</wp:posOffset>
                </wp:positionV>
                <wp:extent cx="87630" cy="175260"/>
                <wp:effectExtent l="0" t="0" r="0" b="0"/>
                <wp:wrapNone/>
                <wp:docPr id="5" name="_x0000_s1343"/>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4" o:spid="_x0000_s4" o:spt="1" type="#_x0000_t1" style="position:absolute;z-index:251658246;o:allowoverlap:true;o:allowincell:true;mso-position-horizontal-relative:text;margin-left:277.15pt;mso-position-horizontal:absolute;mso-position-vertical-relative:text;margin-top:51.9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5" behindDoc="0" locked="0" layoutInCell="1" allowOverlap="1">
                <wp:simplePos x="0" y="0"/>
                <wp:positionH relativeFrom="column">
                  <wp:posOffset>4957445</wp:posOffset>
                </wp:positionH>
                <wp:positionV relativeFrom="paragraph">
                  <wp:posOffset>521335</wp:posOffset>
                </wp:positionV>
                <wp:extent cx="87630" cy="175260"/>
                <wp:effectExtent l="0" t="0" r="0" b="0"/>
                <wp:wrapNone/>
                <wp:docPr id="6" name="_x0000_s1341"/>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Normal"/>
                            </w:pPr>
                          </w:p>
                        </w:txbxContent>
                      </wps:txbx>
                      <wps:bodyPr wrap="square" lIns="0" tIns="0" rIns="0" bIns="0" upright="1"/>
                    </wps:wsp>
                  </a:graphicData>
                </a:graphic>
              </wp:anchor>
            </w:drawing>
          </mc:Choice>
          <mc:Fallback>
            <w:pict>
              <v:shape id="shape 5" o:spid="_x0000_s5" o:spt="1" type="#_x0000_t1" style="position:absolute;z-index:251658245;o:allowoverlap:true;o:allowincell:true;mso-position-horizontal-relative:text;margin-left:390.35pt;mso-position-horizontal:absolute;mso-position-vertical-relative:text;margin-top:41.0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Normal"/>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4" behindDoc="0" locked="0" layoutInCell="1" allowOverlap="1">
                <wp:simplePos x="0" y="0"/>
                <wp:positionH relativeFrom="column">
                  <wp:posOffset>2935605</wp:posOffset>
                </wp:positionH>
                <wp:positionV relativeFrom="paragraph">
                  <wp:posOffset>381635</wp:posOffset>
                </wp:positionV>
                <wp:extent cx="87630" cy="175260"/>
                <wp:effectExtent l="0" t="0" r="0" b="0"/>
                <wp:wrapNone/>
                <wp:docPr id="7" name="_x0000_s1337"/>
                <wp:cNvGraphicFramePr/>
                <a:graphic xmlns:a="http://schemas.openxmlformats.org/drawingml/2006/main">
                  <a:graphicData uri="http://schemas.microsoft.com/office/word/2010/wordprocessingShape">
                    <wps:wsp>
                      <wps:cNvPr id="0" name=""/>
                      <wps:cNvSpPr/>
                      <wps:spPr>
                        <a:xfrm>
                          <a:off x="0" y="0"/>
                          <a:ext cx="87630" cy="175260"/>
                        </a:xfrm>
                        <a:prstGeom prst="rect">
                          <a:avLst/>
                        </a:prstGeom>
                        <a:noFill/>
                        <a:ln>
                          <a:noFill/>
                        </a:ln>
                      </wps:spPr>
                      <wps:txbx>
                        <w:txbxContent>
                          <w:p>
                            <w:pPr>
                              <w:pStyle w:val="Normal"/>
                            </w:pPr>
                            <w:r>
                              <w:rPr>
                                <w:b/>
                                <w:bCs/>
                                <w:color w:val="000000"/>
                                <w:lang w:val="en-US"/>
                              </w:rPr>
                              <w:t xml:space="preserve"> </w:t>
                            </w:r>
                          </w:p>
                          <w:p>
                            <w:pPr>
                              <w:pStyle w:val="BodyTextIndent"/>
                            </w:pPr>
                          </w:p>
                        </w:txbxContent>
                      </wps:txbx>
                      <wps:bodyPr wrap="square" lIns="0" tIns="0" rIns="0" bIns="0" upright="1"/>
                    </wps:wsp>
                  </a:graphicData>
                </a:graphic>
              </wp:anchor>
            </w:drawing>
          </mc:Choice>
          <mc:Fallback>
            <w:pict>
              <v:shape id="shape 6" o:spid="_x0000_s6" o:spt="1" type="#_x0000_t1" style="position:absolute;z-index:251658244;o:allowoverlap:true;o:allowincell:true;mso-position-horizontal-relative:text;margin-left:231.15pt;mso-position-horizontal:absolute;mso-position-vertical-relative:text;margin-top:30.05pt;mso-position-vertical:absolute;width:6.90pt;height:13.80pt;mso-wrap-distance-left:9.00pt;mso-wrap-distance-top:0.00pt;mso-wrap-distance-right:9.00pt;mso-wrap-distance-bottom:0.00pt;visibility:visible;" filled="f" stroked="f">
                <v:textbox inset="0,0,0,0">
                  <w:txbxContent>
                    <w:p>
                      <w:pPr>
                        <w:pStyle w:val="Normal"/>
                      </w:pPr>
                      <w:r>
                        <w:rPr>
                          <w:b/>
                          <w:bCs/>
                          <w:color w:val="000000"/>
                          <w:lang w:val="en-US"/>
                        </w:rPr>
                        <w:t xml:space="preserve"> </w:t>
                      </w:r>
                    </w:p>
                    <w:p>
                      <w:pPr>
                        <w:pStyle w:val="BodyTextIndent"/>
                      </w:pPr>
                    </w:p>
                  </w:txbxContent>
                </v:textbox>
              </v:shape>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3" behindDoc="0" locked="0" layoutInCell="1" allowOverlap="1">
                <wp:simplePos x="0" y="0"/>
                <wp:positionH relativeFrom="column">
                  <wp:posOffset>628650</wp:posOffset>
                </wp:positionH>
                <wp:positionV relativeFrom="paragraph">
                  <wp:posOffset>333375</wp:posOffset>
                </wp:positionV>
                <wp:extent cx="4615180" cy="728345"/>
                <wp:effectExtent l="0" t="0" r="0" b="0"/>
                <wp:wrapNone/>
                <wp:docPr id="8" name="_x0000_s1336"/>
                <wp:cNvGraphicFramePr/>
                <a:graphic xmlns:a="http://schemas.openxmlformats.org/drawingml/2006/main">
                  <a:graphicData uri="http://schemas.microsoft.com/office/word/2010/wordprocessingShape">
                    <wps:wsp>
                      <wps:cNvPr id="0" name=""/>
                      <wps:cNvSpPr/>
                      <wps:spPr>
                        <a:xfrm>
                          <a:off x="0" y="0"/>
                          <a:ext cx="4615180" cy="728345"/>
                        </a:xfrm>
                        <a:prstGeom prst="rect">
                          <a:avLst/>
                        </a:prstGeom>
                        <a:noFill/>
                        <a:ln>
                          <a:noFill/>
                        </a:ln>
                      </wps:spPr>
                      <wps:bodyPr rot="0">
                        <a:prstTxWarp prst="textNoShape">
                          <a:avLst/>
                        </a:prstTxWarp>
                        <a:noAutofit/>
                      </wps:bodyPr>
                    </wps:wsp>
                  </a:graphicData>
                </a:graphic>
              </wp:anchor>
            </w:drawing>
          </mc:Choice>
          <mc:Fallback>
            <w:pict>
              <v:shape id="shape 7" o:spid="_x0000_s7" o:spt="1" type="#_x0000_t1" style="position:absolute;z-index:251658243;o:allowoverlap:true;o:allowincell:true;mso-position-horizontal-relative:text;margin-left:49.50pt;mso-position-horizontal:absolute;mso-position-vertical-relative:text;margin-top:26.25pt;mso-position-vertical:absolute;width:363.40pt;height:57.35pt;mso-wrap-distance-left:9.00pt;mso-wrap-distance-top:0.00pt;mso-wrap-distance-right:9.00pt;mso-wrap-distance-bottom:0.00pt;visibility:visible;" filled="f" stroked="f"/>
            </w:pict>
          </mc:Fallback>
        </mc:AlternateContent>
        <mc:AlternateContent>
          <mc:Choice Requires="wpg">
            <w:drawing>
              <wp:anchor xmlns:wp="http://schemas.openxmlformats.org/drawingml/2006/wordprocessingDrawing" xmlns:wp14="http://schemas.microsoft.com/office/word/2010/wordprocessingDrawing" distT="0" distB="0" distL="114300" distR="114300" simplePos="0" relativeHeight="251658242" behindDoc="0" locked="0" layoutInCell="1" allowOverlap="1">
                <wp:simplePos x="0" y="0"/>
                <wp:positionH relativeFrom="column">
                  <wp:posOffset>656590</wp:posOffset>
                </wp:positionH>
                <wp:positionV relativeFrom="paragraph">
                  <wp:posOffset>360680</wp:posOffset>
                </wp:positionV>
                <wp:extent cx="4614545" cy="728345"/>
                <wp:effectExtent l="0" t="0" r="0" b="0"/>
                <wp:wrapNone/>
                <wp:docPr id="9" name="_x0000_s1335"/>
                <wp:cNvGraphicFramePr/>
                <a:graphic xmlns:a="http://schemas.openxmlformats.org/drawingml/2006/main">
                  <a:graphicData uri="http://schemas.microsoft.com/office/word/2010/wordprocessingShape">
                    <wps:wsp>
                      <wps:cNvPr id="0" name=""/>
                      <wps:cNvSpPr/>
                      <wps:spPr>
                        <a:xfrm>
                          <a:off x="0" y="0"/>
                          <a:ext cx="4614545" cy="728345"/>
                        </a:xfrm>
                        <a:prstGeom prst="rect">
                          <a:avLst/>
                        </a:prstGeom>
                        <a:noFill/>
                        <a:ln>
                          <a:noFill/>
                        </a:ln>
                      </wps:spPr>
                      <wps:bodyPr rot="0">
                        <a:prstTxWarp prst="textNoShape">
                          <a:avLst/>
                        </a:prstTxWarp>
                        <a:noAutofit/>
                      </wps:bodyPr>
                    </wps:wsp>
                  </a:graphicData>
                </a:graphic>
              </wp:anchor>
            </w:drawing>
          </mc:Choice>
          <mc:Fallback>
            <w:pict>
              <v:shape id="shape 8" o:spid="_x0000_s8" o:spt="1" type="#_x0000_t1" style="position:absolute;z-index:251658242;o:allowoverlap:true;o:allowincell:true;mso-position-horizontal-relative:text;margin-left:51.70pt;mso-position-horizontal:absolute;mso-position-vertical-relative:text;margin-top:28.40pt;mso-position-vertical:absolute;width:363.35pt;height:57.35pt;mso-wrap-distance-left:9.00pt;mso-wrap-distance-top:0.00pt;mso-wrap-distance-right:9.00pt;mso-wrap-distance-bottom:0.00pt;visibility:visible;" filled="f" stroked="f"/>
            </w:pict>
          </mc:Fallback>
        </mc:AlternateContent>
      </w:r>
      <w:r>
        <w:rPr>
          <w:b/>
          <w:bCs/>
        </w:rPr>
        <w:t xml:space="preserve">У</w:t>
      </w:r>
      <w:r>
        <w:rPr>
          <w:b/>
          <w:bCs/>
        </w:rPr>
        <w:t xml:space="preserve">правление Федеральной службы по надзору </w:t>
      </w:r>
    </w:p>
    <w:p>
      <w:pPr>
        <w:pStyle w:val="Normal"/>
        <w:jc w:val="center"/>
        <w:rPr>
          <w:b/>
          <w:bCs/>
        </w:rPr>
      </w:pPr>
      <w:r>
        <w:rPr>
          <w:b/>
          <w:bCs/>
        </w:rPr>
        <w:t xml:space="preserve">в сфере защиты прав потребителей и благополучия человека по Пермско</w:t>
      </w:r>
      <w:r>
        <w:rPr>
          <w:b/>
          <w:bCs/>
        </w:rPr>
        <w:t xml:space="preserve">му краю</w:t>
      </w:r>
      <w:r>
        <w:rPr>
          <w:b/>
          <w:bCs/>
        </w:rPr>
      </w:r>
    </w:p>
    <w:p>
      <w:pPr>
        <w:pStyle w:val="Normal"/>
        <w:jc w:val="center"/>
        <w:rPr>
          <w:b/>
          <w:bCs/>
          <w:caps/>
        </w:rPr>
      </w:pPr>
      <w:r>
        <w:rPr>
          <w:b/>
          <w:bCs/>
          <w:caps/>
        </w:rPr>
      </w:r>
    </w:p>
    <w:p>
      <w:pPr>
        <w:pStyle w:val="Normal"/>
        <w:jc w:val="center"/>
        <w:rPr>
          <w:b/>
          <w:bCs/>
          <w:sz w:val="22"/>
          <w:szCs w:val="22"/>
        </w:rPr>
      </w:pPr>
      <w:r>
        <w:rPr>
          <w:b/>
          <w:bCs/>
          <w:szCs w:val="22"/>
        </w:rPr>
        <w:t xml:space="preserve">Ф</w:t>
      </w:r>
      <w:r>
        <w:rPr>
          <w:b/>
          <w:bCs/>
          <w:szCs w:val="22"/>
        </w:rPr>
        <w:t xml:space="preserve">Б</w:t>
      </w:r>
      <w:r>
        <w:rPr>
          <w:b/>
          <w:bCs/>
          <w:szCs w:val="22"/>
        </w:rPr>
        <w:t xml:space="preserve">У</w:t>
      </w:r>
      <w:r>
        <w:rPr>
          <w:b/>
          <w:bCs/>
          <w:szCs w:val="22"/>
        </w:rPr>
        <w:t xml:space="preserve">З</w:t>
      </w:r>
      <w:r>
        <w:rPr>
          <w:b/>
          <w:bCs/>
          <w:szCs w:val="22"/>
        </w:rPr>
        <w:t xml:space="preserve"> «Центр </w:t>
      </w:r>
      <w:r>
        <w:rPr>
          <w:b/>
          <w:bCs/>
          <w:szCs w:val="22"/>
        </w:rPr>
        <w:t xml:space="preserve">гигиены и эпидемиологии </w:t>
      </w:r>
      <w:r>
        <w:rPr>
          <w:b/>
          <w:bCs/>
          <w:szCs w:val="22"/>
        </w:rPr>
        <w:t xml:space="preserve">в Пермско</w:t>
      </w:r>
      <w:r>
        <w:rPr>
          <w:b/>
          <w:bCs/>
          <w:szCs w:val="22"/>
        </w:rPr>
        <w:t xml:space="preserve">м</w:t>
      </w:r>
      <w:r>
        <w:rPr>
          <w:b/>
          <w:bCs/>
          <w:szCs w:val="22"/>
        </w:rPr>
        <w:t xml:space="preserve"> </w:t>
      </w:r>
      <w:r>
        <w:rPr>
          <w:b/>
          <w:bCs/>
          <w:szCs w:val="22"/>
        </w:rPr>
        <w:t xml:space="preserve">крае</w:t>
      </w:r>
      <w:r>
        <w:rPr>
          <w:b/>
          <w:bCs/>
          <w:szCs w:val="22"/>
        </w:rPr>
        <w:t xml:space="preserve">»</w:t>
      </w:r>
      <w:r>
        <w:rPr>
          <w:b/>
          <w:bCs/>
          <w:sz w:val="22"/>
          <w:szCs w:val="22"/>
        </w:rPr>
      </w:r>
    </w:p>
    <w:p>
      <w:pPr>
        <w:pStyle w:val="Normal"/>
        <w:rPr>
          <w:sz w:val="22"/>
          <w:szCs w:val="22"/>
        </w:rPr>
      </w:pPr>
      <w:r>
        <w:rPr>
          <w:sz w:val="22"/>
          <w:szCs w:val="22"/>
        </w:rPr>
      </w:r>
    </w:p>
    <w:p>
      <w:pPr>
        <w:pStyle w:val="Normal"/>
        <w:jc w:val="center"/>
        <w:rPr>
          <w:b/>
          <w:bCs/>
          <w:szCs w:val="22"/>
        </w:rPr>
      </w:pPr>
      <w:r>
        <w:rPr>
          <w:b/>
          <w:bCs/>
          <w:szCs w:val="22"/>
        </w:rPr>
        <w:t xml:space="preserve">Г</w:t>
      </w:r>
      <w:r>
        <w:rPr>
          <w:b/>
          <w:bCs/>
          <w:szCs w:val="22"/>
        </w:rPr>
        <w:t xml:space="preserve">Б</w:t>
      </w:r>
      <w:r>
        <w:rPr>
          <w:b/>
          <w:bCs/>
          <w:szCs w:val="22"/>
        </w:rPr>
        <w:t xml:space="preserve">УЗ </w:t>
      </w:r>
      <w:r>
        <w:rPr>
          <w:b/>
          <w:bCs/>
          <w:szCs w:val="22"/>
        </w:rPr>
        <w:t xml:space="preserve"> ПК </w:t>
      </w:r>
      <w:r>
        <w:rPr>
          <w:b/>
          <w:bCs/>
          <w:szCs w:val="22"/>
        </w:rPr>
        <w:t xml:space="preserve">«</w:t>
      </w:r>
      <w:r>
        <w:rPr>
          <w:b/>
          <w:bCs/>
          <w:szCs w:val="22"/>
        </w:rPr>
        <w:t xml:space="preserve">Пермский к</w:t>
      </w:r>
      <w:r>
        <w:rPr>
          <w:b/>
          <w:bCs/>
          <w:szCs w:val="22"/>
        </w:rPr>
        <w:t xml:space="preserve">раевой </w:t>
      </w:r>
      <w:r>
        <w:rPr>
          <w:b/>
          <w:bCs/>
          <w:szCs w:val="22"/>
        </w:rPr>
        <w:t xml:space="preserve">клинический </w:t>
      </w:r>
      <w:r>
        <w:rPr>
          <w:b/>
          <w:bCs/>
          <w:szCs w:val="22"/>
        </w:rPr>
        <w:t xml:space="preserve">наркологический диспансер»</w:t>
      </w:r>
      <w:r>
        <w:rPr>
          <w:b/>
          <w:bCs/>
          <w:szCs w:val="22"/>
        </w:rPr>
      </w:r>
    </w:p>
    <w:p>
      <w:pPr>
        <w:pStyle w:val="Normal"/>
        <w:jc w:val="center"/>
        <w:rPr>
          <w:b/>
          <w:bCs/>
          <w:szCs w:val="22"/>
        </w:rPr>
      </w:pPr>
      <w:r>
        <w:rPr>
          <w:b/>
          <w:bCs/>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color w:val="000000"/>
        </w:rPr>
        <mc:AlternateContent>
          <mc:Choice Requires="wpg">
            <w:drawing>
              <wp:anchor xmlns:wp="http://schemas.openxmlformats.org/drawingml/2006/wordprocessingDrawing" xmlns:wp14="http://schemas.microsoft.com/office/word/2010/wordprocessingDrawing" distT="0" distB="0" distL="114300" distR="114300" simplePos="0" relativeHeight="250609654" behindDoc="1" locked="0" layoutInCell="1" allowOverlap="1">
                <wp:simplePos x="0" y="0"/>
                <wp:positionH relativeFrom="column">
                  <wp:posOffset>-385444</wp:posOffset>
                </wp:positionH>
                <wp:positionV relativeFrom="paragraph">
                  <wp:posOffset>42545</wp:posOffset>
                </wp:positionV>
                <wp:extent cx="6324600" cy="2743200"/>
                <wp:effectExtent l="0" t="0" r="0" b="0"/>
                <wp:wrapTight wrapText="bothSides">
                  <wp:wrapPolygon edited="1">
                    <wp:start x="5042" y="-75"/>
                    <wp:lineTo x="4619" y="1575"/>
                    <wp:lineTo x="10637" y="2325"/>
                    <wp:lineTo x="10637" y="9525"/>
                    <wp:lineTo x="5660" y="9675"/>
                    <wp:lineTo x="5628" y="10500"/>
                    <wp:lineTo x="6278" y="10725"/>
                    <wp:lineTo x="6278" y="11325"/>
                    <wp:lineTo x="8588" y="11925"/>
                    <wp:lineTo x="10637" y="11925"/>
                    <wp:lineTo x="878" y="12600"/>
                    <wp:lineTo x="878" y="14100"/>
                    <wp:lineTo x="2537" y="14325"/>
                    <wp:lineTo x="10637" y="14325"/>
                    <wp:lineTo x="-33" y="15074"/>
                    <wp:lineTo x="-33" y="16275"/>
                    <wp:lineTo x="2147" y="16725"/>
                    <wp:lineTo x="2147" y="16800"/>
                    <wp:lineTo x="5302" y="17925"/>
                    <wp:lineTo x="5270" y="18750"/>
                    <wp:lineTo x="8230" y="19125"/>
                    <wp:lineTo x="13988" y="19125"/>
                    <wp:lineTo x="7384" y="19500"/>
                    <wp:lineTo x="4977" y="19800"/>
                    <wp:lineTo x="4945" y="21150"/>
                    <wp:lineTo x="6539" y="21525"/>
                    <wp:lineTo x="9629" y="21600"/>
                    <wp:lineTo x="10117" y="21600"/>
                    <wp:lineTo x="13988" y="21525"/>
                    <wp:lineTo x="16590" y="21075"/>
                    <wp:lineTo x="16558" y="20325"/>
                    <wp:lineTo x="16688" y="19650"/>
                    <wp:lineTo x="16428" y="19500"/>
                    <wp:lineTo x="14476" y="19125"/>
                    <wp:lineTo x="15647" y="19125"/>
                    <wp:lineTo x="16329" y="18675"/>
                    <wp:lineTo x="16363" y="17400"/>
                    <wp:lineTo x="12296" y="17025"/>
                    <wp:lineTo x="2602" y="16725"/>
                    <wp:lineTo x="14443" y="16650"/>
                    <wp:lineTo x="21275" y="16275"/>
                    <wp:lineTo x="21275" y="15074"/>
                    <wp:lineTo x="10637" y="14325"/>
                    <wp:lineTo x="16883" y="14325"/>
                    <wp:lineTo x="21047" y="13875"/>
                    <wp:lineTo x="21047" y="12600"/>
                    <wp:lineTo x="16851" y="12150"/>
                    <wp:lineTo x="13728" y="11925"/>
                    <wp:lineTo x="16363" y="11400"/>
                    <wp:lineTo x="16297" y="10725"/>
                    <wp:lineTo x="16428" y="10275"/>
                    <wp:lineTo x="15907" y="10125"/>
                    <wp:lineTo x="10605" y="9525"/>
                    <wp:lineTo x="10637" y="2325"/>
                    <wp:lineTo x="14834" y="2325"/>
                    <wp:lineTo x="16981" y="1950"/>
                    <wp:lineTo x="17013" y="525"/>
                    <wp:lineTo x="16623" y="300"/>
                    <wp:lineTo x="15159" y="-75"/>
                    <wp:lineTo x="5042" y="-75"/>
                  </wp:wrapPolygon>
                </wp:wrapTight>
                <wp:docPr id="10" name="_x0000_s1523"/>
                <wp:cNvGraphicFramePr/>
                <a:graphic xmlns:a="http://schemas.openxmlformats.org/drawingml/2006/main">
                  <a:graphicData uri="http://schemas.microsoft.com/office/word/2010/wordprocessingShape">
                    <wps:wsp>
                      <wps:cNvPr id="0" name=""/>
                      <wps:cNvSpPr/>
                      <wps:spPr>
                        <a:xfrm>
                          <a:off x="0" y="0"/>
                          <a:ext cx="6324600" cy="2743200"/>
                        </a:xfrm>
                        <a:prstGeom prst="rect">
                          <a:avLst/>
                        </a:prstGeom>
                        <a:noFill/>
                        <a:ln>
                          <a:noFill/>
                        </a:ln>
                      </wps:spPr>
                      <wps:txbx>
                        <w:txbxContent>
                          <w:p>
                            <w:pPr>
                              <w:jc w:val="center"/>
                              <w:rPr>
                                <w:rFonts w:ascii="Times New Roman" w:hAnsi="Times New Roman"/>
                                <w:b/>
                                <w:bCs/>
                                <w:sz w:val="64"/>
                                <w:szCs w:val="64"/>
                                <w14:textOutline w14:w="2540">
                                  <w14:solidFill>
                                    <w14:srgbClr w14:val="000000"/>
                                  </w14:solidFill>
                                </w14:textOutline>
                                <w14:textFill>
                                  <w14:solidFill>
                                    <w14:srgbClr w14:val="000000"/>
                                  </w14:solidFill>
                                </w14:textFill>
                              </w:rPr>
                            </w:pPr>
                            <w:r>
                              <w:rPr>
                                <w:rFonts w:ascii="Times New Roman" w:hAnsi="Times New Roman"/>
                                <w:b/>
                                <w:bCs/>
                                <w:sz w:val="64"/>
                                <w:szCs w:val="64"/>
                                <w14:textOutline w14:w="2540">
                                  <w14:solidFill>
                                    <w14:srgbClr w14:val="000000"/>
                                  </w14:solidFill>
                                </w14:textOutline>
                                <w14:textFill>
                                  <w14:solidFill>
                                    <w14:srgbClr w14:val="000000"/>
                                  </w14:solidFill>
                                </w14:textFill>
                              </w:rPr>
                              <w:t xml:space="preserve">Аналитический обзор
 "О заболеваемости
 наркологическими расстройствами
и отравлениях химической этиологии 
населения г. Перми
за  1 квартал 2025г."</w:t>
                            </w:r>
                          </w:p>
                        </w:txbxContent>
                      </wps:txbx>
                      <wps:bodyPr wrap="square" lIns="0" tIns="0" rIns="0" bIns="0" fromWordArt="1">
                        <a:prstTxWarp prst="textPlain"/>
                        <a:normAutofit/>
                      </wps:bodyPr>
                    </wps:wsp>
                  </a:graphicData>
                </a:graphic>
              </wp:anchor>
            </w:drawing>
          </mc:Choice>
          <mc:Fallback>
            <w:pict>
              <v:shape id="shape 9" o:spid="_x0000_s9" o:spt="1" type="#_x0000_t1" style="position:absolute;z-index:-250609654;o:allowoverlap:true;o:allowincell:true;mso-position-horizontal-relative:text;margin-left:-30.35pt;mso-position-horizontal:absolute;mso-position-vertical-relative:text;margin-top:3.35pt;mso-position-vertical:absolute;width:498.00pt;height:216.00pt;mso-wrap-distance-left:9.00pt;mso-wrap-distance-top:0.00pt;mso-wrap-distance-right:9.00pt;mso-wrap-distance-bottom:0.00pt;visibility:visible;" wrapcoords="23343 -346 21384 7292 49245 10764 49245 44097 26204 44792 26056 48611 29065 49653 29065 52431 39759 55208 49245 55208 4065 58333 4065 65278 11745 66319 49245 66319 -152 69787 -152 75347 9940 77431 9940 77778 24546 82986 24398 86806 38102 88542 64759 88542 34185 90278 23042 91667 22894 97917 30273 99653 44579 100000 46838 100000 64759 99653 76806 97569 76657 94097 77259 90972 76056 90278 67019 88542 72440 88542 75597 86458 75755 80556 56926 78819 12046 77431 66866 77083 98495 75347 98495 69787 49245 66319 78162 66319 97440 64236 97440 58333 78014 56250 63556 55208 75755 52778 75449 49653 76056 47569 73644 46875 49097 44097 49245 10764 68676 10764 78616 9028 78764 2431 76958 1389 70181 -346 23343 -346" filled="f" stroked="f">
                <w10:wrap type="tight"/>
                <v:textbox inset="0,0,0,0">
                  <w:txbxContent>
                    <w:p>
                      <w:pPr>
                        <w:jc w:val="center"/>
                        <w:rPr>
                          <w:rFonts w:ascii="Times New Roman" w:hAnsi="Times New Roman"/>
                          <w:b/>
                          <w:bCs/>
                          <w:sz w:val="64"/>
                          <w:szCs w:val="64"/>
                          <w14:textOutline w14:w="2540">
                            <w14:solidFill>
                              <w14:srgbClr w14:val="000000"/>
                            </w14:solidFill>
                          </w14:textOutline>
                          <w14:textFill>
                            <w14:solidFill>
                              <w14:srgbClr w14:val="000000"/>
                            </w14:solidFill>
                          </w14:textFill>
                        </w:rPr>
                      </w:pPr>
                      <w:r>
                        <w:rPr>
                          <w:rFonts w:ascii="Times New Roman" w:hAnsi="Times New Roman"/>
                          <w:b/>
                          <w:bCs/>
                          <w:sz w:val="64"/>
                          <w:szCs w:val="64"/>
                          <w14:textOutline w14:w="2540">
                            <w14:solidFill>
                              <w14:srgbClr w14:val="000000"/>
                            </w14:solidFill>
                          </w14:textOutline>
                          <w14:textFill>
                            <w14:solidFill>
                              <w14:srgbClr w14:val="000000"/>
                            </w14:solidFill>
                          </w14:textFill>
                        </w:rPr>
                        <w:t xml:space="preserve">Аналитический обзор
 "О заболеваемости
 наркологическими расстройствами
и отравлениях химической этиологии 
населения г. Перми
за  1 квартал 2025г."</w:t>
                      </w:r>
                    </w:p>
                  </w:txbxContent>
                </v:textbox>
              </v:shape>
            </w:pict>
          </mc:Fallback>
        </mc:AlternateContent>
      </w: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8"/>
          <w:szCs w:val="28"/>
        </w:rPr>
      </w:pPr>
      <w:r>
        <w:rPr>
          <w:sz w:val="28"/>
          <w:szCs w:val="28"/>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51" behindDoc="0" locked="0" layoutInCell="1" allowOverlap="1">
                <wp:simplePos x="0" y="0"/>
                <wp:positionH relativeFrom="column">
                  <wp:posOffset>-604519</wp:posOffset>
                </wp:positionH>
                <wp:positionV relativeFrom="paragraph">
                  <wp:posOffset>22860</wp:posOffset>
                </wp:positionV>
                <wp:extent cx="6840220" cy="1802130"/>
                <wp:effectExtent l="0" t="0" r="0" b="0"/>
                <wp:wrapNone/>
                <wp:docPr id="11" name="_x0000_s236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a:xfrm>
                          <a:off x="0" y="0"/>
                          <a:ext cx="6840220" cy="180213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position:absolute;z-index:251658251;o:allowoverlap:true;o:allowincell:true;mso-position-horizontal-relative:text;margin-left:-47.60pt;mso-position-horizontal:absolute;mso-position-vertical-relative:text;margin-top:1.80pt;mso-position-vertical:absolute;width:538.60pt;height:141.90pt;mso-wrap-distance-left:9.00pt;mso-wrap-distance-top:0.00pt;mso-wrap-distance-right:9.00pt;mso-wrap-distance-bottom:0.00pt;" stroked="f">
                <v:path textboxrect="0,0,0,0"/>
                <v:imagedata r:id="rId10" o:title=""/>
              </v:shape>
            </w:pict>
          </mc:Fallback>
        </mc:AlternateContent>
      </w: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center"/>
        <w:rPr>
          <w:b/>
        </w:rPr>
        <w:sectPr>
          <w:headerReference w:type="even" r:id="rId7"/>
          <w:headerReference w:type="default" r:id="rId8"/>
          <w:headerReference w:type="first" r:id="rId9"/>
          <w:type w:val="continuous"/>
          <w:pgSz w:w="11907" w:h="16840"/>
          <w:pgMar w:top="567" w:right="851" w:bottom="567" w:left="1418" w:header="709" w:footer="851" w:gutter="170"/>
          <w:cols w:space="708"/>
          <w:docGrid w:linePitch="360"/>
          <w:titlePg/>
        </w:sectPr>
      </w:pPr>
      <w:r>
        <w:rPr>
          <w:b/>
        </w:rPr>
        <w:t xml:space="preserve">Пермь 20</w:t>
      </w:r>
      <w:r>
        <w:rPr>
          <w:b/>
        </w:rPr>
        <w:t xml:space="preserve">2</w:t>
      </w:r>
      <w:r>
        <w:rPr>
          <w:b/>
        </w:rPr>
        <w:t xml:space="preserve">5</w:t>
      </w:r>
      <w:r>
        <w:rPr>
          <w:b/>
        </w:rPr>
      </w:r>
    </w:p>
    <w:p>
      <w:pPr>
        <w:pStyle w:val="Normal"/>
        <w:rPr>
          <w:b/>
        </w:rPr>
      </w:pPr>
      <w:r>
        <w:rPr>
          <w:b/>
        </w:rPr>
      </w:r>
    </w:p>
    <w:p>
      <w:pPr>
        <w:pStyle w:val="Normal"/>
        <w:jc w:val="center"/>
        <w:rPr>
          <w:b/>
        </w:rPr>
      </w:pPr>
      <w:r>
        <w:rPr>
          <w:b/>
        </w:rPr>
        <w:t xml:space="preserve">СОДЕРЖАНИЕ</w:t>
      </w:r>
    </w:p>
    <w:p>
      <w:pPr>
        <w:pStyle w:val="Normal"/>
        <w:jc w:val="center"/>
        <w:rPr>
          <w:b/>
        </w:rPr>
      </w:pPr>
      <w:r>
        <w:rPr>
          <w:b/>
        </w:rPr>
      </w:r>
    </w:p>
    <w:p>
      <w:pPr>
        <w:pStyle w:val="Normal"/>
        <w:jc w:val="both"/>
      </w:pPr>
    </w:p>
    <w:p>
      <w:pPr>
        <w:pStyle w:val="Normal"/>
        <w:jc w:val="both"/>
      </w:pPr>
      <w:r>
        <w:t xml:space="preserve">Анализ </w:t>
      </w:r>
      <w:r>
        <w:t xml:space="preserve">первичной </w:t>
      </w:r>
      <w:r>
        <w:t xml:space="preserve">заболеваемости</w:t>
      </w:r>
      <w:r>
        <w:t xml:space="preserve"> </w:t>
      </w:r>
      <w:r>
        <w:t xml:space="preserve">наркологическими расстройствами населения</w:t>
      </w:r>
      <w:r>
        <w:t xml:space="preserve">…</w:t>
      </w:r>
      <w:r>
        <w:t xml:space="preserve">……</w:t>
      </w:r>
      <w:r>
        <w:t xml:space="preserve">.</w:t>
      </w:r>
      <w:r>
        <w:t xml:space="preserve">2</w:t>
      </w:r>
    </w:p>
    <w:p>
      <w:pPr>
        <w:pStyle w:val="Normal"/>
        <w:jc w:val="both"/>
      </w:pPr>
    </w:p>
    <w:p>
      <w:pPr>
        <w:pStyle w:val="Normal"/>
      </w:pPr>
      <w:r>
        <w:rPr>
          <w:color w:val="000000"/>
        </w:rPr>
        <w:t xml:space="preserve">Анализ </w:t>
      </w:r>
      <w:r>
        <w:rPr>
          <w:color w:val="000000"/>
        </w:rPr>
        <w:t xml:space="preserve">первичной </w:t>
      </w:r>
      <w:r>
        <w:rPr>
          <w:color w:val="000000"/>
        </w:rPr>
        <w:t xml:space="preserve">заболеваемости наркологическими расстройствами</w:t>
      </w:r>
      <w:r>
        <w:rPr>
          <w:color w:val="000000"/>
        </w:rPr>
        <w:t xml:space="preserve"> н</w:t>
      </w:r>
      <w:r>
        <w:rPr>
          <w:color w:val="000000"/>
        </w:rPr>
        <w:t xml:space="preserve">есовершеннолетних</w:t>
      </w:r>
      <w:r>
        <w:rPr>
          <w:color w:val="000000"/>
        </w:rPr>
        <w:t xml:space="preserve">  </w:t>
      </w:r>
      <w:r>
        <w:t xml:space="preserve">…</w:t>
      </w:r>
      <w:r>
        <w:t xml:space="preserve">…………………………………………………………………</w:t>
      </w:r>
      <w:r>
        <w:t xml:space="preserve">……...</w:t>
      </w:r>
      <w:r>
        <w:t xml:space="preserve">.</w:t>
      </w:r>
      <w:r>
        <w:t xml:space="preserve">3</w:t>
      </w:r>
    </w:p>
    <w:p>
      <w:pPr>
        <w:pStyle w:val="Normal"/>
        <w:jc w:val="both"/>
      </w:pPr>
    </w:p>
    <w:p>
      <w:pPr>
        <w:pStyle w:val="Normal"/>
        <w:jc w:val="both"/>
      </w:pPr>
      <w:r>
        <w:t xml:space="preserve">Анализ </w:t>
      </w:r>
      <w:r>
        <w:t xml:space="preserve">первичной </w:t>
      </w:r>
      <w:r>
        <w:t xml:space="preserve">заболеваемости</w:t>
      </w:r>
      <w:r>
        <w:t xml:space="preserve"> </w:t>
      </w:r>
      <w:r>
        <w:t xml:space="preserve">наркоманией</w:t>
      </w:r>
      <w:r>
        <w:t xml:space="preserve">………………………………………….....</w:t>
      </w:r>
      <w:r>
        <w:t xml:space="preserve">..</w:t>
      </w:r>
      <w:r>
        <w:t xml:space="preserve">4</w:t>
      </w:r>
    </w:p>
    <w:p>
      <w:pPr>
        <w:pStyle w:val="Normal"/>
        <w:jc w:val="both"/>
      </w:pPr>
    </w:p>
    <w:p>
      <w:pPr>
        <w:pStyle w:val="Normal"/>
        <w:jc w:val="both"/>
      </w:pPr>
      <w:r>
        <w:t xml:space="preserve">Анализ общей ситуации отравлений химической этиологии…………….……………..........</w:t>
      </w:r>
      <w:r>
        <w:t xml:space="preserve">5</w:t>
      </w:r>
    </w:p>
    <w:p>
      <w:pPr>
        <w:pStyle w:val="Normal"/>
        <w:jc w:val="both"/>
      </w:pPr>
    </w:p>
    <w:p>
      <w:pPr>
        <w:pStyle w:val="Normal"/>
        <w:jc w:val="both"/>
      </w:pPr>
      <w:r>
        <w:t xml:space="preserve">Анализ отравлений медикаментами …………………………</w:t>
      </w:r>
      <w:r>
        <w:t xml:space="preserve">……………………….……......</w:t>
      </w:r>
      <w:r>
        <w:t xml:space="preserve">8</w:t>
      </w:r>
    </w:p>
    <w:p>
      <w:pPr>
        <w:pStyle w:val="Normal"/>
        <w:jc w:val="both"/>
      </w:pPr>
    </w:p>
    <w:p>
      <w:pPr>
        <w:pStyle w:val="Normal"/>
        <w:jc w:val="both"/>
      </w:pPr>
      <w:r>
        <w:t xml:space="preserve">Анализ отравлений алкоголем и его суррогатами …….……………………………….…......</w:t>
      </w:r>
      <w:r>
        <w:t xml:space="preserve">.</w:t>
      </w:r>
      <w:r>
        <w:t xml:space="preserve">9</w:t>
      </w:r>
    </w:p>
    <w:p>
      <w:pPr>
        <w:pStyle w:val="Normal"/>
        <w:jc w:val="both"/>
      </w:pPr>
    </w:p>
    <w:p>
      <w:pPr>
        <w:pStyle w:val="Normal"/>
        <w:jc w:val="both"/>
      </w:pPr>
      <w:r>
        <w:t xml:space="preserve">Анализ отравлений наркотическими веществ</w:t>
      </w:r>
      <w:r>
        <w:t xml:space="preserve">а</w:t>
      </w:r>
      <w:r>
        <w:t xml:space="preserve">ми..….……………………...…………….......</w:t>
      </w:r>
      <w:r>
        <w:t xml:space="preserve">.</w:t>
      </w:r>
      <w:r>
        <w:t xml:space="preserve">1</w:t>
      </w:r>
      <w:r>
        <w:t xml:space="preserve">0</w:t>
      </w:r>
    </w:p>
    <w:p>
      <w:pPr>
        <w:pStyle w:val="Normal"/>
        <w:jc w:val="both"/>
      </w:pPr>
    </w:p>
    <w:p>
      <w:pPr>
        <w:pStyle w:val="Normal"/>
        <w:jc w:val="both"/>
      </w:pPr>
      <w:r>
        <w:t xml:space="preserve">Анализ отравлений с целью суицида</w:t>
      </w:r>
      <w:r>
        <w:t xml:space="preserve"> </w:t>
      </w:r>
      <w:r>
        <w:t xml:space="preserve">……….……………….………………………….….…..</w:t>
      </w:r>
      <w:r>
        <w:t xml:space="preserve">11</w:t>
      </w:r>
    </w:p>
    <w:p>
      <w:pPr>
        <w:pStyle w:val="Normal"/>
        <w:jc w:val="both"/>
      </w:pPr>
    </w:p>
    <w:p>
      <w:pPr>
        <w:pStyle w:val="Normal"/>
        <w:jc w:val="both"/>
      </w:pPr>
      <w:r>
        <w:t xml:space="preserve">Сравнительная характеристика отравлений химической этиологии</w:t>
      </w:r>
      <w:r>
        <w:t xml:space="preserve">   … </w:t>
      </w:r>
      <w:r>
        <w:t xml:space="preserve">.……...…….…......</w:t>
      </w:r>
      <w:r>
        <w:t xml:space="preserve">1</w:t>
      </w:r>
      <w:r>
        <w:t xml:space="preserve">2</w:t>
      </w:r>
    </w:p>
    <w:p>
      <w:pPr>
        <w:pStyle w:val="Normal"/>
        <w:jc w:val="both"/>
      </w:pPr>
    </w:p>
    <w:p>
      <w:pPr>
        <w:pStyle w:val="Normal"/>
        <w:jc w:val="both"/>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jc w:val="center"/>
        <w:rPr>
          <w:b/>
        </w:rPr>
      </w:pPr>
      <w:r>
        <w:rPr>
          <w:b/>
        </w:rPr>
      </w:r>
    </w:p>
    <w:p>
      <w:pPr>
        <w:pStyle w:val="Normal"/>
        <w:rPr>
          <w:b/>
          <w:sz w:val="26"/>
          <w:szCs w:val="26"/>
          <w:u w:val="single"/>
        </w:rPr>
        <w:sectPr>
          <w:type w:val="nextPage"/>
          <w:pgSz w:w="11907" w:h="16840"/>
          <w:pgMar w:top="1134" w:right="851" w:bottom="1134" w:left="1418" w:header="709" w:footer="851" w:gutter="170"/>
          <w:cols w:space="708"/>
          <w:docGrid w:linePitch="360"/>
          <w:titlePg/>
        </w:sectPr>
      </w:pPr>
      <w:r>
        <w:rPr>
          <w:b/>
          <w:sz w:val="26"/>
          <w:szCs w:val="26"/>
          <w:u w:val="single"/>
        </w:rPr>
      </w:r>
    </w:p>
    <w:p>
      <w:pPr>
        <w:pStyle w:val="Normal"/>
        <w:jc w:val="center"/>
        <w:outlineLvl w:val="0"/>
        <w:rPr>
          <w:b/>
          <w:sz w:val="26"/>
          <w:szCs w:val="26"/>
          <w:u w:val="single"/>
        </w:rPr>
      </w:pPr>
      <w:r>
        <w:rPr>
          <w:b/>
          <w:sz w:val="26"/>
          <w:szCs w:val="26"/>
          <w:u w:val="single"/>
        </w:rPr>
        <w:t xml:space="preserve">1. Анализ </w:t>
      </w:r>
      <w:r>
        <w:rPr>
          <w:b/>
          <w:sz w:val="26"/>
          <w:szCs w:val="26"/>
          <w:u w:val="single"/>
        </w:rPr>
        <w:t xml:space="preserve">первичной </w:t>
      </w:r>
      <w:r>
        <w:rPr>
          <w:b/>
          <w:sz w:val="26"/>
          <w:szCs w:val="26"/>
          <w:u w:val="single"/>
        </w:rPr>
        <w:t xml:space="preserve">заболеваемости наркологическими расстройствами</w:t>
      </w:r>
    </w:p>
    <w:p>
      <w:pPr>
        <w:pStyle w:val="Normal"/>
        <w:ind w:firstLine="709"/>
        <w:jc w:val="both"/>
      </w:pPr>
    </w:p>
    <w:p>
      <w:pPr>
        <w:pStyle w:val="Normal"/>
        <w:ind w:firstLine="709"/>
        <w:jc w:val="both"/>
      </w:pPr>
      <w:r>
        <w:t xml:space="preserve">З</w:t>
      </w:r>
      <w:r>
        <w:t xml:space="preserve">а</w:t>
      </w:r>
      <w:r>
        <w:t xml:space="preserve"> </w:t>
      </w:r>
      <w:r>
        <w:t xml:space="preserve">1</w:t>
      </w:r>
      <w:r>
        <w:t xml:space="preserve"> </w:t>
      </w:r>
      <w:r>
        <w:t xml:space="preserve">квартал</w:t>
      </w:r>
      <w:r>
        <w:t xml:space="preserve"> </w:t>
      </w:r>
      <w:r>
        <w:t xml:space="preserve">20</w:t>
      </w:r>
      <w:r>
        <w:t xml:space="preserve">2</w:t>
      </w:r>
      <w:r>
        <w:t xml:space="preserve">5</w:t>
      </w:r>
      <w:r>
        <w:t xml:space="preserve"> г. </w:t>
      </w:r>
      <w:r>
        <w:t xml:space="preserve">в </w:t>
      </w:r>
      <w:r>
        <w:t xml:space="preserve">специализированны</w:t>
      </w:r>
      <w:r>
        <w:t xml:space="preserve">е</w:t>
      </w:r>
      <w:r>
        <w:t xml:space="preserve"> учреждения г. Перми </w:t>
      </w:r>
      <w:r>
        <w:t xml:space="preserve">обратились</w:t>
      </w:r>
      <w:r>
        <w:t xml:space="preserve"> </w:t>
      </w:r>
      <w:r>
        <w:t xml:space="preserve">2</w:t>
      </w:r>
      <w:r>
        <w:t xml:space="preserve">24</w:t>
      </w:r>
      <w:r>
        <w:t xml:space="preserve"> </w:t>
      </w:r>
      <w:r>
        <w:t xml:space="preserve">больных наркологическими расстройствами (НР), </w:t>
      </w:r>
      <w:r>
        <w:t xml:space="preserve">показатель составил </w:t>
      </w:r>
      <w:r>
        <w:t xml:space="preserve">21,8</w:t>
      </w:r>
      <w:r>
        <w:t xml:space="preserve"> на 100 тыс. населения</w:t>
      </w:r>
      <w:r>
        <w:t xml:space="preserve">.</w:t>
      </w:r>
    </w:p>
    <w:p>
      <w:pPr>
        <w:pStyle w:val="Normal"/>
        <w:ind w:firstLine="709"/>
        <w:jc w:val="both"/>
      </w:pPr>
      <w:r>
        <w:t xml:space="preserve">Показатель первичной</w:t>
      </w:r>
      <w:r>
        <w:t xml:space="preserve"> заболеваемост</w:t>
      </w:r>
      <w:r>
        <w:t xml:space="preserve">и</w:t>
      </w:r>
      <w:r>
        <w:t xml:space="preserve"> НР </w:t>
      </w:r>
      <w:r>
        <w:t xml:space="preserve">всего населения остался на уровне аналогичного периода прошлого года, в том числе по всем анализируемым нозоформам </w:t>
      </w:r>
      <w:r>
        <w:t xml:space="preserve">(табл. 1).</w:t>
      </w:r>
    </w:p>
    <w:p>
      <w:pPr>
        <w:pStyle w:val="Normal"/>
        <w:rPr>
          <w:sz w:val="22"/>
          <w:szCs w:val="22"/>
        </w:rPr>
      </w:pPr>
      <w:r>
        <w:rPr>
          <w:sz w:val="22"/>
          <w:szCs w:val="22"/>
        </w:rPr>
      </w:r>
    </w:p>
    <w:p>
      <w:pPr>
        <w:pStyle w:val="Normal"/>
        <w:jc w:val="right"/>
        <w:outlineLvl w:val="0"/>
        <w:rPr>
          <w:sz w:val="22"/>
          <w:szCs w:val="22"/>
        </w:rPr>
      </w:pPr>
      <w:r>
        <w:rPr>
          <w:sz w:val="22"/>
          <w:szCs w:val="22"/>
        </w:rPr>
        <w:t xml:space="preserve">Таблица 1</w:t>
      </w:r>
    </w:p>
    <w:p>
      <w:pPr>
        <w:pStyle w:val="Normal"/>
        <w:jc w:val="center"/>
        <w:outlineLvl w:val="0"/>
        <w:rPr>
          <w:b/>
          <w:sz w:val="22"/>
          <w:szCs w:val="22"/>
        </w:rPr>
      </w:pPr>
      <w:r>
        <w:rPr>
          <w:b/>
          <w:sz w:val="22"/>
          <w:szCs w:val="22"/>
        </w:rPr>
        <w:t xml:space="preserve">Первичная заболеваемость наркологическими расстройствами населения г. Перми</w:t>
      </w:r>
    </w:p>
    <w:p>
      <w:pPr>
        <w:pStyle w:val="Normal"/>
        <w:jc w:val="center"/>
        <w:rPr>
          <w:sz w:val="22"/>
          <w:szCs w:val="22"/>
        </w:rPr>
      </w:pPr>
      <w:r>
        <w:rPr>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 </w:t>
            </w:r>
            <w:r>
              <w:rPr>
                <w:sz w:val="22"/>
                <w:szCs w:val="22"/>
              </w:rPr>
              <w:t xml:space="preserve">случаи</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5</w:t>
            </w:r>
            <w:r>
              <w:rPr>
                <w:sz w:val="22"/>
                <w:szCs w:val="22"/>
              </w:rPr>
              <w:t xml:space="preserve"> г.</w:t>
            </w:r>
          </w:p>
        </w:tc>
        <w:tc>
          <w:tcPr>
            <w:tcW w:w="411"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4</w:t>
            </w:r>
            <w:r>
              <w:rPr>
                <w:sz w:val="22"/>
                <w:szCs w:val="22"/>
              </w:rPr>
              <w:t xml:space="preserve"> г.</w:t>
            </w:r>
          </w:p>
        </w:tc>
        <w:tc>
          <w:tcPr>
            <w:tcW w:w="418"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5</w:t>
            </w:r>
            <w:r>
              <w:rPr>
                <w:sz w:val="22"/>
                <w:szCs w:val="22"/>
              </w:rPr>
              <w:t xml:space="preserve"> г.</w:t>
            </w:r>
          </w:p>
        </w:tc>
        <w:tc>
          <w:tcPr>
            <w:tcW w:w="419"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4</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5</w:t>
            </w:r>
            <w:r>
              <w:rPr>
                <w:sz w:val="22"/>
                <w:szCs w:val="22"/>
              </w:rPr>
              <w:t xml:space="preserve"> г.</w:t>
            </w:r>
          </w:p>
        </w:tc>
        <w:tc>
          <w:tcPr>
            <w:tcW w:w="493"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4</w:t>
            </w:r>
            <w:r>
              <w:rPr>
                <w:sz w:val="22"/>
                <w:szCs w:val="22"/>
              </w:rPr>
              <w:t xml:space="preserve"> г.</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Алкогольные психозы</w:t>
            </w:r>
          </w:p>
        </w:tc>
        <w:tc>
          <w:tcPr>
            <w:tcW w:w="409" w:type="pct"/>
            <w:textDirection w:val="lrTb"/>
            <w:vAlign w:val="center"/>
          </w:tcPr>
          <w:p>
            <w:pPr>
              <w:pStyle w:val="Normal"/>
              <w:jc w:val="center"/>
              <w:rPr>
                <w:sz w:val="22"/>
                <w:szCs w:val="22"/>
              </w:rPr>
            </w:pPr>
            <w:r>
              <w:rPr>
                <w:sz w:val="22"/>
                <w:szCs w:val="22"/>
              </w:rPr>
              <w:t xml:space="preserve">28</w:t>
            </w:r>
          </w:p>
        </w:tc>
        <w:tc>
          <w:tcPr>
            <w:tcW w:w="411" w:type="pct"/>
            <w:textDirection w:val="lrTb"/>
            <w:vAlign w:val="center"/>
          </w:tcPr>
          <w:p>
            <w:pPr>
              <w:pStyle w:val="Normal"/>
              <w:jc w:val="center"/>
              <w:rPr>
                <w:sz w:val="22"/>
                <w:szCs w:val="22"/>
              </w:rPr>
            </w:pPr>
            <w:r>
              <w:rPr>
                <w:sz w:val="22"/>
                <w:szCs w:val="22"/>
              </w:rPr>
              <w:t xml:space="preserve">32</w:t>
            </w:r>
          </w:p>
        </w:tc>
        <w:tc>
          <w:tcPr>
            <w:tcW w:w="418" w:type="pct"/>
            <w:textDirection w:val="lrTb"/>
            <w:vAlign w:val="center"/>
          </w:tcPr>
          <w:p>
            <w:pPr>
              <w:pStyle w:val="Normal"/>
              <w:jc w:val="center"/>
              <w:rPr>
                <w:sz w:val="22"/>
                <w:szCs w:val="22"/>
              </w:rPr>
            </w:pPr>
            <w:r>
              <w:rPr>
                <w:sz w:val="22"/>
                <w:szCs w:val="22"/>
              </w:rPr>
              <w:t xml:space="preserve">2,7</w:t>
            </w:r>
          </w:p>
        </w:tc>
        <w:tc>
          <w:tcPr>
            <w:tcW w:w="419" w:type="pct"/>
            <w:textDirection w:val="lrTb"/>
            <w:vAlign w:val="center"/>
          </w:tcPr>
          <w:p>
            <w:pPr>
              <w:pStyle w:val="Normal"/>
              <w:jc w:val="center"/>
              <w:rPr>
                <w:sz w:val="22"/>
                <w:szCs w:val="22"/>
              </w:rPr>
            </w:pPr>
            <w:r>
              <w:rPr>
                <w:sz w:val="22"/>
                <w:szCs w:val="22"/>
              </w:rPr>
              <w:t xml:space="preserve">3,1</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12,5</w:t>
            </w:r>
          </w:p>
        </w:tc>
        <w:tc>
          <w:tcPr>
            <w:tcW w:w="493" w:type="pct"/>
            <w:textDirection w:val="lrTb"/>
            <w:vAlign w:val="center"/>
          </w:tcPr>
          <w:p>
            <w:pPr>
              <w:pStyle w:val="Normal"/>
              <w:jc w:val="center"/>
              <w:rPr>
                <w:sz w:val="22"/>
                <w:szCs w:val="22"/>
              </w:rPr>
            </w:pPr>
            <w:r>
              <w:rPr>
                <w:sz w:val="22"/>
                <w:szCs w:val="22"/>
              </w:rPr>
              <w:t xml:space="preserve">13,5</w:t>
            </w:r>
          </w:p>
        </w:tc>
      </w:tr>
      <w:tr>
        <w:trPr>
          <w:trHeight w:val="2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Хронический алког</w:t>
            </w:r>
            <w:r>
              <w:rPr>
                <w:sz w:val="22"/>
                <w:szCs w:val="22"/>
              </w:rPr>
              <w:t xml:space="preserve">о</w:t>
            </w:r>
            <w:r>
              <w:rPr>
                <w:sz w:val="22"/>
                <w:szCs w:val="22"/>
              </w:rPr>
              <w:t xml:space="preserve">лизм</w:t>
            </w:r>
          </w:p>
        </w:tc>
        <w:tc>
          <w:tcPr>
            <w:tcW w:w="409" w:type="pct"/>
            <w:textDirection w:val="lrTb"/>
            <w:vAlign w:val="center"/>
          </w:tcPr>
          <w:p>
            <w:pPr>
              <w:pStyle w:val="Normal"/>
              <w:jc w:val="center"/>
              <w:rPr>
                <w:sz w:val="22"/>
                <w:szCs w:val="22"/>
              </w:rPr>
            </w:pPr>
            <w:r>
              <w:rPr>
                <w:sz w:val="22"/>
                <w:szCs w:val="22"/>
              </w:rPr>
              <w:t xml:space="preserve">61</w:t>
            </w:r>
          </w:p>
        </w:tc>
        <w:tc>
          <w:tcPr>
            <w:tcW w:w="411" w:type="pct"/>
            <w:textDirection w:val="lrTb"/>
            <w:vAlign w:val="center"/>
          </w:tcPr>
          <w:p>
            <w:pPr>
              <w:pStyle w:val="Normal"/>
              <w:jc w:val="center"/>
              <w:rPr>
                <w:sz w:val="22"/>
                <w:szCs w:val="22"/>
              </w:rPr>
            </w:pPr>
            <w:r>
              <w:rPr>
                <w:sz w:val="22"/>
                <w:szCs w:val="22"/>
              </w:rPr>
              <w:t xml:space="preserve">58</w:t>
            </w:r>
          </w:p>
        </w:tc>
        <w:tc>
          <w:tcPr>
            <w:tcW w:w="418" w:type="pct"/>
            <w:textDirection w:val="lrTb"/>
            <w:vAlign w:val="center"/>
          </w:tcPr>
          <w:p>
            <w:pPr>
              <w:pStyle w:val="Normal"/>
              <w:jc w:val="center"/>
              <w:rPr>
                <w:sz w:val="22"/>
                <w:szCs w:val="22"/>
              </w:rPr>
            </w:pPr>
            <w:r>
              <w:rPr>
                <w:sz w:val="22"/>
                <w:szCs w:val="22"/>
              </w:rPr>
              <w:t xml:space="preserve">5,9</w:t>
            </w:r>
          </w:p>
        </w:tc>
        <w:tc>
          <w:tcPr>
            <w:tcW w:w="419" w:type="pct"/>
            <w:textDirection w:val="lrTb"/>
            <w:vAlign w:val="center"/>
          </w:tcPr>
          <w:p>
            <w:pPr>
              <w:pStyle w:val="Normal"/>
              <w:jc w:val="center"/>
              <w:rPr>
                <w:sz w:val="22"/>
                <w:szCs w:val="22"/>
              </w:rPr>
            </w:pPr>
            <w:r>
              <w:rPr>
                <w:sz w:val="22"/>
                <w:szCs w:val="22"/>
              </w:rPr>
              <w:t xml:space="preserve">5,6</w:t>
            </w:r>
          </w:p>
        </w:tc>
        <w:tc>
          <w:tcPr>
            <w:tcW w:w="692" w:type="pct"/>
            <w:textDirection w:val="lrTb"/>
            <w:vAlign w:val="center"/>
          </w:tcPr>
          <w:p>
            <w:pPr>
              <w:pStyle w:val="Normal"/>
              <w:jc w:val="center"/>
              <w:rPr>
                <w:sz w:val="22"/>
                <w:szCs w:val="22"/>
              </w:rPr>
            </w:pPr>
            <w:r>
              <w:rPr>
                <w:sz w:val="22"/>
                <w:szCs w:val="22"/>
              </w:rPr>
              <w:t xml:space="preserve">+3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27,2</w:t>
            </w:r>
          </w:p>
        </w:tc>
        <w:tc>
          <w:tcPr>
            <w:tcW w:w="493" w:type="pct"/>
            <w:textDirection w:val="lrTb"/>
            <w:vAlign w:val="center"/>
          </w:tcPr>
          <w:p>
            <w:pPr>
              <w:pStyle w:val="Normal"/>
              <w:jc w:val="center"/>
              <w:rPr>
                <w:sz w:val="22"/>
                <w:szCs w:val="22"/>
              </w:rPr>
            </w:pPr>
            <w:r>
              <w:rPr>
                <w:sz w:val="22"/>
                <w:szCs w:val="22"/>
              </w:rPr>
              <w:t xml:space="preserve">24,5</w:t>
            </w:r>
          </w:p>
        </w:tc>
      </w:tr>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27</w:t>
            </w:r>
          </w:p>
        </w:tc>
        <w:tc>
          <w:tcPr>
            <w:tcW w:w="411" w:type="pct"/>
            <w:textDirection w:val="lrTb"/>
            <w:vAlign w:val="center"/>
          </w:tcPr>
          <w:p>
            <w:pPr>
              <w:pStyle w:val="Normal"/>
              <w:jc w:val="center"/>
              <w:rPr>
                <w:sz w:val="22"/>
                <w:szCs w:val="22"/>
              </w:rPr>
            </w:pPr>
            <w:r>
              <w:rPr>
                <w:sz w:val="22"/>
                <w:szCs w:val="22"/>
              </w:rPr>
              <w:t xml:space="preserve">30</w:t>
            </w:r>
          </w:p>
        </w:tc>
        <w:tc>
          <w:tcPr>
            <w:tcW w:w="418" w:type="pct"/>
            <w:textDirection w:val="lrTb"/>
            <w:vAlign w:val="center"/>
          </w:tcPr>
          <w:p>
            <w:pPr>
              <w:pStyle w:val="Normal"/>
              <w:jc w:val="center"/>
              <w:rPr>
                <w:sz w:val="22"/>
                <w:szCs w:val="22"/>
              </w:rPr>
            </w:pPr>
            <w:r>
              <w:rPr>
                <w:sz w:val="22"/>
                <w:szCs w:val="22"/>
              </w:rPr>
              <w:t xml:space="preserve">2,6</w:t>
            </w:r>
          </w:p>
        </w:tc>
        <w:tc>
          <w:tcPr>
            <w:tcW w:w="419" w:type="pct"/>
            <w:textDirection w:val="lrTb"/>
            <w:vAlign w:val="center"/>
          </w:tcPr>
          <w:p>
            <w:pPr>
              <w:pStyle w:val="Normal"/>
              <w:jc w:val="center"/>
              <w:rPr>
                <w:sz w:val="22"/>
                <w:szCs w:val="22"/>
              </w:rPr>
            </w:pPr>
            <w:r>
              <w:rPr>
                <w:sz w:val="22"/>
                <w:szCs w:val="22"/>
              </w:rPr>
              <w:t xml:space="preserve">2,9</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3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12,1</w:t>
            </w:r>
          </w:p>
        </w:tc>
        <w:tc>
          <w:tcPr>
            <w:tcW w:w="493" w:type="pct"/>
            <w:textDirection w:val="lrTb"/>
            <w:vAlign w:val="center"/>
          </w:tcPr>
          <w:p>
            <w:pPr>
              <w:pStyle w:val="Normal"/>
              <w:jc w:val="center"/>
              <w:rPr>
                <w:sz w:val="22"/>
                <w:szCs w:val="22"/>
              </w:rPr>
            </w:pPr>
            <w:r>
              <w:rPr>
                <w:sz w:val="22"/>
                <w:szCs w:val="22"/>
              </w:rPr>
              <w:t xml:space="preserve">12,7</w:t>
            </w:r>
          </w:p>
        </w:tc>
      </w:tr>
      <w:tr>
        <w:trPr>
          <w:trHeight w:val="19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Токсикомания</w:t>
            </w:r>
          </w:p>
        </w:tc>
        <w:tc>
          <w:tcPr>
            <w:tcW w:w="409" w:type="pct"/>
            <w:textDirection w:val="lrTb"/>
            <w:vAlign w:val="center"/>
          </w:tcPr>
          <w:p>
            <w:pPr>
              <w:pStyle w:val="Normal"/>
              <w:jc w:val="center"/>
              <w:rPr>
                <w:sz w:val="22"/>
                <w:szCs w:val="22"/>
              </w:rPr>
            </w:pPr>
            <w:r>
              <w:rPr>
                <w:sz w:val="22"/>
                <w:szCs w:val="22"/>
              </w:rPr>
              <w:t xml:space="preserve">0</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0,0</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0,0</w:t>
            </w:r>
            <w:r>
              <w:rPr>
                <w:sz w:val="22"/>
                <w:szCs w:val="22"/>
              </w:rPr>
            </w:r>
          </w:p>
        </w:tc>
        <w:tc>
          <w:tcPr>
            <w:tcW w:w="494" w:type="pct"/>
            <w:textDirection w:val="lrTb"/>
            <w:vAlign w:val="center"/>
          </w:tcPr>
          <w:p>
            <w:pPr>
              <w:pStyle w:val="Normal"/>
              <w:jc w:val="center"/>
              <w:rPr>
                <w:sz w:val="22"/>
                <w:szCs w:val="22"/>
              </w:rPr>
            </w:pPr>
            <w:r>
              <w:rPr>
                <w:sz w:val="22"/>
                <w:szCs w:val="22"/>
              </w:rPr>
              <w:t xml:space="preserve">0,0</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r>
              <w:rPr>
                <w:sz w:val="22"/>
                <w:szCs w:val="22"/>
              </w:rPr>
              <w:t xml:space="preserve">*</w:t>
            </w:r>
            <w:r>
              <w:rPr>
                <w:sz w:val="22"/>
                <w:szCs w:val="22"/>
              </w:rPr>
            </w:r>
          </w:p>
        </w:tc>
        <w:tc>
          <w:tcPr>
            <w:tcW w:w="409" w:type="pct"/>
            <w:textDirection w:val="lrTb"/>
            <w:vAlign w:val="center"/>
          </w:tcPr>
          <w:p>
            <w:pPr>
              <w:pStyle w:val="Normal"/>
              <w:jc w:val="center"/>
              <w:rPr>
                <w:sz w:val="22"/>
                <w:szCs w:val="22"/>
              </w:rPr>
            </w:pPr>
            <w:r>
              <w:rPr>
                <w:sz w:val="22"/>
                <w:szCs w:val="22"/>
              </w:rPr>
              <w:t xml:space="preserve">53</w:t>
            </w:r>
          </w:p>
        </w:tc>
        <w:tc>
          <w:tcPr>
            <w:tcW w:w="411" w:type="pct"/>
            <w:textDirection w:val="lrTb"/>
            <w:vAlign w:val="center"/>
          </w:tcPr>
          <w:p>
            <w:pPr>
              <w:pStyle w:val="Normal"/>
              <w:jc w:val="center"/>
              <w:rPr>
                <w:sz w:val="22"/>
                <w:szCs w:val="22"/>
              </w:rPr>
            </w:pPr>
            <w:r>
              <w:rPr>
                <w:sz w:val="22"/>
                <w:szCs w:val="22"/>
              </w:rPr>
              <w:t xml:space="preserve">63</w:t>
            </w:r>
          </w:p>
        </w:tc>
        <w:tc>
          <w:tcPr>
            <w:tcW w:w="418" w:type="pct"/>
            <w:textDirection w:val="lrTb"/>
            <w:vAlign w:val="center"/>
          </w:tcPr>
          <w:p>
            <w:pPr>
              <w:pStyle w:val="Normal"/>
              <w:jc w:val="center"/>
              <w:rPr>
                <w:sz w:val="22"/>
                <w:szCs w:val="22"/>
              </w:rPr>
            </w:pPr>
            <w:r>
              <w:rPr>
                <w:sz w:val="22"/>
                <w:szCs w:val="22"/>
              </w:rPr>
              <w:t xml:space="preserve">5,2</w:t>
            </w:r>
          </w:p>
        </w:tc>
        <w:tc>
          <w:tcPr>
            <w:tcW w:w="419" w:type="pct"/>
            <w:textDirection w:val="lrTb"/>
            <w:vAlign w:val="center"/>
          </w:tcPr>
          <w:p>
            <w:pPr>
              <w:pStyle w:val="Normal"/>
              <w:jc w:val="center"/>
              <w:rPr>
                <w:sz w:val="22"/>
                <w:szCs w:val="22"/>
              </w:rPr>
            </w:pPr>
            <w:r>
              <w:rPr>
                <w:sz w:val="22"/>
                <w:szCs w:val="22"/>
              </w:rPr>
              <w:t xml:space="preserve">6,1</w:t>
            </w:r>
          </w:p>
        </w:tc>
        <w:tc>
          <w:tcPr>
            <w:tcW w:w="692" w:type="pct"/>
            <w:textDirection w:val="lrTb"/>
            <w:vAlign w:val="center"/>
          </w:tcPr>
          <w:p>
            <w:pPr>
              <w:pStyle w:val="Normal"/>
              <w:jc w:val="center"/>
              <w:rPr>
                <w:sz w:val="22"/>
                <w:szCs w:val="22"/>
              </w:rPr>
            </w:pPr>
            <w:r>
              <w:rPr>
                <w:sz w:val="22"/>
                <w:szCs w:val="22"/>
              </w:rPr>
              <w:t xml:space="preserve">-15,9</w:t>
            </w:r>
          </w:p>
        </w:tc>
        <w:tc>
          <w:tcPr>
            <w:tcW w:w="494" w:type="pct"/>
            <w:textDirection w:val="lrTb"/>
            <w:vAlign w:val="center"/>
          </w:tcPr>
          <w:p>
            <w:pPr>
              <w:pStyle w:val="Normal"/>
              <w:jc w:val="center"/>
              <w:rPr>
                <w:sz w:val="22"/>
                <w:szCs w:val="22"/>
              </w:rPr>
            </w:pPr>
            <w:r>
              <w:rPr>
                <w:sz w:val="22"/>
                <w:szCs w:val="22"/>
              </w:rPr>
              <w:t xml:space="preserve">23,7</w:t>
            </w:r>
          </w:p>
        </w:tc>
        <w:tc>
          <w:tcPr>
            <w:tcW w:w="493" w:type="pct"/>
            <w:textDirection w:val="lrTb"/>
            <w:vAlign w:val="center"/>
          </w:tcPr>
          <w:p>
            <w:pPr>
              <w:pStyle w:val="Normal"/>
              <w:jc w:val="center"/>
              <w:rPr>
                <w:sz w:val="22"/>
                <w:szCs w:val="22"/>
              </w:rPr>
            </w:pPr>
            <w:r>
              <w:rPr>
                <w:sz w:val="22"/>
                <w:szCs w:val="22"/>
              </w:rPr>
              <w:t xml:space="preserve">26,6</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55</w:t>
            </w:r>
          </w:p>
        </w:tc>
        <w:tc>
          <w:tcPr>
            <w:tcW w:w="411" w:type="pct"/>
            <w:textDirection w:val="lrTb"/>
            <w:vAlign w:val="center"/>
          </w:tcPr>
          <w:p>
            <w:pPr>
              <w:pStyle w:val="Normal"/>
              <w:jc w:val="center"/>
              <w:rPr>
                <w:sz w:val="22"/>
                <w:szCs w:val="22"/>
              </w:rPr>
            </w:pPr>
            <w:r>
              <w:rPr>
                <w:sz w:val="22"/>
                <w:szCs w:val="22"/>
              </w:rPr>
              <w:t xml:space="preserve">54</w:t>
            </w:r>
          </w:p>
        </w:tc>
        <w:tc>
          <w:tcPr>
            <w:tcW w:w="418" w:type="pct"/>
            <w:textDirection w:val="lrTb"/>
            <w:vAlign w:val="center"/>
          </w:tcPr>
          <w:p>
            <w:pPr>
              <w:pStyle w:val="Normal"/>
              <w:jc w:val="center"/>
              <w:rPr>
                <w:sz w:val="22"/>
                <w:szCs w:val="22"/>
              </w:rPr>
            </w:pPr>
            <w:r>
              <w:rPr>
                <w:sz w:val="22"/>
                <w:szCs w:val="22"/>
              </w:rPr>
              <w:t xml:space="preserve">5,4</w:t>
            </w:r>
          </w:p>
        </w:tc>
        <w:tc>
          <w:tcPr>
            <w:tcW w:w="419" w:type="pct"/>
            <w:textDirection w:val="lrTb"/>
            <w:vAlign w:val="center"/>
          </w:tcPr>
          <w:p>
            <w:pPr>
              <w:pStyle w:val="Normal"/>
              <w:jc w:val="center"/>
              <w:rPr>
                <w:sz w:val="22"/>
                <w:szCs w:val="22"/>
              </w:rPr>
            </w:pPr>
            <w:r>
              <w:rPr>
                <w:sz w:val="22"/>
                <w:szCs w:val="22"/>
              </w:rPr>
              <w:t xml:space="preserve">5,3</w:t>
            </w:r>
          </w:p>
        </w:tc>
        <w:tc>
          <w:tcPr>
            <w:tcW w:w="692"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494" w:type="pct"/>
            <w:textDirection w:val="lrTb"/>
            <w:vAlign w:val="center"/>
          </w:tcPr>
          <w:p>
            <w:pPr>
              <w:pStyle w:val="Normal"/>
              <w:jc w:val="center"/>
              <w:rPr>
                <w:sz w:val="22"/>
                <w:szCs w:val="22"/>
              </w:rPr>
            </w:pPr>
            <w:r>
              <w:rPr>
                <w:sz w:val="22"/>
                <w:szCs w:val="22"/>
              </w:rPr>
              <w:t xml:space="preserve">24,6</w:t>
            </w:r>
          </w:p>
        </w:tc>
        <w:tc>
          <w:tcPr>
            <w:tcW w:w="493" w:type="pct"/>
            <w:textDirection w:val="lrTb"/>
            <w:vAlign w:val="center"/>
          </w:tcPr>
          <w:p>
            <w:pPr>
              <w:pStyle w:val="Normal"/>
              <w:jc w:val="center"/>
              <w:rPr>
                <w:sz w:val="22"/>
                <w:szCs w:val="22"/>
              </w:rPr>
            </w:pPr>
            <w:r>
              <w:rPr>
                <w:sz w:val="22"/>
                <w:szCs w:val="22"/>
              </w:rPr>
              <w:t xml:space="preserve">22,8</w:t>
            </w:r>
          </w:p>
        </w:tc>
      </w:tr>
      <w:tr>
        <w:trPr>
          <w:trHeight w:val="54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нена</w:t>
            </w:r>
            <w:r>
              <w:rPr>
                <w:sz w:val="22"/>
                <w:szCs w:val="22"/>
              </w:rPr>
              <w:t xml:space="preserve">р</w:t>
            </w:r>
            <w:r>
              <w:rPr>
                <w:sz w:val="22"/>
                <w:szCs w:val="22"/>
              </w:rPr>
              <w:t xml:space="preserve">котических веществ с ВП</w:t>
            </w:r>
          </w:p>
        </w:tc>
        <w:tc>
          <w:tcPr>
            <w:tcW w:w="409" w:type="pct"/>
            <w:textDirection w:val="lrTb"/>
            <w:vAlign w:val="center"/>
          </w:tcPr>
          <w:p>
            <w:pPr>
              <w:pStyle w:val="Normal"/>
              <w:jc w:val="center"/>
              <w:rPr>
                <w:sz w:val="22"/>
                <w:szCs w:val="22"/>
              </w:rPr>
            </w:pPr>
            <w:r>
              <w:rPr>
                <w:sz w:val="22"/>
                <w:szCs w:val="22"/>
              </w:rPr>
              <w:t xml:space="preserve">0</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0,0</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0,0</w:t>
            </w:r>
            <w:r>
              <w:rPr>
                <w:sz w:val="22"/>
                <w:szCs w:val="22"/>
              </w:rPr>
            </w:r>
          </w:p>
        </w:tc>
        <w:tc>
          <w:tcPr>
            <w:tcW w:w="494" w:type="pct"/>
            <w:textDirection w:val="lrTb"/>
            <w:vAlign w:val="center"/>
          </w:tcPr>
          <w:p>
            <w:pPr>
              <w:pStyle w:val="Normal"/>
              <w:jc w:val="center"/>
              <w:rPr>
                <w:sz w:val="22"/>
                <w:szCs w:val="22"/>
              </w:rPr>
            </w:pPr>
            <w:r>
              <w:rPr>
                <w:sz w:val="22"/>
                <w:szCs w:val="22"/>
              </w:rPr>
              <w:t xml:space="preserve">0,0</w:t>
            </w:r>
          </w:p>
        </w:tc>
        <w:tc>
          <w:tcPr>
            <w:tcW w:w="493" w:type="pct"/>
            <w:textDirection w:val="lrTb"/>
            <w:vAlign w:val="center"/>
          </w:tcPr>
          <w:p>
            <w:pPr>
              <w:pStyle w:val="Normal"/>
              <w:jc w:val="center"/>
              <w:rPr>
                <w:sz w:val="22"/>
                <w:szCs w:val="22"/>
              </w:rPr>
            </w:pPr>
            <w:r>
              <w:rPr>
                <w:sz w:val="22"/>
                <w:szCs w:val="22"/>
              </w:rPr>
              <w:t xml:space="preserve">0,0</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bCs/>
                <w:sz w:val="22"/>
                <w:szCs w:val="22"/>
              </w:rPr>
            </w:pPr>
            <w:r>
              <w:rPr>
                <w:b/>
                <w:bCs/>
                <w:sz w:val="22"/>
                <w:szCs w:val="22"/>
              </w:rPr>
              <w:t xml:space="preserve">Итого</w:t>
            </w:r>
          </w:p>
        </w:tc>
        <w:tc>
          <w:tcPr>
            <w:tcW w:w="409" w:type="pct"/>
            <w:textDirection w:val="lrTb"/>
            <w:vAlign w:val="center"/>
          </w:tcPr>
          <w:p>
            <w:pPr>
              <w:pStyle w:val="Normal"/>
              <w:jc w:val="center"/>
              <w:rPr>
                <w:b/>
                <w:bCs/>
                <w:sz w:val="22"/>
                <w:szCs w:val="22"/>
              </w:rPr>
            </w:pPr>
            <w:r>
              <w:rPr>
                <w:b/>
                <w:bCs/>
                <w:sz w:val="22"/>
                <w:szCs w:val="22"/>
              </w:rPr>
              <w:t xml:space="preserve">224</w:t>
            </w:r>
          </w:p>
        </w:tc>
        <w:tc>
          <w:tcPr>
            <w:tcW w:w="411" w:type="pct"/>
            <w:textDirection w:val="lrTb"/>
            <w:vAlign w:val="center"/>
          </w:tcPr>
          <w:p>
            <w:pPr>
              <w:pStyle w:val="Normal"/>
              <w:jc w:val="center"/>
              <w:rPr>
                <w:b/>
                <w:bCs/>
                <w:sz w:val="22"/>
                <w:szCs w:val="22"/>
              </w:rPr>
            </w:pPr>
            <w:r>
              <w:rPr>
                <w:b/>
                <w:bCs/>
                <w:sz w:val="22"/>
                <w:szCs w:val="22"/>
              </w:rPr>
              <w:t xml:space="preserve">237</w:t>
            </w:r>
          </w:p>
        </w:tc>
        <w:tc>
          <w:tcPr>
            <w:tcW w:w="418" w:type="pct"/>
            <w:textDirection w:val="lrTb"/>
            <w:vAlign w:val="center"/>
          </w:tcPr>
          <w:p>
            <w:pPr>
              <w:pStyle w:val="Normal"/>
              <w:jc w:val="center"/>
              <w:rPr>
                <w:b/>
                <w:bCs/>
                <w:sz w:val="22"/>
                <w:szCs w:val="22"/>
              </w:rPr>
            </w:pPr>
            <w:r>
              <w:rPr>
                <w:b/>
                <w:bCs/>
                <w:sz w:val="22"/>
                <w:szCs w:val="22"/>
              </w:rPr>
              <w:t xml:space="preserve">21,8</w:t>
            </w:r>
          </w:p>
        </w:tc>
        <w:tc>
          <w:tcPr>
            <w:tcW w:w="419" w:type="pct"/>
            <w:textDirection w:val="lrTb"/>
            <w:vAlign w:val="center"/>
          </w:tcPr>
          <w:p>
            <w:pPr>
              <w:pStyle w:val="Normal"/>
              <w:jc w:val="center"/>
              <w:rPr>
                <w:b/>
                <w:bCs/>
                <w:sz w:val="22"/>
                <w:szCs w:val="22"/>
              </w:rPr>
            </w:pPr>
            <w:r>
              <w:rPr>
                <w:b/>
                <w:bCs/>
                <w:sz w:val="22"/>
                <w:szCs w:val="22"/>
              </w:rPr>
              <w:t xml:space="preserve">23,1</w:t>
            </w:r>
          </w:p>
        </w:tc>
        <w:tc>
          <w:tcPr>
            <w:tcW w:w="692" w:type="pct"/>
            <w:textDirection w:val="lrTb"/>
            <w:vAlign w:val="center"/>
          </w:tcPr>
          <w:p>
            <w:pPr>
              <w:pStyle w:val="Normal"/>
              <w:jc w:val="center"/>
              <w:rPr>
                <w:b/>
                <w:bCs/>
                <w:sz w:val="22"/>
                <w:szCs w:val="22"/>
              </w:rPr>
            </w:pPr>
            <w:r>
              <w:rPr>
                <w:b/>
                <w:bCs/>
                <w:sz w:val="22"/>
                <w:szCs w:val="22"/>
              </w:rPr>
              <w:t xml:space="preserve">-5,5</w:t>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rPr>
          <w:sz w:val="22"/>
          <w:szCs w:val="22"/>
        </w:rPr>
      </w:pPr>
      <w:r>
        <w:rPr>
          <w:b/>
          <w:sz w:val="22"/>
          <w:szCs w:val="22"/>
        </w:rPr>
        <w:t xml:space="preserve">* </w:t>
      </w:r>
      <w:r>
        <w:rPr>
          <w:sz w:val="22"/>
          <w:szCs w:val="22"/>
        </w:rPr>
        <w:t xml:space="preserve">вредными последствиями</w:t>
      </w:r>
      <w:r>
        <w:rPr>
          <w:sz w:val="22"/>
          <w:szCs w:val="22"/>
        </w:rPr>
      </w:r>
    </w:p>
    <w:p>
      <w:pPr>
        <w:pStyle w:val="Normal"/>
        <w:rPr>
          <w:b/>
          <w:sz w:val="22"/>
          <w:szCs w:val="22"/>
        </w:rPr>
      </w:pPr>
      <w:r>
        <w:rPr>
          <w:b/>
          <w:sz w:val="22"/>
          <w:szCs w:val="22"/>
        </w:rPr>
      </w:r>
    </w:p>
    <w:p>
      <w:pPr>
        <w:pStyle w:val="Normal"/>
        <w:ind w:firstLine="709"/>
        <w:jc w:val="both"/>
        <w:rPr>
          <w:iCs/>
        </w:rPr>
      </w:pPr>
      <w:r>
        <w:t xml:space="preserve">В структуре первичной заболеваемости НР наибольший удельный вес занимали </w:t>
      </w:r>
      <w:r>
        <w:rPr>
          <w:color w:val="000000"/>
        </w:rPr>
        <w:t xml:space="preserve">расстройства, связанные с употреблением </w:t>
      </w:r>
      <w:r>
        <w:rPr>
          <w:color w:val="000000"/>
        </w:rPr>
        <w:t xml:space="preserve">алкоголя</w:t>
      </w:r>
      <w:r>
        <w:rPr>
          <w:color w:val="000000"/>
        </w:rPr>
        <w:t xml:space="preserve"> –</w:t>
      </w:r>
      <w:r>
        <w:rPr>
          <w:color w:val="000000"/>
        </w:rPr>
        <w:t xml:space="preserve"> </w:t>
      </w:r>
      <w:r>
        <w:rPr>
          <w:color w:val="000000"/>
        </w:rPr>
        <w:t xml:space="preserve">63,4</w:t>
      </w:r>
      <w:r>
        <w:rPr>
          <w:color w:val="000000"/>
        </w:rPr>
        <w:t xml:space="preserve"> %</w:t>
      </w:r>
      <w:r>
        <w:rPr>
          <w:color w:val="000000"/>
        </w:rPr>
        <w:t xml:space="preserve">. </w:t>
      </w:r>
      <w:r>
        <w:rPr>
          <w:iCs/>
        </w:rPr>
        <w:t xml:space="preserve">На долю </w:t>
      </w:r>
      <w:r>
        <w:rPr>
          <w:iCs/>
        </w:rPr>
        <w:t xml:space="preserve">расстройств, связанных с употреблением </w:t>
      </w:r>
      <w:r>
        <w:rPr>
          <w:iCs/>
        </w:rPr>
        <w:t xml:space="preserve">наркотиков</w:t>
      </w:r>
      <w:r>
        <w:rPr>
          <w:iCs/>
        </w:rPr>
        <w:t xml:space="preserve">,</w:t>
      </w:r>
      <w:r>
        <w:rPr>
          <w:iCs/>
        </w:rPr>
        <w:t xml:space="preserve"> </w:t>
      </w:r>
      <w:r>
        <w:rPr>
          <w:iCs/>
        </w:rPr>
        <w:t xml:space="preserve">приходилось </w:t>
      </w:r>
      <w:r>
        <w:rPr>
          <w:iCs/>
        </w:rPr>
        <w:t xml:space="preserve">36,6</w:t>
      </w:r>
      <w:r>
        <w:rPr>
          <w:iCs/>
        </w:rPr>
        <w:t xml:space="preserve"> %; злоупотреблений ненаркотическими психоактивными веществами</w:t>
      </w:r>
      <w:r>
        <w:rPr>
          <w:iCs/>
        </w:rPr>
        <w:t xml:space="preserve"> </w:t>
      </w:r>
      <w:r>
        <w:t xml:space="preserve">–</w:t>
      </w:r>
      <w:r>
        <w:t xml:space="preserve"> </w:t>
      </w:r>
      <w:r>
        <w:rPr>
          <w:iCs/>
        </w:rPr>
        <w:t xml:space="preserve">не зарегистрировано</w:t>
      </w:r>
      <w:r>
        <w:t xml:space="preserve"> </w:t>
      </w:r>
      <w:r>
        <w:t xml:space="preserve">(табл. 1).</w:t>
      </w:r>
      <w:r>
        <w:rPr>
          <w:iCs/>
        </w:rPr>
      </w:r>
    </w:p>
    <w:p>
      <w:pPr>
        <w:pStyle w:val="Normal"/>
        <w:ind w:firstLine="709"/>
        <w:jc w:val="both"/>
      </w:pPr>
      <w:r>
        <w:t xml:space="preserve">За </w:t>
      </w:r>
      <w:r>
        <w:t xml:space="preserve">1 квартал</w:t>
      </w:r>
      <w:r>
        <w:t xml:space="preserve"> 20</w:t>
      </w:r>
      <w:r>
        <w:t xml:space="preserve">2</w:t>
      </w:r>
      <w:r>
        <w:t xml:space="preserve">5</w:t>
      </w:r>
      <w:r>
        <w:t xml:space="preserve"> г.</w:t>
      </w:r>
      <w:r>
        <w:t xml:space="preserve"> число </w:t>
      </w:r>
      <w:r>
        <w:t xml:space="preserve">впервые обратившихся потребителей алкоголя за наркологической помощью составило </w:t>
      </w:r>
      <w:r>
        <w:t xml:space="preserve">1</w:t>
      </w:r>
      <w:r>
        <w:t xml:space="preserve">42</w:t>
      </w:r>
      <w:r>
        <w:t xml:space="preserve"> </w:t>
      </w:r>
      <w:r>
        <w:t xml:space="preserve">человек</w:t>
      </w:r>
      <w:r>
        <w:t xml:space="preserve">а</w:t>
      </w:r>
      <w:r>
        <w:t xml:space="preserve"> – </w:t>
      </w:r>
      <w:r>
        <w:t xml:space="preserve">13,8</w:t>
      </w:r>
      <w:r>
        <w:t xml:space="preserve"> на 100 тыс. населения</w:t>
      </w:r>
      <w:r>
        <w:t xml:space="preserve">, показатель </w:t>
      </w:r>
      <w:r>
        <w:t xml:space="preserve">остался на уровне </w:t>
      </w:r>
      <w:r>
        <w:t xml:space="preserve"> аналогичного периода прошлого года (</w:t>
      </w:r>
      <w:r>
        <w:t xml:space="preserve">1 квартал</w:t>
      </w:r>
      <w:r>
        <w:t xml:space="preserve"> 20</w:t>
      </w:r>
      <w:r>
        <w:t xml:space="preserve">2</w:t>
      </w:r>
      <w:r>
        <w:t xml:space="preserve">4</w:t>
      </w:r>
      <w:r>
        <w:t xml:space="preserve"> г. – </w:t>
      </w:r>
      <w:r>
        <w:t xml:space="preserve">14,9</w:t>
      </w:r>
      <w:r>
        <w:t xml:space="preserve">).</w:t>
      </w:r>
      <w:r>
        <w:t xml:space="preserve"> </w:t>
      </w:r>
    </w:p>
    <w:p>
      <w:pPr>
        <w:pStyle w:val="Normal"/>
        <w:ind w:firstLine="709"/>
        <w:jc w:val="both"/>
      </w:pPr>
      <w:r>
        <w:t xml:space="preserve">Ч</w:t>
      </w:r>
      <w:r>
        <w:t xml:space="preserve">исло </w:t>
      </w:r>
      <w:r>
        <w:t xml:space="preserve">впервые </w:t>
      </w:r>
      <w:r>
        <w:t xml:space="preserve">зарегистрированных потребителей наркотических веществ составило </w:t>
      </w:r>
      <w:r>
        <w:t xml:space="preserve">8</w:t>
      </w:r>
      <w:r>
        <w:t xml:space="preserve">2</w:t>
      </w:r>
      <w:r>
        <w:t xml:space="preserve"> человек</w:t>
      </w:r>
      <w:r>
        <w:t xml:space="preserve">а</w:t>
      </w:r>
      <w:r>
        <w:t xml:space="preserve"> </w:t>
      </w:r>
      <w:r>
        <w:t xml:space="preserve">–</w:t>
      </w:r>
      <w:r>
        <w:t xml:space="preserve"> </w:t>
      </w:r>
      <w:r>
        <w:t xml:space="preserve">8,</w:t>
      </w:r>
      <w:r>
        <w:t xml:space="preserve">0</w:t>
      </w:r>
      <w:r>
        <w:t xml:space="preserve"> </w:t>
      </w:r>
      <w:r>
        <w:t xml:space="preserve">на 100 тыс. населения</w:t>
      </w:r>
      <w:r>
        <w:t xml:space="preserve">,</w:t>
      </w:r>
      <w:r>
        <w:t xml:space="preserve"> </w:t>
      </w:r>
      <w:r>
        <w:t xml:space="preserve">показатель </w:t>
      </w:r>
      <w:r>
        <w:t xml:space="preserve">соответствует </w:t>
      </w:r>
      <w:r>
        <w:t xml:space="preserve"> </w:t>
      </w:r>
      <w:r>
        <w:t xml:space="preserve"> уровн</w:t>
      </w:r>
      <w:r>
        <w:t xml:space="preserve">ю</w:t>
      </w:r>
      <w:r>
        <w:t xml:space="preserve"> </w:t>
      </w:r>
      <w:r>
        <w:t xml:space="preserve">1</w:t>
      </w:r>
      <w:r>
        <w:t xml:space="preserve"> </w:t>
      </w:r>
      <w:r>
        <w:t xml:space="preserve">квартала</w:t>
      </w:r>
      <w:r>
        <w:t xml:space="preserve"> прошлого года</w:t>
      </w:r>
      <w:r>
        <w:t xml:space="preserve"> </w:t>
      </w:r>
      <w:r>
        <w:t xml:space="preserve">(</w:t>
      </w:r>
      <w:r>
        <w:t xml:space="preserve">8,2</w:t>
      </w:r>
      <w:r>
        <w:t xml:space="preserve">)</w:t>
      </w:r>
      <w:r>
        <w:t xml:space="preserve">. Частота злоупотреблений наркотическими веществами в </w:t>
      </w:r>
      <w:r>
        <w:t xml:space="preserve">2,0</w:t>
      </w:r>
      <w:r>
        <w:t xml:space="preserve"> раз</w:t>
      </w:r>
      <w:r>
        <w:t xml:space="preserve">а</w:t>
      </w:r>
      <w:r>
        <w:t xml:space="preserve"> превы</w:t>
      </w:r>
      <w:r>
        <w:t xml:space="preserve">сила заболеваемость наркоманией</w:t>
      </w:r>
      <w:r>
        <w:t xml:space="preserve"> </w:t>
      </w:r>
      <w:r>
        <w:t xml:space="preserve">(табл. 1).</w:t>
      </w:r>
    </w:p>
    <w:p>
      <w:pPr>
        <w:pStyle w:val="Normal"/>
        <w:ind w:firstLine="709"/>
        <w:jc w:val="both"/>
      </w:pPr>
      <w:r>
        <w:t xml:space="preserve">Показатель первичной заболеваемости НР среди женщин </w:t>
      </w:r>
      <w:r>
        <w:t xml:space="preserve">относительно </w:t>
      </w:r>
      <w:r>
        <w:t xml:space="preserve">аналогичного периода прошлого года</w:t>
      </w:r>
      <w:r>
        <w:t xml:space="preserve"> </w:t>
      </w:r>
      <w:r>
        <w:t xml:space="preserve">существенно не изменился </w:t>
      </w:r>
      <w:r>
        <w:t xml:space="preserve">(</w:t>
      </w:r>
      <w:r>
        <w:t xml:space="preserve">9,6</w:t>
      </w:r>
      <w:r>
        <w:t xml:space="preserve"> </w:t>
      </w:r>
      <w:r>
        <w:t xml:space="preserve">против</w:t>
      </w:r>
      <w:r>
        <w:t xml:space="preserve"> </w:t>
      </w:r>
      <w:r>
        <w:t xml:space="preserve">11,4</w:t>
      </w:r>
      <w:r>
        <w:t xml:space="preserve"> на 100 тыс. женского населения). В структуре заболеваемости удельный вес женщин составил </w:t>
      </w:r>
      <w:r>
        <w:t xml:space="preserve">24,6</w:t>
      </w:r>
      <w:r>
        <w:t xml:space="preserve"> %.</w:t>
      </w:r>
      <w:r>
        <w:t xml:space="preserve"> В</w:t>
      </w:r>
      <w:r>
        <w:t xml:space="preserve"> </w:t>
      </w:r>
      <w:r>
        <w:t xml:space="preserve">с</w:t>
      </w:r>
      <w:r>
        <w:t xml:space="preserve">труктур</w:t>
      </w:r>
      <w:r>
        <w:t xml:space="preserve">е</w:t>
      </w:r>
      <w:r>
        <w:t xml:space="preserve"> первичной заболеваемости НР среди женщин </w:t>
      </w:r>
      <w:r>
        <w:t xml:space="preserve">наибольший удельный вес приходится</w:t>
      </w:r>
      <w:r>
        <w:t xml:space="preserve"> </w:t>
      </w:r>
      <w:r>
        <w:t xml:space="preserve">на</w:t>
      </w:r>
      <w:r>
        <w:t xml:space="preserve"> расстройства, связанные с употреблением алкоголя</w:t>
      </w:r>
      <w:r>
        <w:t xml:space="preserve"> (</w:t>
      </w:r>
      <w:r>
        <w:t xml:space="preserve">72,7</w:t>
      </w:r>
      <w:r>
        <w:t xml:space="preserve"> %)</w:t>
      </w:r>
      <w:r>
        <w:t xml:space="preserve">.</w:t>
      </w:r>
      <w:r>
        <w:t xml:space="preserve"> </w:t>
      </w:r>
    </w:p>
    <w:p>
      <w:pPr>
        <w:pStyle w:val="Normal"/>
        <w:ind w:firstLine="709"/>
        <w:jc w:val="both"/>
      </w:pPr>
      <w:r>
        <w:t xml:space="preserve">Территори</w:t>
      </w:r>
      <w:r>
        <w:t xml:space="preserve">ей</w:t>
      </w:r>
      <w:r>
        <w:t xml:space="preserve"> неблагополучия по первичной заболеваемости НР определен </w:t>
      </w:r>
      <w:r>
        <w:t xml:space="preserve">Кировски</w:t>
      </w:r>
      <w:r>
        <w:t xml:space="preserve">й</w:t>
      </w:r>
      <w:r>
        <w:t xml:space="preserve"> </w:t>
      </w:r>
      <w:r>
        <w:t xml:space="preserve">район,</w:t>
      </w:r>
      <w:r>
        <w:t xml:space="preserve"> в котор</w:t>
      </w:r>
      <w:r>
        <w:t xml:space="preserve">ом</w:t>
      </w:r>
      <w:r>
        <w:t xml:space="preserve"> показател</w:t>
      </w:r>
      <w:r>
        <w:t xml:space="preserve">ь</w:t>
      </w:r>
      <w:r>
        <w:t xml:space="preserve"> </w:t>
      </w:r>
      <w:r>
        <w:t xml:space="preserve">п</w:t>
      </w:r>
      <w:r>
        <w:t xml:space="preserve">ревышал среднегородской уровень </w:t>
      </w:r>
      <w:r>
        <w:t xml:space="preserve">в</w:t>
      </w:r>
      <w:r>
        <w:t xml:space="preserve"> 1,</w:t>
      </w:r>
      <w:r>
        <w:t xml:space="preserve">8</w:t>
      </w:r>
      <w:r>
        <w:t xml:space="preserve"> раз</w:t>
      </w:r>
      <w:r>
        <w:t xml:space="preserve"> </w:t>
      </w:r>
      <w:r>
        <w:t xml:space="preserve">(табл. </w:t>
      </w:r>
      <w:r>
        <w:t xml:space="preserve">2</w:t>
      </w:r>
      <w:r>
        <w:t xml:space="preserve">).</w:t>
      </w:r>
    </w:p>
    <w:p>
      <w:pPr>
        <w:pStyle w:val="Normal"/>
        <w:ind w:firstLine="709"/>
        <w:jc w:val="both"/>
        <w:rPr>
          <w:sz w:val="22"/>
          <w:szCs w:val="22"/>
        </w:rPr>
      </w:pPr>
      <w:r>
        <w:rPr>
          <w:sz w:val="22"/>
          <w:szCs w:val="22"/>
        </w:rPr>
      </w:r>
    </w:p>
    <w:p>
      <w:pPr>
        <w:pStyle w:val="Normal"/>
        <w:ind w:firstLine="709"/>
        <w:jc w:val="right"/>
        <w:rPr>
          <w:sz w:val="22"/>
          <w:szCs w:val="22"/>
        </w:rPr>
      </w:pPr>
      <w:r>
        <w:rPr>
          <w:sz w:val="22"/>
          <w:szCs w:val="22"/>
        </w:rPr>
        <w:t xml:space="preserve">Таблица </w:t>
      </w:r>
      <w:r>
        <w:rPr>
          <w:sz w:val="22"/>
          <w:szCs w:val="22"/>
        </w:rPr>
        <w:t xml:space="preserve">2</w:t>
      </w:r>
      <w:r>
        <w:rPr>
          <w:sz w:val="22"/>
          <w:szCs w:val="22"/>
        </w:rPr>
      </w:r>
    </w:p>
    <w:p>
      <w:pPr>
        <w:pStyle w:val="Normal"/>
        <w:jc w:val="center"/>
        <w:outlineLvl w:val="0"/>
        <w:rPr>
          <w:b/>
          <w:sz w:val="22"/>
          <w:szCs w:val="22"/>
        </w:rPr>
      </w:pPr>
      <w:r>
        <w:rPr>
          <w:b/>
          <w:sz w:val="22"/>
          <w:szCs w:val="22"/>
        </w:rPr>
        <w:t xml:space="preserve">Районные показатели </w:t>
      </w:r>
      <w:r>
        <w:rPr>
          <w:b/>
          <w:sz w:val="22"/>
          <w:szCs w:val="22"/>
        </w:rPr>
        <w:t xml:space="preserve">первичной </w:t>
      </w:r>
      <w:r>
        <w:rPr>
          <w:b/>
          <w:sz w:val="22"/>
          <w:szCs w:val="22"/>
        </w:rPr>
        <w:t xml:space="preserve">заболеваемости наркологическими </w:t>
      </w:r>
      <w:r>
        <w:rPr>
          <w:b/>
          <w:sz w:val="22"/>
          <w:szCs w:val="22"/>
        </w:rPr>
      </w:r>
    </w:p>
    <w:p>
      <w:pPr>
        <w:pStyle w:val="Normal"/>
        <w:jc w:val="center"/>
        <w:outlineLvl w:val="0"/>
        <w:rPr>
          <w:b/>
          <w:sz w:val="22"/>
          <w:szCs w:val="22"/>
        </w:rPr>
      </w:pPr>
      <w:r>
        <w:rPr>
          <w:b/>
          <w:sz w:val="22"/>
          <w:szCs w:val="22"/>
        </w:rPr>
        <w:t xml:space="preserve">р</w:t>
      </w:r>
      <w:r>
        <w:rPr>
          <w:b/>
          <w:sz w:val="22"/>
          <w:szCs w:val="22"/>
        </w:rPr>
        <w:t xml:space="preserve">асстройствами</w:t>
      </w:r>
      <w:r>
        <w:rPr>
          <w:b/>
          <w:sz w:val="22"/>
          <w:szCs w:val="22"/>
        </w:rPr>
        <w:t xml:space="preserve"> </w:t>
      </w:r>
      <w:r>
        <w:rPr>
          <w:b/>
          <w:sz w:val="22"/>
          <w:szCs w:val="22"/>
        </w:rPr>
        <w:t xml:space="preserve">населения г. Перми (на 100 тыс. населения)</w:t>
      </w:r>
    </w:p>
    <w:p>
      <w:pPr>
        <w:pStyle w:val="Normal"/>
        <w:jc w:val="center"/>
        <w:rPr>
          <w:b/>
          <w:sz w:val="22"/>
          <w:szCs w:val="22"/>
        </w:rPr>
      </w:pPr>
      <w:r>
        <w:rPr>
          <w:b/>
          <w:sz w:val="22"/>
          <w:szCs w:val="22"/>
        </w:rPr>
      </w:r>
    </w:p>
    <w:tbl>
      <w:tblPr>
        <w:tblW w:w="4386"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851"/>
        <w:gridCol w:w="1758"/>
        <w:gridCol w:w="1758"/>
        <w:gridCol w:w="1756"/>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vMerge w:val="restart"/>
            <w:textDirection w:val="lrTb"/>
            <w:vAlign w:val="center"/>
          </w:tcPr>
          <w:p>
            <w:pPr>
              <w:pStyle w:val="Normal"/>
              <w:jc w:val="center"/>
              <w:rPr>
                <w:sz w:val="22"/>
                <w:szCs w:val="22"/>
              </w:rPr>
            </w:pPr>
            <w:r>
              <w:rPr>
                <w:sz w:val="22"/>
                <w:szCs w:val="22"/>
              </w:rPr>
              <w:t xml:space="preserve">Районы Перми</w:t>
            </w:r>
          </w:p>
        </w:tc>
        <w:tc>
          <w:tcPr>
            <w:tcW w:w="3245"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68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vMerge w:val="continue"/>
            <w:textDirection w:val="lrTb"/>
            <w:vAlign w:val="center"/>
          </w:tcPr>
          <w:p>
            <w:pPr>
              <w:pStyle w:val="Normal"/>
              <w:jc w:val="center"/>
              <w:rPr>
                <w:sz w:val="22"/>
                <w:szCs w:val="22"/>
              </w:rPr>
            </w:pPr>
            <w:r>
              <w:rPr>
                <w:sz w:val="22"/>
                <w:szCs w:val="22"/>
              </w:rPr>
            </w:r>
          </w:p>
        </w:tc>
        <w:tc>
          <w:tcPr>
            <w:tcW w:w="1082" w:type="pct"/>
            <w:textDirection w:val="lrTb"/>
            <w:vAlign w:val="center"/>
          </w:tcPr>
          <w:p>
            <w:pPr>
              <w:pStyle w:val="Normal"/>
              <w:ind w:left="-41" w:right="-69"/>
              <w:jc w:val="center"/>
              <w:outlineLvl w:val="0"/>
              <w:rPr>
                <w:sz w:val="22"/>
                <w:szCs w:val="22"/>
              </w:rPr>
            </w:pPr>
            <w:r>
              <w:rPr>
                <w:sz w:val="22"/>
                <w:szCs w:val="22"/>
              </w:rPr>
              <w:t xml:space="preserve">1 кв</w:t>
            </w:r>
            <w:r>
              <w:rPr>
                <w:sz w:val="22"/>
                <w:szCs w:val="22"/>
              </w:rPr>
              <w:t xml:space="preserve">.</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1082" w:type="pct"/>
            <w:textDirection w:val="lrTb"/>
            <w:vAlign w:val="center"/>
          </w:tcPr>
          <w:p>
            <w:pPr>
              <w:pStyle w:val="Normal"/>
              <w:ind w:left="-41" w:right="-69"/>
              <w:jc w:val="center"/>
              <w:outlineLvl w:val="0"/>
              <w:rPr>
                <w:sz w:val="22"/>
                <w:szCs w:val="22"/>
              </w:rPr>
            </w:pPr>
            <w:r>
              <w:rPr>
                <w:sz w:val="22"/>
                <w:szCs w:val="22"/>
              </w:rPr>
              <w:t xml:space="preserve">1 кв</w:t>
            </w:r>
            <w:r>
              <w:rPr>
                <w:sz w:val="22"/>
                <w:szCs w:val="22"/>
              </w:rPr>
              <w:t xml:space="preserve">.</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081" w:type="pct"/>
            <w:textDirection w:val="lrTb"/>
            <w:vAlign w:val="center"/>
          </w:tcPr>
          <w:p>
            <w:pPr>
              <w:pStyle w:val="Normal"/>
              <w:ind w:left="-107" w:right="-156"/>
              <w:jc w:val="center"/>
              <w:rPr>
                <w:sz w:val="22"/>
                <w:szCs w:val="22"/>
              </w:rPr>
            </w:pPr>
            <w:r>
              <w:rPr>
                <w:sz w:val="22"/>
                <w:szCs w:val="22"/>
              </w:rPr>
              <w:t xml:space="preserve">темп изменений,</w:t>
            </w:r>
          </w:p>
          <w:p>
            <w:pPr>
              <w:pStyle w:val="Normal"/>
              <w:ind w:left="-107" w:right="-156"/>
              <w:jc w:val="center"/>
              <w:rPr>
                <w:sz w:val="22"/>
                <w:szCs w:val="22"/>
              </w:rPr>
            </w:pPr>
            <w:r>
              <w:rPr>
                <w:sz w:val="22"/>
                <w:szCs w:val="22"/>
              </w:rPr>
              <w:t xml:space="preserve">%</w:t>
            </w:r>
            <w:r>
              <w:rPr>
                <w:sz w:val="22"/>
                <w:szCs w:val="22"/>
              </w:rPr>
              <w:t xml:space="preserve">, разы</w:t>
            </w:r>
            <w:r>
              <w:rPr>
                <w:sz w:val="22"/>
                <w:szCs w:val="22"/>
              </w:rPr>
              <w:t xml:space="preserve">, случаи</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Ленинский</w:t>
            </w:r>
          </w:p>
        </w:tc>
        <w:tc>
          <w:tcPr>
            <w:tcW w:w="1082" w:type="pct"/>
            <w:textDirection w:val="lrTb"/>
            <w:vAlign w:val="center"/>
          </w:tcPr>
          <w:p>
            <w:pPr>
              <w:pStyle w:val="Normal"/>
              <w:jc w:val="center"/>
              <w:rPr>
                <w:sz w:val="22"/>
                <w:szCs w:val="22"/>
              </w:rPr>
            </w:pPr>
            <w:r>
              <w:rPr>
                <w:sz w:val="22"/>
                <w:szCs w:val="22"/>
              </w:rPr>
              <w:t xml:space="preserve">15,6</w:t>
            </w:r>
          </w:p>
        </w:tc>
        <w:tc>
          <w:tcPr>
            <w:tcW w:w="1082" w:type="pct"/>
            <w:textDirection w:val="lrTb"/>
            <w:vAlign w:val="center"/>
          </w:tcPr>
          <w:p>
            <w:pPr>
              <w:pStyle w:val="Normal"/>
              <w:jc w:val="center"/>
              <w:rPr>
                <w:sz w:val="22"/>
                <w:szCs w:val="22"/>
              </w:rPr>
            </w:pPr>
            <w:r>
              <w:rPr>
                <w:sz w:val="22"/>
                <w:szCs w:val="22"/>
              </w:rPr>
              <w:t xml:space="preserve">11,1</w:t>
            </w:r>
          </w:p>
        </w:tc>
        <w:tc>
          <w:tcPr>
            <w:tcW w:w="1081" w:type="pct"/>
            <w:textDirection w:val="lrTb"/>
            <w:vAlign w:val="center"/>
          </w:tcPr>
          <w:p>
            <w:pPr>
              <w:pStyle w:val="Normal"/>
              <w:jc w:val="center"/>
              <w:rPr>
                <w:sz w:val="22"/>
                <w:szCs w:val="22"/>
              </w:rPr>
            </w:pP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Свердловский</w:t>
            </w:r>
          </w:p>
        </w:tc>
        <w:tc>
          <w:tcPr>
            <w:tcW w:w="1082" w:type="pct"/>
            <w:textDirection w:val="lrTb"/>
            <w:vAlign w:val="bottom"/>
          </w:tcPr>
          <w:p>
            <w:pPr>
              <w:pStyle w:val="Normal"/>
              <w:jc w:val="center"/>
              <w:rPr>
                <w:sz w:val="22"/>
                <w:szCs w:val="22"/>
              </w:rPr>
            </w:pPr>
            <w:r>
              <w:rPr>
                <w:sz w:val="22"/>
                <w:szCs w:val="22"/>
              </w:rPr>
              <w:t xml:space="preserve">23,9</w:t>
            </w:r>
          </w:p>
        </w:tc>
        <w:tc>
          <w:tcPr>
            <w:tcW w:w="1082" w:type="pct"/>
            <w:textDirection w:val="lrTb"/>
            <w:vAlign w:val="bottom"/>
          </w:tcPr>
          <w:p>
            <w:pPr>
              <w:pStyle w:val="Normal"/>
              <w:jc w:val="center"/>
              <w:rPr>
                <w:sz w:val="22"/>
                <w:szCs w:val="22"/>
              </w:rPr>
            </w:pPr>
            <w:r>
              <w:rPr>
                <w:sz w:val="22"/>
                <w:szCs w:val="22"/>
              </w:rPr>
              <w:t xml:space="preserve">25,7</w:t>
            </w:r>
          </w:p>
        </w:tc>
        <w:tc>
          <w:tcPr>
            <w:tcW w:w="1081" w:type="pct"/>
            <w:textDirection w:val="lrTb"/>
            <w:vAlign w:val="center"/>
          </w:tcPr>
          <w:p>
            <w:pPr>
              <w:pStyle w:val="Normal"/>
              <w:jc w:val="center"/>
              <w:rPr>
                <w:sz w:val="22"/>
                <w:szCs w:val="22"/>
              </w:rPr>
            </w:pPr>
            <w:r>
              <w:rPr>
                <w:sz w:val="22"/>
                <w:szCs w:val="22"/>
              </w:rPr>
              <w:t xml:space="preserve">-</w:t>
            </w:r>
            <w:r>
              <w:rPr>
                <w:sz w:val="22"/>
                <w:szCs w:val="22"/>
              </w:rPr>
              <w:t xml:space="preserve">4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Дзержинский</w:t>
            </w:r>
          </w:p>
        </w:tc>
        <w:tc>
          <w:tcPr>
            <w:tcW w:w="1082" w:type="pct"/>
            <w:textDirection w:val="lrTb"/>
            <w:vAlign w:val="bottom"/>
          </w:tcPr>
          <w:p>
            <w:pPr>
              <w:pStyle w:val="Normal"/>
              <w:jc w:val="center"/>
              <w:rPr>
                <w:sz w:val="22"/>
                <w:szCs w:val="22"/>
              </w:rPr>
            </w:pPr>
            <w:r>
              <w:rPr>
                <w:sz w:val="22"/>
                <w:szCs w:val="22"/>
              </w:rPr>
              <w:t xml:space="preserve">14,4</w:t>
            </w:r>
          </w:p>
        </w:tc>
        <w:tc>
          <w:tcPr>
            <w:tcW w:w="1082" w:type="pct"/>
            <w:textDirection w:val="lrTb"/>
            <w:vAlign w:val="bottom"/>
          </w:tcPr>
          <w:p>
            <w:pPr>
              <w:pStyle w:val="Normal"/>
              <w:jc w:val="center"/>
              <w:rPr>
                <w:sz w:val="22"/>
                <w:szCs w:val="22"/>
              </w:rPr>
            </w:pPr>
            <w:r>
              <w:rPr>
                <w:sz w:val="22"/>
                <w:szCs w:val="22"/>
              </w:rPr>
              <w:t xml:space="preserve">19,6</w:t>
            </w:r>
          </w:p>
        </w:tc>
        <w:tc>
          <w:tcPr>
            <w:tcW w:w="1081" w:type="pct"/>
            <w:textDirection w:val="lrTb"/>
            <w:vAlign w:val="center"/>
          </w:tcPr>
          <w:p>
            <w:pPr>
              <w:pStyle w:val="Normal"/>
              <w:jc w:val="center"/>
              <w:rPr>
                <w:sz w:val="22"/>
                <w:szCs w:val="22"/>
              </w:rPr>
            </w:pPr>
            <w:r>
              <w:rPr>
                <w:sz w:val="22"/>
                <w:szCs w:val="22"/>
              </w:rPr>
              <w:t xml:space="preserve">-26,5</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Мотовилихинский</w:t>
            </w:r>
          </w:p>
        </w:tc>
        <w:tc>
          <w:tcPr>
            <w:tcW w:w="1082" w:type="pct"/>
            <w:textDirection w:val="lrTb"/>
            <w:vAlign w:val="bottom"/>
          </w:tcPr>
          <w:p>
            <w:pPr>
              <w:pStyle w:val="Normal"/>
              <w:jc w:val="center"/>
              <w:rPr>
                <w:sz w:val="22"/>
                <w:szCs w:val="22"/>
              </w:rPr>
            </w:pPr>
            <w:r>
              <w:rPr>
                <w:sz w:val="22"/>
                <w:szCs w:val="22"/>
              </w:rPr>
              <w:t xml:space="preserve">1,6</w:t>
            </w:r>
          </w:p>
        </w:tc>
        <w:tc>
          <w:tcPr>
            <w:tcW w:w="1082" w:type="pct"/>
            <w:textDirection w:val="lrTb"/>
            <w:vAlign w:val="bottom"/>
          </w:tcPr>
          <w:p>
            <w:pPr>
              <w:pStyle w:val="Normal"/>
              <w:jc w:val="center"/>
              <w:rPr>
                <w:sz w:val="22"/>
                <w:szCs w:val="22"/>
              </w:rPr>
            </w:pPr>
            <w:r>
              <w:rPr>
                <w:sz w:val="22"/>
                <w:szCs w:val="22"/>
              </w:rPr>
              <w:t xml:space="preserve">9,2</w:t>
            </w:r>
          </w:p>
        </w:tc>
        <w:tc>
          <w:tcPr>
            <w:tcW w:w="1081" w:type="pct"/>
            <w:textDirection w:val="lrTb"/>
            <w:vAlign w:val="center"/>
          </w:tcPr>
          <w:p>
            <w:pPr>
              <w:pStyle w:val="Normal"/>
              <w:jc w:val="center"/>
              <w:rPr>
                <w:sz w:val="22"/>
                <w:szCs w:val="22"/>
              </w:rPr>
            </w:pPr>
            <w:r>
              <w:rPr>
                <w:sz w:val="22"/>
                <w:szCs w:val="22"/>
              </w:rPr>
              <w:t xml:space="preserve">-</w:t>
            </w:r>
            <w:r>
              <w:rPr>
                <w:sz w:val="22"/>
                <w:szCs w:val="22"/>
              </w:rPr>
              <w:t xml:space="preserve">5,8 раз</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Орджоникидзевский</w:t>
            </w:r>
          </w:p>
        </w:tc>
        <w:tc>
          <w:tcPr>
            <w:tcW w:w="1082" w:type="pct"/>
            <w:textDirection w:val="lrTb"/>
            <w:vAlign w:val="bottom"/>
          </w:tcPr>
          <w:p>
            <w:pPr>
              <w:pStyle w:val="Normal"/>
              <w:jc w:val="center"/>
              <w:rPr>
                <w:sz w:val="22"/>
                <w:szCs w:val="22"/>
              </w:rPr>
            </w:pPr>
            <w:r>
              <w:rPr>
                <w:sz w:val="22"/>
                <w:szCs w:val="22"/>
              </w:rPr>
              <w:t xml:space="preserve">32,5</w:t>
            </w:r>
          </w:p>
        </w:tc>
        <w:tc>
          <w:tcPr>
            <w:tcW w:w="1082" w:type="pct"/>
            <w:textDirection w:val="lrTb"/>
            <w:vAlign w:val="bottom"/>
          </w:tcPr>
          <w:p>
            <w:pPr>
              <w:pStyle w:val="Normal"/>
              <w:jc w:val="center"/>
              <w:rPr>
                <w:sz w:val="22"/>
                <w:szCs w:val="22"/>
              </w:rPr>
            </w:pPr>
            <w:r>
              <w:rPr>
                <w:sz w:val="22"/>
                <w:szCs w:val="22"/>
              </w:rPr>
              <w:t xml:space="preserve">44,8</w:t>
            </w:r>
          </w:p>
        </w:tc>
        <w:tc>
          <w:tcPr>
            <w:tcW w:w="1081" w:type="pct"/>
            <w:textDirection w:val="lrTb"/>
            <w:vAlign w:val="center"/>
          </w:tcPr>
          <w:p>
            <w:pPr>
              <w:pStyle w:val="Normal"/>
              <w:jc w:val="center"/>
              <w:rPr>
                <w:sz w:val="22"/>
                <w:szCs w:val="22"/>
              </w:rPr>
            </w:pPr>
            <w:r>
              <w:rPr>
                <w:sz w:val="22"/>
                <w:szCs w:val="22"/>
              </w:rPr>
              <w:t xml:space="preserve">-27,4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Кировский</w:t>
            </w:r>
          </w:p>
        </w:tc>
        <w:tc>
          <w:tcPr>
            <w:tcW w:w="1082" w:type="pct"/>
            <w:textDirection w:val="lrTb"/>
            <w:vAlign w:val="bottom"/>
          </w:tcPr>
          <w:p>
            <w:pPr>
              <w:pStyle w:val="Normal"/>
              <w:jc w:val="center"/>
              <w:rPr>
                <w:sz w:val="22"/>
                <w:szCs w:val="22"/>
              </w:rPr>
            </w:pPr>
            <w:r>
              <w:rPr>
                <w:sz w:val="22"/>
                <w:szCs w:val="22"/>
              </w:rPr>
              <w:t xml:space="preserve">38,4</w:t>
            </w:r>
          </w:p>
        </w:tc>
        <w:tc>
          <w:tcPr>
            <w:tcW w:w="1082" w:type="pct"/>
            <w:textDirection w:val="lrTb"/>
            <w:vAlign w:val="bottom"/>
          </w:tcPr>
          <w:p>
            <w:pPr>
              <w:pStyle w:val="Normal"/>
              <w:jc w:val="center"/>
              <w:rPr>
                <w:sz w:val="22"/>
                <w:szCs w:val="22"/>
              </w:rPr>
            </w:pPr>
            <w:r>
              <w:rPr>
                <w:sz w:val="22"/>
                <w:szCs w:val="22"/>
              </w:rPr>
              <w:t xml:space="preserve">28,2</w:t>
            </w:r>
          </w:p>
        </w:tc>
        <w:tc>
          <w:tcPr>
            <w:tcW w:w="1081" w:type="pct"/>
            <w:textDirection w:val="lrTb"/>
            <w:vAlign w:val="center"/>
          </w:tcPr>
          <w:p>
            <w:pPr>
              <w:pStyle w:val="Normal"/>
              <w:jc w:val="center"/>
              <w:rPr>
                <w:sz w:val="22"/>
                <w:szCs w:val="22"/>
              </w:rPr>
            </w:pPr>
            <w:r>
              <w:rPr>
                <w:sz w:val="22"/>
                <w:szCs w:val="22"/>
              </w:rPr>
              <w:t xml:space="preserve">36,3</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extDirection w:val="lrTb"/>
            <w:vAlign w:val="center"/>
          </w:tcPr>
          <w:p>
            <w:pPr>
              <w:pStyle w:val="Normal"/>
              <w:rPr>
                <w:sz w:val="22"/>
                <w:szCs w:val="22"/>
              </w:rPr>
            </w:pPr>
            <w:r>
              <w:rPr>
                <w:sz w:val="22"/>
                <w:szCs w:val="22"/>
              </w:rPr>
              <w:t xml:space="preserve">Индустриальный</w:t>
            </w:r>
          </w:p>
        </w:tc>
        <w:tc>
          <w:tcPr>
            <w:tcW w:w="1082" w:type="pct"/>
            <w:textDirection w:val="lrTb"/>
            <w:vAlign w:val="bottom"/>
          </w:tcPr>
          <w:p>
            <w:pPr>
              <w:pStyle w:val="Normal"/>
              <w:jc w:val="center"/>
              <w:rPr>
                <w:sz w:val="22"/>
                <w:szCs w:val="22"/>
              </w:rPr>
            </w:pPr>
            <w:r>
              <w:rPr>
                <w:sz w:val="22"/>
                <w:szCs w:val="22"/>
              </w:rPr>
              <w:t xml:space="preserve">30,9</w:t>
            </w:r>
          </w:p>
        </w:tc>
        <w:tc>
          <w:tcPr>
            <w:tcW w:w="1082" w:type="pct"/>
            <w:textDirection w:val="lrTb"/>
            <w:vAlign w:val="bottom"/>
          </w:tcPr>
          <w:p>
            <w:pPr>
              <w:pStyle w:val="Normal"/>
              <w:jc w:val="center"/>
              <w:rPr>
                <w:sz w:val="22"/>
                <w:szCs w:val="22"/>
              </w:rPr>
            </w:pPr>
            <w:r>
              <w:rPr>
                <w:sz w:val="22"/>
                <w:szCs w:val="22"/>
              </w:rPr>
              <w:t xml:space="preserve">23,2</w:t>
            </w:r>
          </w:p>
        </w:tc>
        <w:tc>
          <w:tcPr>
            <w:tcW w:w="1081" w:type="pct"/>
            <w:textDirection w:val="lrTb"/>
            <w:vAlign w:val="center"/>
          </w:tcPr>
          <w:p>
            <w:pPr>
              <w:pStyle w:val="Normal"/>
              <w:jc w:val="center"/>
              <w:rPr>
                <w:sz w:val="22"/>
                <w:szCs w:val="22"/>
              </w:rPr>
            </w:pPr>
            <w:r>
              <w:rPr>
                <w:sz w:val="22"/>
                <w:szCs w:val="22"/>
              </w:rPr>
              <w:t xml:space="preserve">33,3</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755" w:type="pct"/>
            <w:tcBorders>
              <w:bottom w:val="single" w:color="000000" w:sz="4" w:space="0"/>
            </w:tcBorders>
            <w:textDirection w:val="lrTb"/>
            <w:vAlign w:val="center"/>
          </w:tcPr>
          <w:p>
            <w:pPr>
              <w:pStyle w:val="Normal"/>
              <w:rPr>
                <w:b/>
                <w:bCs/>
                <w:sz w:val="22"/>
                <w:szCs w:val="22"/>
              </w:rPr>
            </w:pPr>
            <w:r>
              <w:rPr>
                <w:b/>
                <w:bCs/>
                <w:sz w:val="22"/>
                <w:szCs w:val="22"/>
              </w:rPr>
              <w:t xml:space="preserve">г. Пермь</w:t>
            </w:r>
          </w:p>
        </w:tc>
        <w:tc>
          <w:tcPr>
            <w:tcW w:w="1082" w:type="pct"/>
            <w:textDirection w:val="lrTb"/>
            <w:vAlign w:val="bottom"/>
          </w:tcPr>
          <w:p>
            <w:pPr>
              <w:pStyle w:val="Normal"/>
              <w:jc w:val="center"/>
              <w:rPr>
                <w:b/>
                <w:bCs/>
                <w:sz w:val="22"/>
                <w:szCs w:val="22"/>
              </w:rPr>
            </w:pPr>
            <w:r>
              <w:rPr>
                <w:b/>
                <w:bCs/>
                <w:sz w:val="22"/>
                <w:szCs w:val="22"/>
              </w:rPr>
              <w:t xml:space="preserve">21,8</w:t>
            </w:r>
          </w:p>
        </w:tc>
        <w:tc>
          <w:tcPr>
            <w:tcW w:w="1082" w:type="pct"/>
            <w:textDirection w:val="lrTb"/>
            <w:vAlign w:val="bottom"/>
          </w:tcPr>
          <w:p>
            <w:pPr>
              <w:pStyle w:val="Normal"/>
              <w:jc w:val="center"/>
              <w:rPr>
                <w:b/>
                <w:bCs/>
                <w:sz w:val="22"/>
                <w:szCs w:val="22"/>
              </w:rPr>
            </w:pPr>
            <w:r>
              <w:rPr>
                <w:b/>
                <w:bCs/>
                <w:sz w:val="22"/>
                <w:szCs w:val="22"/>
              </w:rPr>
              <w:t xml:space="preserve">23,1</w:t>
            </w:r>
          </w:p>
        </w:tc>
        <w:tc>
          <w:tcPr>
            <w:tcW w:w="1081" w:type="pct"/>
            <w:textDirection w:val="lrTb"/>
            <w:vAlign w:val="center"/>
          </w:tcPr>
          <w:p>
            <w:pPr>
              <w:pStyle w:val="Normal"/>
              <w:jc w:val="center"/>
              <w:rPr>
                <w:b/>
                <w:bCs/>
                <w:sz w:val="22"/>
                <w:szCs w:val="22"/>
              </w:rPr>
            </w:pPr>
            <w:r>
              <w:rPr>
                <w:b/>
                <w:bCs/>
                <w:sz w:val="22"/>
                <w:szCs w:val="22"/>
              </w:rPr>
              <w:t xml:space="preserve">-5,5</w:t>
            </w:r>
          </w:p>
        </w:tc>
      </w:tr>
    </w:tbl>
    <w:p>
      <w:pPr>
        <w:pStyle w:val="Normal"/>
        <w:rPr>
          <w:sz w:val="22"/>
          <w:szCs w:val="22"/>
        </w:rPr>
      </w:pPr>
      <w:r>
        <w:rPr>
          <w:sz w:val="22"/>
          <w:szCs w:val="22"/>
        </w:rPr>
      </w:r>
    </w:p>
    <w:p>
      <w:pPr>
        <w:pStyle w:val="Normal"/>
        <w:ind w:firstLine="709"/>
        <w:jc w:val="both"/>
      </w:pPr>
      <w:r>
        <w:t xml:space="preserve">В сравнении с 1 кварталом 202</w:t>
      </w:r>
      <w:r>
        <w:t xml:space="preserve">4</w:t>
      </w:r>
      <w:r>
        <w:t xml:space="preserve"> г. показатель первичной заболеваемости НР достоверно </w:t>
      </w:r>
      <w:r>
        <w:t xml:space="preserve">снизился </w:t>
      </w:r>
      <w:r>
        <w:t xml:space="preserve"> </w:t>
      </w:r>
      <w:r>
        <w:t xml:space="preserve">в </w:t>
      </w:r>
      <w:r>
        <w:t xml:space="preserve">Мотовилихинском </w:t>
      </w:r>
      <w:r>
        <w:t xml:space="preserve">район</w:t>
      </w:r>
      <w:r>
        <w:t xml:space="preserve">е</w:t>
      </w:r>
      <w:r>
        <w:t xml:space="preserve"> </w:t>
      </w:r>
      <w:r>
        <w:t xml:space="preserve">(табл. </w:t>
      </w:r>
      <w:r>
        <w:t xml:space="preserve">2</w:t>
      </w:r>
      <w:r>
        <w:t xml:space="preserve">).</w:t>
      </w:r>
    </w:p>
    <w:p>
      <w:pPr>
        <w:pStyle w:val="Normal"/>
        <w:ind w:firstLine="709"/>
        <w:jc w:val="both"/>
      </w:pPr>
    </w:p>
    <w:p>
      <w:pPr>
        <w:pStyle w:val="Normal"/>
        <w:jc w:val="center"/>
        <w:outlineLvl w:val="0"/>
        <w:rPr>
          <w:b/>
          <w:color w:val="000000"/>
          <w:sz w:val="26"/>
          <w:szCs w:val="26"/>
          <w:u w:val="single"/>
        </w:rPr>
      </w:pPr>
      <w:r>
        <w:rPr>
          <w:b/>
          <w:color w:val="000000"/>
          <w:sz w:val="26"/>
          <w:szCs w:val="26"/>
          <w:u w:val="single"/>
        </w:rPr>
        <w:t xml:space="preserve">2</w:t>
      </w:r>
      <w:r>
        <w:rPr>
          <w:b/>
          <w:color w:val="000000"/>
          <w:sz w:val="26"/>
          <w:szCs w:val="26"/>
          <w:u w:val="single"/>
        </w:rPr>
        <w:t xml:space="preserve">. Анализ </w:t>
      </w:r>
      <w:r>
        <w:rPr>
          <w:b/>
          <w:color w:val="000000"/>
          <w:sz w:val="26"/>
          <w:szCs w:val="26"/>
          <w:u w:val="single"/>
        </w:rPr>
        <w:t xml:space="preserve">первичной </w:t>
      </w:r>
      <w:r>
        <w:rPr>
          <w:b/>
          <w:color w:val="000000"/>
          <w:sz w:val="26"/>
          <w:szCs w:val="26"/>
          <w:u w:val="single"/>
        </w:rPr>
        <w:t xml:space="preserve">заболеваемости</w:t>
      </w:r>
      <w:r>
        <w:rPr>
          <w:b/>
          <w:color w:val="000000"/>
          <w:sz w:val="26"/>
          <w:szCs w:val="26"/>
          <w:u w:val="single"/>
        </w:rPr>
        <w:t xml:space="preserve"> наркологическими </w:t>
      </w:r>
      <w:r>
        <w:rPr>
          <w:b/>
          <w:color w:val="000000"/>
          <w:sz w:val="26"/>
          <w:szCs w:val="26"/>
          <w:u w:val="single"/>
        </w:rPr>
      </w:r>
    </w:p>
    <w:p>
      <w:pPr>
        <w:pStyle w:val="Normal"/>
        <w:jc w:val="center"/>
        <w:outlineLvl w:val="0"/>
        <w:rPr>
          <w:b/>
          <w:color w:val="000000"/>
          <w:sz w:val="26"/>
          <w:szCs w:val="26"/>
          <w:u w:val="single"/>
        </w:rPr>
      </w:pPr>
      <w:r>
        <w:rPr>
          <w:b/>
          <w:color w:val="000000"/>
          <w:sz w:val="26"/>
          <w:szCs w:val="26"/>
          <w:u w:val="single"/>
        </w:rPr>
        <w:t xml:space="preserve">расстройствами несовершеннолетних </w:t>
      </w:r>
    </w:p>
    <w:p>
      <w:pPr>
        <w:pStyle w:val="Normal"/>
        <w:jc w:val="both"/>
      </w:pPr>
    </w:p>
    <w:p>
      <w:pPr>
        <w:pStyle w:val="Normal"/>
        <w:ind w:firstLine="709"/>
        <w:jc w:val="both"/>
      </w:pPr>
      <w:r>
        <w:t xml:space="preserve">На 01.04</w:t>
      </w:r>
      <w:r>
        <w:t xml:space="preserve">.</w:t>
      </w:r>
      <w:r>
        <w:t xml:space="preserve">20</w:t>
      </w:r>
      <w:r>
        <w:t xml:space="preserve">2</w:t>
      </w:r>
      <w:r>
        <w:t xml:space="preserve">5</w:t>
      </w:r>
      <w:r>
        <w:t xml:space="preserve"> г. в Пермск</w:t>
      </w:r>
      <w:r>
        <w:t xml:space="preserve">ий</w:t>
      </w:r>
      <w:r>
        <w:t xml:space="preserve"> краево</w:t>
      </w:r>
      <w:r>
        <w:t xml:space="preserve">й</w:t>
      </w:r>
      <w:r>
        <w:t xml:space="preserve"> наркологическ</w:t>
      </w:r>
      <w:r>
        <w:t xml:space="preserve">ий</w:t>
      </w:r>
      <w:r>
        <w:t xml:space="preserve"> диспансер </w:t>
      </w:r>
      <w:r>
        <w:t xml:space="preserve">обратились </w:t>
      </w:r>
      <w:r>
        <w:t xml:space="preserve">19 </w:t>
      </w:r>
      <w:r>
        <w:t xml:space="preserve">несовершеннолетни</w:t>
      </w:r>
      <w:r>
        <w:t xml:space="preserve">х</w:t>
      </w:r>
      <w:r>
        <w:t xml:space="preserve"> за наркологической помощью, </w:t>
      </w:r>
      <w:r>
        <w:t xml:space="preserve">что составило </w:t>
      </w:r>
      <w:r>
        <w:t xml:space="preserve">8,5</w:t>
      </w:r>
      <w:r>
        <w:t xml:space="preserve"> % от всего числа лиц</w:t>
      </w:r>
      <w:r>
        <w:t xml:space="preserve">,</w:t>
      </w:r>
      <w:r>
        <w:t xml:space="preserve"> впервые зарегистрированных за анализируемый период</w:t>
      </w:r>
      <w:r>
        <w:t xml:space="preserve">.</w:t>
      </w:r>
    </w:p>
    <w:p>
      <w:pPr>
        <w:pStyle w:val="Normal"/>
        <w:ind w:firstLine="709"/>
        <w:jc w:val="both"/>
      </w:pPr>
      <w:r>
        <w:t xml:space="preserve">Показатель </w:t>
      </w:r>
      <w:r>
        <w:t xml:space="preserve">первичной заболеваемости НР среди несовершеннолетних </w:t>
      </w:r>
      <w:r>
        <w:t xml:space="preserve">достоверно не изменился относительно</w:t>
      </w:r>
      <w:r>
        <w:t xml:space="preserve"> аналогичного периода прошлого года, </w:t>
      </w:r>
      <w:r>
        <w:t xml:space="preserve">видимые изменения показателей статистически недостоверны</w:t>
      </w:r>
      <w:r>
        <w:t xml:space="preserve"> </w:t>
      </w:r>
      <w:r>
        <w:t xml:space="preserve">(табл. </w:t>
      </w:r>
      <w:r>
        <w:t xml:space="preserve">3</w:t>
      </w:r>
      <w:r>
        <w:t xml:space="preserve">).</w:t>
      </w:r>
      <w:r>
        <w:t xml:space="preserve"> </w:t>
      </w:r>
    </w:p>
    <w:p>
      <w:pPr>
        <w:pStyle w:val="Normal"/>
        <w:jc w:val="both"/>
        <w:rPr>
          <w:sz w:val="22"/>
          <w:szCs w:val="22"/>
        </w:rPr>
      </w:pPr>
      <w:r>
        <w:rPr>
          <w:sz w:val="22"/>
          <w:szCs w:val="22"/>
        </w:rPr>
      </w:r>
    </w:p>
    <w:p>
      <w:pPr>
        <w:pStyle w:val="Normal"/>
        <w:tabs>
          <w:tab w:val="left" w:pos="7005" w:leader="none"/>
        </w:tabs>
        <w:jc w:val="right"/>
        <w:outlineLvl w:val="0"/>
        <w:rPr>
          <w:sz w:val="22"/>
          <w:szCs w:val="22"/>
        </w:rPr>
      </w:pPr>
      <w:r>
        <w:rPr>
          <w:sz w:val="22"/>
          <w:szCs w:val="22"/>
        </w:rPr>
        <w:t xml:space="preserve">Таблица </w:t>
      </w:r>
      <w:r>
        <w:rPr>
          <w:sz w:val="22"/>
          <w:szCs w:val="22"/>
        </w:rPr>
        <w:t xml:space="preserve">3</w:t>
      </w:r>
      <w:r>
        <w:rPr>
          <w:sz w:val="22"/>
          <w:szCs w:val="22"/>
        </w:rPr>
      </w:r>
    </w:p>
    <w:p>
      <w:pPr>
        <w:pStyle w:val="Normal"/>
        <w:jc w:val="center"/>
        <w:outlineLvl w:val="0"/>
        <w:rPr>
          <w:b/>
          <w:sz w:val="22"/>
          <w:szCs w:val="22"/>
        </w:rPr>
      </w:pPr>
      <w:r>
        <w:rPr>
          <w:b/>
          <w:sz w:val="22"/>
          <w:szCs w:val="22"/>
        </w:rPr>
        <w:t xml:space="preserve">Первичная заболеваемость наркологическими расстройствами несовершенн</w:t>
      </w:r>
      <w:r>
        <w:rPr>
          <w:b/>
          <w:sz w:val="22"/>
          <w:szCs w:val="22"/>
        </w:rPr>
        <w:t xml:space="preserve">о</w:t>
      </w:r>
      <w:r>
        <w:rPr>
          <w:b/>
          <w:sz w:val="22"/>
          <w:szCs w:val="22"/>
        </w:rPr>
        <w:t xml:space="preserve">летних</w:t>
      </w:r>
      <w:r>
        <w:rPr>
          <w:b/>
          <w:sz w:val="22"/>
          <w:szCs w:val="22"/>
        </w:rPr>
      </w:r>
    </w:p>
    <w:p>
      <w:pPr>
        <w:pStyle w:val="Normal"/>
        <w:jc w:val="center"/>
        <w:outlineLvl w:val="0"/>
        <w:rPr>
          <w:b/>
          <w:sz w:val="22"/>
          <w:szCs w:val="22"/>
        </w:rPr>
      </w:pPr>
      <w:r>
        <w:rPr>
          <w:b/>
          <w:sz w:val="22"/>
          <w:szCs w:val="22"/>
        </w:rPr>
      </w:r>
    </w:p>
    <w:tbl>
      <w:tblPr>
        <w:tblW w:w="500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Pr>
      <w:tblGrid>
        <w:gridCol w:w="3082"/>
        <w:gridCol w:w="757"/>
        <w:gridCol w:w="761"/>
        <w:gridCol w:w="774"/>
        <w:gridCol w:w="776"/>
        <w:gridCol w:w="1282"/>
        <w:gridCol w:w="915"/>
        <w:gridCol w:w="913"/>
      </w:tblGrid>
      <w:tr>
        <w:trPr>
          <w:trHeight w:val="22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restart"/>
            <w:textDirection w:val="lrTb"/>
            <w:vAlign w:val="center"/>
          </w:tcPr>
          <w:p>
            <w:pPr>
              <w:pStyle w:val="Normal"/>
              <w:jc w:val="center"/>
              <w:outlineLvl w:val="0"/>
              <w:rPr>
                <w:sz w:val="22"/>
                <w:szCs w:val="22"/>
              </w:rPr>
            </w:pPr>
            <w:r>
              <w:rPr>
                <w:sz w:val="22"/>
                <w:szCs w:val="22"/>
              </w:rPr>
              <w:t xml:space="preserve">Нозологии</w:t>
            </w:r>
          </w:p>
        </w:tc>
        <w:tc>
          <w:tcPr>
            <w:tcW w:w="820" w:type="pct"/>
            <w:gridSpan w:val="2"/>
            <w:textDirection w:val="lrTb"/>
            <w:vAlign w:val="center"/>
          </w:tcPr>
          <w:p>
            <w:pPr>
              <w:pStyle w:val="Normal"/>
              <w:ind w:left="-41" w:right="-69"/>
              <w:jc w:val="center"/>
              <w:outlineLvl w:val="0"/>
              <w:rPr>
                <w:sz w:val="22"/>
                <w:szCs w:val="22"/>
              </w:rPr>
            </w:pPr>
            <w:r>
              <w:rPr>
                <w:sz w:val="22"/>
                <w:szCs w:val="22"/>
              </w:rPr>
              <w:t xml:space="preserve">абс. число случаев</w:t>
            </w:r>
          </w:p>
        </w:tc>
        <w:tc>
          <w:tcPr>
            <w:tcW w:w="837" w:type="pct"/>
            <w:gridSpan w:val="2"/>
            <w:textDirection w:val="lrTb"/>
            <w:vAlign w:val="center"/>
          </w:tcPr>
          <w:p>
            <w:pPr>
              <w:pStyle w:val="Normal"/>
              <w:ind w:left="-41" w:right="-69"/>
              <w:jc w:val="center"/>
              <w:outlineLvl w:val="0"/>
              <w:rPr>
                <w:sz w:val="22"/>
                <w:szCs w:val="22"/>
              </w:rPr>
            </w:pPr>
            <w:r>
              <w:rPr>
                <w:sz w:val="22"/>
                <w:szCs w:val="22"/>
              </w:rPr>
              <w:t xml:space="preserve">показатель на 100 тыс. населения</w:t>
            </w:r>
          </w:p>
        </w:tc>
        <w:tc>
          <w:tcPr>
            <w:tcW w:w="692" w:type="pct"/>
            <w:vMerge w:val="restart"/>
            <w:textDirection w:val="lrTb"/>
            <w:vAlign w:val="center"/>
          </w:tcPr>
          <w:p>
            <w:pPr>
              <w:pStyle w:val="Normal"/>
              <w:jc w:val="center"/>
              <w:outlineLvl w:val="0"/>
              <w:rPr>
                <w:sz w:val="22"/>
                <w:szCs w:val="22"/>
              </w:rPr>
            </w:pPr>
            <w:r>
              <w:rPr>
                <w:sz w:val="22"/>
                <w:szCs w:val="22"/>
              </w:rPr>
              <w:t xml:space="preserve">темп изменений, </w:t>
            </w:r>
            <w:r>
              <w:rPr>
                <w:sz w:val="22"/>
                <w:szCs w:val="22"/>
              </w:rPr>
              <w:t xml:space="preserve">%, разы,</w:t>
            </w:r>
            <w:r>
              <w:rPr>
                <w:sz w:val="22"/>
                <w:szCs w:val="22"/>
              </w:rPr>
              <w:t xml:space="preserve"> </w:t>
            </w:r>
            <w:r>
              <w:rPr>
                <w:sz w:val="22"/>
                <w:szCs w:val="22"/>
              </w:rPr>
              <w:t xml:space="preserve">случаи</w:t>
            </w:r>
            <w:r>
              <w:rPr>
                <w:sz w:val="22"/>
                <w:szCs w:val="22"/>
              </w:rPr>
              <w:t xml:space="preserve"> </w:t>
            </w:r>
            <w:r>
              <w:rPr>
                <w:sz w:val="22"/>
                <w:szCs w:val="22"/>
              </w:rPr>
            </w:r>
          </w:p>
        </w:tc>
        <w:tc>
          <w:tcPr>
            <w:tcW w:w="987" w:type="pct"/>
            <w:gridSpan w:val="2"/>
            <w:textDirection w:val="lrTb"/>
            <w:vAlign w:val="center"/>
          </w:tcPr>
          <w:p>
            <w:pPr>
              <w:pStyle w:val="Normal"/>
              <w:jc w:val="center"/>
              <w:outlineLvl w:val="0"/>
              <w:rPr>
                <w:sz w:val="22"/>
                <w:szCs w:val="22"/>
              </w:rPr>
            </w:pPr>
            <w:r>
              <w:rPr>
                <w:sz w:val="22"/>
                <w:szCs w:val="22"/>
              </w:rPr>
              <w:t xml:space="preserve">структура наркологических расстройств, %</w:t>
            </w:r>
          </w:p>
        </w:tc>
      </w:tr>
      <w:tr>
        <w:trPr>
          <w:trHeight w:val="2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vMerge w:val="continue"/>
            <w:textDirection w:val="lrTb"/>
            <w:vAlign w:val="top"/>
          </w:tcPr>
          <w:p>
            <w:pPr>
              <w:pStyle w:val="Normal"/>
              <w:jc w:val="center"/>
              <w:outlineLvl w:val="0"/>
              <w:rPr>
                <w:sz w:val="22"/>
                <w:szCs w:val="22"/>
              </w:rPr>
            </w:pPr>
            <w:r>
              <w:rPr>
                <w:sz w:val="22"/>
                <w:szCs w:val="22"/>
              </w:rPr>
            </w:r>
          </w:p>
        </w:tc>
        <w:tc>
          <w:tcPr>
            <w:tcW w:w="409"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5</w:t>
            </w:r>
            <w:r>
              <w:rPr>
                <w:sz w:val="22"/>
                <w:szCs w:val="22"/>
              </w:rPr>
              <w:t xml:space="preserve"> г.</w:t>
            </w:r>
          </w:p>
        </w:tc>
        <w:tc>
          <w:tcPr>
            <w:tcW w:w="411"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4</w:t>
            </w:r>
            <w:r>
              <w:rPr>
                <w:sz w:val="22"/>
                <w:szCs w:val="22"/>
              </w:rPr>
              <w:t xml:space="preserve"> г.</w:t>
            </w:r>
          </w:p>
        </w:tc>
        <w:tc>
          <w:tcPr>
            <w:tcW w:w="418"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5</w:t>
            </w:r>
            <w:r>
              <w:rPr>
                <w:sz w:val="22"/>
                <w:szCs w:val="22"/>
              </w:rPr>
              <w:t xml:space="preserve"> г.</w:t>
            </w:r>
          </w:p>
        </w:tc>
        <w:tc>
          <w:tcPr>
            <w:tcW w:w="419"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4</w:t>
            </w:r>
            <w:r>
              <w:rPr>
                <w:sz w:val="22"/>
                <w:szCs w:val="22"/>
              </w:rPr>
              <w:t xml:space="preserve"> г.</w:t>
            </w:r>
          </w:p>
        </w:tc>
        <w:tc>
          <w:tcPr>
            <w:tcW w:w="692" w:type="pct"/>
            <w:vMerge w:val="continue"/>
            <w:textDirection w:val="lrTb"/>
            <w:vAlign w:val="top"/>
          </w:tcPr>
          <w:p>
            <w:pPr>
              <w:pStyle w:val="Normal"/>
              <w:jc w:val="center"/>
              <w:outlineLvl w:val="0"/>
              <w:rPr>
                <w:sz w:val="22"/>
                <w:szCs w:val="22"/>
              </w:rPr>
            </w:pPr>
            <w:r>
              <w:rPr>
                <w:sz w:val="22"/>
                <w:szCs w:val="22"/>
              </w:rPr>
            </w:r>
          </w:p>
        </w:tc>
        <w:tc>
          <w:tcPr>
            <w:tcW w:w="494"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5</w:t>
            </w:r>
            <w:r>
              <w:rPr>
                <w:sz w:val="22"/>
                <w:szCs w:val="22"/>
              </w:rPr>
              <w:t xml:space="preserve"> г.</w:t>
            </w:r>
          </w:p>
        </w:tc>
        <w:tc>
          <w:tcPr>
            <w:tcW w:w="493" w:type="pct"/>
            <w:textDirection w:val="lrTb"/>
            <w:vAlign w:val="top"/>
          </w:tcPr>
          <w:p>
            <w:pPr>
              <w:pStyle w:val="Normal"/>
              <w:ind w:left="-41" w:right="-69"/>
              <w:jc w:val="center"/>
              <w:outlineLvl w:val="0"/>
              <w:rPr>
                <w:sz w:val="22"/>
                <w:szCs w:val="22"/>
              </w:rPr>
            </w:pPr>
            <w:r>
              <w:rPr>
                <w:sz w:val="22"/>
                <w:szCs w:val="22"/>
              </w:rPr>
              <w:t xml:space="preserve">1 кв</w:t>
            </w:r>
            <w:r>
              <w:rPr>
                <w:sz w:val="22"/>
                <w:szCs w:val="22"/>
              </w:rPr>
              <w:t xml:space="preserve">. 20</w:t>
            </w:r>
            <w:r>
              <w:rPr>
                <w:sz w:val="22"/>
                <w:szCs w:val="22"/>
              </w:rPr>
              <w:t xml:space="preserve">2</w:t>
            </w:r>
            <w:r>
              <w:rPr>
                <w:sz w:val="22"/>
                <w:szCs w:val="22"/>
              </w:rPr>
              <w:t xml:space="preserve">4</w:t>
            </w:r>
            <w:r>
              <w:rPr>
                <w:sz w:val="22"/>
                <w:szCs w:val="22"/>
              </w:rPr>
              <w:t xml:space="preserve"> г.</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Наркомания</w:t>
            </w:r>
          </w:p>
        </w:tc>
        <w:tc>
          <w:tcPr>
            <w:tcW w:w="409" w:type="pct"/>
            <w:textDirection w:val="lrTb"/>
            <w:vAlign w:val="center"/>
          </w:tcPr>
          <w:p>
            <w:pPr>
              <w:pStyle w:val="Normal"/>
              <w:jc w:val="center"/>
              <w:rPr>
                <w:sz w:val="22"/>
                <w:szCs w:val="22"/>
              </w:rPr>
            </w:pPr>
            <w:r>
              <w:rPr>
                <w:sz w:val="22"/>
                <w:szCs w:val="22"/>
              </w:rPr>
              <w:t xml:space="preserve">1</w:t>
            </w:r>
          </w:p>
        </w:tc>
        <w:tc>
          <w:tcPr>
            <w:tcW w:w="411" w:type="pct"/>
            <w:textDirection w:val="lrTb"/>
            <w:vAlign w:val="center"/>
          </w:tcPr>
          <w:p>
            <w:pPr>
              <w:pStyle w:val="Normal"/>
              <w:jc w:val="center"/>
              <w:rPr>
                <w:sz w:val="22"/>
                <w:szCs w:val="22"/>
              </w:rPr>
            </w:pPr>
            <w:r>
              <w:rPr>
                <w:sz w:val="22"/>
                <w:szCs w:val="22"/>
              </w:rPr>
              <w:t xml:space="preserve">0</w:t>
            </w:r>
          </w:p>
        </w:tc>
        <w:tc>
          <w:tcPr>
            <w:tcW w:w="418" w:type="pct"/>
            <w:textDirection w:val="lrTb"/>
            <w:vAlign w:val="center"/>
          </w:tcPr>
          <w:p>
            <w:pPr>
              <w:pStyle w:val="Normal"/>
              <w:jc w:val="center"/>
              <w:rPr>
                <w:sz w:val="22"/>
                <w:szCs w:val="22"/>
              </w:rPr>
            </w:pPr>
            <w:r>
              <w:rPr>
                <w:sz w:val="22"/>
                <w:szCs w:val="22"/>
              </w:rPr>
              <w:t xml:space="preserve">0,4</w:t>
            </w:r>
          </w:p>
        </w:tc>
        <w:tc>
          <w:tcPr>
            <w:tcW w:w="419" w:type="pct"/>
            <w:textDirection w:val="lrTb"/>
            <w:vAlign w:val="center"/>
          </w:tcPr>
          <w:p>
            <w:pPr>
              <w:pStyle w:val="Normal"/>
              <w:jc w:val="center"/>
              <w:rPr>
                <w:sz w:val="22"/>
                <w:szCs w:val="22"/>
              </w:rPr>
            </w:pPr>
            <w:r>
              <w:rPr>
                <w:sz w:val="22"/>
                <w:szCs w:val="22"/>
              </w:rPr>
              <w:t xml:space="preserve">0,0</w:t>
            </w:r>
          </w:p>
        </w:tc>
        <w:tc>
          <w:tcPr>
            <w:tcW w:w="692" w:type="pct"/>
            <w:textDirection w:val="lrTb"/>
            <w:vAlign w:val="center"/>
          </w:tcPr>
          <w:p>
            <w:pPr>
              <w:pStyle w:val="Normal"/>
              <w:jc w:val="center"/>
              <w:rPr>
                <w:sz w:val="22"/>
                <w:szCs w:val="22"/>
              </w:rPr>
            </w:pPr>
            <w:r>
              <w:rPr>
                <w:sz w:val="22"/>
                <w:szCs w:val="22"/>
              </w:rPr>
              <w:t xml:space="preserve">+1 случай</w:t>
            </w:r>
            <w:r>
              <w:rPr>
                <w:sz w:val="22"/>
                <w:szCs w:val="22"/>
              </w:rPr>
            </w:r>
          </w:p>
        </w:tc>
        <w:tc>
          <w:tcPr>
            <w:tcW w:w="494" w:type="pct"/>
            <w:textDirection w:val="lrTb"/>
            <w:vAlign w:val="center"/>
          </w:tcPr>
          <w:p>
            <w:pPr>
              <w:pStyle w:val="Normal"/>
              <w:jc w:val="center"/>
              <w:rPr>
                <w:sz w:val="22"/>
                <w:szCs w:val="22"/>
              </w:rPr>
            </w:pPr>
            <w:r>
              <w:rPr>
                <w:sz w:val="22"/>
                <w:szCs w:val="22"/>
              </w:rPr>
              <w:t xml:space="preserve">5,3</w:t>
            </w:r>
          </w:p>
        </w:tc>
        <w:tc>
          <w:tcPr>
            <w:tcW w:w="493" w:type="pct"/>
            <w:textDirection w:val="lrTb"/>
            <w:vAlign w:val="center"/>
          </w:tcPr>
          <w:p>
            <w:pPr>
              <w:pStyle w:val="Normal"/>
              <w:jc w:val="center"/>
              <w:rPr>
                <w:sz w:val="22"/>
                <w:szCs w:val="22"/>
              </w:rPr>
            </w:pPr>
            <w:r>
              <w:rPr>
                <w:sz w:val="22"/>
                <w:szCs w:val="22"/>
              </w:rPr>
              <w:t xml:space="preserve">0,0</w:t>
            </w:r>
          </w:p>
        </w:tc>
      </w:tr>
      <w:tr>
        <w:trPr>
          <w:trHeight w:val="18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алког</w:t>
            </w:r>
            <w:r>
              <w:rPr>
                <w:sz w:val="22"/>
                <w:szCs w:val="22"/>
              </w:rPr>
              <w:t xml:space="preserve">о</w:t>
            </w:r>
            <w:r>
              <w:rPr>
                <w:sz w:val="22"/>
                <w:szCs w:val="22"/>
              </w:rPr>
              <w:t xml:space="preserve">ля с ВП</w:t>
            </w:r>
          </w:p>
        </w:tc>
        <w:tc>
          <w:tcPr>
            <w:tcW w:w="409" w:type="pct"/>
            <w:textDirection w:val="lrTb"/>
            <w:vAlign w:val="center"/>
          </w:tcPr>
          <w:p>
            <w:pPr>
              <w:pStyle w:val="Normal"/>
              <w:jc w:val="center"/>
              <w:rPr>
                <w:sz w:val="22"/>
                <w:szCs w:val="22"/>
              </w:rPr>
            </w:pPr>
            <w:r>
              <w:rPr>
                <w:sz w:val="22"/>
                <w:szCs w:val="22"/>
              </w:rPr>
              <w:t xml:space="preserve">12</w:t>
            </w:r>
          </w:p>
        </w:tc>
        <w:tc>
          <w:tcPr>
            <w:tcW w:w="411" w:type="pct"/>
            <w:textDirection w:val="lrTb"/>
            <w:vAlign w:val="center"/>
          </w:tcPr>
          <w:p>
            <w:pPr>
              <w:pStyle w:val="Normal"/>
              <w:jc w:val="center"/>
              <w:rPr>
                <w:sz w:val="22"/>
                <w:szCs w:val="22"/>
              </w:rPr>
            </w:pPr>
            <w:r>
              <w:rPr>
                <w:sz w:val="22"/>
                <w:szCs w:val="22"/>
              </w:rPr>
              <w:t xml:space="preserve">15</w:t>
            </w:r>
          </w:p>
        </w:tc>
        <w:tc>
          <w:tcPr>
            <w:tcW w:w="418" w:type="pct"/>
            <w:textDirection w:val="lrTb"/>
            <w:vAlign w:val="center"/>
          </w:tcPr>
          <w:p>
            <w:pPr>
              <w:pStyle w:val="Normal"/>
              <w:jc w:val="center"/>
              <w:rPr>
                <w:sz w:val="22"/>
                <w:szCs w:val="22"/>
              </w:rPr>
            </w:pPr>
            <w:r>
              <w:rPr>
                <w:sz w:val="22"/>
                <w:szCs w:val="22"/>
              </w:rPr>
              <w:t xml:space="preserve">5,3</w:t>
            </w:r>
          </w:p>
        </w:tc>
        <w:tc>
          <w:tcPr>
            <w:tcW w:w="419" w:type="pct"/>
            <w:textDirection w:val="lrTb"/>
            <w:vAlign w:val="center"/>
          </w:tcPr>
          <w:p>
            <w:pPr>
              <w:pStyle w:val="Normal"/>
              <w:jc w:val="center"/>
              <w:rPr>
                <w:sz w:val="22"/>
                <w:szCs w:val="22"/>
              </w:rPr>
            </w:pPr>
            <w:r>
              <w:rPr>
                <w:sz w:val="22"/>
                <w:szCs w:val="22"/>
              </w:rPr>
              <w:t xml:space="preserve">6,5</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3 случая</w:t>
            </w:r>
            <w:r>
              <w:rPr>
                <w:sz w:val="22"/>
                <w:szCs w:val="22"/>
              </w:rPr>
            </w:r>
          </w:p>
        </w:tc>
        <w:tc>
          <w:tcPr>
            <w:tcW w:w="494" w:type="pct"/>
            <w:textDirection w:val="lrTb"/>
            <w:vAlign w:val="center"/>
          </w:tcPr>
          <w:p>
            <w:pPr>
              <w:pStyle w:val="Normal"/>
              <w:jc w:val="center"/>
              <w:rPr>
                <w:sz w:val="22"/>
                <w:szCs w:val="22"/>
              </w:rPr>
            </w:pPr>
            <w:r>
              <w:rPr>
                <w:sz w:val="22"/>
                <w:szCs w:val="22"/>
              </w:rPr>
              <w:t xml:space="preserve">63,2</w:t>
            </w:r>
          </w:p>
        </w:tc>
        <w:tc>
          <w:tcPr>
            <w:tcW w:w="493" w:type="pct"/>
            <w:textDirection w:val="lrTb"/>
            <w:vAlign w:val="center"/>
          </w:tcPr>
          <w:p>
            <w:pPr>
              <w:pStyle w:val="Normal"/>
              <w:jc w:val="center"/>
              <w:rPr>
                <w:sz w:val="22"/>
                <w:szCs w:val="22"/>
              </w:rPr>
            </w:pPr>
            <w:r>
              <w:rPr>
                <w:sz w:val="22"/>
                <w:szCs w:val="22"/>
              </w:rPr>
              <w:t xml:space="preserve">53,6</w:t>
            </w:r>
          </w:p>
        </w:tc>
      </w:tr>
      <w:tr>
        <w:trPr>
          <w:trHeight w:val="1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sz w:val="22"/>
                <w:szCs w:val="22"/>
              </w:rPr>
            </w:pPr>
            <w:r>
              <w:rPr>
                <w:sz w:val="22"/>
                <w:szCs w:val="22"/>
              </w:rPr>
              <w:t xml:space="preserve">Употребление нарк</w:t>
            </w:r>
            <w:r>
              <w:rPr>
                <w:sz w:val="22"/>
                <w:szCs w:val="22"/>
              </w:rPr>
              <w:t xml:space="preserve">о</w:t>
            </w:r>
            <w:r>
              <w:rPr>
                <w:sz w:val="22"/>
                <w:szCs w:val="22"/>
              </w:rPr>
              <w:t xml:space="preserve">тических веществ с ВП</w:t>
            </w:r>
          </w:p>
        </w:tc>
        <w:tc>
          <w:tcPr>
            <w:tcW w:w="409" w:type="pct"/>
            <w:textDirection w:val="lrTb"/>
            <w:vAlign w:val="center"/>
          </w:tcPr>
          <w:p>
            <w:pPr>
              <w:pStyle w:val="Normal"/>
              <w:jc w:val="center"/>
              <w:rPr>
                <w:sz w:val="22"/>
                <w:szCs w:val="22"/>
              </w:rPr>
            </w:pPr>
            <w:r>
              <w:rPr>
                <w:sz w:val="22"/>
                <w:szCs w:val="22"/>
              </w:rPr>
              <w:t xml:space="preserve">6</w:t>
            </w:r>
          </w:p>
        </w:tc>
        <w:tc>
          <w:tcPr>
            <w:tcW w:w="411" w:type="pct"/>
            <w:textDirection w:val="lrTb"/>
            <w:vAlign w:val="center"/>
          </w:tcPr>
          <w:p>
            <w:pPr>
              <w:pStyle w:val="Normal"/>
              <w:jc w:val="center"/>
              <w:rPr>
                <w:sz w:val="22"/>
                <w:szCs w:val="22"/>
              </w:rPr>
            </w:pPr>
            <w:r>
              <w:rPr>
                <w:sz w:val="22"/>
                <w:szCs w:val="22"/>
              </w:rPr>
              <w:t xml:space="preserve">13</w:t>
            </w:r>
          </w:p>
        </w:tc>
        <w:tc>
          <w:tcPr>
            <w:tcW w:w="418" w:type="pct"/>
            <w:textDirection w:val="lrTb"/>
            <w:vAlign w:val="center"/>
          </w:tcPr>
          <w:p>
            <w:pPr>
              <w:pStyle w:val="Normal"/>
              <w:jc w:val="center"/>
              <w:rPr>
                <w:sz w:val="22"/>
                <w:szCs w:val="22"/>
              </w:rPr>
            </w:pPr>
            <w:r>
              <w:rPr>
                <w:sz w:val="22"/>
                <w:szCs w:val="22"/>
              </w:rPr>
              <w:t xml:space="preserve">2,6</w:t>
            </w:r>
          </w:p>
        </w:tc>
        <w:tc>
          <w:tcPr>
            <w:tcW w:w="419" w:type="pct"/>
            <w:textDirection w:val="lrTb"/>
            <w:vAlign w:val="center"/>
          </w:tcPr>
          <w:p>
            <w:pPr>
              <w:pStyle w:val="Normal"/>
              <w:jc w:val="center"/>
              <w:rPr>
                <w:sz w:val="22"/>
                <w:szCs w:val="22"/>
              </w:rPr>
            </w:pPr>
            <w:r>
              <w:rPr>
                <w:sz w:val="22"/>
                <w:szCs w:val="22"/>
              </w:rPr>
              <w:t xml:space="preserve">5,7</w:t>
            </w:r>
          </w:p>
        </w:tc>
        <w:tc>
          <w:tcPr>
            <w:tcW w:w="692" w:type="pct"/>
            <w:textDirection w:val="lrTb"/>
            <w:vAlign w:val="center"/>
          </w:tcPr>
          <w:p>
            <w:pPr>
              <w:pStyle w:val="Normal"/>
              <w:jc w:val="center"/>
              <w:rPr>
                <w:sz w:val="22"/>
                <w:szCs w:val="22"/>
              </w:rPr>
            </w:pPr>
            <w:r>
              <w:rPr>
                <w:sz w:val="22"/>
                <w:szCs w:val="22"/>
              </w:rPr>
              <w:t xml:space="preserve">-</w:t>
            </w:r>
            <w:r>
              <w:rPr>
                <w:sz w:val="22"/>
                <w:szCs w:val="22"/>
              </w:rPr>
              <w:t xml:space="preserve">2,2 раза</w:t>
            </w:r>
            <w:r>
              <w:rPr>
                <w:sz w:val="22"/>
                <w:szCs w:val="22"/>
              </w:rPr>
            </w:r>
          </w:p>
        </w:tc>
        <w:tc>
          <w:tcPr>
            <w:tcW w:w="494" w:type="pct"/>
            <w:textDirection w:val="lrTb"/>
            <w:vAlign w:val="center"/>
          </w:tcPr>
          <w:p>
            <w:pPr>
              <w:pStyle w:val="Normal"/>
              <w:jc w:val="center"/>
              <w:rPr>
                <w:sz w:val="22"/>
                <w:szCs w:val="22"/>
              </w:rPr>
            </w:pPr>
            <w:r>
              <w:rPr>
                <w:sz w:val="22"/>
                <w:szCs w:val="22"/>
              </w:rPr>
              <w:t xml:space="preserve">31,6</w:t>
            </w:r>
          </w:p>
        </w:tc>
        <w:tc>
          <w:tcPr>
            <w:tcW w:w="493" w:type="pct"/>
            <w:textDirection w:val="lrTb"/>
            <w:vAlign w:val="center"/>
          </w:tcPr>
          <w:p>
            <w:pPr>
              <w:pStyle w:val="Normal"/>
              <w:jc w:val="center"/>
              <w:rPr>
                <w:sz w:val="22"/>
                <w:szCs w:val="22"/>
              </w:rPr>
            </w:pPr>
            <w:r>
              <w:rPr>
                <w:sz w:val="22"/>
                <w:szCs w:val="22"/>
              </w:rPr>
              <w:t xml:space="preserve">46,4</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664" w:type="pct"/>
            <w:textDirection w:val="lrTb"/>
            <w:vAlign w:val="bottom"/>
          </w:tcPr>
          <w:p>
            <w:pPr>
              <w:pStyle w:val="Normal"/>
              <w:rPr>
                <w:b/>
                <w:sz w:val="22"/>
                <w:szCs w:val="22"/>
              </w:rPr>
            </w:pPr>
            <w:r>
              <w:rPr>
                <w:b/>
                <w:sz w:val="22"/>
                <w:szCs w:val="22"/>
              </w:rPr>
              <w:t xml:space="preserve">Итого</w:t>
            </w:r>
          </w:p>
        </w:tc>
        <w:tc>
          <w:tcPr>
            <w:tcW w:w="409" w:type="pct"/>
            <w:textDirection w:val="lrTb"/>
            <w:vAlign w:val="center"/>
          </w:tcPr>
          <w:p>
            <w:pPr>
              <w:pStyle w:val="Normal"/>
              <w:jc w:val="center"/>
              <w:rPr>
                <w:b/>
                <w:bCs/>
                <w:sz w:val="22"/>
                <w:szCs w:val="22"/>
              </w:rPr>
            </w:pPr>
            <w:r>
              <w:rPr>
                <w:b/>
                <w:bCs/>
                <w:sz w:val="22"/>
                <w:szCs w:val="22"/>
              </w:rPr>
              <w:t xml:space="preserve">19</w:t>
            </w:r>
          </w:p>
        </w:tc>
        <w:tc>
          <w:tcPr>
            <w:tcW w:w="411" w:type="pct"/>
            <w:textDirection w:val="lrTb"/>
            <w:vAlign w:val="center"/>
          </w:tcPr>
          <w:p>
            <w:pPr>
              <w:pStyle w:val="Normal"/>
              <w:jc w:val="center"/>
              <w:rPr>
                <w:b/>
                <w:bCs/>
                <w:sz w:val="22"/>
                <w:szCs w:val="22"/>
              </w:rPr>
            </w:pPr>
            <w:r>
              <w:rPr>
                <w:b/>
                <w:bCs/>
                <w:sz w:val="22"/>
                <w:szCs w:val="22"/>
              </w:rPr>
              <w:t xml:space="preserve">28</w:t>
            </w:r>
          </w:p>
        </w:tc>
        <w:tc>
          <w:tcPr>
            <w:tcW w:w="418" w:type="pct"/>
            <w:textDirection w:val="lrTb"/>
            <w:vAlign w:val="center"/>
          </w:tcPr>
          <w:p>
            <w:pPr>
              <w:pStyle w:val="Normal"/>
              <w:jc w:val="center"/>
              <w:rPr>
                <w:b/>
                <w:bCs/>
                <w:sz w:val="22"/>
                <w:szCs w:val="22"/>
              </w:rPr>
            </w:pPr>
            <w:r>
              <w:rPr>
                <w:b/>
                <w:bCs/>
                <w:sz w:val="22"/>
                <w:szCs w:val="22"/>
              </w:rPr>
              <w:t xml:space="preserve">8,3</w:t>
            </w:r>
          </w:p>
        </w:tc>
        <w:tc>
          <w:tcPr>
            <w:tcW w:w="419" w:type="pct"/>
            <w:textDirection w:val="lrTb"/>
            <w:vAlign w:val="center"/>
          </w:tcPr>
          <w:p>
            <w:pPr>
              <w:pStyle w:val="Normal"/>
              <w:jc w:val="center"/>
              <w:rPr>
                <w:b/>
                <w:bCs/>
                <w:sz w:val="22"/>
                <w:szCs w:val="22"/>
              </w:rPr>
            </w:pPr>
            <w:r>
              <w:rPr>
                <w:b/>
                <w:bCs/>
                <w:sz w:val="22"/>
                <w:szCs w:val="22"/>
              </w:rPr>
              <w:t xml:space="preserve">12,2</w:t>
            </w:r>
          </w:p>
        </w:tc>
        <w:tc>
          <w:tcPr>
            <w:tcW w:w="692" w:type="pct"/>
            <w:textDirection w:val="lrTb"/>
            <w:vAlign w:val="center"/>
          </w:tcPr>
          <w:p>
            <w:pPr>
              <w:pStyle w:val="Normal"/>
              <w:jc w:val="center"/>
              <w:rPr>
                <w:b/>
                <w:bCs/>
                <w:sz w:val="22"/>
                <w:szCs w:val="22"/>
              </w:rPr>
            </w:pPr>
            <w:r>
              <w:rPr>
                <w:b/>
                <w:bCs/>
                <w:sz w:val="22"/>
                <w:szCs w:val="22"/>
              </w:rPr>
              <w:t xml:space="preserve">-31,7</w:t>
            </w:r>
          </w:p>
        </w:tc>
        <w:tc>
          <w:tcPr>
            <w:tcW w:w="494" w:type="pct"/>
            <w:textDirection w:val="lrTb"/>
            <w:vAlign w:val="center"/>
          </w:tcPr>
          <w:p>
            <w:pPr>
              <w:pStyle w:val="Normal"/>
              <w:jc w:val="center"/>
              <w:rPr>
                <w:b/>
                <w:bCs/>
                <w:sz w:val="22"/>
                <w:szCs w:val="22"/>
              </w:rPr>
            </w:pPr>
            <w:r>
              <w:rPr>
                <w:b/>
                <w:bCs/>
                <w:sz w:val="22"/>
                <w:szCs w:val="22"/>
              </w:rPr>
            </w:r>
          </w:p>
        </w:tc>
        <w:tc>
          <w:tcPr>
            <w:tcW w:w="493" w:type="pct"/>
            <w:textDirection w:val="lrTb"/>
            <w:vAlign w:val="center"/>
          </w:tcPr>
          <w:p>
            <w:pPr>
              <w:pStyle w:val="Normal"/>
              <w:jc w:val="center"/>
              <w:rPr>
                <w:b/>
                <w:bCs/>
                <w:sz w:val="22"/>
                <w:szCs w:val="22"/>
              </w:rPr>
            </w:pPr>
            <w:r>
              <w:rPr>
                <w:b/>
                <w:bCs/>
                <w:sz w:val="22"/>
                <w:szCs w:val="22"/>
              </w:rPr>
            </w:r>
          </w:p>
        </w:tc>
      </w:tr>
    </w:tbl>
    <w:p>
      <w:pPr>
        <w:pStyle w:val="Normal"/>
        <w:rPr>
          <w:b/>
          <w:sz w:val="22"/>
          <w:szCs w:val="22"/>
        </w:rPr>
      </w:pPr>
      <w:r>
        <w:rPr>
          <w:b/>
          <w:sz w:val="22"/>
          <w:szCs w:val="22"/>
        </w:rPr>
      </w:r>
    </w:p>
    <w:p>
      <w:pPr>
        <w:pStyle w:val="Normal"/>
        <w:ind w:firstLine="709"/>
        <w:jc w:val="both"/>
      </w:pPr>
      <w:r>
        <w:t xml:space="preserve">Структуру</w:t>
      </w:r>
      <w:r>
        <w:t xml:space="preserve"> первичной заболеваемости НР среди несовершеннолетних </w:t>
      </w:r>
      <w:r>
        <w:t xml:space="preserve">в основном</w:t>
      </w:r>
      <w:r>
        <w:t xml:space="preserve"> </w:t>
      </w:r>
      <w:r>
        <w:t xml:space="preserve">формируют злоупотреб</w:t>
      </w:r>
      <w:r>
        <w:t xml:space="preserve">ления психоактивными веществами</w:t>
      </w:r>
      <w:r>
        <w:t xml:space="preserve">, где на употребление </w:t>
      </w:r>
      <w:r>
        <w:t xml:space="preserve">алкоголя </w:t>
      </w:r>
      <w:r>
        <w:t xml:space="preserve">с вредными последствиями приходится </w:t>
      </w:r>
      <w:r>
        <w:t xml:space="preserve">63,2</w:t>
      </w:r>
      <w:r>
        <w:t xml:space="preserve"> </w:t>
      </w:r>
      <w:r>
        <w:t xml:space="preserve">% </w:t>
      </w:r>
      <w:r>
        <w:t xml:space="preserve">(</w:t>
      </w:r>
      <w:r>
        <w:t xml:space="preserve">1</w:t>
      </w:r>
      <w:r>
        <w:t xml:space="preserve"> </w:t>
      </w:r>
      <w:r>
        <w:t xml:space="preserve">квартал</w:t>
      </w:r>
      <w:r>
        <w:t xml:space="preserve"> </w:t>
      </w:r>
      <w:r>
        <w:t xml:space="preserve">20</w:t>
      </w:r>
      <w:r>
        <w:t xml:space="preserve">2</w:t>
      </w:r>
      <w:r>
        <w:t xml:space="preserve">4 </w:t>
      </w:r>
      <w:r>
        <w:t xml:space="preserve">г.</w:t>
      </w:r>
      <w:r>
        <w:t xml:space="preserve"> </w:t>
      </w:r>
      <w:r>
        <w:rPr>
          <w:color w:val="000000"/>
        </w:rPr>
        <w:t xml:space="preserve">–</w:t>
      </w:r>
      <w:r>
        <w:t xml:space="preserve"> </w:t>
      </w:r>
      <w:r>
        <w:t xml:space="preserve">53,6</w:t>
      </w:r>
      <w:r>
        <w:t xml:space="preserve"> </w:t>
      </w:r>
      <w:r>
        <w:t xml:space="preserve"> %)</w:t>
      </w:r>
      <w:r>
        <w:t xml:space="preserve"> </w:t>
      </w:r>
      <w:r>
        <w:t xml:space="preserve">(табл. </w:t>
      </w:r>
      <w:r>
        <w:t xml:space="preserve">3</w:t>
      </w:r>
      <w:r>
        <w:t xml:space="preserve">).</w:t>
      </w:r>
    </w:p>
    <w:p>
      <w:pPr>
        <w:pStyle w:val="Normal"/>
        <w:ind w:firstLine="709"/>
        <w:jc w:val="both"/>
      </w:pPr>
      <w:r>
        <w:t xml:space="preserve">Территори</w:t>
      </w:r>
      <w:r>
        <w:t xml:space="preserve">ей</w:t>
      </w:r>
      <w:r>
        <w:t xml:space="preserve"> неблагополучия по первичной заболеваемости НР среди несовершеннолетних определен</w:t>
      </w:r>
      <w:r>
        <w:t xml:space="preserve"> </w:t>
      </w:r>
      <w:r>
        <w:t xml:space="preserve">Кировский</w:t>
      </w:r>
      <w:r>
        <w:t xml:space="preserve"> </w:t>
      </w:r>
      <w:r>
        <w:t xml:space="preserve">район</w:t>
      </w:r>
      <w:r>
        <w:t xml:space="preserve">, где показател</w:t>
      </w:r>
      <w:r>
        <w:t xml:space="preserve">ь</w:t>
      </w:r>
      <w:r>
        <w:t xml:space="preserve"> превыша</w:t>
      </w:r>
      <w:r>
        <w:t xml:space="preserve">е</w:t>
      </w:r>
      <w:r>
        <w:t xml:space="preserve">т сре</w:t>
      </w:r>
      <w:r>
        <w:t xml:space="preserve">д</w:t>
      </w:r>
      <w:r>
        <w:t xml:space="preserve">негородской уровень </w:t>
      </w:r>
      <w:r>
        <w:t xml:space="preserve">в 2,</w:t>
      </w:r>
      <w:r>
        <w:t xml:space="preserve">5</w:t>
      </w:r>
      <w:r>
        <w:t xml:space="preserve"> раз</w:t>
      </w:r>
      <w:r>
        <w:t xml:space="preserve">а</w:t>
      </w:r>
      <w:r>
        <w:t xml:space="preserve"> </w:t>
      </w:r>
      <w:r>
        <w:t xml:space="preserve">(табл. </w:t>
      </w:r>
      <w:r>
        <w:t xml:space="preserve">4</w:t>
      </w:r>
      <w:r>
        <w:t xml:space="preserve">).</w:t>
      </w:r>
    </w:p>
    <w:p>
      <w:pPr>
        <w:pStyle w:val="Normal"/>
        <w:ind w:firstLine="709"/>
        <w:jc w:val="both"/>
      </w:pPr>
    </w:p>
    <w:p>
      <w:pPr>
        <w:pStyle w:val="Normal"/>
        <w:ind w:firstLine="709"/>
        <w:jc w:val="both"/>
        <w:rPr>
          <w:sz w:val="22"/>
          <w:szCs w:val="22"/>
        </w:rPr>
      </w:pPr>
      <w:r>
        <w:rPr>
          <w:sz w:val="22"/>
          <w:szCs w:val="22"/>
        </w:rPr>
      </w:r>
    </w:p>
    <w:p>
      <w:pPr>
        <w:pStyle w:val="Normal"/>
        <w:jc w:val="right"/>
        <w:outlineLvl w:val="0"/>
        <w:rPr>
          <w:b/>
          <w:sz w:val="22"/>
          <w:szCs w:val="22"/>
        </w:rPr>
      </w:pPr>
      <w:r>
        <w:rPr>
          <w:sz w:val="22"/>
          <w:szCs w:val="22"/>
        </w:rPr>
        <w:t xml:space="preserve">Таблица </w:t>
      </w:r>
      <w:r>
        <w:rPr>
          <w:sz w:val="22"/>
          <w:szCs w:val="22"/>
        </w:rPr>
        <w:t xml:space="preserve">4</w:t>
      </w:r>
      <w:r>
        <w:rPr>
          <w:b/>
          <w:sz w:val="22"/>
          <w:szCs w:val="22"/>
        </w:rPr>
      </w:r>
    </w:p>
    <w:p>
      <w:pPr>
        <w:pStyle w:val="Normal"/>
        <w:jc w:val="center"/>
        <w:outlineLvl w:val="0"/>
        <w:rPr>
          <w:b/>
          <w:sz w:val="22"/>
          <w:szCs w:val="22"/>
        </w:rPr>
      </w:pPr>
      <w:r>
        <w:rPr>
          <w:b/>
          <w:sz w:val="22"/>
          <w:szCs w:val="22"/>
        </w:rPr>
        <w:t xml:space="preserve">Районные показатели </w:t>
      </w:r>
      <w:r>
        <w:rPr>
          <w:b/>
          <w:sz w:val="22"/>
          <w:szCs w:val="22"/>
        </w:rPr>
        <w:t xml:space="preserve">первичной </w:t>
      </w:r>
      <w:r>
        <w:rPr>
          <w:b/>
          <w:sz w:val="22"/>
          <w:szCs w:val="22"/>
        </w:rPr>
        <w:t xml:space="preserve">заболеваемости наркологическими </w:t>
      </w:r>
      <w:r>
        <w:rPr>
          <w:b/>
          <w:sz w:val="22"/>
          <w:szCs w:val="22"/>
        </w:rPr>
      </w:r>
    </w:p>
    <w:p>
      <w:pPr>
        <w:pStyle w:val="Normal"/>
        <w:jc w:val="center"/>
        <w:outlineLvl w:val="0"/>
        <w:rPr>
          <w:b/>
          <w:sz w:val="22"/>
          <w:szCs w:val="22"/>
        </w:rPr>
      </w:pPr>
      <w:r>
        <w:rPr>
          <w:b/>
          <w:sz w:val="22"/>
          <w:szCs w:val="22"/>
        </w:rPr>
        <w:t xml:space="preserve">р</w:t>
      </w:r>
      <w:r>
        <w:rPr>
          <w:b/>
          <w:sz w:val="22"/>
          <w:szCs w:val="22"/>
        </w:rPr>
        <w:t xml:space="preserve">асстройствами</w:t>
      </w:r>
      <w:r>
        <w:rPr>
          <w:b/>
          <w:sz w:val="22"/>
          <w:szCs w:val="22"/>
        </w:rPr>
        <w:t xml:space="preserve"> </w:t>
      </w:r>
      <w:r>
        <w:rPr>
          <w:b/>
          <w:sz w:val="22"/>
          <w:szCs w:val="22"/>
        </w:rPr>
        <w:t xml:space="preserve">несовершеннолетних (на 100 тыс. несовершеннолетних)</w:t>
      </w:r>
    </w:p>
    <w:p>
      <w:pPr>
        <w:pStyle w:val="Normal"/>
        <w:rPr>
          <w:b/>
          <w:sz w:val="22"/>
          <w:szCs w:val="22"/>
        </w:rPr>
      </w:pPr>
      <w:r>
        <w:rPr>
          <w:b/>
          <w:sz w:val="22"/>
          <w:szCs w:val="22"/>
        </w:rPr>
      </w:r>
    </w:p>
    <w:tbl>
      <w:tblPr>
        <w:tblW w:w="395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849"/>
        <w:gridCol w:w="1489"/>
        <w:gridCol w:w="1489"/>
        <w:gridCol w:w="1488"/>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restart"/>
            <w:textDirection w:val="lrTb"/>
            <w:vAlign w:val="center"/>
          </w:tcPr>
          <w:p>
            <w:pPr>
              <w:pStyle w:val="Normal"/>
              <w:jc w:val="center"/>
              <w:rPr>
                <w:sz w:val="22"/>
                <w:szCs w:val="22"/>
              </w:rPr>
            </w:pPr>
            <w:r>
              <w:rPr>
                <w:sz w:val="22"/>
                <w:szCs w:val="22"/>
              </w:rPr>
              <w:t xml:space="preserve">Районы Перми</w:t>
            </w:r>
          </w:p>
        </w:tc>
        <w:tc>
          <w:tcPr>
            <w:tcW w:w="3053"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continue"/>
            <w:textDirection w:val="lrTb"/>
            <w:vAlign w:val="center"/>
          </w:tcPr>
          <w:p>
            <w:pPr>
              <w:pStyle w:val="Normal"/>
              <w:jc w:val="center"/>
              <w:rPr>
                <w:sz w:val="22"/>
                <w:szCs w:val="22"/>
              </w:rPr>
            </w:pPr>
            <w:r>
              <w:rPr>
                <w:sz w:val="22"/>
                <w:szCs w:val="22"/>
              </w:rPr>
            </w:r>
          </w:p>
        </w:tc>
        <w:tc>
          <w:tcPr>
            <w:tcW w:w="1018" w:type="pct"/>
            <w:textDirection w:val="lrTb"/>
            <w:vAlign w:val="center"/>
          </w:tcPr>
          <w:p>
            <w:pPr>
              <w:pStyle w:val="Normal"/>
              <w:ind w:left="-41" w:right="-69"/>
              <w:jc w:val="center"/>
              <w:outlineLvl w:val="0"/>
              <w:rPr>
                <w:sz w:val="22"/>
                <w:szCs w:val="22"/>
              </w:rPr>
            </w:pPr>
            <w:r>
              <w:rPr>
                <w:sz w:val="22"/>
                <w:szCs w:val="22"/>
              </w:rPr>
              <w:t xml:space="preserve">1 кв</w:t>
            </w:r>
            <w:r>
              <w:rPr>
                <w:sz w:val="22"/>
                <w:szCs w:val="22"/>
              </w:rPr>
              <w:t xml:space="preserve">.</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1018" w:type="pct"/>
            <w:textDirection w:val="lrTb"/>
            <w:vAlign w:val="center"/>
          </w:tcPr>
          <w:p>
            <w:pPr>
              <w:pStyle w:val="Normal"/>
              <w:ind w:left="-41" w:right="-69"/>
              <w:jc w:val="center"/>
              <w:outlineLvl w:val="0"/>
              <w:rPr>
                <w:sz w:val="22"/>
                <w:szCs w:val="22"/>
              </w:rPr>
            </w:pPr>
            <w:r>
              <w:rPr>
                <w:sz w:val="22"/>
                <w:szCs w:val="22"/>
              </w:rPr>
              <w:t xml:space="preserve">1 кв</w:t>
            </w:r>
            <w:r>
              <w:rPr>
                <w:sz w:val="22"/>
                <w:szCs w:val="22"/>
              </w:rPr>
              <w:t xml:space="preserve">.</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017" w:type="pct"/>
            <w:textDirection w:val="lrTb"/>
            <w:vAlign w:val="center"/>
          </w:tcPr>
          <w:p>
            <w:pPr>
              <w:pStyle w:val="Normal"/>
              <w:ind w:left="-107" w:right="-156"/>
              <w:jc w:val="center"/>
              <w:rPr>
                <w:sz w:val="22"/>
                <w:szCs w:val="22"/>
              </w:rPr>
            </w:pPr>
            <w:r>
              <w:rPr>
                <w:sz w:val="22"/>
                <w:szCs w:val="22"/>
              </w:rPr>
              <w:t xml:space="preserve">темп изменений,</w:t>
            </w:r>
            <w:r>
              <w:rPr>
                <w:sz w:val="22"/>
                <w:szCs w:val="22"/>
              </w:rPr>
              <w:br w:type="textWrapping" w:clear="all"/>
            </w:r>
            <w:r>
              <w:rPr>
                <w:sz w:val="22"/>
                <w:szCs w:val="22"/>
              </w:rPr>
              <w:t xml:space="preserve"> </w:t>
            </w:r>
            <w:r>
              <w:rPr>
                <w:sz w:val="22"/>
                <w:szCs w:val="22"/>
              </w:rPr>
              <w:t xml:space="preserve">%</w:t>
            </w:r>
            <w:r>
              <w:rPr>
                <w:sz w:val="22"/>
                <w:szCs w:val="22"/>
              </w:rPr>
              <w:t xml:space="preserve">,</w:t>
            </w:r>
            <w:r>
              <w:rPr>
                <w:sz w:val="22"/>
                <w:szCs w:val="22"/>
              </w:rPr>
              <w:t xml:space="preserve"> случаи</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Ленинский</w:t>
            </w:r>
          </w:p>
        </w:tc>
        <w:tc>
          <w:tcPr>
            <w:tcW w:w="1018" w:type="pct"/>
            <w:textDirection w:val="lrTb"/>
            <w:vAlign w:val="center"/>
          </w:tcPr>
          <w:p>
            <w:pPr>
              <w:pStyle w:val="Normal"/>
              <w:jc w:val="center"/>
              <w:rPr>
                <w:sz w:val="22"/>
                <w:szCs w:val="22"/>
              </w:rPr>
            </w:pPr>
            <w:r>
              <w:rPr>
                <w:sz w:val="22"/>
                <w:szCs w:val="22"/>
              </w:rPr>
              <w:t xml:space="preserve">0,0</w:t>
            </w:r>
          </w:p>
        </w:tc>
        <w:tc>
          <w:tcPr>
            <w:tcW w:w="1018" w:type="pct"/>
            <w:textDirection w:val="lrTb"/>
            <w:vAlign w:val="center"/>
          </w:tcPr>
          <w:p>
            <w:pPr>
              <w:pStyle w:val="Normal"/>
              <w:jc w:val="center"/>
              <w:rPr>
                <w:sz w:val="22"/>
                <w:szCs w:val="22"/>
              </w:rPr>
            </w:pPr>
            <w:r>
              <w:rPr>
                <w:sz w:val="22"/>
                <w:szCs w:val="22"/>
              </w:rPr>
              <w:t xml:space="preserve">13,9</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1 случай</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Свердловский</w:t>
            </w:r>
          </w:p>
        </w:tc>
        <w:tc>
          <w:tcPr>
            <w:tcW w:w="1018" w:type="pct"/>
            <w:textDirection w:val="lrTb"/>
            <w:vAlign w:val="bottom"/>
          </w:tcPr>
          <w:p>
            <w:pPr>
              <w:pStyle w:val="Normal"/>
              <w:jc w:val="center"/>
              <w:rPr>
                <w:sz w:val="22"/>
                <w:szCs w:val="22"/>
              </w:rPr>
            </w:pPr>
            <w:r>
              <w:rPr>
                <w:sz w:val="22"/>
                <w:szCs w:val="22"/>
              </w:rPr>
              <w:t xml:space="preserve">2,2</w:t>
            </w:r>
          </w:p>
        </w:tc>
        <w:tc>
          <w:tcPr>
            <w:tcW w:w="1018" w:type="pct"/>
            <w:textDirection w:val="lrTb"/>
            <w:vAlign w:val="bottom"/>
          </w:tcPr>
          <w:p>
            <w:pPr>
              <w:pStyle w:val="Normal"/>
              <w:jc w:val="center"/>
              <w:rPr>
                <w:sz w:val="22"/>
                <w:szCs w:val="22"/>
              </w:rPr>
            </w:pPr>
            <w:r>
              <w:rPr>
                <w:sz w:val="22"/>
                <w:szCs w:val="22"/>
              </w:rPr>
              <w:t xml:space="preserve">8,6</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Дзержинский</w:t>
            </w:r>
          </w:p>
        </w:tc>
        <w:tc>
          <w:tcPr>
            <w:tcW w:w="1018" w:type="pct"/>
            <w:textDirection w:val="lrTb"/>
            <w:vAlign w:val="bottom"/>
          </w:tcPr>
          <w:p>
            <w:pPr>
              <w:pStyle w:val="Normal"/>
              <w:jc w:val="center"/>
              <w:rPr>
                <w:sz w:val="22"/>
                <w:szCs w:val="22"/>
              </w:rPr>
            </w:pPr>
            <w:r>
              <w:rPr>
                <w:sz w:val="22"/>
                <w:szCs w:val="22"/>
              </w:rPr>
              <w:t xml:space="preserve">7,5</w:t>
            </w:r>
          </w:p>
        </w:tc>
        <w:tc>
          <w:tcPr>
            <w:tcW w:w="1018" w:type="pct"/>
            <w:textDirection w:val="lrTb"/>
            <w:vAlign w:val="bottom"/>
          </w:tcPr>
          <w:p>
            <w:pPr>
              <w:pStyle w:val="Normal"/>
              <w:jc w:val="center"/>
              <w:rPr>
                <w:sz w:val="22"/>
                <w:szCs w:val="22"/>
              </w:rPr>
            </w:pPr>
            <w:r>
              <w:rPr>
                <w:sz w:val="22"/>
                <w:szCs w:val="22"/>
              </w:rPr>
              <w:t xml:space="preserve">9,9</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1 случай</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Мотовилихинский</w:t>
            </w:r>
          </w:p>
        </w:tc>
        <w:tc>
          <w:tcPr>
            <w:tcW w:w="1018" w:type="pct"/>
            <w:textDirection w:val="lrTb"/>
            <w:vAlign w:val="bottom"/>
          </w:tcPr>
          <w:p>
            <w:pPr>
              <w:pStyle w:val="Normal"/>
              <w:jc w:val="center"/>
              <w:rPr>
                <w:sz w:val="22"/>
                <w:szCs w:val="22"/>
              </w:rPr>
            </w:pPr>
            <w:r>
              <w:rPr>
                <w:sz w:val="22"/>
                <w:szCs w:val="22"/>
              </w:rPr>
              <w:t xml:space="preserve">7,0</w:t>
            </w:r>
          </w:p>
        </w:tc>
        <w:tc>
          <w:tcPr>
            <w:tcW w:w="1018" w:type="pct"/>
            <w:textDirection w:val="lrTb"/>
            <w:vAlign w:val="bottom"/>
          </w:tcPr>
          <w:p>
            <w:pPr>
              <w:pStyle w:val="Normal"/>
              <w:jc w:val="center"/>
              <w:rPr>
                <w:sz w:val="22"/>
                <w:szCs w:val="22"/>
              </w:rPr>
            </w:pPr>
            <w:r>
              <w:rPr>
                <w:sz w:val="22"/>
                <w:szCs w:val="22"/>
              </w:rPr>
              <w:t xml:space="preserve">13,8</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Орджоникидзевский</w:t>
            </w:r>
          </w:p>
        </w:tc>
        <w:tc>
          <w:tcPr>
            <w:tcW w:w="1018" w:type="pct"/>
            <w:textDirection w:val="lrTb"/>
            <w:vAlign w:val="bottom"/>
          </w:tcPr>
          <w:p>
            <w:pPr>
              <w:pStyle w:val="Normal"/>
              <w:jc w:val="center"/>
              <w:rPr>
                <w:sz w:val="22"/>
                <w:szCs w:val="22"/>
              </w:rPr>
            </w:pPr>
            <w:r>
              <w:rPr>
                <w:sz w:val="22"/>
                <w:szCs w:val="22"/>
              </w:rPr>
              <w:t xml:space="preserve">7,4</w:t>
            </w:r>
          </w:p>
        </w:tc>
        <w:tc>
          <w:tcPr>
            <w:tcW w:w="1018" w:type="pct"/>
            <w:textDirection w:val="lrTb"/>
            <w:vAlign w:val="bottom"/>
          </w:tcPr>
          <w:p>
            <w:pPr>
              <w:pStyle w:val="Normal"/>
              <w:jc w:val="center"/>
              <w:rPr>
                <w:sz w:val="22"/>
                <w:szCs w:val="22"/>
              </w:rPr>
            </w:pPr>
            <w:r>
              <w:rPr>
                <w:sz w:val="22"/>
                <w:szCs w:val="22"/>
              </w:rPr>
              <w:t xml:space="preserve">29,7</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6 случаев</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Кировский</w:t>
            </w:r>
          </w:p>
        </w:tc>
        <w:tc>
          <w:tcPr>
            <w:tcW w:w="1018" w:type="pct"/>
            <w:textDirection w:val="lrTb"/>
            <w:vAlign w:val="bottom"/>
          </w:tcPr>
          <w:p>
            <w:pPr>
              <w:pStyle w:val="Normal"/>
              <w:jc w:val="center"/>
              <w:rPr>
                <w:sz w:val="22"/>
                <w:szCs w:val="22"/>
              </w:rPr>
            </w:pPr>
            <w:r>
              <w:rPr>
                <w:sz w:val="22"/>
                <w:szCs w:val="22"/>
              </w:rPr>
              <w:t xml:space="preserve">20,7</w:t>
            </w:r>
          </w:p>
        </w:tc>
        <w:tc>
          <w:tcPr>
            <w:tcW w:w="1018" w:type="pct"/>
            <w:textDirection w:val="lrTb"/>
            <w:vAlign w:val="bottom"/>
          </w:tcPr>
          <w:p>
            <w:pPr>
              <w:pStyle w:val="Normal"/>
              <w:jc w:val="center"/>
              <w:rPr>
                <w:sz w:val="22"/>
                <w:szCs w:val="22"/>
              </w:rPr>
            </w:pPr>
            <w:r>
              <w:rPr>
                <w:sz w:val="22"/>
                <w:szCs w:val="22"/>
              </w:rPr>
              <w:t xml:space="preserve">10,2</w:t>
            </w:r>
          </w:p>
        </w:tc>
        <w:tc>
          <w:tcPr>
            <w:tcW w:w="1017" w:type="pct"/>
            <w:textDirection w:val="lrTb"/>
            <w:vAlign w:val="center"/>
          </w:tcPr>
          <w:p>
            <w:pPr>
              <w:pStyle w:val="Normal"/>
              <w:jc w:val="center"/>
              <w:rPr>
                <w:sz w:val="22"/>
                <w:szCs w:val="22"/>
              </w:rPr>
            </w:pPr>
            <w:r>
              <w:rPr>
                <w:sz w:val="22"/>
                <w:szCs w:val="22"/>
              </w:rPr>
              <w:t xml:space="preserve">+3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Индустриальный</w:t>
            </w:r>
          </w:p>
        </w:tc>
        <w:tc>
          <w:tcPr>
            <w:tcW w:w="1018" w:type="pct"/>
            <w:textDirection w:val="lrTb"/>
            <w:vAlign w:val="bottom"/>
          </w:tcPr>
          <w:p>
            <w:pPr>
              <w:pStyle w:val="Normal"/>
              <w:jc w:val="center"/>
              <w:rPr>
                <w:sz w:val="22"/>
                <w:szCs w:val="22"/>
              </w:rPr>
            </w:pPr>
            <w:r>
              <w:rPr>
                <w:sz w:val="22"/>
                <w:szCs w:val="22"/>
              </w:rPr>
              <w:t xml:space="preserve">11,1</w:t>
            </w:r>
          </w:p>
        </w:tc>
        <w:tc>
          <w:tcPr>
            <w:tcW w:w="1018" w:type="pct"/>
            <w:textDirection w:val="lrTb"/>
            <w:vAlign w:val="bottom"/>
          </w:tcPr>
          <w:p>
            <w:pPr>
              <w:pStyle w:val="Normal"/>
              <w:jc w:val="center"/>
              <w:rPr>
                <w:sz w:val="22"/>
                <w:szCs w:val="22"/>
              </w:rPr>
            </w:pPr>
            <w:r>
              <w:rPr>
                <w:sz w:val="22"/>
                <w:szCs w:val="22"/>
              </w:rPr>
              <w:t xml:space="preserve">5,5</w:t>
            </w:r>
          </w:p>
        </w:tc>
        <w:tc>
          <w:tcPr>
            <w:tcW w:w="1017" w:type="pct"/>
            <w:textDirection w:val="lrTb"/>
            <w:vAlign w:val="center"/>
          </w:tcPr>
          <w:p>
            <w:pPr>
              <w:pStyle w:val="Normal"/>
              <w:jc w:val="center"/>
              <w:rPr>
                <w:sz w:val="22"/>
                <w:szCs w:val="22"/>
              </w:rPr>
            </w:pP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cBorders>
              <w:bottom w:val="single" w:color="000000" w:sz="4" w:space="0"/>
            </w:tcBorders>
            <w:textDirection w:val="lrTb"/>
            <w:vAlign w:val="center"/>
          </w:tcPr>
          <w:p>
            <w:pPr>
              <w:pStyle w:val="Normal"/>
              <w:rPr>
                <w:b/>
                <w:bCs/>
                <w:sz w:val="22"/>
                <w:szCs w:val="22"/>
              </w:rPr>
            </w:pPr>
            <w:r>
              <w:rPr>
                <w:b/>
                <w:bCs/>
                <w:sz w:val="22"/>
                <w:szCs w:val="22"/>
              </w:rPr>
              <w:t xml:space="preserve">г. Пермь</w:t>
            </w:r>
          </w:p>
        </w:tc>
        <w:tc>
          <w:tcPr>
            <w:tcW w:w="1018" w:type="pct"/>
            <w:textDirection w:val="lrTb"/>
            <w:vAlign w:val="bottom"/>
          </w:tcPr>
          <w:p>
            <w:pPr>
              <w:pStyle w:val="Normal"/>
              <w:jc w:val="center"/>
              <w:rPr>
                <w:b/>
                <w:bCs/>
                <w:sz w:val="22"/>
                <w:szCs w:val="22"/>
              </w:rPr>
            </w:pPr>
            <w:r>
              <w:rPr>
                <w:b/>
                <w:bCs/>
                <w:sz w:val="22"/>
                <w:szCs w:val="22"/>
              </w:rPr>
              <w:t xml:space="preserve">8,3</w:t>
            </w:r>
          </w:p>
        </w:tc>
        <w:tc>
          <w:tcPr>
            <w:tcW w:w="1018" w:type="pct"/>
            <w:textDirection w:val="lrTb"/>
            <w:vAlign w:val="bottom"/>
          </w:tcPr>
          <w:p>
            <w:pPr>
              <w:pStyle w:val="Normal"/>
              <w:jc w:val="center"/>
              <w:rPr>
                <w:b/>
                <w:bCs/>
                <w:sz w:val="22"/>
                <w:szCs w:val="22"/>
              </w:rPr>
            </w:pPr>
            <w:r>
              <w:rPr>
                <w:b/>
                <w:bCs/>
                <w:sz w:val="22"/>
                <w:szCs w:val="22"/>
              </w:rPr>
              <w:t xml:space="preserve">12,2</w:t>
            </w:r>
          </w:p>
        </w:tc>
        <w:tc>
          <w:tcPr>
            <w:tcW w:w="1017" w:type="pct"/>
            <w:textDirection w:val="lrTb"/>
            <w:vAlign w:val="center"/>
          </w:tcPr>
          <w:p>
            <w:pPr>
              <w:pStyle w:val="Normal"/>
              <w:jc w:val="center"/>
              <w:rPr>
                <w:b/>
                <w:bCs/>
                <w:sz w:val="22"/>
                <w:szCs w:val="22"/>
              </w:rPr>
            </w:pPr>
            <w:r>
              <w:rPr>
                <w:b/>
                <w:bCs/>
                <w:sz w:val="22"/>
                <w:szCs w:val="22"/>
              </w:rPr>
              <w:t xml:space="preserve">-31,7</w:t>
            </w:r>
          </w:p>
        </w:tc>
      </w:tr>
    </w:tbl>
    <w:p>
      <w:pPr>
        <w:pStyle w:val="Normal"/>
        <w:rPr>
          <w:b/>
        </w:rPr>
      </w:pPr>
      <w:r>
        <w:rPr>
          <w:b/>
        </w:rPr>
      </w:r>
    </w:p>
    <w:p>
      <w:pPr>
        <w:pStyle w:val="Normal"/>
        <w:jc w:val="center"/>
        <w:outlineLvl w:val="0"/>
        <w:rPr>
          <w:b/>
          <w:color w:val="000000"/>
          <w:sz w:val="26"/>
          <w:szCs w:val="26"/>
          <w:u w:val="single"/>
        </w:rPr>
      </w:pPr>
      <w:r>
        <w:rPr>
          <w:b/>
          <w:color w:val="000000"/>
          <w:sz w:val="26"/>
          <w:szCs w:val="26"/>
          <w:u w:val="single"/>
        </w:rPr>
        <w:t xml:space="preserve">3. Анализ заболеваемости наркоманией</w:t>
      </w:r>
      <w:r>
        <w:rPr>
          <w:b/>
          <w:color w:val="000000"/>
          <w:sz w:val="26"/>
          <w:szCs w:val="26"/>
          <w:u w:val="single"/>
        </w:rPr>
      </w:r>
    </w:p>
    <w:p>
      <w:pPr>
        <w:pStyle w:val="Normal"/>
        <w:tabs>
          <w:tab w:val="left" w:pos="720" w:leader="none"/>
        </w:tabs>
        <w:jc w:val="both"/>
      </w:pPr>
    </w:p>
    <w:p>
      <w:pPr>
        <w:pStyle w:val="Normal"/>
        <w:tabs>
          <w:tab w:val="left" w:pos="720" w:leader="none"/>
        </w:tabs>
        <w:ind w:firstLine="709"/>
        <w:jc w:val="both"/>
      </w:pPr>
      <w:r>
        <w:t xml:space="preserve">За </w:t>
      </w:r>
      <w:r>
        <w:t xml:space="preserve">1</w:t>
      </w:r>
      <w:r>
        <w:t xml:space="preserve"> </w:t>
      </w:r>
      <w:r>
        <w:t xml:space="preserve">квартал</w:t>
      </w:r>
      <w:r>
        <w:t xml:space="preserve"> </w:t>
      </w:r>
      <w:r>
        <w:t xml:space="preserve">20</w:t>
      </w:r>
      <w:r>
        <w:t xml:space="preserve">2</w:t>
      </w:r>
      <w:r>
        <w:t xml:space="preserve">5</w:t>
      </w:r>
      <w:r>
        <w:t xml:space="preserve"> г. </w:t>
      </w:r>
      <w:r>
        <w:t xml:space="preserve">в </w:t>
      </w:r>
      <w:r>
        <w:t xml:space="preserve">специализированны</w:t>
      </w:r>
      <w:r>
        <w:t xml:space="preserve">е</w:t>
      </w:r>
      <w:r>
        <w:t xml:space="preserve"> наркологически</w:t>
      </w:r>
      <w:r>
        <w:t xml:space="preserve">е </w:t>
      </w:r>
      <w:r>
        <w:t xml:space="preserve">учреждения г</w:t>
      </w:r>
      <w:r>
        <w:t xml:space="preserve">. Перми </w:t>
      </w:r>
      <w:r>
        <w:t xml:space="preserve">впервые </w:t>
      </w:r>
      <w:r>
        <w:t xml:space="preserve">обратились</w:t>
      </w:r>
      <w:r>
        <w:t xml:space="preserve"> </w:t>
      </w:r>
      <w:r>
        <w:t xml:space="preserve">27</w:t>
      </w:r>
      <w:r>
        <w:t xml:space="preserve"> </w:t>
      </w:r>
      <w:r>
        <w:t xml:space="preserve">человек</w:t>
      </w:r>
      <w:r>
        <w:t xml:space="preserve"> больных наркоманией</w:t>
      </w:r>
      <w:r>
        <w:t xml:space="preserve"> (за </w:t>
      </w:r>
      <w:r>
        <w:t xml:space="preserve">1</w:t>
      </w:r>
      <w:r>
        <w:t xml:space="preserve"> </w:t>
      </w:r>
      <w:r>
        <w:t xml:space="preserve">квартал</w:t>
      </w:r>
      <w:r>
        <w:t xml:space="preserve"> </w:t>
      </w:r>
      <w:r>
        <w:t xml:space="preserve">20</w:t>
      </w:r>
      <w:r>
        <w:t xml:space="preserve">2</w:t>
      </w:r>
      <w:r>
        <w:t xml:space="preserve">4</w:t>
      </w:r>
      <w:r>
        <w:t xml:space="preserve"> г. – </w:t>
      </w:r>
      <w:r>
        <w:t xml:space="preserve">30</w:t>
      </w:r>
      <w:r>
        <w:t xml:space="preserve"> человек</w:t>
      </w:r>
      <w:r>
        <w:t xml:space="preserve">). </w:t>
      </w:r>
    </w:p>
    <w:p>
      <w:pPr>
        <w:pStyle w:val="Normal"/>
        <w:tabs>
          <w:tab w:val="left" w:pos="720" w:leader="none"/>
        </w:tabs>
        <w:ind w:firstLine="709"/>
        <w:jc w:val="both"/>
      </w:pPr>
      <w:r>
        <w:t xml:space="preserve">П</w:t>
      </w:r>
      <w:r>
        <w:t xml:space="preserve">оказател</w:t>
      </w:r>
      <w:r>
        <w:t xml:space="preserve">ь</w:t>
      </w:r>
      <w:r>
        <w:t xml:space="preserve"> первичной заболеваемости </w:t>
      </w:r>
      <w:r>
        <w:t xml:space="preserve">наркоманией среди населения</w:t>
      </w:r>
      <w:r>
        <w:t xml:space="preserve"> </w:t>
      </w:r>
      <w:r>
        <w:t xml:space="preserve">г. Перми </w:t>
      </w:r>
      <w:r>
        <w:t xml:space="preserve">остался на уровне</w:t>
      </w:r>
      <w:r>
        <w:t xml:space="preserve"> </w:t>
      </w:r>
      <w:r>
        <w:t xml:space="preserve">1 квартала 2024</w:t>
      </w:r>
      <w:r>
        <w:t xml:space="preserve"> г.</w:t>
      </w:r>
      <w:r>
        <w:t xml:space="preserve"> </w:t>
      </w:r>
      <w:r>
        <w:t xml:space="preserve">(табл.</w:t>
      </w:r>
      <w:r>
        <w:t xml:space="preserve"> 5</w:t>
      </w:r>
      <w:r>
        <w:t xml:space="preserve">).</w:t>
      </w:r>
    </w:p>
    <w:p>
      <w:pPr>
        <w:pStyle w:val="Normal"/>
        <w:ind w:firstLine="709"/>
        <w:jc w:val="both"/>
      </w:pPr>
      <w:r>
        <w:t xml:space="preserve">Среди несовершеннолетних за </w:t>
      </w:r>
      <w:r>
        <w:t xml:space="preserve">1</w:t>
      </w:r>
      <w:r>
        <w:t xml:space="preserve"> </w:t>
      </w:r>
      <w:r>
        <w:t xml:space="preserve">квартал</w:t>
      </w:r>
      <w:r>
        <w:t xml:space="preserve"> </w:t>
      </w:r>
      <w:r>
        <w:t xml:space="preserve">20</w:t>
      </w:r>
      <w:r>
        <w:t xml:space="preserve">2</w:t>
      </w:r>
      <w:r>
        <w:t xml:space="preserve">5</w:t>
      </w:r>
      <w:r>
        <w:t xml:space="preserve"> г</w:t>
      </w:r>
      <w:r>
        <w:t xml:space="preserve">. </w:t>
      </w:r>
      <w:r>
        <w:t xml:space="preserve">зарегистрирован</w:t>
      </w:r>
      <w:r>
        <w:t xml:space="preserve"> 1</w:t>
      </w:r>
      <w:r>
        <w:t xml:space="preserve"> </w:t>
      </w:r>
      <w:r>
        <w:t xml:space="preserve">случа</w:t>
      </w:r>
      <w:r>
        <w:t xml:space="preserve">й</w:t>
      </w:r>
      <w:r>
        <w:t xml:space="preserve"> наркомании</w:t>
      </w:r>
      <w:r>
        <w:t xml:space="preserve"> (юноша) в Свердловском районе</w:t>
      </w:r>
      <w:r>
        <w:t xml:space="preserve">.</w:t>
      </w:r>
    </w:p>
    <w:p>
      <w:pPr>
        <w:pStyle w:val="Normal"/>
        <w:ind w:firstLine="709"/>
        <w:jc w:val="both"/>
      </w:pPr>
    </w:p>
    <w:p>
      <w:pPr>
        <w:pStyle w:val="Normal"/>
        <w:tabs>
          <w:tab w:val="left" w:pos="7920" w:leader="none"/>
        </w:tabs>
        <w:jc w:val="right"/>
        <w:outlineLvl w:val="0"/>
        <w:rPr>
          <w:sz w:val="22"/>
          <w:szCs w:val="22"/>
        </w:rPr>
      </w:pPr>
      <w:r>
        <w:rPr>
          <w:sz w:val="22"/>
          <w:szCs w:val="22"/>
        </w:rPr>
        <w:t xml:space="preserve">Таблица </w:t>
      </w:r>
      <w:r>
        <w:rPr>
          <w:sz w:val="22"/>
          <w:szCs w:val="22"/>
        </w:rPr>
        <w:t xml:space="preserve">5</w:t>
      </w:r>
      <w:r>
        <w:rPr>
          <w:sz w:val="22"/>
          <w:szCs w:val="22"/>
        </w:rPr>
      </w:r>
    </w:p>
    <w:p>
      <w:pPr>
        <w:pStyle w:val="Normal"/>
        <w:jc w:val="center"/>
        <w:outlineLvl w:val="0"/>
        <w:rPr>
          <w:b/>
          <w:sz w:val="22"/>
          <w:szCs w:val="22"/>
        </w:rPr>
      </w:pPr>
      <w:r>
        <w:rPr>
          <w:b/>
          <w:sz w:val="22"/>
          <w:szCs w:val="22"/>
        </w:rPr>
        <w:t xml:space="preserve">Показатели </w:t>
      </w:r>
      <w:r>
        <w:rPr>
          <w:b/>
          <w:sz w:val="22"/>
          <w:szCs w:val="22"/>
        </w:rPr>
        <w:t xml:space="preserve">первичной </w:t>
      </w:r>
      <w:r>
        <w:rPr>
          <w:b/>
          <w:sz w:val="22"/>
          <w:szCs w:val="22"/>
        </w:rPr>
        <w:t xml:space="preserve">заболеваемости наркоманией </w:t>
      </w:r>
      <w:r>
        <w:rPr>
          <w:b/>
          <w:sz w:val="22"/>
          <w:szCs w:val="22"/>
        </w:rPr>
      </w:r>
    </w:p>
    <w:p>
      <w:pPr>
        <w:pStyle w:val="Normal"/>
        <w:jc w:val="center"/>
        <w:outlineLvl w:val="0"/>
        <w:rPr>
          <w:b/>
          <w:sz w:val="22"/>
          <w:szCs w:val="22"/>
        </w:rPr>
      </w:pPr>
      <w:r>
        <w:rPr>
          <w:b/>
          <w:sz w:val="22"/>
          <w:szCs w:val="22"/>
        </w:rPr>
        <w:t xml:space="preserve">(на 100 тыс. населения)</w:t>
      </w:r>
    </w:p>
    <w:p>
      <w:pPr>
        <w:pStyle w:val="Normal"/>
        <w:outlineLvl w:val="0"/>
        <w:rPr>
          <w:sz w:val="22"/>
          <w:szCs w:val="22"/>
        </w:rPr>
      </w:pPr>
      <w:r>
        <w:rPr>
          <w:sz w:val="22"/>
          <w:szCs w:val="22"/>
        </w:rPr>
      </w:r>
    </w:p>
    <w:tbl>
      <w:tblPr>
        <w:tblW w:w="3950" w:type="pct"/>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849"/>
        <w:gridCol w:w="1489"/>
        <w:gridCol w:w="1489"/>
        <w:gridCol w:w="1488"/>
      </w:tblGrid>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restart"/>
            <w:textDirection w:val="lrTb"/>
            <w:vAlign w:val="center"/>
          </w:tcPr>
          <w:p>
            <w:pPr>
              <w:pStyle w:val="Normal"/>
              <w:jc w:val="center"/>
              <w:rPr>
                <w:sz w:val="22"/>
                <w:szCs w:val="22"/>
              </w:rPr>
            </w:pPr>
            <w:r>
              <w:rPr>
                <w:sz w:val="22"/>
                <w:szCs w:val="22"/>
              </w:rPr>
              <w:t xml:space="preserve">Районы Перми</w:t>
            </w:r>
          </w:p>
        </w:tc>
        <w:tc>
          <w:tcPr>
            <w:tcW w:w="3053" w:type="pct"/>
            <w:gridSpan w:val="3"/>
            <w:textDirection w:val="lrTb"/>
            <w:vAlign w:val="center"/>
          </w:tcPr>
          <w:p>
            <w:pPr>
              <w:pStyle w:val="Normal"/>
              <w:jc w:val="center"/>
              <w:rPr>
                <w:sz w:val="22"/>
                <w:szCs w:val="22"/>
              </w:rPr>
            </w:pPr>
            <w:r>
              <w:rPr>
                <w:sz w:val="22"/>
                <w:szCs w:val="22"/>
              </w:rPr>
              <w:t xml:space="preserve">Первичная заболеваемость НР</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vMerge w:val="continue"/>
            <w:textDirection w:val="lrTb"/>
            <w:vAlign w:val="center"/>
          </w:tcPr>
          <w:p>
            <w:pPr>
              <w:pStyle w:val="Normal"/>
              <w:jc w:val="center"/>
              <w:rPr>
                <w:sz w:val="22"/>
                <w:szCs w:val="22"/>
              </w:rPr>
            </w:pPr>
            <w:r>
              <w:rPr>
                <w:sz w:val="22"/>
                <w:szCs w:val="22"/>
              </w:rPr>
            </w:r>
          </w:p>
        </w:tc>
        <w:tc>
          <w:tcPr>
            <w:tcW w:w="1018" w:type="pct"/>
            <w:textDirection w:val="lrTb"/>
            <w:vAlign w:val="center"/>
          </w:tcPr>
          <w:p>
            <w:pPr>
              <w:pStyle w:val="Normal"/>
              <w:ind w:left="-41" w:right="-69"/>
              <w:jc w:val="center"/>
              <w:outlineLvl w:val="0"/>
              <w:rPr>
                <w:sz w:val="22"/>
                <w:szCs w:val="22"/>
              </w:rPr>
            </w:pPr>
            <w:r>
              <w:rPr>
                <w:sz w:val="22"/>
                <w:szCs w:val="22"/>
              </w:rPr>
              <w:t xml:space="preserve">1 кв</w:t>
            </w:r>
            <w:r>
              <w:rPr>
                <w:sz w:val="22"/>
                <w:szCs w:val="22"/>
              </w:rPr>
              <w:t xml:space="preserve">.</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5</w:t>
            </w:r>
            <w:r>
              <w:rPr>
                <w:sz w:val="22"/>
                <w:szCs w:val="22"/>
              </w:rPr>
              <w:t xml:space="preserve"> г.</w:t>
            </w:r>
          </w:p>
        </w:tc>
        <w:tc>
          <w:tcPr>
            <w:tcW w:w="1018" w:type="pct"/>
            <w:textDirection w:val="lrTb"/>
            <w:vAlign w:val="center"/>
          </w:tcPr>
          <w:p>
            <w:pPr>
              <w:pStyle w:val="Normal"/>
              <w:ind w:left="-41" w:right="-69"/>
              <w:jc w:val="center"/>
              <w:outlineLvl w:val="0"/>
              <w:rPr>
                <w:sz w:val="22"/>
                <w:szCs w:val="22"/>
              </w:rPr>
            </w:pPr>
            <w:r>
              <w:rPr>
                <w:sz w:val="22"/>
                <w:szCs w:val="22"/>
              </w:rPr>
              <w:t xml:space="preserve">1 кв</w:t>
            </w:r>
            <w:r>
              <w:rPr>
                <w:sz w:val="22"/>
                <w:szCs w:val="22"/>
              </w:rPr>
              <w:t xml:space="preserve">.</w:t>
            </w:r>
          </w:p>
          <w:p>
            <w:pPr>
              <w:pStyle w:val="Normal"/>
              <w:ind w:left="-41" w:right="-69"/>
              <w:jc w:val="center"/>
              <w:outlineLvl w:val="0"/>
              <w:rPr>
                <w:sz w:val="22"/>
                <w:szCs w:val="22"/>
              </w:rPr>
            </w:pPr>
            <w:r>
              <w:rPr>
                <w:sz w:val="22"/>
                <w:szCs w:val="22"/>
              </w:rPr>
              <w:t xml:space="preserve">20</w:t>
            </w:r>
            <w:r>
              <w:rPr>
                <w:sz w:val="22"/>
                <w:szCs w:val="22"/>
              </w:rPr>
              <w:t xml:space="preserve">2</w:t>
            </w:r>
            <w:r>
              <w:rPr>
                <w:sz w:val="22"/>
                <w:szCs w:val="22"/>
              </w:rPr>
              <w:t xml:space="preserve">4</w:t>
            </w:r>
            <w:r>
              <w:rPr>
                <w:sz w:val="22"/>
                <w:szCs w:val="22"/>
              </w:rPr>
              <w:t xml:space="preserve"> г.</w:t>
            </w:r>
          </w:p>
        </w:tc>
        <w:tc>
          <w:tcPr>
            <w:tcW w:w="1017" w:type="pct"/>
            <w:textDirection w:val="lrTb"/>
            <w:vAlign w:val="center"/>
          </w:tcPr>
          <w:p>
            <w:pPr>
              <w:pStyle w:val="Normal"/>
              <w:ind w:left="-107" w:right="-156"/>
              <w:jc w:val="center"/>
              <w:rPr>
                <w:sz w:val="22"/>
                <w:szCs w:val="22"/>
              </w:rPr>
            </w:pPr>
            <w:r>
              <w:rPr>
                <w:sz w:val="22"/>
                <w:szCs w:val="22"/>
              </w:rPr>
              <w:t xml:space="preserve">темп изменений,</w:t>
            </w:r>
            <w:r>
              <w:rPr>
                <w:sz w:val="22"/>
                <w:szCs w:val="22"/>
              </w:rPr>
              <w:t xml:space="preserve"> </w:t>
            </w:r>
            <w:r>
              <w:rPr>
                <w:sz w:val="22"/>
                <w:szCs w:val="22"/>
              </w:rPr>
            </w:r>
          </w:p>
          <w:p>
            <w:pPr>
              <w:pStyle w:val="Normal"/>
              <w:ind w:left="-107" w:right="-156"/>
              <w:jc w:val="center"/>
              <w:rPr>
                <w:sz w:val="22"/>
                <w:szCs w:val="22"/>
              </w:rPr>
            </w:pPr>
            <w:r>
              <w:rPr>
                <w:sz w:val="22"/>
                <w:szCs w:val="22"/>
              </w:rPr>
              <w:t xml:space="preserve">%</w:t>
            </w:r>
            <w:r>
              <w:rPr>
                <w:sz w:val="22"/>
                <w:szCs w:val="22"/>
              </w:rPr>
              <w:t xml:space="preserve">, </w:t>
            </w:r>
            <w:r>
              <w:rPr>
                <w:sz w:val="22"/>
                <w:szCs w:val="22"/>
              </w:rPr>
              <w:t xml:space="preserve">случаи</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000" w:type="pct"/>
            <w:gridSpan w:val="4"/>
            <w:textDirection w:val="lrTb"/>
            <w:vAlign w:val="center"/>
          </w:tcPr>
          <w:p>
            <w:pPr>
              <w:pStyle w:val="Normal"/>
              <w:jc w:val="center"/>
              <w:rPr>
                <w:sz w:val="22"/>
                <w:szCs w:val="22"/>
              </w:rPr>
            </w:pPr>
            <w:r>
              <w:rPr>
                <w:sz w:val="22"/>
                <w:szCs w:val="22"/>
              </w:rPr>
              <w:t xml:space="preserve">все население</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Ленинский</w:t>
            </w:r>
          </w:p>
        </w:tc>
        <w:tc>
          <w:tcPr>
            <w:tcW w:w="1018" w:type="pct"/>
            <w:textDirection w:val="lrTb"/>
            <w:vAlign w:val="center"/>
          </w:tcPr>
          <w:p>
            <w:pPr>
              <w:pStyle w:val="Normal"/>
              <w:jc w:val="center"/>
              <w:rPr>
                <w:sz w:val="22"/>
                <w:szCs w:val="22"/>
              </w:rPr>
            </w:pPr>
            <w:r>
              <w:rPr>
                <w:sz w:val="22"/>
                <w:szCs w:val="22"/>
              </w:rPr>
              <w:t xml:space="preserve">4,5</w:t>
            </w:r>
          </w:p>
        </w:tc>
        <w:tc>
          <w:tcPr>
            <w:tcW w:w="1018" w:type="pct"/>
            <w:textDirection w:val="lrTb"/>
            <w:vAlign w:val="center"/>
          </w:tcPr>
          <w:p>
            <w:pPr>
              <w:pStyle w:val="Normal"/>
              <w:jc w:val="center"/>
              <w:rPr>
                <w:sz w:val="22"/>
                <w:szCs w:val="22"/>
              </w:rPr>
            </w:pPr>
            <w:r>
              <w:rPr>
                <w:sz w:val="22"/>
                <w:szCs w:val="22"/>
              </w:rPr>
              <w:t xml:space="preserve">2,2</w:t>
            </w:r>
          </w:p>
        </w:tc>
        <w:tc>
          <w:tcPr>
            <w:tcW w:w="1017" w:type="pct"/>
            <w:textDirection w:val="lrTb"/>
            <w:vAlign w:val="center"/>
          </w:tcPr>
          <w:p>
            <w:pPr>
              <w:pStyle w:val="Normal"/>
              <w:jc w:val="center"/>
              <w:rPr>
                <w:sz w:val="22"/>
                <w:szCs w:val="22"/>
              </w:rPr>
            </w:pPr>
            <w:r>
              <w:rPr>
                <w:sz w:val="22"/>
                <w:szCs w:val="22"/>
              </w:rPr>
              <w:t xml:space="preserve">+1 случай</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Свердловский</w:t>
            </w:r>
          </w:p>
        </w:tc>
        <w:tc>
          <w:tcPr>
            <w:tcW w:w="1018" w:type="pct"/>
            <w:textDirection w:val="lrTb"/>
            <w:vAlign w:val="bottom"/>
          </w:tcPr>
          <w:p>
            <w:pPr>
              <w:pStyle w:val="Normal"/>
              <w:jc w:val="center"/>
              <w:rPr>
                <w:sz w:val="22"/>
                <w:szCs w:val="22"/>
              </w:rPr>
            </w:pPr>
            <w:r>
              <w:rPr>
                <w:sz w:val="22"/>
                <w:szCs w:val="22"/>
              </w:rPr>
              <w:t xml:space="preserve">3,3</w:t>
            </w:r>
          </w:p>
        </w:tc>
        <w:tc>
          <w:tcPr>
            <w:tcW w:w="1018" w:type="pct"/>
            <w:textDirection w:val="lrTb"/>
            <w:vAlign w:val="bottom"/>
          </w:tcPr>
          <w:p>
            <w:pPr>
              <w:pStyle w:val="Normal"/>
              <w:jc w:val="center"/>
              <w:rPr>
                <w:sz w:val="22"/>
                <w:szCs w:val="22"/>
              </w:rPr>
            </w:pPr>
            <w:r>
              <w:rPr>
                <w:sz w:val="22"/>
                <w:szCs w:val="22"/>
              </w:rPr>
              <w:t xml:space="preserve">4,2</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Дзержинский</w:t>
            </w:r>
          </w:p>
        </w:tc>
        <w:tc>
          <w:tcPr>
            <w:tcW w:w="1018" w:type="pct"/>
            <w:textDirection w:val="lrTb"/>
            <w:vAlign w:val="bottom"/>
          </w:tcPr>
          <w:p>
            <w:pPr>
              <w:pStyle w:val="Normal"/>
              <w:jc w:val="center"/>
              <w:rPr>
                <w:sz w:val="22"/>
                <w:szCs w:val="22"/>
              </w:rPr>
            </w:pPr>
            <w:r>
              <w:rPr>
                <w:sz w:val="22"/>
                <w:szCs w:val="22"/>
              </w:rPr>
              <w:t xml:space="preserve">1,7</w:t>
            </w:r>
          </w:p>
        </w:tc>
        <w:tc>
          <w:tcPr>
            <w:tcW w:w="1018" w:type="pct"/>
            <w:textDirection w:val="lrTb"/>
            <w:vAlign w:val="bottom"/>
          </w:tcPr>
          <w:p>
            <w:pPr>
              <w:pStyle w:val="Normal"/>
              <w:jc w:val="center"/>
              <w:rPr>
                <w:sz w:val="22"/>
                <w:szCs w:val="22"/>
              </w:rPr>
            </w:pPr>
            <w:r>
              <w:rPr>
                <w:sz w:val="22"/>
                <w:szCs w:val="22"/>
              </w:rPr>
              <w:t xml:space="preserve">2,9</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w:t>
            </w:r>
            <w:r>
              <w:rPr>
                <w:sz w:val="22"/>
                <w:szCs w:val="22"/>
              </w:rPr>
              <w:t xml:space="preserve"> случаев</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Мотовилихинский</w:t>
            </w:r>
          </w:p>
        </w:tc>
        <w:tc>
          <w:tcPr>
            <w:tcW w:w="1018" w:type="pct"/>
            <w:textDirection w:val="lrTb"/>
            <w:vAlign w:val="bottom"/>
          </w:tcPr>
          <w:p>
            <w:pPr>
              <w:pStyle w:val="Normal"/>
              <w:jc w:val="center"/>
              <w:rPr>
                <w:sz w:val="22"/>
                <w:szCs w:val="22"/>
              </w:rPr>
            </w:pPr>
            <w:r>
              <w:rPr>
                <w:sz w:val="22"/>
                <w:szCs w:val="22"/>
              </w:rPr>
              <w:t xml:space="preserve">0,0</w:t>
            </w:r>
          </w:p>
        </w:tc>
        <w:tc>
          <w:tcPr>
            <w:tcW w:w="1018" w:type="pct"/>
            <w:textDirection w:val="lrTb"/>
            <w:vAlign w:val="bottom"/>
          </w:tcPr>
          <w:p>
            <w:pPr>
              <w:pStyle w:val="Normal"/>
              <w:jc w:val="center"/>
              <w:rPr>
                <w:sz w:val="22"/>
                <w:szCs w:val="22"/>
              </w:rPr>
            </w:pPr>
            <w:r>
              <w:rPr>
                <w:sz w:val="22"/>
                <w:szCs w:val="22"/>
              </w:rPr>
              <w:t xml:space="preserve">1,1</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Орджоникидзевский</w:t>
            </w:r>
          </w:p>
        </w:tc>
        <w:tc>
          <w:tcPr>
            <w:tcW w:w="1018" w:type="pct"/>
            <w:textDirection w:val="lrTb"/>
            <w:vAlign w:val="bottom"/>
          </w:tcPr>
          <w:p>
            <w:pPr>
              <w:pStyle w:val="Normal"/>
              <w:jc w:val="center"/>
              <w:rPr>
                <w:sz w:val="22"/>
                <w:szCs w:val="22"/>
              </w:rPr>
            </w:pPr>
            <w:r>
              <w:rPr>
                <w:sz w:val="22"/>
                <w:szCs w:val="22"/>
              </w:rPr>
              <w:t xml:space="preserve">2,6</w:t>
            </w:r>
          </w:p>
        </w:tc>
        <w:tc>
          <w:tcPr>
            <w:tcW w:w="1018" w:type="pct"/>
            <w:textDirection w:val="lrTb"/>
            <w:vAlign w:val="bottom"/>
          </w:tcPr>
          <w:p>
            <w:pPr>
              <w:pStyle w:val="Normal"/>
              <w:jc w:val="center"/>
              <w:rPr>
                <w:sz w:val="22"/>
                <w:szCs w:val="22"/>
              </w:rPr>
            </w:pPr>
            <w:r>
              <w:rPr>
                <w:sz w:val="22"/>
                <w:szCs w:val="22"/>
              </w:rPr>
              <w:t xml:space="preserve">4,4</w:t>
            </w:r>
          </w:p>
        </w:tc>
        <w:tc>
          <w:tcPr>
            <w:tcW w:w="1017" w:type="pct"/>
            <w:textDirection w:val="lrTb"/>
            <w:vAlign w:val="center"/>
          </w:tcPr>
          <w:p>
            <w:pPr>
              <w:pStyle w:val="Normal"/>
              <w:jc w:val="center"/>
              <w:rPr>
                <w:sz w:val="22"/>
                <w:szCs w:val="22"/>
              </w:rPr>
            </w:pPr>
            <w:r>
              <w:rPr>
                <w:sz w:val="22"/>
                <w:szCs w:val="22"/>
              </w:rPr>
              <w:t xml:space="preserve">-</w:t>
            </w:r>
            <w:r>
              <w:rPr>
                <w:sz w:val="22"/>
                <w:szCs w:val="22"/>
              </w:rPr>
              <w:t xml:space="preserve">2 случая</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Кировский</w:t>
            </w:r>
          </w:p>
        </w:tc>
        <w:tc>
          <w:tcPr>
            <w:tcW w:w="1018" w:type="pct"/>
            <w:textDirection w:val="lrTb"/>
            <w:vAlign w:val="bottom"/>
          </w:tcPr>
          <w:p>
            <w:pPr>
              <w:pStyle w:val="Normal"/>
              <w:jc w:val="center"/>
              <w:rPr>
                <w:sz w:val="22"/>
                <w:szCs w:val="22"/>
              </w:rPr>
            </w:pPr>
            <w:r>
              <w:rPr>
                <w:sz w:val="22"/>
                <w:szCs w:val="22"/>
              </w:rPr>
              <w:t xml:space="preserve">3,9</w:t>
            </w:r>
          </w:p>
        </w:tc>
        <w:tc>
          <w:tcPr>
            <w:tcW w:w="1018" w:type="pct"/>
            <w:textDirection w:val="lrTb"/>
            <w:vAlign w:val="bottom"/>
          </w:tcPr>
          <w:p>
            <w:pPr>
              <w:pStyle w:val="Normal"/>
              <w:jc w:val="center"/>
              <w:rPr>
                <w:sz w:val="22"/>
                <w:szCs w:val="22"/>
              </w:rPr>
            </w:pPr>
            <w:r>
              <w:rPr>
                <w:sz w:val="22"/>
                <w:szCs w:val="22"/>
              </w:rPr>
              <w:t xml:space="preserve">3,9</w:t>
            </w:r>
          </w:p>
        </w:tc>
        <w:tc>
          <w:tcPr>
            <w:tcW w:w="1017" w:type="pct"/>
            <w:textDirection w:val="lrTb"/>
            <w:vAlign w:val="center"/>
          </w:tcPr>
          <w:p>
            <w:pPr>
              <w:pStyle w:val="Normal"/>
              <w:jc w:val="center"/>
              <w:rPr>
                <w:sz w:val="22"/>
                <w:szCs w:val="22"/>
              </w:rPr>
            </w:pPr>
            <w:r>
              <w:rPr>
                <w:sz w:val="22"/>
                <w:szCs w:val="22"/>
              </w:rPr>
              <w:t xml:space="preserve">0,1</w:t>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extDirection w:val="lrTb"/>
            <w:vAlign w:val="center"/>
          </w:tcPr>
          <w:p>
            <w:pPr>
              <w:pStyle w:val="Normal"/>
              <w:rPr>
                <w:sz w:val="22"/>
                <w:szCs w:val="22"/>
              </w:rPr>
            </w:pPr>
            <w:r>
              <w:rPr>
                <w:sz w:val="22"/>
                <w:szCs w:val="22"/>
              </w:rPr>
              <w:t xml:space="preserve">Индустриальный</w:t>
            </w:r>
          </w:p>
        </w:tc>
        <w:tc>
          <w:tcPr>
            <w:tcW w:w="1018" w:type="pct"/>
            <w:textDirection w:val="lrTb"/>
            <w:vAlign w:val="bottom"/>
          </w:tcPr>
          <w:p>
            <w:pPr>
              <w:pStyle w:val="Normal"/>
              <w:jc w:val="center"/>
              <w:rPr>
                <w:sz w:val="22"/>
                <w:szCs w:val="22"/>
              </w:rPr>
            </w:pPr>
            <w:r>
              <w:rPr>
                <w:sz w:val="22"/>
                <w:szCs w:val="22"/>
              </w:rPr>
              <w:t xml:space="preserve">4,2</w:t>
            </w:r>
          </w:p>
        </w:tc>
        <w:tc>
          <w:tcPr>
            <w:tcW w:w="1018" w:type="pct"/>
            <w:textDirection w:val="lrTb"/>
            <w:vAlign w:val="bottom"/>
          </w:tcPr>
          <w:p>
            <w:pPr>
              <w:pStyle w:val="Normal"/>
              <w:jc w:val="center"/>
              <w:rPr>
                <w:sz w:val="22"/>
                <w:szCs w:val="22"/>
              </w:rPr>
            </w:pPr>
            <w:r>
              <w:rPr>
                <w:sz w:val="22"/>
                <w:szCs w:val="22"/>
              </w:rPr>
              <w:t xml:space="preserve">1,8</w:t>
            </w:r>
          </w:p>
        </w:tc>
        <w:tc>
          <w:tcPr>
            <w:tcW w:w="1017" w:type="pct"/>
            <w:textDirection w:val="lrTb"/>
            <w:vAlign w:val="center"/>
          </w:tcPr>
          <w:p>
            <w:pPr>
              <w:pStyle w:val="Normal"/>
              <w:jc w:val="center"/>
              <w:rPr>
                <w:sz w:val="22"/>
                <w:szCs w:val="22"/>
              </w:rPr>
            </w:pPr>
            <w:r>
              <w:rPr>
                <w:sz w:val="22"/>
                <w:szCs w:val="22"/>
              </w:rPr>
              <w:t xml:space="preserve">+4 случаев</w:t>
            </w:r>
            <w:r>
              <w:rPr>
                <w:sz w:val="22"/>
                <w:szCs w:val="22"/>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47" w:type="pct"/>
            <w:tcBorders>
              <w:bottom w:val="single" w:color="000000" w:sz="4" w:space="0"/>
            </w:tcBorders>
            <w:textDirection w:val="lrTb"/>
            <w:vAlign w:val="center"/>
          </w:tcPr>
          <w:p>
            <w:pPr>
              <w:pStyle w:val="Normal"/>
              <w:rPr>
                <w:b/>
                <w:bCs/>
                <w:sz w:val="22"/>
                <w:szCs w:val="22"/>
              </w:rPr>
            </w:pPr>
            <w:r>
              <w:rPr>
                <w:b/>
                <w:bCs/>
                <w:sz w:val="22"/>
                <w:szCs w:val="22"/>
              </w:rPr>
              <w:t xml:space="preserve">г. Пермь</w:t>
            </w:r>
          </w:p>
        </w:tc>
        <w:tc>
          <w:tcPr>
            <w:tcW w:w="1018" w:type="pct"/>
            <w:textDirection w:val="lrTb"/>
            <w:vAlign w:val="bottom"/>
          </w:tcPr>
          <w:p>
            <w:pPr>
              <w:pStyle w:val="Normal"/>
              <w:jc w:val="center"/>
              <w:rPr>
                <w:b/>
                <w:bCs/>
                <w:sz w:val="22"/>
                <w:szCs w:val="22"/>
              </w:rPr>
            </w:pPr>
            <w:r>
              <w:rPr>
                <w:b/>
                <w:bCs/>
                <w:sz w:val="22"/>
                <w:szCs w:val="22"/>
              </w:rPr>
              <w:t xml:space="preserve">2,6</w:t>
            </w:r>
          </w:p>
        </w:tc>
        <w:tc>
          <w:tcPr>
            <w:tcW w:w="1018" w:type="pct"/>
            <w:textDirection w:val="lrTb"/>
            <w:vAlign w:val="bottom"/>
          </w:tcPr>
          <w:p>
            <w:pPr>
              <w:pStyle w:val="Normal"/>
              <w:jc w:val="center"/>
              <w:rPr>
                <w:b/>
                <w:bCs/>
                <w:sz w:val="22"/>
                <w:szCs w:val="22"/>
              </w:rPr>
            </w:pPr>
            <w:r>
              <w:rPr>
                <w:b/>
                <w:bCs/>
                <w:sz w:val="22"/>
                <w:szCs w:val="22"/>
              </w:rPr>
              <w:t xml:space="preserve">2,9</w:t>
            </w:r>
          </w:p>
        </w:tc>
        <w:tc>
          <w:tcPr>
            <w:tcW w:w="1017" w:type="pct"/>
            <w:textDirection w:val="lrTb"/>
            <w:vAlign w:val="center"/>
          </w:tcPr>
          <w:p>
            <w:pPr>
              <w:pStyle w:val="Normal"/>
              <w:jc w:val="center"/>
              <w:rPr>
                <w:b/>
                <w:bCs/>
                <w:sz w:val="22"/>
                <w:szCs w:val="22"/>
              </w:rPr>
            </w:pPr>
            <w:r>
              <w:rPr>
                <w:b/>
                <w:bCs/>
                <w:sz w:val="22"/>
                <w:szCs w:val="22"/>
              </w:rPr>
              <w:t xml:space="preserve">-</w:t>
            </w:r>
            <w:r>
              <w:rPr>
                <w:b/>
                <w:bCs/>
                <w:sz w:val="22"/>
                <w:szCs w:val="22"/>
              </w:rPr>
              <w:t xml:space="preserve">3 случая</w:t>
            </w:r>
            <w:r>
              <w:rPr>
                <w:b/>
                <w:bCs/>
                <w:sz w:val="22"/>
                <w:szCs w:val="22"/>
              </w:rPr>
            </w:r>
          </w:p>
        </w:tc>
      </w:tr>
    </w:tbl>
    <w:p>
      <w:pPr>
        <w:pStyle w:val="Normal"/>
        <w:jc w:val="center"/>
        <w:outlineLvl w:val="0"/>
        <w:rPr>
          <w:b/>
          <w:sz w:val="26"/>
          <w:szCs w:val="26"/>
          <w:u w:val="single"/>
        </w:rPr>
      </w:pPr>
      <w:r>
        <w:rPr>
          <w:b/>
          <w:sz w:val="26"/>
          <w:szCs w:val="26"/>
          <w:u w:val="single"/>
        </w:rPr>
      </w:r>
    </w:p>
    <w:p>
      <w:pPr>
        <w:pStyle w:val="Normal"/>
        <w:jc w:val="center"/>
        <w:outlineLvl w:val="0"/>
        <w:rPr>
          <w:b/>
          <w:sz w:val="26"/>
          <w:szCs w:val="26"/>
          <w:u w:val="single"/>
        </w:rPr>
      </w:pPr>
      <w:r>
        <w:rPr>
          <w:b/>
          <w:sz w:val="26"/>
          <w:szCs w:val="26"/>
          <w:u w:val="single"/>
        </w:rPr>
      </w:r>
    </w:p>
    <w:p>
      <w:pPr>
        <w:pStyle w:val="Normal"/>
        <w:jc w:val="center"/>
        <w:outlineLvl w:val="0"/>
        <w:rPr>
          <w:b/>
          <w:sz w:val="26"/>
          <w:szCs w:val="26"/>
          <w:u w:val="single"/>
        </w:rPr>
      </w:pPr>
      <w:r>
        <w:rPr>
          <w:b/>
          <w:sz w:val="26"/>
          <w:szCs w:val="26"/>
          <w:u w:val="single"/>
        </w:rPr>
        <w:t xml:space="preserve">Заключение</w:t>
      </w:r>
      <w:r>
        <w:rPr>
          <w:b/>
          <w:sz w:val="26"/>
          <w:szCs w:val="26"/>
          <w:u w:val="single"/>
        </w:rPr>
      </w:r>
    </w:p>
    <w:p>
      <w:pPr>
        <w:pStyle w:val="Normal"/>
        <w:jc w:val="center"/>
        <w:outlineLvl w:val="0"/>
        <w:rPr>
          <w:b/>
          <w:sz w:val="26"/>
          <w:szCs w:val="26"/>
          <w:u w:val="single"/>
        </w:rPr>
      </w:pPr>
      <w:r>
        <w:rPr>
          <w:b/>
          <w:sz w:val="26"/>
          <w:szCs w:val="26"/>
          <w:u w:val="single"/>
        </w:rPr>
      </w:r>
    </w:p>
    <w:p>
      <w:pPr>
        <w:pStyle w:val="User"/>
        <w:ind w:firstLine="709"/>
        <w:jc w:val="both"/>
        <w:rPr>
          <w:rFonts w:ascii="Times New Roman" w:hAnsi="Times New Roman" w:cs="Times New Roman"/>
          <w:sz w:val="24"/>
          <w:szCs w:val="24"/>
        </w:rPr>
      </w:pPr>
      <w:r>
        <w:rPr>
          <w:rFonts w:ascii="Times New Roman" w:hAnsi="Times New Roman" w:cs="Times New Roman"/>
          <w:sz w:val="24"/>
          <w:szCs w:val="24"/>
        </w:rPr>
        <w:t xml:space="preserve">По данным наркологической службы за </w:t>
      </w:r>
      <w:r>
        <w:rPr>
          <w:rFonts w:ascii="Times New Roman" w:hAnsi="Times New Roman" w:cs="Times New Roman"/>
          <w:sz w:val="24"/>
          <w:szCs w:val="24"/>
        </w:rPr>
        <w:t xml:space="preserve">1 квартал</w:t>
      </w:r>
      <w:r>
        <w:rPr>
          <w:rFonts w:ascii="Times New Roman" w:hAnsi="Times New Roman" w:cs="Times New Roman"/>
          <w:sz w:val="24"/>
          <w:szCs w:val="24"/>
        </w:rPr>
        <w:t xml:space="preserve"> 20</w:t>
      </w: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 г. в г. Перми </w:t>
      </w:r>
      <w:r>
        <w:rPr>
          <w:rFonts w:ascii="Times New Roman" w:hAnsi="Times New Roman" w:cs="Times New Roman"/>
          <w:sz w:val="24"/>
          <w:szCs w:val="24"/>
          <w:lang w:eastAsia="ru-RU"/>
        </w:rPr>
        <w:t xml:space="preserve">отмечен</w:t>
      </w:r>
      <w:r>
        <w:rPr>
          <w:rFonts w:ascii="Times New Roman" w:hAnsi="Times New Roman" w:cs="Times New Roman"/>
          <w:sz w:val="24"/>
          <w:szCs w:val="24"/>
          <w:lang w:eastAsia="ru-RU"/>
        </w:rPr>
        <w:t xml:space="preserve">а</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стабилизация </w:t>
      </w:r>
      <w:r>
        <w:rPr>
          <w:rFonts w:ascii="Times New Roman" w:hAnsi="Times New Roman" w:cs="Times New Roman"/>
          <w:sz w:val="24"/>
          <w:szCs w:val="24"/>
          <w:lang w:eastAsia="ru-RU"/>
        </w:rPr>
        <w:t xml:space="preserve">первичной заболеваемости  наркологическими расстройствами </w:t>
      </w:r>
      <w:r>
        <w:rPr>
          <w:rFonts w:ascii="Times New Roman" w:hAnsi="Times New Roman" w:cs="Times New Roman"/>
          <w:sz w:val="24"/>
          <w:szCs w:val="24"/>
        </w:rPr>
        <w:t xml:space="preserve">всего населения. </w:t>
      </w:r>
      <w:r>
        <w:rPr>
          <w:rFonts w:ascii="Times New Roman" w:hAnsi="Times New Roman" w:cs="Times New Roman"/>
          <w:sz w:val="24"/>
          <w:szCs w:val="24"/>
        </w:rPr>
      </w:r>
    </w:p>
    <w:p>
      <w:pPr>
        <w:pStyle w:val="User"/>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В структуре</w:t>
      </w:r>
      <w:r>
        <w:rPr>
          <w:rFonts w:ascii="Times New Roman" w:hAnsi="Times New Roman" w:cs="Times New Roman"/>
          <w:sz w:val="24"/>
          <w:szCs w:val="24"/>
        </w:rPr>
        <w:t xml:space="preserve"> первичной заболеваемости НР всего населения наибольший удельный вес занимают </w:t>
      </w:r>
      <w:r>
        <w:rPr>
          <w:rFonts w:ascii="Times New Roman" w:hAnsi="Times New Roman" w:cs="Times New Roman"/>
          <w:color w:val="000000"/>
          <w:sz w:val="24"/>
          <w:szCs w:val="24"/>
        </w:rPr>
        <w:t xml:space="preserve">расстройства, связанные с употреблением </w:t>
      </w:r>
      <w:r>
        <w:rPr>
          <w:rFonts w:ascii="Times New Roman" w:hAnsi="Times New Roman" w:cs="Times New Roman"/>
          <w:color w:val="000000"/>
          <w:sz w:val="24"/>
          <w:szCs w:val="24"/>
        </w:rPr>
        <w:t xml:space="preserve">алкоголя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63,4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В структуре наркологических расстройств среди женского населения преобладали </w:t>
      </w:r>
      <w:r>
        <w:rPr>
          <w:rFonts w:ascii="Times New Roman" w:hAnsi="Times New Roman" w:cs="Times New Roman"/>
          <w:color w:val="000000"/>
          <w:sz w:val="24"/>
          <w:szCs w:val="24"/>
        </w:rPr>
        <w:t xml:space="preserve">расстройства, связанные с употреблением </w:t>
      </w:r>
      <w:r>
        <w:rPr>
          <w:rFonts w:ascii="Times New Roman" w:hAnsi="Times New Roman" w:cs="Times New Roman"/>
          <w:color w:val="000000"/>
          <w:sz w:val="24"/>
          <w:szCs w:val="24"/>
        </w:rPr>
        <w:t xml:space="preserve">алкоголя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72,7</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t>
      </w:r>
    </w:p>
    <w:p>
      <w:pPr>
        <w:pStyle w:val="Use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Среди несовершеннолетних </w:t>
      </w:r>
      <w:r>
        <w:rPr>
          <w:rFonts w:ascii="Times New Roman" w:hAnsi="Times New Roman" w:cs="Times New Roman"/>
          <w:color w:val="000000"/>
          <w:sz w:val="24"/>
          <w:szCs w:val="24"/>
        </w:rPr>
        <w:t xml:space="preserve">показател</w:t>
      </w:r>
      <w:r>
        <w:rPr>
          <w:rFonts w:ascii="Times New Roman" w:hAnsi="Times New Roman" w:cs="Times New Roman"/>
          <w:color w:val="000000"/>
          <w:sz w:val="24"/>
          <w:szCs w:val="24"/>
        </w:rPr>
        <w:t xml:space="preserve">ь</w:t>
      </w:r>
      <w:r>
        <w:rPr>
          <w:rFonts w:ascii="Times New Roman" w:hAnsi="Times New Roman" w:cs="Times New Roman"/>
          <w:color w:val="000000"/>
          <w:sz w:val="24"/>
          <w:szCs w:val="24"/>
        </w:rPr>
        <w:t xml:space="preserve"> первичной</w:t>
      </w:r>
      <w:r>
        <w:rPr>
          <w:rFonts w:ascii="Times New Roman" w:hAnsi="Times New Roman" w:cs="Times New Roman"/>
          <w:color w:val="000000"/>
          <w:sz w:val="24"/>
          <w:szCs w:val="24"/>
        </w:rPr>
        <w:t xml:space="preserve"> заболеваемости НР</w:t>
      </w:r>
      <w:r>
        <w:rPr>
          <w:rFonts w:ascii="Times New Roman" w:hAnsi="Times New Roman" w:cs="Times New Roman"/>
          <w:color w:val="000000"/>
          <w:sz w:val="24"/>
          <w:szCs w:val="24"/>
        </w:rPr>
        <w:t xml:space="preserve"> достоверно не изменился</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структуре наркологических расстройств наибольшую долю занимают злоупотребления алкоголем (</w:t>
      </w:r>
      <w:r>
        <w:rPr>
          <w:rFonts w:ascii="Times New Roman" w:hAnsi="Times New Roman" w:cs="Times New Roman"/>
          <w:color w:val="000000"/>
          <w:sz w:val="24"/>
          <w:szCs w:val="24"/>
        </w:rPr>
        <w:t xml:space="preserve">63,2</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t>
      </w:r>
      <w:r>
        <w:rPr>
          <w:rFonts w:ascii="Times New Roman" w:hAnsi="Times New Roman" w:cs="Times New Roman"/>
          <w:sz w:val="24"/>
          <w:szCs w:val="24"/>
        </w:rPr>
        <w:t xml:space="preserve"> </w:t>
      </w:r>
    </w:p>
    <w:p>
      <w:pPr>
        <w:pStyle w:val="Use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 </w:t>
      </w:r>
      <w:r>
        <w:rPr>
          <w:rFonts w:ascii="Times New Roman" w:hAnsi="Times New Roman" w:cs="Times New Roman"/>
          <w:sz w:val="24"/>
          <w:szCs w:val="24"/>
          <w:lang w:eastAsia="ru-RU"/>
        </w:rPr>
        <w:t xml:space="preserve">1</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квартал</w:t>
      </w:r>
      <w:r>
        <w:rPr>
          <w:rFonts w:ascii="Times New Roman" w:hAnsi="Times New Roman" w:cs="Times New Roman"/>
          <w:sz w:val="24"/>
          <w:szCs w:val="24"/>
          <w:lang w:eastAsia="ru-RU"/>
        </w:rPr>
        <w:t xml:space="preserve"> 20</w:t>
      </w:r>
      <w:r>
        <w:rPr>
          <w:rFonts w:ascii="Times New Roman" w:hAnsi="Times New Roman" w:cs="Times New Roman"/>
          <w:sz w:val="24"/>
          <w:szCs w:val="24"/>
          <w:lang w:eastAsia="ru-RU"/>
        </w:rPr>
        <w:t xml:space="preserve">2</w:t>
      </w:r>
      <w:r>
        <w:rPr>
          <w:rFonts w:ascii="Times New Roman" w:hAnsi="Times New Roman" w:cs="Times New Roman"/>
          <w:sz w:val="24"/>
          <w:szCs w:val="24"/>
          <w:lang w:eastAsia="ru-RU"/>
        </w:rPr>
        <w:t xml:space="preserve">5</w:t>
      </w:r>
      <w:r>
        <w:rPr>
          <w:rFonts w:ascii="Times New Roman" w:hAnsi="Times New Roman" w:cs="Times New Roman"/>
          <w:sz w:val="24"/>
          <w:szCs w:val="24"/>
          <w:lang w:eastAsia="ru-RU"/>
        </w:rPr>
        <w:t xml:space="preserve"> г</w:t>
      </w:r>
      <w:r>
        <w:rPr>
          <w:rFonts w:ascii="Times New Roman" w:hAnsi="Times New Roman" w:cs="Times New Roman"/>
          <w:sz w:val="24"/>
          <w:szCs w:val="24"/>
          <w:lang w:eastAsia="ru-RU"/>
        </w:rPr>
        <w:t xml:space="preserve">. </w:t>
      </w:r>
      <w:r>
        <w:rPr>
          <w:rFonts w:ascii="Times New Roman" w:hAnsi="Times New Roman" w:cs="Times New Roman"/>
          <w:sz w:val="24"/>
          <w:szCs w:val="24"/>
        </w:rPr>
        <w:t xml:space="preserve">отмечена стабилизация показателей первичной заболеваемости наркоманией среди всего населения</w:t>
      </w:r>
      <w:r>
        <w:rPr>
          <w:rFonts w:ascii="Times New Roman" w:hAnsi="Times New Roman" w:cs="Times New Roman"/>
          <w:lang w:eastAsia="ru-RU"/>
        </w:rPr>
        <w:t xml:space="preserve">.</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Среди несовершеннолетних </w:t>
      </w:r>
      <w:r>
        <w:rPr>
          <w:rFonts w:ascii="Times New Roman" w:hAnsi="Times New Roman" w:cs="Times New Roman"/>
          <w:sz w:val="24"/>
          <w:szCs w:val="24"/>
          <w:lang w:eastAsia="ru-RU"/>
        </w:rPr>
        <w:t xml:space="preserve">зарегистрирован </w:t>
      </w:r>
      <w:r>
        <w:rPr>
          <w:rFonts w:ascii="Times New Roman" w:hAnsi="Times New Roman" w:cs="Times New Roman"/>
          <w:sz w:val="24"/>
          <w:szCs w:val="24"/>
          <w:lang w:eastAsia="ru-RU"/>
        </w:rPr>
        <w:t xml:space="preserve">1</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случа</w:t>
      </w:r>
      <w:r>
        <w:rPr>
          <w:rFonts w:ascii="Times New Roman" w:hAnsi="Times New Roman" w:cs="Times New Roman"/>
          <w:sz w:val="24"/>
          <w:szCs w:val="24"/>
          <w:lang w:eastAsia="ru-RU"/>
        </w:rPr>
        <w:t xml:space="preserve">й</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заболеваемости </w:t>
      </w:r>
      <w:r>
        <w:rPr>
          <w:rFonts w:ascii="Times New Roman" w:hAnsi="Times New Roman" w:cs="Times New Roman"/>
          <w:sz w:val="24"/>
          <w:szCs w:val="24"/>
          <w:lang w:eastAsia="ru-RU"/>
        </w:rPr>
        <w:t xml:space="preserve">наркомани</w:t>
      </w:r>
      <w:r>
        <w:rPr>
          <w:rFonts w:ascii="Times New Roman" w:hAnsi="Times New Roman" w:cs="Times New Roman"/>
          <w:sz w:val="24"/>
          <w:szCs w:val="24"/>
          <w:lang w:eastAsia="ru-RU"/>
        </w:rPr>
        <w:t xml:space="preserve">ей</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r>
    </w:p>
    <w:p>
      <w:pPr>
        <w:pStyle w:val="User"/>
        <w:ind w:firstLine="709"/>
        <w:jc w:val="both"/>
        <w:rPr>
          <w:rFonts w:ascii="Times New Roman" w:hAnsi="Times New Roman" w:cs="Times New Roman"/>
          <w:sz w:val="24"/>
          <w:szCs w:val="24"/>
        </w:rPr>
      </w:pPr>
      <w:r>
        <w:rPr>
          <w:rFonts w:ascii="Times New Roman" w:hAnsi="Times New Roman" w:cs="Times New Roman"/>
          <w:sz w:val="24"/>
          <w:szCs w:val="24"/>
        </w:rPr>
        <w:t xml:space="preserve">К территори</w:t>
      </w:r>
      <w:r>
        <w:rPr>
          <w:rFonts w:ascii="Times New Roman" w:hAnsi="Times New Roman" w:cs="Times New Roman"/>
          <w:sz w:val="24"/>
          <w:szCs w:val="24"/>
        </w:rPr>
        <w:t xml:space="preserve">и</w:t>
      </w:r>
      <w:r>
        <w:rPr>
          <w:rFonts w:ascii="Times New Roman" w:hAnsi="Times New Roman" w:cs="Times New Roman"/>
          <w:sz w:val="24"/>
          <w:szCs w:val="24"/>
        </w:rPr>
        <w:t xml:space="preserve"> неблагополучия по </w:t>
      </w:r>
      <w:r>
        <w:rPr>
          <w:rFonts w:ascii="Times New Roman" w:hAnsi="Times New Roman" w:cs="Times New Roman"/>
          <w:sz w:val="24"/>
          <w:szCs w:val="24"/>
        </w:rPr>
        <w:t xml:space="preserve">первичной заболеваемости</w:t>
      </w:r>
      <w:r>
        <w:rPr>
          <w:rFonts w:ascii="Times New Roman" w:hAnsi="Times New Roman" w:cs="Times New Roman"/>
          <w:sz w:val="24"/>
          <w:szCs w:val="24"/>
        </w:rPr>
        <w:t xml:space="preserve"> НР</w:t>
      </w:r>
      <w:r>
        <w:rPr>
          <w:rFonts w:ascii="Times New Roman" w:hAnsi="Times New Roman" w:cs="Times New Roman"/>
          <w:sz w:val="24"/>
          <w:szCs w:val="24"/>
        </w:rPr>
        <w:t xml:space="preserve"> всего населения</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в т.ч. среди несовершеннолетних, </w:t>
      </w:r>
      <w:r>
        <w:rPr>
          <w:rFonts w:ascii="Times New Roman" w:hAnsi="Times New Roman" w:cs="Times New Roman"/>
          <w:sz w:val="24"/>
          <w:szCs w:val="24"/>
        </w:rPr>
        <w:t xml:space="preserve"> </w:t>
      </w:r>
      <w:r>
        <w:rPr>
          <w:rFonts w:ascii="Times New Roman" w:hAnsi="Times New Roman" w:cs="Times New Roman"/>
          <w:sz w:val="24"/>
          <w:szCs w:val="24"/>
        </w:rPr>
        <w:t xml:space="preserve">отнесен </w:t>
      </w:r>
      <w:r>
        <w:rPr>
          <w:rFonts w:ascii="Times New Roman" w:hAnsi="Times New Roman" w:cs="Times New Roman"/>
          <w:sz w:val="24"/>
          <w:szCs w:val="24"/>
        </w:rPr>
        <w:t xml:space="preserve">Кировский</w:t>
      </w:r>
      <w:r>
        <w:rPr>
          <w:rFonts w:ascii="Times New Roman" w:hAnsi="Times New Roman" w:cs="Times New Roman"/>
          <w:sz w:val="24"/>
          <w:szCs w:val="24"/>
        </w:rPr>
        <w:t xml:space="preserve"> </w:t>
      </w:r>
      <w:r>
        <w:rPr>
          <w:rFonts w:ascii="Times New Roman" w:hAnsi="Times New Roman" w:cs="Times New Roman"/>
          <w:sz w:val="24"/>
          <w:szCs w:val="24"/>
        </w:rPr>
        <w:t xml:space="preserve">район</w:t>
      </w:r>
      <w:r>
        <w:rPr>
          <w:rFonts w:ascii="Times New Roman" w:hAnsi="Times New Roman" w:cs="Times New Roman"/>
          <w:sz w:val="24"/>
          <w:szCs w:val="24"/>
        </w:rPr>
        <w:t xml:space="preserve">.</w:t>
      </w:r>
      <w:r>
        <w:rPr>
          <w:rFonts w:ascii="Times New Roman" w:hAnsi="Times New Roman" w:cs="Times New Roman"/>
          <w:sz w:val="24"/>
          <w:szCs w:val="24"/>
        </w:rPr>
        <w:t xml:space="preserve"> </w:t>
      </w:r>
    </w:p>
    <w:p>
      <w:pPr>
        <w:pStyle w:val="Normal"/>
        <w:jc w:val="center"/>
        <w:rPr>
          <w:b/>
          <w:bCs/>
          <w:color w:val="000000"/>
          <w:sz w:val="26"/>
          <w:szCs w:val="26"/>
          <w:u w:val="single"/>
        </w:rPr>
      </w:pPr>
      <w:r>
        <w:rPr>
          <w:b/>
          <w:bCs/>
          <w:color w:val="000000"/>
          <w:sz w:val="26"/>
          <w:szCs w:val="26"/>
          <w:u w:val="single"/>
        </w:rPr>
      </w:r>
    </w:p>
    <w:p>
      <w:pPr>
        <w:pStyle w:val="Normal"/>
        <w:jc w:val="center"/>
        <w:rPr>
          <w:b/>
          <w:bCs/>
          <w:color w:val="000000"/>
          <w:sz w:val="26"/>
          <w:szCs w:val="26"/>
          <w:u w:val="single"/>
        </w:rPr>
      </w:pPr>
      <w:r>
        <w:rPr>
          <w:b/>
          <w:bCs/>
          <w:color w:val="000000"/>
          <w:sz w:val="26"/>
          <w:szCs w:val="26"/>
          <w:u w:val="single"/>
        </w:rPr>
        <w:t xml:space="preserve">4</w:t>
      </w:r>
      <w:r>
        <w:rPr>
          <w:b/>
          <w:bCs/>
          <w:color w:val="000000"/>
          <w:sz w:val="26"/>
          <w:szCs w:val="26"/>
          <w:u w:val="single"/>
        </w:rPr>
        <w:t xml:space="preserve">. Анализ общей ситуации отравлений химической этиологии</w:t>
      </w:r>
    </w:p>
    <w:p>
      <w:pPr>
        <w:pStyle w:val="Normal"/>
        <w:spacing w:line="264" w:lineRule="auto"/>
        <w:ind w:firstLine="425"/>
        <w:jc w:val="both"/>
        <w:rPr>
          <w:szCs w:val="20"/>
        </w:rPr>
      </w:pPr>
      <w:r>
        <w:rPr>
          <w:szCs w:val="20"/>
        </w:rPr>
      </w:r>
    </w:p>
    <w:p>
      <w:pPr>
        <w:pStyle w:val="Normal"/>
        <w:ind w:firstLine="709"/>
        <w:jc w:val="both"/>
        <w:rPr>
          <w:szCs w:val="20"/>
        </w:rPr>
      </w:pPr>
      <w:r>
        <w:rPr>
          <w:szCs w:val="20"/>
        </w:rPr>
        <w:t xml:space="preserve">За 1 квартал 2025 года из лечебно-профилактических учреждений г. Перми и Пермского краевого бюро судебно-медицинской экспертизы </w:t>
      </w:r>
      <w:r>
        <w:rPr>
          <w:szCs w:val="20"/>
        </w:rPr>
        <w:t xml:space="preserve">поступил</w:t>
      </w:r>
      <w:r>
        <w:rPr>
          <w:szCs w:val="20"/>
        </w:rPr>
        <w:t xml:space="preserve">и</w:t>
      </w:r>
      <w:r>
        <w:rPr>
          <w:szCs w:val="20"/>
        </w:rPr>
        <w:t xml:space="preserve"> </w:t>
      </w:r>
      <w:r>
        <w:rPr>
          <w:szCs w:val="20"/>
        </w:rPr>
        <w:t xml:space="preserve">208 </w:t>
      </w:r>
      <w:r>
        <w:rPr>
          <w:szCs w:val="20"/>
        </w:rPr>
        <w:t xml:space="preserve">экстре</w:t>
      </w:r>
      <w:r>
        <w:rPr>
          <w:szCs w:val="20"/>
        </w:rPr>
        <w:t xml:space="preserve">н</w:t>
      </w:r>
      <w:r>
        <w:rPr>
          <w:szCs w:val="20"/>
        </w:rPr>
        <w:t xml:space="preserve">н</w:t>
      </w:r>
      <w:r>
        <w:rPr>
          <w:szCs w:val="20"/>
        </w:rPr>
        <w:t xml:space="preserve">ых</w:t>
      </w:r>
      <w:r>
        <w:rPr>
          <w:szCs w:val="20"/>
        </w:rPr>
        <w:t xml:space="preserve"> извещени</w:t>
      </w:r>
      <w:r>
        <w:rPr>
          <w:szCs w:val="20"/>
        </w:rPr>
        <w:t xml:space="preserve">й</w:t>
      </w:r>
      <w:r>
        <w:rPr>
          <w:szCs w:val="20"/>
        </w:rPr>
        <w:t xml:space="preserve"> о случаях</w:t>
      </w:r>
      <w:r>
        <w:rPr>
          <w:szCs w:val="20"/>
        </w:rPr>
        <w:t xml:space="preserve"> отравлений химической этиологии населения г. Перми (1 кв. 2024 г. – 220</w:t>
      </w:r>
      <w:r>
        <w:rPr>
          <w:szCs w:val="20"/>
        </w:rPr>
        <w:t xml:space="preserve">).</w:t>
      </w:r>
      <w:r>
        <w:rPr>
          <w:szCs w:val="20"/>
        </w:rPr>
        <w:t xml:space="preserve"> В сравнении с аналогичным периодом прошлого года п</w:t>
      </w:r>
      <w:r>
        <w:rPr>
          <w:szCs w:val="20"/>
        </w:rPr>
        <w:t xml:space="preserve">оказатель общих отравлений </w:t>
      </w:r>
      <w:r>
        <w:rPr>
          <w:szCs w:val="20"/>
        </w:rPr>
        <w:t xml:space="preserve">не изменился (20,3</w:t>
      </w:r>
      <w:r>
        <w:rPr>
          <w:szCs w:val="20"/>
        </w:rPr>
        <w:t xml:space="preserve"> на 100 тыс. населения</w:t>
      </w:r>
      <w:r>
        <w:rPr>
          <w:szCs w:val="20"/>
        </w:rPr>
        <w:t xml:space="preserve">), но превысил среднекраевой</w:t>
      </w:r>
      <w:r>
        <w:rPr>
          <w:szCs w:val="20"/>
        </w:rPr>
        <w:t xml:space="preserve"> уров</w:t>
      </w:r>
      <w:r>
        <w:rPr>
          <w:szCs w:val="20"/>
        </w:rPr>
        <w:t xml:space="preserve">ень </w:t>
      </w:r>
      <w:r>
        <w:rPr>
          <w:szCs w:val="20"/>
        </w:rPr>
        <w:t xml:space="preserve">(</w:t>
      </w:r>
      <w:r>
        <w:rPr>
          <w:szCs w:val="20"/>
        </w:rPr>
        <w:t xml:space="preserve">14,6)</w:t>
      </w:r>
      <w:r>
        <w:rPr>
          <w:szCs w:val="20"/>
        </w:rPr>
        <w:t xml:space="preserve"> </w:t>
      </w:r>
      <w:r>
        <w:rPr>
          <w:szCs w:val="20"/>
        </w:rPr>
        <w:t xml:space="preserve">в 1,4раза  (табл. 6</w:t>
      </w:r>
      <w:r>
        <w:rPr>
          <w:szCs w:val="20"/>
        </w:rPr>
        <w:t xml:space="preserve">).</w:t>
      </w:r>
      <w:r>
        <w:rPr>
          <w:szCs w:val="20"/>
        </w:rPr>
        <w:t xml:space="preserve"> </w:t>
      </w:r>
      <w:r>
        <w:rPr>
          <w:szCs w:val="20"/>
        </w:rPr>
      </w:r>
    </w:p>
    <w:p>
      <w:pPr>
        <w:pStyle w:val="Normal"/>
        <w:ind w:firstLine="709"/>
        <w:jc w:val="right"/>
        <w:rPr>
          <w:szCs w:val="20"/>
        </w:rPr>
      </w:pPr>
      <w:r>
        <w:rPr>
          <w:szCs w:val="20"/>
        </w:rPr>
        <w:t xml:space="preserve">Таблица </w:t>
      </w:r>
      <w:r>
        <w:rPr>
          <w:szCs w:val="20"/>
        </w:rPr>
        <w:t xml:space="preserve">6</w:t>
      </w:r>
      <w:r>
        <w:rPr>
          <w:szCs w:val="20"/>
        </w:rPr>
      </w:r>
    </w:p>
    <w:p>
      <w:pPr>
        <w:pStyle w:val="Normal"/>
        <w:ind w:firstLine="709"/>
        <w:jc w:val="center"/>
        <w:rPr>
          <w:b/>
        </w:rPr>
      </w:pPr>
      <w:r>
        <w:rPr>
          <w:b/>
        </w:rPr>
        <w:t xml:space="preserve">Отравления химической этиологии населения г. Перми</w:t>
      </w:r>
    </w:p>
    <w:p>
      <w:pPr>
        <w:pStyle w:val="Normal"/>
        <w:ind w:firstLine="709"/>
        <w:jc w:val="center"/>
        <w:rPr>
          <w:szCs w:val="20"/>
        </w:rPr>
      </w:pPr>
      <w:r>
        <w:rPr>
          <w:b/>
        </w:rPr>
        <w:t xml:space="preserve">(на 100 тыс. населения)</w:t>
      </w:r>
      <w:r>
        <w:rPr>
          <w:szCs w:val="20"/>
        </w:rPr>
      </w:r>
    </w:p>
    <w:p>
      <w:pPr>
        <w:pStyle w:val="Normal"/>
        <w:ind w:firstLine="709"/>
        <w:jc w:val="both"/>
        <w:rPr>
          <w:szCs w:val="20"/>
        </w:rPr>
      </w:pPr>
      <w:r>
        <w:rPr>
          <w:szCs w:val="20"/>
        </w:rPr>
      </w:r>
    </w:p>
    <w:tbl>
      <w:tblPr>
        <w:tblW w:w="0" w:type="auto"/>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1936"/>
        <w:gridCol w:w="968"/>
        <w:gridCol w:w="969"/>
        <w:gridCol w:w="968"/>
        <w:gridCol w:w="969"/>
        <w:gridCol w:w="968"/>
        <w:gridCol w:w="969"/>
        <w:gridCol w:w="1399"/>
      </w:tblGrid>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vMerge w:val="restart"/>
            <w:textDirection w:val="lrTb"/>
            <w:vAlign w:val="top"/>
          </w:tcPr>
          <w:p>
            <w:pPr>
              <w:pStyle w:val="Normal"/>
              <w:jc w:val="both"/>
              <w:rPr>
                <w:szCs w:val="20"/>
              </w:rPr>
            </w:pPr>
            <w:r>
              <w:rPr>
                <w:szCs w:val="20"/>
              </w:rPr>
            </w:r>
          </w:p>
        </w:tc>
        <w:tc>
          <w:tcPr>
            <w:tcW w:w="1937" w:type="dxa"/>
            <w:gridSpan w:val="2"/>
            <w:textDirection w:val="lrTb"/>
            <w:vAlign w:val="center"/>
          </w:tcPr>
          <w:p>
            <w:pPr>
              <w:pStyle w:val="Normal"/>
              <w:jc w:val="center"/>
              <w:rPr>
                <w:bCs/>
                <w:sz w:val="22"/>
                <w:szCs w:val="22"/>
              </w:rPr>
            </w:pPr>
            <w:r>
              <w:rPr>
                <w:bCs/>
                <w:sz w:val="22"/>
                <w:szCs w:val="22"/>
              </w:rPr>
              <w:t xml:space="preserve">1 кв.</w:t>
            </w:r>
            <w:r>
              <w:rPr>
                <w:bCs/>
                <w:sz w:val="22"/>
                <w:szCs w:val="22"/>
              </w:rPr>
              <w:t xml:space="preserve">2025</w:t>
            </w:r>
            <w:r>
              <w:rPr>
                <w:bCs/>
                <w:sz w:val="22"/>
                <w:szCs w:val="22"/>
              </w:rPr>
              <w:t xml:space="preserve">г.</w:t>
            </w:r>
          </w:p>
        </w:tc>
        <w:tc>
          <w:tcPr>
            <w:tcW w:w="1937" w:type="dxa"/>
            <w:gridSpan w:val="2"/>
            <w:textDirection w:val="lrTb"/>
            <w:vAlign w:val="center"/>
          </w:tcPr>
          <w:p>
            <w:pPr>
              <w:pStyle w:val="Normal"/>
              <w:jc w:val="center"/>
              <w:rPr>
                <w:bCs/>
                <w:sz w:val="22"/>
                <w:szCs w:val="22"/>
              </w:rPr>
            </w:pPr>
            <w:r>
              <w:rPr>
                <w:bCs/>
                <w:sz w:val="22"/>
                <w:szCs w:val="22"/>
              </w:rPr>
              <w:t xml:space="preserve">1 кв.</w:t>
            </w:r>
            <w:r>
              <w:rPr>
                <w:bCs/>
                <w:sz w:val="22"/>
                <w:szCs w:val="22"/>
              </w:rPr>
              <w:t xml:space="preserve">2024 </w:t>
            </w:r>
            <w:r>
              <w:rPr>
                <w:bCs/>
                <w:sz w:val="22"/>
                <w:szCs w:val="22"/>
              </w:rPr>
              <w:t xml:space="preserve">г.</w:t>
            </w:r>
          </w:p>
        </w:tc>
        <w:tc>
          <w:tcPr>
            <w:tcW w:w="1937" w:type="dxa"/>
            <w:gridSpan w:val="2"/>
            <w:textDirection w:val="lrTb"/>
            <w:vAlign w:val="center"/>
          </w:tcPr>
          <w:p>
            <w:pPr>
              <w:pStyle w:val="Normal"/>
              <w:jc w:val="center"/>
              <w:rPr>
                <w:bCs/>
                <w:sz w:val="22"/>
                <w:szCs w:val="22"/>
              </w:rPr>
            </w:pPr>
            <w:r>
              <w:rPr>
                <w:bCs/>
                <w:sz w:val="22"/>
                <w:szCs w:val="22"/>
              </w:rPr>
              <w:t xml:space="preserve">Пермский край     1 кв.</w:t>
            </w:r>
            <w:r>
              <w:rPr>
                <w:bCs/>
                <w:sz w:val="22"/>
                <w:szCs w:val="22"/>
              </w:rPr>
              <w:t xml:space="preserve">2025</w:t>
            </w:r>
            <w:r>
              <w:rPr>
                <w:bCs/>
                <w:sz w:val="22"/>
                <w:szCs w:val="22"/>
              </w:rPr>
              <w:t xml:space="preserve">г.</w:t>
            </w:r>
          </w:p>
        </w:tc>
        <w:tc>
          <w:tcPr>
            <w:tcW w:w="1399" w:type="dxa"/>
            <w:vMerge w:val="restart"/>
            <w:textDirection w:val="lrTb"/>
            <w:vAlign w:val="center"/>
          </w:tcPr>
          <w:p>
            <w:pPr>
              <w:pStyle w:val="Normal"/>
              <w:jc w:val="center"/>
              <w:rPr>
                <w:bCs/>
                <w:sz w:val="22"/>
                <w:szCs w:val="22"/>
              </w:rPr>
            </w:pPr>
            <w:r>
              <w:rPr>
                <w:bCs/>
                <w:sz w:val="22"/>
                <w:szCs w:val="22"/>
              </w:rPr>
              <w:t xml:space="preserve">Темп</w:t>
            </w:r>
          </w:p>
          <w:p>
            <w:pPr>
              <w:pStyle w:val="Normal"/>
              <w:jc w:val="center"/>
              <w:rPr>
                <w:bCs/>
                <w:sz w:val="22"/>
                <w:szCs w:val="22"/>
              </w:rPr>
            </w:pPr>
            <w:r>
              <w:rPr>
                <w:bCs/>
                <w:sz w:val="22"/>
                <w:szCs w:val="22"/>
              </w:rPr>
              <w:t xml:space="preserve">изменений </w:t>
            </w:r>
          </w:p>
          <w:p>
            <w:pPr>
              <w:pStyle w:val="Normal"/>
              <w:jc w:val="center"/>
              <w:rPr>
                <w:szCs w:val="20"/>
              </w:rPr>
            </w:pPr>
            <w:r>
              <w:rPr>
                <w:szCs w:val="20"/>
              </w:rPr>
            </w:r>
          </w:p>
        </w:tc>
      </w:tr>
      <w:tr>
        <w:trPr>
          <w:trHeight w:val="135"/>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vMerge w:val="continue"/>
            <w:textDirection w:val="lrTb"/>
            <w:vAlign w:val="top"/>
          </w:tcPr>
          <w:p>
            <w:pPr>
              <w:pStyle w:val="Normal"/>
              <w:jc w:val="both"/>
              <w:rPr>
                <w:szCs w:val="20"/>
              </w:rPr>
            </w:pPr>
            <w:r>
              <w:rPr>
                <w:szCs w:val="20"/>
              </w:rPr>
            </w:r>
          </w:p>
        </w:tc>
        <w:tc>
          <w:tcPr>
            <w:tcW w:w="968" w:type="dxa"/>
            <w:textDirection w:val="lrTb"/>
            <w:vAlign w:val="center"/>
          </w:tcPr>
          <w:p>
            <w:pPr>
              <w:pStyle w:val="Normal"/>
              <w:jc w:val="center"/>
              <w:rPr>
                <w:bCs/>
                <w:sz w:val="22"/>
                <w:szCs w:val="22"/>
              </w:rPr>
            </w:pPr>
            <w:r>
              <w:rPr>
                <w:bCs/>
                <w:sz w:val="22"/>
                <w:szCs w:val="22"/>
              </w:rPr>
              <w:t xml:space="preserve">абс.</w:t>
            </w:r>
          </w:p>
        </w:tc>
        <w:tc>
          <w:tcPr>
            <w:tcW w:w="969" w:type="dxa"/>
            <w:textDirection w:val="lrTb"/>
            <w:vAlign w:val="center"/>
          </w:tcPr>
          <w:p>
            <w:pPr>
              <w:pStyle w:val="Normal"/>
              <w:jc w:val="center"/>
              <w:rPr>
                <w:bCs/>
                <w:sz w:val="22"/>
                <w:szCs w:val="22"/>
              </w:rPr>
            </w:pPr>
            <w:r>
              <w:rPr>
                <w:bCs/>
                <w:sz w:val="22"/>
                <w:szCs w:val="22"/>
              </w:rPr>
              <w:t xml:space="preserve">пок-ль</w:t>
            </w:r>
          </w:p>
        </w:tc>
        <w:tc>
          <w:tcPr>
            <w:tcW w:w="968" w:type="dxa"/>
            <w:textDirection w:val="lrTb"/>
            <w:vAlign w:val="center"/>
          </w:tcPr>
          <w:p>
            <w:pPr>
              <w:pStyle w:val="Normal"/>
              <w:jc w:val="center"/>
              <w:rPr>
                <w:bCs/>
                <w:sz w:val="22"/>
                <w:szCs w:val="22"/>
              </w:rPr>
            </w:pPr>
            <w:r>
              <w:rPr>
                <w:bCs/>
                <w:sz w:val="22"/>
                <w:szCs w:val="22"/>
              </w:rPr>
              <w:t xml:space="preserve">абс.</w:t>
            </w:r>
          </w:p>
        </w:tc>
        <w:tc>
          <w:tcPr>
            <w:tcW w:w="969" w:type="dxa"/>
            <w:textDirection w:val="lrTb"/>
            <w:vAlign w:val="center"/>
          </w:tcPr>
          <w:p>
            <w:pPr>
              <w:pStyle w:val="Normal"/>
              <w:jc w:val="center"/>
              <w:rPr>
                <w:szCs w:val="20"/>
              </w:rPr>
            </w:pPr>
            <w:r>
              <w:rPr>
                <w:szCs w:val="20"/>
              </w:rPr>
              <w:t xml:space="preserve">пок-ль</w:t>
            </w:r>
          </w:p>
        </w:tc>
        <w:tc>
          <w:tcPr>
            <w:tcW w:w="968" w:type="dxa"/>
            <w:textDirection w:val="lrTb"/>
            <w:vAlign w:val="center"/>
          </w:tcPr>
          <w:p>
            <w:pPr>
              <w:pStyle w:val="Normal"/>
              <w:jc w:val="center"/>
              <w:rPr>
                <w:bCs/>
                <w:sz w:val="22"/>
                <w:szCs w:val="22"/>
              </w:rPr>
            </w:pPr>
            <w:r>
              <w:rPr>
                <w:bCs/>
                <w:sz w:val="22"/>
                <w:szCs w:val="22"/>
              </w:rPr>
              <w:t xml:space="preserve">абс.</w:t>
            </w:r>
          </w:p>
        </w:tc>
        <w:tc>
          <w:tcPr>
            <w:tcW w:w="969" w:type="dxa"/>
            <w:textDirection w:val="lrTb"/>
            <w:vAlign w:val="center"/>
          </w:tcPr>
          <w:p>
            <w:pPr>
              <w:pStyle w:val="Normal"/>
              <w:jc w:val="center"/>
              <w:rPr>
                <w:szCs w:val="20"/>
              </w:rPr>
            </w:pPr>
            <w:r>
              <w:rPr>
                <w:szCs w:val="20"/>
              </w:rPr>
              <w:t xml:space="preserve">пок-ль</w:t>
            </w:r>
          </w:p>
        </w:tc>
        <w:tc>
          <w:tcPr>
            <w:tcW w:w="1399" w:type="dxa"/>
            <w:vMerge w:val="continue"/>
            <w:textDirection w:val="lrTb"/>
            <w:vAlign w:val="center"/>
          </w:tcPr>
          <w:p>
            <w:pPr>
              <w:pStyle w:val="Normal"/>
              <w:jc w:val="center"/>
              <w:rPr>
                <w:szCs w:val="20"/>
              </w:rPr>
            </w:pPr>
            <w:r>
              <w:rPr>
                <w:szCs w:val="20"/>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vMerge w:val="continue"/>
            <w:textDirection w:val="lrTb"/>
            <w:vAlign w:val="bottom"/>
          </w:tcPr>
          <w:p>
            <w:pPr>
              <w:pStyle w:val="Normal"/>
              <w:rPr>
                <w:sz w:val="22"/>
                <w:szCs w:val="22"/>
              </w:rPr>
            </w:pPr>
            <w:r>
              <w:rPr>
                <w:sz w:val="22"/>
                <w:szCs w:val="22"/>
              </w:rPr>
            </w:r>
          </w:p>
        </w:tc>
        <w:tc>
          <w:tcPr>
            <w:tcW w:w="7210" w:type="dxa"/>
            <w:gridSpan w:val="7"/>
            <w:textDirection w:val="lrTb"/>
            <w:vAlign w:val="top"/>
          </w:tcPr>
          <w:p>
            <w:pPr>
              <w:pStyle w:val="Normal"/>
              <w:jc w:val="center"/>
              <w:rPr>
                <w:b/>
                <w:szCs w:val="20"/>
              </w:rPr>
            </w:pPr>
            <w:r>
              <w:rPr>
                <w:b/>
                <w:szCs w:val="20"/>
              </w:rPr>
              <w:t xml:space="preserve">Всего</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Отравления </w:t>
            </w:r>
          </w:p>
          <w:p>
            <w:pPr>
              <w:pStyle w:val="Normal"/>
              <w:rPr>
                <w:sz w:val="22"/>
                <w:szCs w:val="22"/>
              </w:rPr>
            </w:pPr>
            <w:r>
              <w:rPr>
                <w:sz w:val="22"/>
                <w:szCs w:val="22"/>
              </w:rPr>
              <w:t xml:space="preserve">химической </w:t>
            </w:r>
          </w:p>
          <w:p>
            <w:pPr>
              <w:pStyle w:val="Normal"/>
              <w:rPr>
                <w:sz w:val="22"/>
                <w:szCs w:val="22"/>
              </w:rPr>
            </w:pPr>
            <w:r>
              <w:rPr>
                <w:sz w:val="22"/>
                <w:szCs w:val="22"/>
              </w:rPr>
              <w:t xml:space="preserve">эти</w:t>
            </w:r>
            <w:r>
              <w:rPr>
                <w:sz w:val="22"/>
                <w:szCs w:val="22"/>
              </w:rPr>
              <w:t xml:space="preserve">о</w:t>
            </w:r>
            <w:r>
              <w:rPr>
                <w:sz w:val="22"/>
                <w:szCs w:val="22"/>
              </w:rPr>
              <w:t xml:space="preserve">логии всего,  </w:t>
            </w:r>
          </w:p>
          <w:p>
            <w:pPr>
              <w:pStyle w:val="Normal"/>
              <w:rPr>
                <w:sz w:val="22"/>
                <w:szCs w:val="22"/>
              </w:rPr>
            </w:pPr>
            <w:r>
              <w:rPr>
                <w:sz w:val="22"/>
                <w:szCs w:val="22"/>
              </w:rPr>
              <w:t xml:space="preserve">в т.ч.</w:t>
            </w:r>
          </w:p>
        </w:tc>
        <w:tc>
          <w:tcPr>
            <w:tcW w:w="968" w:type="dxa"/>
            <w:textDirection w:val="lrTb"/>
            <w:vAlign w:val="center"/>
          </w:tcPr>
          <w:p>
            <w:pPr>
              <w:pStyle w:val="Normal"/>
              <w:jc w:val="center"/>
              <w:rPr>
                <w:sz w:val="20"/>
                <w:szCs w:val="20"/>
              </w:rPr>
            </w:pPr>
            <w:r>
              <w:rPr>
                <w:sz w:val="20"/>
                <w:szCs w:val="20"/>
              </w:rPr>
              <w:t xml:space="preserve">208</w:t>
            </w:r>
          </w:p>
        </w:tc>
        <w:tc>
          <w:tcPr>
            <w:tcW w:w="969" w:type="dxa"/>
            <w:textDirection w:val="lrTb"/>
            <w:vAlign w:val="center"/>
          </w:tcPr>
          <w:p>
            <w:pPr>
              <w:pStyle w:val="Normal"/>
              <w:jc w:val="center"/>
              <w:rPr>
                <w:sz w:val="20"/>
                <w:szCs w:val="20"/>
              </w:rPr>
            </w:pPr>
            <w:r>
              <w:rPr>
                <w:sz w:val="20"/>
                <w:szCs w:val="20"/>
              </w:rPr>
              <w:t xml:space="preserve">20,3</w:t>
            </w:r>
          </w:p>
        </w:tc>
        <w:tc>
          <w:tcPr>
            <w:tcW w:w="968" w:type="dxa"/>
            <w:textDirection w:val="lrTb"/>
            <w:vAlign w:val="center"/>
          </w:tcPr>
          <w:p>
            <w:pPr>
              <w:pStyle w:val="Normal"/>
              <w:jc w:val="center"/>
              <w:rPr>
                <w:sz w:val="20"/>
                <w:szCs w:val="20"/>
              </w:rPr>
            </w:pPr>
            <w:r>
              <w:rPr>
                <w:sz w:val="20"/>
                <w:szCs w:val="20"/>
              </w:rPr>
              <w:t xml:space="preserve">220</w:t>
            </w:r>
          </w:p>
        </w:tc>
        <w:tc>
          <w:tcPr>
            <w:tcW w:w="969" w:type="dxa"/>
            <w:textDirection w:val="lrTb"/>
            <w:vAlign w:val="center"/>
          </w:tcPr>
          <w:p>
            <w:pPr>
              <w:pStyle w:val="Normal"/>
              <w:jc w:val="center"/>
              <w:rPr>
                <w:sz w:val="20"/>
                <w:szCs w:val="20"/>
              </w:rPr>
            </w:pPr>
            <w:r>
              <w:rPr>
                <w:sz w:val="20"/>
                <w:szCs w:val="20"/>
              </w:rPr>
              <w:t xml:space="preserve">21,4</w:t>
            </w:r>
          </w:p>
        </w:tc>
        <w:tc>
          <w:tcPr>
            <w:tcW w:w="968" w:type="dxa"/>
            <w:textDirection w:val="lrTb"/>
            <w:vAlign w:val="center"/>
          </w:tcPr>
          <w:p>
            <w:pPr>
              <w:pStyle w:val="Normal"/>
              <w:jc w:val="center"/>
              <w:rPr>
                <w:sz w:val="20"/>
                <w:szCs w:val="20"/>
              </w:rPr>
            </w:pPr>
            <w:r>
              <w:rPr>
                <w:sz w:val="20"/>
                <w:szCs w:val="20"/>
              </w:rPr>
              <w:t xml:space="preserve">365</w:t>
            </w:r>
          </w:p>
        </w:tc>
        <w:tc>
          <w:tcPr>
            <w:tcW w:w="969" w:type="dxa"/>
            <w:textDirection w:val="lrTb"/>
            <w:vAlign w:val="center"/>
          </w:tcPr>
          <w:p>
            <w:pPr>
              <w:pStyle w:val="Normal"/>
              <w:jc w:val="center"/>
              <w:rPr>
                <w:sz w:val="20"/>
                <w:szCs w:val="20"/>
              </w:rPr>
            </w:pPr>
            <w:r>
              <w:rPr>
                <w:sz w:val="20"/>
                <w:szCs w:val="20"/>
              </w:rPr>
              <w:t xml:space="preserve">14,6</w:t>
            </w:r>
          </w:p>
        </w:tc>
        <w:tc>
          <w:tcPr>
            <w:tcW w:w="1399" w:type="dxa"/>
            <w:textDirection w:val="lrTb"/>
            <w:vAlign w:val="center"/>
          </w:tcPr>
          <w:p>
            <w:pPr>
              <w:pStyle w:val="Normal"/>
              <w:jc w:val="center"/>
              <w:rPr>
                <w:sz w:val="20"/>
                <w:szCs w:val="20"/>
              </w:rPr>
            </w:pPr>
            <w:r>
              <w:rPr>
                <w:sz w:val="20"/>
                <w:szCs w:val="20"/>
              </w:rPr>
              <w:t xml:space="preserve">-5,5</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медикаментами</w:t>
            </w:r>
          </w:p>
        </w:tc>
        <w:tc>
          <w:tcPr>
            <w:tcW w:w="968" w:type="dxa"/>
            <w:textDirection w:val="lrTb"/>
            <w:vAlign w:val="center"/>
          </w:tcPr>
          <w:p>
            <w:pPr>
              <w:pStyle w:val="Normal"/>
              <w:jc w:val="center"/>
              <w:rPr>
                <w:sz w:val="20"/>
                <w:szCs w:val="20"/>
              </w:rPr>
            </w:pPr>
            <w:r>
              <w:rPr>
                <w:sz w:val="20"/>
                <w:szCs w:val="20"/>
              </w:rPr>
              <w:t xml:space="preserve">76</w:t>
            </w:r>
          </w:p>
        </w:tc>
        <w:tc>
          <w:tcPr>
            <w:tcW w:w="969" w:type="dxa"/>
            <w:textDirection w:val="lrTb"/>
            <w:vAlign w:val="center"/>
          </w:tcPr>
          <w:p>
            <w:pPr>
              <w:pStyle w:val="Normal"/>
              <w:jc w:val="center"/>
              <w:rPr>
                <w:sz w:val="20"/>
                <w:szCs w:val="20"/>
              </w:rPr>
            </w:pPr>
            <w:r>
              <w:rPr>
                <w:sz w:val="20"/>
                <w:szCs w:val="20"/>
              </w:rPr>
              <w:t xml:space="preserve">7,4</w:t>
            </w:r>
          </w:p>
        </w:tc>
        <w:tc>
          <w:tcPr>
            <w:tcW w:w="968" w:type="dxa"/>
            <w:textDirection w:val="lrTb"/>
            <w:vAlign w:val="center"/>
          </w:tcPr>
          <w:p>
            <w:pPr>
              <w:pStyle w:val="Normal"/>
              <w:jc w:val="center"/>
              <w:rPr>
                <w:sz w:val="20"/>
                <w:szCs w:val="20"/>
              </w:rPr>
            </w:pPr>
            <w:r>
              <w:rPr>
                <w:sz w:val="20"/>
                <w:szCs w:val="20"/>
              </w:rPr>
              <w:t xml:space="preserve">78</w:t>
            </w:r>
          </w:p>
        </w:tc>
        <w:tc>
          <w:tcPr>
            <w:tcW w:w="969" w:type="dxa"/>
            <w:textDirection w:val="lrTb"/>
            <w:vAlign w:val="center"/>
          </w:tcPr>
          <w:p>
            <w:pPr>
              <w:pStyle w:val="Normal"/>
              <w:jc w:val="center"/>
              <w:rPr>
                <w:sz w:val="20"/>
                <w:szCs w:val="20"/>
              </w:rPr>
            </w:pPr>
            <w:r>
              <w:rPr>
                <w:sz w:val="20"/>
                <w:szCs w:val="20"/>
              </w:rPr>
              <w:t xml:space="preserve">7,6</w:t>
            </w:r>
          </w:p>
        </w:tc>
        <w:tc>
          <w:tcPr>
            <w:tcW w:w="968" w:type="dxa"/>
            <w:textDirection w:val="lrTb"/>
            <w:vAlign w:val="center"/>
          </w:tcPr>
          <w:p>
            <w:pPr>
              <w:pStyle w:val="Normal"/>
              <w:jc w:val="center"/>
              <w:rPr>
                <w:sz w:val="20"/>
                <w:szCs w:val="20"/>
              </w:rPr>
            </w:pPr>
            <w:r>
              <w:rPr>
                <w:sz w:val="20"/>
                <w:szCs w:val="20"/>
              </w:rPr>
              <w:t xml:space="preserve">108</w:t>
            </w:r>
          </w:p>
        </w:tc>
        <w:tc>
          <w:tcPr>
            <w:tcW w:w="969" w:type="dxa"/>
            <w:textDirection w:val="lrTb"/>
            <w:vAlign w:val="center"/>
          </w:tcPr>
          <w:p>
            <w:pPr>
              <w:pStyle w:val="Normal"/>
              <w:jc w:val="center"/>
              <w:rPr>
                <w:sz w:val="20"/>
                <w:szCs w:val="20"/>
              </w:rPr>
            </w:pPr>
            <w:r>
              <w:rPr>
                <w:sz w:val="20"/>
                <w:szCs w:val="20"/>
              </w:rPr>
              <w:t xml:space="preserve">4,3</w:t>
            </w:r>
          </w:p>
        </w:tc>
        <w:tc>
          <w:tcPr>
            <w:tcW w:w="1399" w:type="dxa"/>
            <w:textDirection w:val="lrTb"/>
            <w:vAlign w:val="center"/>
          </w:tcPr>
          <w:p>
            <w:pPr>
              <w:pStyle w:val="Normal"/>
              <w:jc w:val="center"/>
              <w:rPr>
                <w:sz w:val="20"/>
                <w:szCs w:val="20"/>
              </w:rPr>
            </w:pPr>
            <w:r>
              <w:rPr>
                <w:sz w:val="20"/>
                <w:szCs w:val="20"/>
              </w:rPr>
              <w:t xml:space="preserve">-2,6</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алкоголем и его суррогатами</w:t>
            </w:r>
          </w:p>
        </w:tc>
        <w:tc>
          <w:tcPr>
            <w:tcW w:w="968" w:type="dxa"/>
            <w:textDirection w:val="lrTb"/>
            <w:vAlign w:val="center"/>
          </w:tcPr>
          <w:p>
            <w:pPr>
              <w:pStyle w:val="Normal"/>
              <w:jc w:val="center"/>
              <w:rPr>
                <w:sz w:val="20"/>
                <w:szCs w:val="20"/>
              </w:rPr>
            </w:pPr>
            <w:r>
              <w:rPr>
                <w:sz w:val="20"/>
                <w:szCs w:val="20"/>
              </w:rPr>
              <w:t xml:space="preserve">54</w:t>
            </w:r>
          </w:p>
        </w:tc>
        <w:tc>
          <w:tcPr>
            <w:tcW w:w="969" w:type="dxa"/>
            <w:textDirection w:val="lrTb"/>
            <w:vAlign w:val="center"/>
          </w:tcPr>
          <w:p>
            <w:pPr>
              <w:pStyle w:val="Normal"/>
              <w:jc w:val="center"/>
              <w:rPr>
                <w:sz w:val="20"/>
                <w:szCs w:val="20"/>
              </w:rPr>
            </w:pPr>
            <w:r>
              <w:rPr>
                <w:sz w:val="20"/>
                <w:szCs w:val="20"/>
              </w:rPr>
              <w:t xml:space="preserve">5,3</w:t>
            </w:r>
          </w:p>
        </w:tc>
        <w:tc>
          <w:tcPr>
            <w:tcW w:w="968" w:type="dxa"/>
            <w:textDirection w:val="lrTb"/>
            <w:vAlign w:val="center"/>
          </w:tcPr>
          <w:p>
            <w:pPr>
              <w:pStyle w:val="Normal"/>
              <w:jc w:val="center"/>
              <w:rPr>
                <w:sz w:val="20"/>
                <w:szCs w:val="20"/>
              </w:rPr>
            </w:pPr>
            <w:r>
              <w:rPr>
                <w:sz w:val="20"/>
                <w:szCs w:val="20"/>
              </w:rPr>
              <w:t xml:space="preserve">44</w:t>
            </w:r>
          </w:p>
        </w:tc>
        <w:tc>
          <w:tcPr>
            <w:tcW w:w="969" w:type="dxa"/>
            <w:textDirection w:val="lrTb"/>
            <w:vAlign w:val="center"/>
          </w:tcPr>
          <w:p>
            <w:pPr>
              <w:pStyle w:val="Normal"/>
              <w:jc w:val="center"/>
              <w:rPr>
                <w:sz w:val="20"/>
                <w:szCs w:val="20"/>
              </w:rPr>
            </w:pPr>
            <w:r>
              <w:rPr>
                <w:sz w:val="20"/>
                <w:szCs w:val="20"/>
              </w:rPr>
              <w:t xml:space="preserve">4,3</w:t>
            </w:r>
          </w:p>
        </w:tc>
        <w:tc>
          <w:tcPr>
            <w:tcW w:w="968" w:type="dxa"/>
            <w:textDirection w:val="lrTb"/>
            <w:vAlign w:val="center"/>
          </w:tcPr>
          <w:p>
            <w:pPr>
              <w:pStyle w:val="Normal"/>
              <w:jc w:val="center"/>
              <w:rPr>
                <w:sz w:val="20"/>
                <w:szCs w:val="20"/>
              </w:rPr>
            </w:pPr>
            <w:r>
              <w:rPr>
                <w:sz w:val="20"/>
                <w:szCs w:val="20"/>
              </w:rPr>
              <w:t xml:space="preserve">92</w:t>
            </w:r>
          </w:p>
        </w:tc>
        <w:tc>
          <w:tcPr>
            <w:tcW w:w="969" w:type="dxa"/>
            <w:textDirection w:val="lrTb"/>
            <w:vAlign w:val="center"/>
          </w:tcPr>
          <w:p>
            <w:pPr>
              <w:pStyle w:val="Normal"/>
              <w:jc w:val="center"/>
              <w:rPr>
                <w:sz w:val="20"/>
                <w:szCs w:val="20"/>
              </w:rPr>
            </w:pPr>
            <w:r>
              <w:rPr>
                <w:sz w:val="20"/>
                <w:szCs w:val="20"/>
              </w:rPr>
              <w:t xml:space="preserve">3,7</w:t>
            </w:r>
          </w:p>
        </w:tc>
        <w:tc>
          <w:tcPr>
            <w:tcW w:w="1399" w:type="dxa"/>
            <w:textDirection w:val="lrTb"/>
            <w:vAlign w:val="center"/>
          </w:tcPr>
          <w:p>
            <w:pPr>
              <w:pStyle w:val="Normal"/>
              <w:jc w:val="center"/>
              <w:rPr>
                <w:sz w:val="20"/>
                <w:szCs w:val="20"/>
              </w:rPr>
            </w:pPr>
            <w:r>
              <w:rPr>
                <w:sz w:val="20"/>
                <w:szCs w:val="20"/>
              </w:rPr>
              <w:t xml:space="preserve">22,7</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наркотиками</w:t>
            </w:r>
          </w:p>
        </w:tc>
        <w:tc>
          <w:tcPr>
            <w:tcW w:w="968" w:type="dxa"/>
            <w:textDirection w:val="lrTb"/>
            <w:vAlign w:val="center"/>
          </w:tcPr>
          <w:p>
            <w:pPr>
              <w:pStyle w:val="Normal"/>
              <w:jc w:val="center"/>
              <w:rPr>
                <w:sz w:val="20"/>
                <w:szCs w:val="20"/>
              </w:rPr>
            </w:pPr>
            <w:r>
              <w:rPr>
                <w:sz w:val="20"/>
                <w:szCs w:val="20"/>
              </w:rPr>
              <w:t xml:space="preserve">29</w:t>
            </w:r>
          </w:p>
        </w:tc>
        <w:tc>
          <w:tcPr>
            <w:tcW w:w="969" w:type="dxa"/>
            <w:textDirection w:val="lrTb"/>
            <w:vAlign w:val="center"/>
          </w:tcPr>
          <w:p>
            <w:pPr>
              <w:pStyle w:val="Normal"/>
              <w:jc w:val="center"/>
              <w:rPr>
                <w:sz w:val="20"/>
                <w:szCs w:val="20"/>
              </w:rPr>
            </w:pPr>
            <w:r>
              <w:rPr>
                <w:sz w:val="20"/>
                <w:szCs w:val="20"/>
              </w:rPr>
              <w:t xml:space="preserve">2,8</w:t>
            </w:r>
          </w:p>
        </w:tc>
        <w:tc>
          <w:tcPr>
            <w:tcW w:w="968" w:type="dxa"/>
            <w:textDirection w:val="lrTb"/>
            <w:vAlign w:val="center"/>
          </w:tcPr>
          <w:p>
            <w:pPr>
              <w:pStyle w:val="Normal"/>
              <w:jc w:val="center"/>
              <w:rPr>
                <w:sz w:val="20"/>
                <w:szCs w:val="20"/>
              </w:rPr>
            </w:pPr>
            <w:r>
              <w:rPr>
                <w:sz w:val="20"/>
                <w:szCs w:val="20"/>
              </w:rPr>
              <w:t xml:space="preserve">39</w:t>
            </w:r>
          </w:p>
        </w:tc>
        <w:tc>
          <w:tcPr>
            <w:tcW w:w="969" w:type="dxa"/>
            <w:textDirection w:val="lrTb"/>
            <w:vAlign w:val="center"/>
          </w:tcPr>
          <w:p>
            <w:pPr>
              <w:pStyle w:val="Normal"/>
              <w:jc w:val="center"/>
              <w:rPr>
                <w:sz w:val="20"/>
                <w:szCs w:val="20"/>
              </w:rPr>
            </w:pPr>
            <w:r>
              <w:rPr>
                <w:sz w:val="20"/>
                <w:szCs w:val="20"/>
              </w:rPr>
              <w:t xml:space="preserve">3,8</w:t>
            </w:r>
          </w:p>
        </w:tc>
        <w:tc>
          <w:tcPr>
            <w:tcW w:w="968" w:type="dxa"/>
            <w:textDirection w:val="lrTb"/>
            <w:vAlign w:val="center"/>
          </w:tcPr>
          <w:p>
            <w:pPr>
              <w:pStyle w:val="Normal"/>
              <w:jc w:val="center"/>
              <w:rPr>
                <w:sz w:val="20"/>
                <w:szCs w:val="20"/>
              </w:rPr>
            </w:pPr>
            <w:r>
              <w:rPr>
                <w:sz w:val="20"/>
                <w:szCs w:val="20"/>
              </w:rPr>
              <w:t xml:space="preserve">43</w:t>
            </w:r>
          </w:p>
        </w:tc>
        <w:tc>
          <w:tcPr>
            <w:tcW w:w="969" w:type="dxa"/>
            <w:textDirection w:val="lrTb"/>
            <w:vAlign w:val="center"/>
          </w:tcPr>
          <w:p>
            <w:pPr>
              <w:pStyle w:val="Normal"/>
              <w:jc w:val="center"/>
              <w:rPr>
                <w:sz w:val="20"/>
                <w:szCs w:val="20"/>
              </w:rPr>
            </w:pPr>
            <w:r>
              <w:rPr>
                <w:sz w:val="20"/>
                <w:szCs w:val="20"/>
              </w:rPr>
              <w:t xml:space="preserve">1,7</w:t>
            </w:r>
          </w:p>
        </w:tc>
        <w:tc>
          <w:tcPr>
            <w:tcW w:w="1399" w:type="dxa"/>
            <w:textDirection w:val="lrTb"/>
            <w:vAlign w:val="center"/>
          </w:tcPr>
          <w:p>
            <w:pPr>
              <w:pStyle w:val="Normal"/>
              <w:jc w:val="center"/>
              <w:rPr>
                <w:sz w:val="20"/>
                <w:szCs w:val="20"/>
              </w:rPr>
            </w:pPr>
            <w:r>
              <w:rPr>
                <w:sz w:val="20"/>
                <w:szCs w:val="20"/>
              </w:rPr>
              <w:t xml:space="preserve">-25,6</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r>
          </w:p>
        </w:tc>
        <w:tc>
          <w:tcPr>
            <w:tcW w:w="7210" w:type="dxa"/>
            <w:gridSpan w:val="7"/>
            <w:textDirection w:val="lrTb"/>
            <w:vAlign w:val="top"/>
          </w:tcPr>
          <w:p>
            <w:pPr>
              <w:pStyle w:val="User"/>
              <w:jc w:val="center"/>
              <w:rPr>
                <w:rFonts w:ascii="Times New Roman" w:hAnsi="Times New Roman" w:cs="Times New Roman"/>
                <w:b/>
              </w:rPr>
            </w:pPr>
            <w:r>
              <w:rPr>
                <w:rFonts w:ascii="Times New Roman" w:hAnsi="Times New Roman" w:cs="Times New Roman"/>
                <w:b/>
                <w:bCs/>
              </w:rPr>
              <w:t xml:space="preserve">в том числе со смертельным исходом</w:t>
            </w:r>
            <w:r>
              <w:rPr>
                <w:rFonts w:ascii="Times New Roman" w:hAnsi="Times New Roman" w:cs="Times New Roman"/>
                <w:b/>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Отравления </w:t>
            </w:r>
          </w:p>
          <w:p>
            <w:pPr>
              <w:pStyle w:val="Normal"/>
              <w:rPr>
                <w:sz w:val="22"/>
                <w:szCs w:val="22"/>
              </w:rPr>
            </w:pPr>
            <w:r>
              <w:rPr>
                <w:sz w:val="22"/>
                <w:szCs w:val="22"/>
              </w:rPr>
              <w:t xml:space="preserve">химической </w:t>
            </w:r>
          </w:p>
          <w:p>
            <w:pPr>
              <w:pStyle w:val="Normal"/>
              <w:rPr>
                <w:sz w:val="22"/>
                <w:szCs w:val="22"/>
              </w:rPr>
            </w:pPr>
            <w:r>
              <w:rPr>
                <w:sz w:val="22"/>
                <w:szCs w:val="22"/>
              </w:rPr>
              <w:t xml:space="preserve">эти</w:t>
            </w:r>
            <w:r>
              <w:rPr>
                <w:sz w:val="22"/>
                <w:szCs w:val="22"/>
              </w:rPr>
              <w:t xml:space="preserve">о</w:t>
            </w:r>
            <w:r>
              <w:rPr>
                <w:sz w:val="22"/>
                <w:szCs w:val="22"/>
              </w:rPr>
              <w:t xml:space="preserve">логии всего,  </w:t>
            </w:r>
          </w:p>
          <w:p>
            <w:pPr>
              <w:pStyle w:val="Normal"/>
              <w:rPr>
                <w:sz w:val="22"/>
                <w:szCs w:val="22"/>
              </w:rPr>
            </w:pPr>
            <w:r>
              <w:rPr>
                <w:sz w:val="22"/>
                <w:szCs w:val="22"/>
              </w:rPr>
              <w:t xml:space="preserve">в т.ч.</w:t>
            </w:r>
          </w:p>
        </w:tc>
        <w:tc>
          <w:tcPr>
            <w:tcW w:w="968" w:type="dxa"/>
            <w:textDirection w:val="lrTb"/>
            <w:vAlign w:val="center"/>
          </w:tcPr>
          <w:p>
            <w:pPr>
              <w:pStyle w:val="Normal"/>
              <w:jc w:val="center"/>
              <w:rPr>
                <w:sz w:val="20"/>
                <w:szCs w:val="20"/>
              </w:rPr>
            </w:pPr>
            <w:r>
              <w:rPr>
                <w:sz w:val="20"/>
                <w:szCs w:val="20"/>
              </w:rPr>
              <w:t xml:space="preserve">77</w:t>
            </w:r>
          </w:p>
        </w:tc>
        <w:tc>
          <w:tcPr>
            <w:tcW w:w="969" w:type="dxa"/>
            <w:textDirection w:val="lrTb"/>
            <w:vAlign w:val="center"/>
          </w:tcPr>
          <w:p>
            <w:pPr>
              <w:pStyle w:val="Normal"/>
              <w:jc w:val="center"/>
              <w:rPr>
                <w:sz w:val="20"/>
                <w:szCs w:val="20"/>
              </w:rPr>
            </w:pPr>
            <w:r>
              <w:rPr>
                <w:sz w:val="20"/>
                <w:szCs w:val="20"/>
              </w:rPr>
              <w:t xml:space="preserve">7,5</w:t>
            </w:r>
          </w:p>
        </w:tc>
        <w:tc>
          <w:tcPr>
            <w:tcW w:w="968" w:type="dxa"/>
            <w:textDirection w:val="lrTb"/>
            <w:vAlign w:val="center"/>
          </w:tcPr>
          <w:p>
            <w:pPr>
              <w:pStyle w:val="Normal"/>
              <w:jc w:val="center"/>
              <w:rPr>
                <w:sz w:val="20"/>
                <w:szCs w:val="20"/>
              </w:rPr>
            </w:pPr>
            <w:r>
              <w:rPr>
                <w:sz w:val="20"/>
                <w:szCs w:val="20"/>
              </w:rPr>
              <w:t xml:space="preserve">81</w:t>
            </w:r>
          </w:p>
        </w:tc>
        <w:tc>
          <w:tcPr>
            <w:tcW w:w="969" w:type="dxa"/>
            <w:textDirection w:val="lrTb"/>
            <w:vAlign w:val="center"/>
          </w:tcPr>
          <w:p>
            <w:pPr>
              <w:pStyle w:val="Normal"/>
              <w:jc w:val="center"/>
              <w:rPr>
                <w:sz w:val="20"/>
                <w:szCs w:val="20"/>
              </w:rPr>
            </w:pPr>
            <w:r>
              <w:rPr>
                <w:sz w:val="20"/>
                <w:szCs w:val="20"/>
              </w:rPr>
              <w:t xml:space="preserve">7,9</w:t>
            </w:r>
          </w:p>
        </w:tc>
        <w:tc>
          <w:tcPr>
            <w:tcW w:w="968" w:type="dxa"/>
            <w:textDirection w:val="lrTb"/>
            <w:vAlign w:val="center"/>
          </w:tcPr>
          <w:p>
            <w:pPr>
              <w:pStyle w:val="Normal"/>
              <w:jc w:val="center"/>
              <w:rPr>
                <w:sz w:val="20"/>
                <w:szCs w:val="20"/>
              </w:rPr>
            </w:pPr>
            <w:r>
              <w:rPr>
                <w:sz w:val="20"/>
                <w:szCs w:val="20"/>
              </w:rPr>
              <w:t xml:space="preserve">169</w:t>
            </w:r>
          </w:p>
        </w:tc>
        <w:tc>
          <w:tcPr>
            <w:tcW w:w="969" w:type="dxa"/>
            <w:textDirection w:val="lrTb"/>
            <w:vAlign w:val="center"/>
          </w:tcPr>
          <w:p>
            <w:pPr>
              <w:pStyle w:val="Normal"/>
              <w:jc w:val="center"/>
              <w:rPr>
                <w:sz w:val="20"/>
                <w:szCs w:val="20"/>
              </w:rPr>
            </w:pPr>
            <w:r>
              <w:rPr>
                <w:sz w:val="20"/>
                <w:szCs w:val="20"/>
              </w:rPr>
              <w:t xml:space="preserve">6,8</w:t>
            </w:r>
          </w:p>
        </w:tc>
        <w:tc>
          <w:tcPr>
            <w:tcW w:w="1399" w:type="dxa"/>
            <w:textDirection w:val="lrTb"/>
            <w:vAlign w:val="center"/>
          </w:tcPr>
          <w:p>
            <w:pPr>
              <w:pStyle w:val="Normal"/>
              <w:jc w:val="center"/>
              <w:rPr>
                <w:sz w:val="20"/>
                <w:szCs w:val="20"/>
              </w:rPr>
            </w:pPr>
            <w:r>
              <w:rPr>
                <w:sz w:val="20"/>
                <w:szCs w:val="20"/>
              </w:rPr>
              <w:t xml:space="preserve">-4,9</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медикаментами</w:t>
            </w:r>
          </w:p>
        </w:tc>
        <w:tc>
          <w:tcPr>
            <w:tcW w:w="968" w:type="dxa"/>
            <w:textDirection w:val="lrTb"/>
            <w:vAlign w:val="center"/>
          </w:tcPr>
          <w:p>
            <w:pPr>
              <w:pStyle w:val="Normal"/>
              <w:jc w:val="center"/>
              <w:rPr>
                <w:sz w:val="20"/>
                <w:szCs w:val="20"/>
              </w:rPr>
            </w:pPr>
            <w:r>
              <w:rPr>
                <w:sz w:val="20"/>
                <w:szCs w:val="20"/>
              </w:rPr>
              <w:t xml:space="preserve">3</w:t>
            </w:r>
          </w:p>
        </w:tc>
        <w:tc>
          <w:tcPr>
            <w:tcW w:w="969" w:type="dxa"/>
            <w:textDirection w:val="lrTb"/>
            <w:vAlign w:val="center"/>
          </w:tcPr>
          <w:p>
            <w:pPr>
              <w:pStyle w:val="Normal"/>
              <w:jc w:val="center"/>
              <w:rPr>
                <w:sz w:val="20"/>
                <w:szCs w:val="20"/>
              </w:rPr>
            </w:pPr>
            <w:r>
              <w:rPr>
                <w:sz w:val="20"/>
                <w:szCs w:val="20"/>
              </w:rPr>
              <w:t xml:space="preserve">0,3</w:t>
            </w:r>
          </w:p>
        </w:tc>
        <w:tc>
          <w:tcPr>
            <w:tcW w:w="968" w:type="dxa"/>
            <w:textDirection w:val="lrTb"/>
            <w:vAlign w:val="center"/>
          </w:tcPr>
          <w:p>
            <w:pPr>
              <w:pStyle w:val="Normal"/>
              <w:jc w:val="center"/>
              <w:rPr>
                <w:sz w:val="20"/>
                <w:szCs w:val="20"/>
              </w:rPr>
            </w:pPr>
            <w:r>
              <w:rPr>
                <w:sz w:val="20"/>
                <w:szCs w:val="20"/>
              </w:rPr>
              <w:t xml:space="preserve">2</w:t>
            </w:r>
          </w:p>
        </w:tc>
        <w:tc>
          <w:tcPr>
            <w:tcW w:w="969" w:type="dxa"/>
            <w:textDirection w:val="lrTb"/>
            <w:vAlign w:val="center"/>
          </w:tcPr>
          <w:p>
            <w:pPr>
              <w:pStyle w:val="Normal"/>
              <w:jc w:val="center"/>
              <w:rPr>
                <w:sz w:val="20"/>
                <w:szCs w:val="20"/>
              </w:rPr>
            </w:pPr>
            <w:r>
              <w:rPr>
                <w:sz w:val="20"/>
                <w:szCs w:val="20"/>
              </w:rPr>
              <w:t xml:space="preserve">0,2</w:t>
            </w:r>
          </w:p>
        </w:tc>
        <w:tc>
          <w:tcPr>
            <w:tcW w:w="968" w:type="dxa"/>
            <w:textDirection w:val="lrTb"/>
            <w:vAlign w:val="center"/>
          </w:tcPr>
          <w:p>
            <w:pPr>
              <w:pStyle w:val="Normal"/>
              <w:jc w:val="center"/>
              <w:rPr>
                <w:sz w:val="20"/>
                <w:szCs w:val="20"/>
              </w:rPr>
            </w:pPr>
            <w:r>
              <w:rPr>
                <w:sz w:val="20"/>
                <w:szCs w:val="20"/>
              </w:rPr>
              <w:t xml:space="preserve">3</w:t>
            </w:r>
          </w:p>
        </w:tc>
        <w:tc>
          <w:tcPr>
            <w:tcW w:w="969" w:type="dxa"/>
            <w:textDirection w:val="lrTb"/>
            <w:vAlign w:val="center"/>
          </w:tcPr>
          <w:p>
            <w:pPr>
              <w:pStyle w:val="Normal"/>
              <w:jc w:val="center"/>
              <w:rPr>
                <w:sz w:val="20"/>
                <w:szCs w:val="20"/>
              </w:rPr>
            </w:pPr>
            <w:r>
              <w:rPr>
                <w:sz w:val="20"/>
                <w:szCs w:val="20"/>
              </w:rPr>
              <w:t xml:space="preserve">0,1</w:t>
            </w:r>
          </w:p>
        </w:tc>
        <w:tc>
          <w:tcPr>
            <w:tcW w:w="1399" w:type="dxa"/>
            <w:textDirection w:val="lrTb"/>
            <w:vAlign w:val="center"/>
          </w:tcPr>
          <w:p>
            <w:pPr>
              <w:pStyle w:val="Normal"/>
              <w:jc w:val="center"/>
              <w:rPr>
                <w:sz w:val="20"/>
                <w:szCs w:val="20"/>
              </w:rPr>
            </w:pPr>
            <w:r>
              <w:rPr>
                <w:sz w:val="20"/>
                <w:szCs w:val="20"/>
              </w:rPr>
              <w:t xml:space="preserve">50,0</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алкоголем и его суррогатами</w:t>
            </w:r>
          </w:p>
        </w:tc>
        <w:tc>
          <w:tcPr>
            <w:tcW w:w="968" w:type="dxa"/>
            <w:textDirection w:val="lrTb"/>
            <w:vAlign w:val="center"/>
          </w:tcPr>
          <w:p>
            <w:pPr>
              <w:pStyle w:val="Normal"/>
              <w:jc w:val="center"/>
              <w:rPr>
                <w:sz w:val="20"/>
                <w:szCs w:val="20"/>
              </w:rPr>
            </w:pPr>
            <w:r>
              <w:rPr>
                <w:sz w:val="20"/>
                <w:szCs w:val="20"/>
              </w:rPr>
              <w:t xml:space="preserve">37</w:t>
            </w:r>
          </w:p>
        </w:tc>
        <w:tc>
          <w:tcPr>
            <w:tcW w:w="969" w:type="dxa"/>
            <w:textDirection w:val="lrTb"/>
            <w:vAlign w:val="center"/>
          </w:tcPr>
          <w:p>
            <w:pPr>
              <w:pStyle w:val="Normal"/>
              <w:jc w:val="center"/>
              <w:rPr>
                <w:sz w:val="20"/>
                <w:szCs w:val="20"/>
              </w:rPr>
            </w:pPr>
            <w:r>
              <w:rPr>
                <w:sz w:val="20"/>
                <w:szCs w:val="20"/>
              </w:rPr>
              <w:t xml:space="preserve">3,6</w:t>
            </w:r>
          </w:p>
        </w:tc>
        <w:tc>
          <w:tcPr>
            <w:tcW w:w="968" w:type="dxa"/>
            <w:textDirection w:val="lrTb"/>
            <w:vAlign w:val="center"/>
          </w:tcPr>
          <w:p>
            <w:pPr>
              <w:pStyle w:val="Normal"/>
              <w:jc w:val="center"/>
              <w:rPr>
                <w:sz w:val="20"/>
                <w:szCs w:val="20"/>
              </w:rPr>
            </w:pPr>
            <w:r>
              <w:rPr>
                <w:sz w:val="20"/>
                <w:szCs w:val="20"/>
              </w:rPr>
              <w:t xml:space="preserve">26</w:t>
            </w:r>
          </w:p>
        </w:tc>
        <w:tc>
          <w:tcPr>
            <w:tcW w:w="969" w:type="dxa"/>
            <w:textDirection w:val="lrTb"/>
            <w:vAlign w:val="center"/>
          </w:tcPr>
          <w:p>
            <w:pPr>
              <w:pStyle w:val="Normal"/>
              <w:jc w:val="center"/>
              <w:rPr>
                <w:sz w:val="20"/>
                <w:szCs w:val="20"/>
              </w:rPr>
            </w:pPr>
            <w:r>
              <w:rPr>
                <w:sz w:val="20"/>
                <w:szCs w:val="20"/>
              </w:rPr>
              <w:t xml:space="preserve">2,5</w:t>
            </w:r>
          </w:p>
        </w:tc>
        <w:tc>
          <w:tcPr>
            <w:tcW w:w="968" w:type="dxa"/>
            <w:textDirection w:val="lrTb"/>
            <w:vAlign w:val="center"/>
          </w:tcPr>
          <w:p>
            <w:pPr>
              <w:pStyle w:val="Normal"/>
              <w:jc w:val="center"/>
              <w:rPr>
                <w:sz w:val="20"/>
                <w:szCs w:val="20"/>
              </w:rPr>
            </w:pPr>
            <w:r>
              <w:rPr>
                <w:sz w:val="20"/>
                <w:szCs w:val="20"/>
              </w:rPr>
              <w:t xml:space="preserve">71</w:t>
            </w:r>
          </w:p>
        </w:tc>
        <w:tc>
          <w:tcPr>
            <w:tcW w:w="969" w:type="dxa"/>
            <w:textDirection w:val="lrTb"/>
            <w:vAlign w:val="center"/>
          </w:tcPr>
          <w:p>
            <w:pPr>
              <w:pStyle w:val="Normal"/>
              <w:jc w:val="center"/>
              <w:rPr>
                <w:sz w:val="20"/>
                <w:szCs w:val="20"/>
              </w:rPr>
            </w:pPr>
            <w:r>
              <w:rPr>
                <w:sz w:val="20"/>
                <w:szCs w:val="20"/>
              </w:rPr>
              <w:t xml:space="preserve">2,8</w:t>
            </w:r>
          </w:p>
        </w:tc>
        <w:tc>
          <w:tcPr>
            <w:tcW w:w="1399" w:type="dxa"/>
            <w:textDirection w:val="lrTb"/>
            <w:vAlign w:val="center"/>
          </w:tcPr>
          <w:p>
            <w:pPr>
              <w:pStyle w:val="Normal"/>
              <w:jc w:val="center"/>
              <w:rPr>
                <w:sz w:val="20"/>
                <w:szCs w:val="20"/>
              </w:rPr>
            </w:pPr>
            <w:r>
              <w:rPr>
                <w:sz w:val="20"/>
                <w:szCs w:val="20"/>
              </w:rPr>
              <w:t xml:space="preserve">42,3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36" w:type="dxa"/>
            <w:textDirection w:val="lrTb"/>
            <w:vAlign w:val="bottom"/>
          </w:tcPr>
          <w:p>
            <w:pPr>
              <w:pStyle w:val="Normal"/>
              <w:rPr>
                <w:sz w:val="22"/>
                <w:szCs w:val="22"/>
              </w:rPr>
            </w:pPr>
            <w:r>
              <w:rPr>
                <w:sz w:val="22"/>
                <w:szCs w:val="22"/>
              </w:rPr>
              <w:t xml:space="preserve">наркотиками</w:t>
            </w:r>
          </w:p>
        </w:tc>
        <w:tc>
          <w:tcPr>
            <w:tcW w:w="968" w:type="dxa"/>
            <w:textDirection w:val="lrTb"/>
            <w:vAlign w:val="center"/>
          </w:tcPr>
          <w:p>
            <w:pPr>
              <w:pStyle w:val="Normal"/>
              <w:jc w:val="center"/>
              <w:rPr>
                <w:sz w:val="20"/>
                <w:szCs w:val="20"/>
              </w:rPr>
            </w:pPr>
            <w:r>
              <w:rPr>
                <w:sz w:val="20"/>
                <w:szCs w:val="20"/>
              </w:rPr>
              <w:t xml:space="preserve">20</w:t>
            </w:r>
          </w:p>
        </w:tc>
        <w:tc>
          <w:tcPr>
            <w:tcW w:w="969" w:type="dxa"/>
            <w:textDirection w:val="lrTb"/>
            <w:vAlign w:val="center"/>
          </w:tcPr>
          <w:p>
            <w:pPr>
              <w:pStyle w:val="Normal"/>
              <w:jc w:val="center"/>
              <w:rPr>
                <w:sz w:val="20"/>
                <w:szCs w:val="20"/>
              </w:rPr>
            </w:pPr>
            <w:r>
              <w:rPr>
                <w:sz w:val="20"/>
                <w:szCs w:val="20"/>
              </w:rPr>
              <w:t xml:space="preserve">1,9</w:t>
            </w:r>
          </w:p>
        </w:tc>
        <w:tc>
          <w:tcPr>
            <w:tcW w:w="968" w:type="dxa"/>
            <w:textDirection w:val="lrTb"/>
            <w:vAlign w:val="center"/>
          </w:tcPr>
          <w:p>
            <w:pPr>
              <w:pStyle w:val="Normal"/>
              <w:jc w:val="center"/>
              <w:rPr>
                <w:sz w:val="20"/>
                <w:szCs w:val="20"/>
              </w:rPr>
            </w:pPr>
            <w:r>
              <w:rPr>
                <w:sz w:val="20"/>
                <w:szCs w:val="20"/>
              </w:rPr>
              <w:t xml:space="preserve">30</w:t>
            </w:r>
          </w:p>
        </w:tc>
        <w:tc>
          <w:tcPr>
            <w:tcW w:w="969" w:type="dxa"/>
            <w:textDirection w:val="lrTb"/>
            <w:vAlign w:val="center"/>
          </w:tcPr>
          <w:p>
            <w:pPr>
              <w:pStyle w:val="Normal"/>
              <w:jc w:val="center"/>
              <w:rPr>
                <w:sz w:val="20"/>
                <w:szCs w:val="20"/>
              </w:rPr>
            </w:pPr>
            <w:r>
              <w:rPr>
                <w:sz w:val="20"/>
                <w:szCs w:val="20"/>
              </w:rPr>
              <w:t xml:space="preserve">2,9</w:t>
            </w:r>
          </w:p>
        </w:tc>
        <w:tc>
          <w:tcPr>
            <w:tcW w:w="968" w:type="dxa"/>
            <w:textDirection w:val="lrTb"/>
            <w:vAlign w:val="center"/>
          </w:tcPr>
          <w:p>
            <w:pPr>
              <w:pStyle w:val="Normal"/>
              <w:jc w:val="center"/>
              <w:rPr>
                <w:sz w:val="20"/>
                <w:szCs w:val="20"/>
              </w:rPr>
            </w:pPr>
            <w:r>
              <w:rPr>
                <w:sz w:val="20"/>
                <w:szCs w:val="20"/>
              </w:rPr>
              <w:t xml:space="preserve">33</w:t>
            </w:r>
          </w:p>
        </w:tc>
        <w:tc>
          <w:tcPr>
            <w:tcW w:w="969" w:type="dxa"/>
            <w:textDirection w:val="lrTb"/>
            <w:vAlign w:val="center"/>
          </w:tcPr>
          <w:p>
            <w:pPr>
              <w:pStyle w:val="Normal"/>
              <w:jc w:val="center"/>
              <w:rPr>
                <w:sz w:val="20"/>
                <w:szCs w:val="20"/>
              </w:rPr>
            </w:pPr>
            <w:r>
              <w:rPr>
                <w:sz w:val="20"/>
                <w:szCs w:val="20"/>
              </w:rPr>
              <w:t xml:space="preserve">1,3</w:t>
            </w:r>
          </w:p>
        </w:tc>
        <w:tc>
          <w:tcPr>
            <w:tcW w:w="1399" w:type="dxa"/>
            <w:textDirection w:val="lrTb"/>
            <w:vAlign w:val="center"/>
          </w:tcPr>
          <w:p>
            <w:pPr>
              <w:pStyle w:val="Normal"/>
              <w:jc w:val="center"/>
              <w:rPr>
                <w:sz w:val="20"/>
                <w:szCs w:val="20"/>
              </w:rPr>
            </w:pPr>
            <w:r>
              <w:rPr>
                <w:sz w:val="20"/>
                <w:szCs w:val="20"/>
              </w:rPr>
              <w:t xml:space="preserve">-33,3</w:t>
            </w:r>
          </w:p>
        </w:tc>
      </w:tr>
    </w:tbl>
    <w:p>
      <w:pPr>
        <w:pStyle w:val="Normal"/>
        <w:ind w:firstLine="709"/>
        <w:jc w:val="both"/>
        <w:rPr>
          <w:szCs w:val="20"/>
        </w:rPr>
      </w:pPr>
      <w:r>
        <w:rPr>
          <w:szCs w:val="20"/>
        </w:rPr>
      </w:r>
    </w:p>
    <w:p>
      <w:pPr>
        <w:pStyle w:val="Normal"/>
        <w:ind w:firstLine="709"/>
        <w:jc w:val="both"/>
        <w:rPr>
          <w:szCs w:val="20"/>
        </w:rPr>
      </w:pPr>
      <w:r>
        <w:rPr>
          <w:szCs w:val="20"/>
        </w:rPr>
        <w:t xml:space="preserve">Основными причинами, формирующими структуру отравлений, являются мед</w:t>
      </w:r>
      <w:r>
        <w:rPr>
          <w:szCs w:val="20"/>
        </w:rPr>
        <w:t xml:space="preserve">и</w:t>
      </w:r>
      <w:r>
        <w:rPr>
          <w:szCs w:val="20"/>
        </w:rPr>
        <w:t xml:space="preserve">каменты (36,5 %), алкоголь и его суррогаты (26,0 %), наркотики (13,9) (рис.1).</w:t>
      </w:r>
    </w:p>
    <w:p>
      <w:pPr>
        <w:pStyle w:val="Normal"/>
        <w:ind w:firstLine="709"/>
        <w:jc w:val="both"/>
        <w:rPr>
          <w:szCs w:val="20"/>
        </w:rPr>
      </w:pPr>
      <w:r>
        <w:rPr>
          <w:szCs w:val="20"/>
        </w:rPr>
      </w:r>
    </w:p>
    <w:p>
      <w:pPr>
        <w:pStyle w:val="Normal"/>
        <w:ind w:firstLine="709"/>
        <w:jc w:val="both"/>
        <w:rPr>
          <w:szCs w:val="20"/>
        </w:rPr>
      </w:pPr>
      <w:r>
        <w:rPr>
          <w:szCs w:val="20"/>
        </w:rPr>
        <w:fldChar w:fldCharType="begin"/>
      </w:r>
      <w:r>
        <w:rPr>
          <w:szCs w:val="20"/>
        </w:rPr>
        <w:instrText xml:space="preserve"> SHAPE  \* MERGEFORMAT </w:instrText>
      </w:r>
      <w:r>
        <w:rPr>
          <w:szCs w:val="20"/>
        </w:rPr>
        <w:fldChar w:fldCharType="separate"/>
      </w:r>
      <w:r>
        <w:rPr>
          <w:szCs w:val="20"/>
        </w:rPr>
        <mc:AlternateContent>
          <mc:Choice Requires="wpg">
            <w:drawing>
              <wp:inline xmlns:wp="http://schemas.openxmlformats.org/drawingml/2006/wordprocessingDrawing" distT="0" distB="0" distL="0" distR="0">
                <wp:extent cx="4578350" cy="2743200"/>
                <wp:effectExtent l="0" t="0" r="0" b="0"/>
                <wp:docPr id="12" name="_x0000_s236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a:xfrm>
                          <a:off x="0" y="0"/>
                          <a:ext cx="4578350" cy="2743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360.50pt;height:216.00pt;mso-wrap-distance-left:0.00pt;mso-wrap-distance-top:0.00pt;mso-wrap-distance-right:0.00pt;mso-wrap-distance-bottom:0.00pt;" stroked="f">
                <v:path textboxrect="0,0,0,0"/>
                <v:imagedata r:id="rId11" o:title=""/>
              </v:shape>
            </w:pict>
          </mc:Fallback>
        </mc:AlternateContent>
      </w:r>
      <w:r>
        <w:rPr>
          <w:szCs w:val="20"/>
        </w:rPr>
      </w:r>
      <w:r>
        <w:rPr>
          <w:szCs w:val="20"/>
        </w:rPr>
        <w:fldChar w:fldCharType="end"/>
      </w:r>
      <w:r>
        <w:rPr>
          <w:szCs w:val="20"/>
        </w:rPr>
      </w:r>
    </w:p>
    <w:p>
      <w:pPr>
        <w:pStyle w:val="Normal"/>
        <w:ind w:firstLine="709"/>
        <w:jc w:val="both"/>
        <w:rPr>
          <w:szCs w:val="20"/>
        </w:rPr>
      </w:pPr>
      <w:r>
        <w:rPr>
          <w:szCs w:val="20"/>
        </w:rPr>
      </w:r>
    </w:p>
    <w:p>
      <w:pPr>
        <w:pStyle w:val="Normal"/>
        <w:ind w:firstLine="709"/>
        <w:jc w:val="both"/>
        <w:rPr>
          <w:szCs w:val="20"/>
        </w:rPr>
      </w:pPr>
      <w:r>
        <w:rPr>
          <w:szCs w:val="20"/>
        </w:rPr>
      </w:r>
    </w:p>
    <w:p>
      <w:pPr>
        <w:pStyle w:val="Normal"/>
        <w:jc w:val="center"/>
        <w:rPr>
          <w:szCs w:val="20"/>
        </w:rPr>
      </w:pPr>
      <w:r>
        <w:rPr>
          <w:szCs w:val="20"/>
        </w:rPr>
      </w:r>
    </w:p>
    <w:p>
      <w:pPr>
        <w:pStyle w:val="Normal"/>
        <w:spacing w:line="264" w:lineRule="auto"/>
        <w:jc w:val="center"/>
        <w:rPr>
          <w:szCs w:val="20"/>
        </w:rPr>
      </w:pPr>
      <w:r>
        <w:rPr>
          <w:b/>
          <w:bCs/>
          <w:szCs w:val="20"/>
        </w:rPr>
        <w:t xml:space="preserve">Рис.1. </w:t>
      </w:r>
      <w:r>
        <w:rPr>
          <w:bCs/>
          <w:szCs w:val="20"/>
        </w:rPr>
        <w:t xml:space="preserve">Этиологическая с</w:t>
      </w:r>
      <w:r>
        <w:rPr>
          <w:szCs w:val="20"/>
        </w:rPr>
        <w:t xml:space="preserve">труктура</w:t>
      </w:r>
      <w:r>
        <w:rPr>
          <w:szCs w:val="20"/>
        </w:rPr>
        <w:t xml:space="preserve"> острых отравлений за 1 квартал 2025г. </w:t>
      </w:r>
    </w:p>
    <w:p>
      <w:pPr>
        <w:pStyle w:val="Normal"/>
        <w:spacing w:line="264" w:lineRule="auto"/>
        <w:jc w:val="center"/>
        <w:rPr>
          <w:szCs w:val="20"/>
        </w:rPr>
      </w:pPr>
      <w:r>
        <w:rPr>
          <w:szCs w:val="20"/>
        </w:rPr>
      </w:r>
    </w:p>
    <w:p>
      <w:pPr>
        <w:pStyle w:val="Normal"/>
        <w:ind w:firstLine="709"/>
        <w:jc w:val="both"/>
        <w:rPr>
          <w:szCs w:val="20"/>
        </w:rPr>
      </w:pPr>
      <w:r>
        <w:t xml:space="preserve">Территори</w:t>
      </w:r>
      <w:r>
        <w:t xml:space="preserve">я</w:t>
      </w:r>
      <w:r>
        <w:t xml:space="preserve"> неблагополучия </w:t>
      </w:r>
      <w:r>
        <w:t xml:space="preserve">не </w:t>
      </w:r>
      <w:r>
        <w:t xml:space="preserve">определен</w:t>
      </w:r>
      <w:r>
        <w:t xml:space="preserve">а</w:t>
      </w:r>
      <w:r>
        <w:t xml:space="preserve">, </w:t>
      </w:r>
      <w:r>
        <w:t xml:space="preserve">достоверных отличий показателей отравлений от среднегородского не выявлено</w:t>
      </w:r>
      <w:r>
        <w:t xml:space="preserve">.</w:t>
      </w:r>
      <w:r>
        <w:rPr>
          <w:szCs w:val="20"/>
        </w:rPr>
        <w:t xml:space="preserve"> </w:t>
      </w:r>
      <w:r>
        <w:t xml:space="preserve">В сравнении с аналогичным периодом прошлого года районные уровни отравлений не изменились</w:t>
      </w:r>
      <w:r>
        <w:t xml:space="preserve">, достоверных темпов изменений</w:t>
      </w:r>
      <w:r>
        <w:t xml:space="preserve"> показателей отравлений  </w:t>
      </w:r>
      <w:r>
        <w:t xml:space="preserve">не было</w:t>
      </w:r>
      <w:r>
        <w:rPr>
          <w:szCs w:val="20"/>
        </w:rPr>
        <w:t xml:space="preserve"> </w:t>
      </w:r>
      <w:r>
        <w:t xml:space="preserve">выявлено </w:t>
      </w:r>
      <w:r>
        <w:rPr>
          <w:szCs w:val="20"/>
        </w:rPr>
        <w:t xml:space="preserve">(табл.7</w:t>
      </w:r>
      <w:r>
        <w:rPr>
          <w:szCs w:val="20"/>
        </w:rPr>
        <w:t xml:space="preserve">).</w:t>
      </w:r>
      <w:r>
        <w:rPr>
          <w:szCs w:val="20"/>
        </w:rPr>
      </w:r>
    </w:p>
    <w:p>
      <w:pPr>
        <w:pStyle w:val="Normal"/>
        <w:ind w:firstLine="709"/>
        <w:jc w:val="right"/>
        <w:rPr>
          <w:szCs w:val="20"/>
        </w:rPr>
      </w:pPr>
      <w:r>
        <w:rPr>
          <w:szCs w:val="20"/>
        </w:rPr>
      </w:r>
    </w:p>
    <w:p>
      <w:pPr>
        <w:pStyle w:val="Normal"/>
        <w:ind w:firstLine="709"/>
        <w:jc w:val="right"/>
        <w:rPr>
          <w:sz w:val="20"/>
          <w:szCs w:val="20"/>
        </w:rPr>
      </w:pPr>
      <w:r>
        <w:rPr>
          <w:szCs w:val="20"/>
        </w:rPr>
        <w:t xml:space="preserve">Таблица </w:t>
      </w:r>
      <w:r>
        <w:rPr>
          <w:szCs w:val="20"/>
        </w:rPr>
        <w:t xml:space="preserve">7</w:t>
      </w:r>
      <w:r>
        <w:rPr>
          <w:sz w:val="20"/>
          <w:szCs w:val="20"/>
        </w:rPr>
      </w:r>
    </w:p>
    <w:p>
      <w:pPr>
        <w:pStyle w:val="Heading3"/>
        <w:ind w:firstLine="0"/>
        <w:rPr>
          <w:rFonts w:ascii="Times New Roman" w:hAnsi="Times New Roman" w:cs="Times New Roman"/>
          <w:sz w:val="24"/>
          <w:szCs w:val="20"/>
        </w:rPr>
      </w:pPr>
      <w:r>
        <w:rPr>
          <w:rFonts w:ascii="Times New Roman" w:hAnsi="Times New Roman" w:cs="Times New Roman"/>
          <w:bCs w:val="0"/>
          <w:color w:val="000000"/>
          <w:sz w:val="24"/>
          <w:szCs w:val="20"/>
        </w:rPr>
        <w:t xml:space="preserve">Уровни</w:t>
      </w:r>
      <w:r>
        <w:rPr>
          <w:rFonts w:ascii="Times New Roman" w:hAnsi="Times New Roman" w:cs="Times New Roman"/>
          <w:bCs w:val="0"/>
          <w:color w:val="000000"/>
          <w:sz w:val="24"/>
          <w:szCs w:val="20"/>
        </w:rPr>
        <w:t xml:space="preserve"> острых отравлений по районам г. Перми </w:t>
      </w:r>
      <w:r>
        <w:rPr>
          <w:rFonts w:ascii="Times New Roman" w:hAnsi="Times New Roman" w:cs="Times New Roman"/>
          <w:sz w:val="24"/>
          <w:szCs w:val="20"/>
        </w:rPr>
      </w:r>
    </w:p>
    <w:p>
      <w:pPr>
        <w:pStyle w:val="Normal"/>
        <w:spacing w:line="264" w:lineRule="auto"/>
        <w:jc w:val="center"/>
        <w:rPr>
          <w:b/>
          <w:szCs w:val="20"/>
        </w:rPr>
      </w:pPr>
      <w:r>
        <w:rPr>
          <w:b/>
          <w:szCs w:val="20"/>
        </w:rPr>
        <w:t xml:space="preserve"> (показатели на 100 тыс. населения)</w:t>
      </w:r>
      <w:r>
        <w:rPr>
          <w:b/>
          <w:szCs w:val="20"/>
        </w:rPr>
      </w:r>
    </w:p>
    <w:p>
      <w:pPr>
        <w:pStyle w:val="Normal"/>
        <w:spacing w:line="264" w:lineRule="auto"/>
        <w:jc w:val="center"/>
        <w:rPr>
          <w:b/>
          <w:szCs w:val="20"/>
        </w:rPr>
      </w:pPr>
      <w:r>
        <w:rPr>
          <w:b/>
          <w:szCs w:val="20"/>
        </w:rPr>
      </w:r>
    </w:p>
    <w:tbl>
      <w:tblPr>
        <w:tblW w:w="898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199"/>
        <w:gridCol w:w="1308"/>
        <w:gridCol w:w="1092"/>
        <w:gridCol w:w="1318"/>
        <w:gridCol w:w="1469"/>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507"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2025</w:t>
            </w:r>
            <w:r>
              <w:rPr>
                <w:sz w:val="22"/>
                <w:szCs w:val="22"/>
              </w:rPr>
              <w:t xml:space="preserve">г.</w:t>
            </w:r>
            <w:r>
              <w:rPr>
                <w:b/>
                <w:sz w:val="22"/>
                <w:szCs w:val="22"/>
              </w:rPr>
            </w:r>
          </w:p>
        </w:tc>
        <w:tc>
          <w:tcPr>
            <w:tcW w:w="2410"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2024</w:t>
            </w:r>
            <w:r>
              <w:rPr>
                <w:sz w:val="22"/>
                <w:szCs w:val="22"/>
              </w:rPr>
              <w:t xml:space="preserve">г.</w:t>
            </w:r>
            <w:r>
              <w:rPr>
                <w:b/>
                <w:sz w:val="22"/>
                <w:szCs w:val="22"/>
              </w:rPr>
            </w:r>
          </w:p>
        </w:tc>
        <w:tc>
          <w:tcPr>
            <w:tcW w:w="1469"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b/>
                <w:sz w:val="22"/>
                <w:szCs w:val="22"/>
              </w:rPr>
              <w:t xml:space="preserve">(%)</w:t>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199"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0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092"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1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469"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199" w:type="dxa"/>
            <w:textDirection w:val="lrTb"/>
            <w:vAlign w:val="center"/>
          </w:tcPr>
          <w:p>
            <w:pPr>
              <w:pStyle w:val="Normal"/>
              <w:jc w:val="center"/>
              <w:rPr>
                <w:sz w:val="20"/>
                <w:szCs w:val="20"/>
              </w:rPr>
            </w:pPr>
            <w:r>
              <w:rPr>
                <w:sz w:val="20"/>
                <w:szCs w:val="20"/>
              </w:rPr>
              <w:t xml:space="preserve">14</w:t>
            </w:r>
          </w:p>
        </w:tc>
        <w:tc>
          <w:tcPr>
            <w:tcW w:w="1308" w:type="dxa"/>
            <w:textDirection w:val="lrTb"/>
            <w:vAlign w:val="center"/>
          </w:tcPr>
          <w:p>
            <w:pPr>
              <w:pStyle w:val="Normal"/>
              <w:jc w:val="center"/>
              <w:rPr>
                <w:sz w:val="20"/>
                <w:szCs w:val="20"/>
              </w:rPr>
            </w:pPr>
            <w:r>
              <w:rPr>
                <w:sz w:val="20"/>
                <w:szCs w:val="20"/>
              </w:rPr>
              <w:t xml:space="preserve">31,2</w:t>
            </w:r>
          </w:p>
        </w:tc>
        <w:tc>
          <w:tcPr>
            <w:tcW w:w="1092" w:type="dxa"/>
            <w:textDirection w:val="lrTb"/>
            <w:vAlign w:val="center"/>
          </w:tcPr>
          <w:p>
            <w:pPr>
              <w:pStyle w:val="Normal"/>
              <w:jc w:val="center"/>
              <w:rPr>
                <w:sz w:val="20"/>
                <w:szCs w:val="20"/>
              </w:rPr>
            </w:pPr>
            <w:r>
              <w:rPr>
                <w:sz w:val="20"/>
                <w:szCs w:val="20"/>
              </w:rPr>
              <w:t xml:space="preserve">7</w:t>
            </w:r>
          </w:p>
        </w:tc>
        <w:tc>
          <w:tcPr>
            <w:tcW w:w="1318" w:type="dxa"/>
            <w:textDirection w:val="lrTb"/>
            <w:vAlign w:val="center"/>
          </w:tcPr>
          <w:p>
            <w:pPr>
              <w:pStyle w:val="Normal"/>
              <w:jc w:val="center"/>
              <w:rPr>
                <w:sz w:val="20"/>
                <w:szCs w:val="20"/>
              </w:rPr>
            </w:pPr>
            <w:r>
              <w:rPr>
                <w:sz w:val="20"/>
                <w:szCs w:val="20"/>
              </w:rPr>
              <w:t xml:space="preserve">15,6</w:t>
            </w:r>
          </w:p>
        </w:tc>
        <w:tc>
          <w:tcPr>
            <w:tcW w:w="1469" w:type="dxa"/>
            <w:textDirection w:val="lrTb"/>
            <w:vAlign w:val="bottom"/>
          </w:tcPr>
          <w:p>
            <w:pPr>
              <w:pStyle w:val="Normal"/>
              <w:jc w:val="center"/>
              <w:rPr>
                <w:sz w:val="20"/>
                <w:szCs w:val="20"/>
              </w:rPr>
            </w:pPr>
            <w:r>
              <w:rPr>
                <w:sz w:val="20"/>
                <w:szCs w:val="20"/>
              </w:rPr>
              <w:t xml:space="preserve">+ 7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199" w:type="dxa"/>
            <w:textDirection w:val="lrTb"/>
            <w:vAlign w:val="center"/>
          </w:tcPr>
          <w:p>
            <w:pPr>
              <w:pStyle w:val="Normal"/>
              <w:jc w:val="center"/>
              <w:rPr>
                <w:sz w:val="20"/>
                <w:szCs w:val="20"/>
              </w:rPr>
            </w:pPr>
            <w:r>
              <w:rPr>
                <w:sz w:val="20"/>
                <w:szCs w:val="20"/>
              </w:rPr>
              <w:t xml:space="preserve">48</w:t>
            </w:r>
          </w:p>
        </w:tc>
        <w:tc>
          <w:tcPr>
            <w:tcW w:w="1308" w:type="dxa"/>
            <w:textDirection w:val="lrTb"/>
            <w:vAlign w:val="center"/>
          </w:tcPr>
          <w:p>
            <w:pPr>
              <w:pStyle w:val="Normal"/>
              <w:jc w:val="center"/>
              <w:rPr>
                <w:sz w:val="20"/>
                <w:szCs w:val="20"/>
              </w:rPr>
            </w:pPr>
            <w:r>
              <w:rPr>
                <w:sz w:val="20"/>
                <w:szCs w:val="20"/>
              </w:rPr>
              <w:t xml:space="preserve">22,5</w:t>
            </w:r>
          </w:p>
        </w:tc>
        <w:tc>
          <w:tcPr>
            <w:tcW w:w="1092" w:type="dxa"/>
            <w:textDirection w:val="lrTb"/>
            <w:vAlign w:val="center"/>
          </w:tcPr>
          <w:p>
            <w:pPr>
              <w:pStyle w:val="Normal"/>
              <w:jc w:val="center"/>
              <w:rPr>
                <w:sz w:val="20"/>
                <w:szCs w:val="20"/>
              </w:rPr>
            </w:pPr>
            <w:r>
              <w:rPr>
                <w:sz w:val="20"/>
                <w:szCs w:val="20"/>
              </w:rPr>
              <w:t xml:space="preserve">41</w:t>
            </w:r>
          </w:p>
        </w:tc>
        <w:tc>
          <w:tcPr>
            <w:tcW w:w="1318" w:type="dxa"/>
            <w:textDirection w:val="lrTb"/>
            <w:vAlign w:val="center"/>
          </w:tcPr>
          <w:p>
            <w:pPr>
              <w:pStyle w:val="Normal"/>
              <w:jc w:val="center"/>
              <w:rPr>
                <w:sz w:val="20"/>
                <w:szCs w:val="20"/>
              </w:rPr>
            </w:pPr>
            <w:r>
              <w:rPr>
                <w:sz w:val="20"/>
                <w:szCs w:val="20"/>
              </w:rPr>
              <w:t xml:space="preserve">19,2</w:t>
            </w:r>
          </w:p>
        </w:tc>
        <w:tc>
          <w:tcPr>
            <w:tcW w:w="1469" w:type="dxa"/>
            <w:textDirection w:val="lrTb"/>
            <w:vAlign w:val="bottom"/>
          </w:tcPr>
          <w:p>
            <w:pPr>
              <w:pStyle w:val="Normal"/>
              <w:jc w:val="center"/>
              <w:rPr>
                <w:sz w:val="20"/>
                <w:szCs w:val="20"/>
              </w:rPr>
            </w:pPr>
            <w:r>
              <w:rPr>
                <w:sz w:val="20"/>
                <w:szCs w:val="20"/>
              </w:rPr>
              <w:t xml:space="preserve">17,1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199" w:type="dxa"/>
            <w:textDirection w:val="lrTb"/>
            <w:vAlign w:val="center"/>
          </w:tcPr>
          <w:p>
            <w:pPr>
              <w:pStyle w:val="Normal"/>
              <w:jc w:val="center"/>
              <w:rPr>
                <w:sz w:val="20"/>
                <w:szCs w:val="20"/>
              </w:rPr>
            </w:pPr>
            <w:r>
              <w:rPr>
                <w:sz w:val="20"/>
                <w:szCs w:val="20"/>
              </w:rPr>
              <w:t xml:space="preserve">33</w:t>
            </w:r>
          </w:p>
        </w:tc>
        <w:tc>
          <w:tcPr>
            <w:tcW w:w="1308" w:type="dxa"/>
            <w:textDirection w:val="lrTb"/>
            <w:vAlign w:val="center"/>
          </w:tcPr>
          <w:p>
            <w:pPr>
              <w:pStyle w:val="Normal"/>
              <w:jc w:val="center"/>
              <w:rPr>
                <w:sz w:val="20"/>
                <w:szCs w:val="20"/>
              </w:rPr>
            </w:pPr>
            <w:r>
              <w:rPr>
                <w:sz w:val="20"/>
                <w:szCs w:val="20"/>
              </w:rPr>
              <w:t xml:space="preserve">19,0</w:t>
            </w:r>
          </w:p>
        </w:tc>
        <w:tc>
          <w:tcPr>
            <w:tcW w:w="1092" w:type="dxa"/>
            <w:textDirection w:val="lrTb"/>
            <w:vAlign w:val="center"/>
          </w:tcPr>
          <w:p>
            <w:pPr>
              <w:pStyle w:val="Normal"/>
              <w:jc w:val="center"/>
              <w:rPr>
                <w:sz w:val="20"/>
                <w:szCs w:val="20"/>
              </w:rPr>
            </w:pPr>
            <w:r>
              <w:rPr>
                <w:sz w:val="20"/>
                <w:szCs w:val="20"/>
              </w:rPr>
              <w:t xml:space="preserve">27</w:t>
            </w:r>
          </w:p>
        </w:tc>
        <w:tc>
          <w:tcPr>
            <w:tcW w:w="1318" w:type="dxa"/>
            <w:textDirection w:val="lrTb"/>
            <w:vAlign w:val="center"/>
          </w:tcPr>
          <w:p>
            <w:pPr>
              <w:pStyle w:val="Normal"/>
              <w:jc w:val="center"/>
              <w:rPr>
                <w:sz w:val="20"/>
                <w:szCs w:val="20"/>
              </w:rPr>
            </w:pPr>
            <w:r>
              <w:rPr>
                <w:sz w:val="20"/>
                <w:szCs w:val="20"/>
              </w:rPr>
              <w:t xml:space="preserve">15,5</w:t>
            </w:r>
          </w:p>
        </w:tc>
        <w:tc>
          <w:tcPr>
            <w:tcW w:w="1469" w:type="dxa"/>
            <w:textDirection w:val="lrTb"/>
            <w:vAlign w:val="bottom"/>
          </w:tcPr>
          <w:p>
            <w:pPr>
              <w:pStyle w:val="Normal"/>
              <w:jc w:val="center"/>
              <w:rPr>
                <w:sz w:val="20"/>
                <w:szCs w:val="20"/>
              </w:rPr>
            </w:pPr>
            <w:r>
              <w:rPr>
                <w:sz w:val="20"/>
                <w:szCs w:val="20"/>
              </w:rPr>
              <w:t xml:space="preserve">22,2</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199" w:type="dxa"/>
            <w:textDirection w:val="lrTb"/>
            <w:vAlign w:val="center"/>
          </w:tcPr>
          <w:p>
            <w:pPr>
              <w:pStyle w:val="Normal"/>
              <w:jc w:val="center"/>
              <w:rPr>
                <w:sz w:val="20"/>
                <w:szCs w:val="20"/>
              </w:rPr>
            </w:pPr>
            <w:r>
              <w:rPr>
                <w:sz w:val="20"/>
                <w:szCs w:val="20"/>
              </w:rPr>
              <w:t xml:space="preserve">35</w:t>
            </w:r>
          </w:p>
        </w:tc>
        <w:tc>
          <w:tcPr>
            <w:tcW w:w="1308" w:type="dxa"/>
            <w:textDirection w:val="lrTb"/>
            <w:vAlign w:val="center"/>
          </w:tcPr>
          <w:p>
            <w:pPr>
              <w:pStyle w:val="Normal"/>
              <w:jc w:val="center"/>
              <w:rPr>
                <w:sz w:val="20"/>
                <w:szCs w:val="20"/>
              </w:rPr>
            </w:pPr>
            <w:r>
              <w:rPr>
                <w:sz w:val="20"/>
                <w:szCs w:val="20"/>
              </w:rPr>
              <w:t xml:space="preserve">18,9</w:t>
            </w:r>
          </w:p>
        </w:tc>
        <w:tc>
          <w:tcPr>
            <w:tcW w:w="1092" w:type="dxa"/>
            <w:textDirection w:val="lrTb"/>
            <w:vAlign w:val="center"/>
          </w:tcPr>
          <w:p>
            <w:pPr>
              <w:pStyle w:val="Normal"/>
              <w:jc w:val="center"/>
              <w:rPr>
                <w:sz w:val="20"/>
                <w:szCs w:val="20"/>
              </w:rPr>
            </w:pPr>
            <w:r>
              <w:rPr>
                <w:sz w:val="20"/>
                <w:szCs w:val="20"/>
              </w:rPr>
              <w:t xml:space="preserve">49</w:t>
            </w:r>
          </w:p>
        </w:tc>
        <w:tc>
          <w:tcPr>
            <w:tcW w:w="1318" w:type="dxa"/>
            <w:textDirection w:val="lrTb"/>
            <w:vAlign w:val="center"/>
          </w:tcPr>
          <w:p>
            <w:pPr>
              <w:pStyle w:val="Normal"/>
              <w:jc w:val="center"/>
              <w:rPr>
                <w:sz w:val="20"/>
                <w:szCs w:val="20"/>
              </w:rPr>
            </w:pPr>
            <w:r>
              <w:rPr>
                <w:sz w:val="20"/>
                <w:szCs w:val="20"/>
              </w:rPr>
              <w:t xml:space="preserve">26,5</w:t>
            </w:r>
          </w:p>
        </w:tc>
        <w:tc>
          <w:tcPr>
            <w:tcW w:w="1469" w:type="dxa"/>
            <w:textDirection w:val="lrTb"/>
            <w:vAlign w:val="bottom"/>
          </w:tcPr>
          <w:p>
            <w:pPr>
              <w:pStyle w:val="Normal"/>
              <w:jc w:val="center"/>
              <w:rPr>
                <w:sz w:val="20"/>
                <w:szCs w:val="20"/>
              </w:rPr>
            </w:pPr>
            <w:r>
              <w:rPr>
                <w:sz w:val="20"/>
                <w:szCs w:val="20"/>
              </w:rPr>
              <w:t xml:space="preserve">-28,6</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199" w:type="dxa"/>
            <w:textDirection w:val="lrTb"/>
            <w:vAlign w:val="center"/>
          </w:tcPr>
          <w:p>
            <w:pPr>
              <w:pStyle w:val="Normal"/>
              <w:jc w:val="center"/>
              <w:rPr>
                <w:sz w:val="20"/>
                <w:szCs w:val="20"/>
              </w:rPr>
            </w:pPr>
            <w:r>
              <w:rPr>
                <w:sz w:val="20"/>
                <w:szCs w:val="20"/>
              </w:rPr>
              <w:t xml:space="preserve">20</w:t>
            </w:r>
          </w:p>
        </w:tc>
        <w:tc>
          <w:tcPr>
            <w:tcW w:w="1308" w:type="dxa"/>
            <w:textDirection w:val="lrTb"/>
            <w:vAlign w:val="center"/>
          </w:tcPr>
          <w:p>
            <w:pPr>
              <w:pStyle w:val="Normal"/>
              <w:jc w:val="center"/>
              <w:rPr>
                <w:sz w:val="20"/>
                <w:szCs w:val="20"/>
              </w:rPr>
            </w:pPr>
            <w:r>
              <w:rPr>
                <w:sz w:val="20"/>
                <w:szCs w:val="20"/>
              </w:rPr>
              <w:t xml:space="preserve">17,6</w:t>
            </w:r>
          </w:p>
        </w:tc>
        <w:tc>
          <w:tcPr>
            <w:tcW w:w="1092" w:type="dxa"/>
            <w:textDirection w:val="lrTb"/>
            <w:vAlign w:val="center"/>
          </w:tcPr>
          <w:p>
            <w:pPr>
              <w:pStyle w:val="Normal"/>
              <w:jc w:val="center"/>
              <w:rPr>
                <w:sz w:val="20"/>
                <w:szCs w:val="20"/>
              </w:rPr>
            </w:pPr>
            <w:r>
              <w:rPr>
                <w:sz w:val="20"/>
                <w:szCs w:val="20"/>
              </w:rPr>
              <w:t xml:space="preserve">30</w:t>
            </w:r>
          </w:p>
        </w:tc>
        <w:tc>
          <w:tcPr>
            <w:tcW w:w="1318" w:type="dxa"/>
            <w:textDirection w:val="lrTb"/>
            <w:vAlign w:val="center"/>
          </w:tcPr>
          <w:p>
            <w:pPr>
              <w:pStyle w:val="Normal"/>
              <w:jc w:val="center"/>
              <w:rPr>
                <w:sz w:val="20"/>
                <w:szCs w:val="20"/>
              </w:rPr>
            </w:pPr>
            <w:r>
              <w:rPr>
                <w:sz w:val="20"/>
                <w:szCs w:val="20"/>
              </w:rPr>
              <w:t xml:space="preserve">26,4</w:t>
            </w:r>
          </w:p>
        </w:tc>
        <w:tc>
          <w:tcPr>
            <w:tcW w:w="1469" w:type="dxa"/>
            <w:textDirection w:val="lrTb"/>
            <w:vAlign w:val="bottom"/>
          </w:tcPr>
          <w:p>
            <w:pPr>
              <w:pStyle w:val="Normal"/>
              <w:jc w:val="center"/>
              <w:rPr>
                <w:sz w:val="20"/>
                <w:szCs w:val="20"/>
              </w:rPr>
            </w:pPr>
            <w:r>
              <w:rPr>
                <w:sz w:val="20"/>
                <w:szCs w:val="20"/>
              </w:rPr>
              <w:t xml:space="preserve">-33,3</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199" w:type="dxa"/>
            <w:textDirection w:val="lrTb"/>
            <w:vAlign w:val="center"/>
          </w:tcPr>
          <w:p>
            <w:pPr>
              <w:pStyle w:val="Normal"/>
              <w:jc w:val="center"/>
              <w:rPr>
                <w:sz w:val="20"/>
                <w:szCs w:val="20"/>
              </w:rPr>
            </w:pPr>
            <w:r>
              <w:rPr>
                <w:sz w:val="20"/>
                <w:szCs w:val="20"/>
              </w:rPr>
              <w:t xml:space="preserve">22</w:t>
            </w:r>
          </w:p>
        </w:tc>
        <w:tc>
          <w:tcPr>
            <w:tcW w:w="1308" w:type="dxa"/>
            <w:textDirection w:val="lrTb"/>
            <w:vAlign w:val="center"/>
          </w:tcPr>
          <w:p>
            <w:pPr>
              <w:pStyle w:val="Normal"/>
              <w:jc w:val="center"/>
              <w:rPr>
                <w:sz w:val="20"/>
                <w:szCs w:val="20"/>
              </w:rPr>
            </w:pPr>
            <w:r>
              <w:rPr>
                <w:sz w:val="20"/>
                <w:szCs w:val="20"/>
              </w:rPr>
              <w:t xml:space="preserve">17,3</w:t>
            </w:r>
          </w:p>
        </w:tc>
        <w:tc>
          <w:tcPr>
            <w:tcW w:w="1092" w:type="dxa"/>
            <w:textDirection w:val="lrTb"/>
            <w:vAlign w:val="center"/>
          </w:tcPr>
          <w:p>
            <w:pPr>
              <w:pStyle w:val="Normal"/>
              <w:jc w:val="center"/>
              <w:rPr>
                <w:sz w:val="20"/>
                <w:szCs w:val="20"/>
              </w:rPr>
            </w:pPr>
            <w:r>
              <w:rPr>
                <w:sz w:val="20"/>
                <w:szCs w:val="20"/>
              </w:rPr>
              <w:t xml:space="preserve">21</w:t>
            </w:r>
          </w:p>
        </w:tc>
        <w:tc>
          <w:tcPr>
            <w:tcW w:w="1318" w:type="dxa"/>
            <w:textDirection w:val="lrTb"/>
            <w:vAlign w:val="center"/>
          </w:tcPr>
          <w:p>
            <w:pPr>
              <w:pStyle w:val="Normal"/>
              <w:jc w:val="center"/>
              <w:rPr>
                <w:sz w:val="20"/>
                <w:szCs w:val="20"/>
              </w:rPr>
            </w:pPr>
            <w:r>
              <w:rPr>
                <w:sz w:val="20"/>
                <w:szCs w:val="20"/>
              </w:rPr>
              <w:t xml:space="preserve">16,5</w:t>
            </w:r>
          </w:p>
        </w:tc>
        <w:tc>
          <w:tcPr>
            <w:tcW w:w="1469" w:type="dxa"/>
            <w:textDirection w:val="lrTb"/>
            <w:vAlign w:val="bottom"/>
          </w:tcPr>
          <w:p>
            <w:pPr>
              <w:pStyle w:val="Normal"/>
              <w:jc w:val="center"/>
              <w:rPr>
                <w:sz w:val="20"/>
                <w:szCs w:val="20"/>
              </w:rPr>
            </w:pPr>
            <w:r>
              <w:rPr>
                <w:sz w:val="20"/>
                <w:szCs w:val="20"/>
              </w:rPr>
              <w:t xml:space="preserve">4,8</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199" w:type="dxa"/>
            <w:textDirection w:val="lrTb"/>
            <w:vAlign w:val="center"/>
          </w:tcPr>
          <w:p>
            <w:pPr>
              <w:pStyle w:val="Normal"/>
              <w:jc w:val="center"/>
              <w:rPr>
                <w:sz w:val="20"/>
                <w:szCs w:val="20"/>
              </w:rPr>
            </w:pPr>
            <w:r>
              <w:rPr>
                <w:sz w:val="20"/>
                <w:szCs w:val="20"/>
              </w:rPr>
              <w:t xml:space="preserve">36</w:t>
            </w:r>
          </w:p>
        </w:tc>
        <w:tc>
          <w:tcPr>
            <w:tcW w:w="1308" w:type="dxa"/>
            <w:textDirection w:val="lrTb"/>
            <w:vAlign w:val="center"/>
          </w:tcPr>
          <w:p>
            <w:pPr>
              <w:pStyle w:val="Normal"/>
              <w:jc w:val="center"/>
              <w:rPr>
                <w:sz w:val="20"/>
                <w:szCs w:val="20"/>
              </w:rPr>
            </w:pPr>
            <w:r>
              <w:rPr>
                <w:sz w:val="20"/>
                <w:szCs w:val="20"/>
              </w:rPr>
              <w:t xml:space="preserve">21,4</w:t>
            </w:r>
          </w:p>
        </w:tc>
        <w:tc>
          <w:tcPr>
            <w:tcW w:w="1092" w:type="dxa"/>
            <w:textDirection w:val="lrTb"/>
            <w:vAlign w:val="center"/>
          </w:tcPr>
          <w:p>
            <w:pPr>
              <w:pStyle w:val="Normal"/>
              <w:jc w:val="center"/>
              <w:rPr>
                <w:sz w:val="20"/>
                <w:szCs w:val="20"/>
              </w:rPr>
            </w:pPr>
            <w:r>
              <w:rPr>
                <w:sz w:val="20"/>
                <w:szCs w:val="20"/>
              </w:rPr>
              <w:t xml:space="preserve">45</w:t>
            </w:r>
          </w:p>
        </w:tc>
        <w:tc>
          <w:tcPr>
            <w:tcW w:w="1318" w:type="dxa"/>
            <w:textDirection w:val="lrTb"/>
            <w:vAlign w:val="center"/>
          </w:tcPr>
          <w:p>
            <w:pPr>
              <w:pStyle w:val="Normal"/>
              <w:jc w:val="center"/>
              <w:rPr>
                <w:sz w:val="20"/>
                <w:szCs w:val="20"/>
              </w:rPr>
            </w:pPr>
            <w:r>
              <w:rPr>
                <w:sz w:val="20"/>
                <w:szCs w:val="20"/>
              </w:rPr>
              <w:t xml:space="preserve">26,7</w:t>
            </w:r>
          </w:p>
        </w:tc>
        <w:tc>
          <w:tcPr>
            <w:tcW w:w="1469" w:type="dxa"/>
            <w:textDirection w:val="lrTb"/>
            <w:vAlign w:val="bottom"/>
          </w:tcPr>
          <w:p>
            <w:pPr>
              <w:pStyle w:val="Normal"/>
              <w:jc w:val="center"/>
              <w:rPr>
                <w:sz w:val="20"/>
                <w:szCs w:val="20"/>
              </w:rPr>
            </w:pPr>
            <w:r>
              <w:rPr>
                <w:sz w:val="20"/>
                <w:szCs w:val="20"/>
              </w:rPr>
              <w:t xml:space="preserve">-20,0</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w:t>
            </w:r>
            <w:r>
              <w:rPr>
                <w:b/>
                <w:sz w:val="22"/>
                <w:szCs w:val="22"/>
              </w:rPr>
              <w:t xml:space="preserve"> </w:t>
            </w:r>
            <w:r>
              <w:rPr>
                <w:b/>
                <w:sz w:val="22"/>
                <w:szCs w:val="22"/>
              </w:rPr>
              <w:t xml:space="preserve">Пермь</w:t>
            </w:r>
          </w:p>
        </w:tc>
        <w:tc>
          <w:tcPr>
            <w:tcW w:w="1199" w:type="dxa"/>
            <w:textDirection w:val="lrTb"/>
            <w:vAlign w:val="center"/>
          </w:tcPr>
          <w:p>
            <w:pPr>
              <w:pStyle w:val="Normal"/>
              <w:jc w:val="center"/>
              <w:rPr>
                <w:b/>
                <w:sz w:val="20"/>
                <w:szCs w:val="20"/>
              </w:rPr>
            </w:pPr>
            <w:r>
              <w:rPr>
                <w:b/>
                <w:sz w:val="20"/>
                <w:szCs w:val="20"/>
              </w:rPr>
              <w:t xml:space="preserve">208</w:t>
            </w:r>
          </w:p>
        </w:tc>
        <w:tc>
          <w:tcPr>
            <w:tcW w:w="1308" w:type="dxa"/>
            <w:textDirection w:val="lrTb"/>
            <w:vAlign w:val="center"/>
          </w:tcPr>
          <w:p>
            <w:pPr>
              <w:pStyle w:val="Normal"/>
              <w:jc w:val="center"/>
              <w:rPr>
                <w:b/>
                <w:sz w:val="20"/>
                <w:szCs w:val="20"/>
              </w:rPr>
            </w:pPr>
            <w:r>
              <w:rPr>
                <w:b/>
                <w:sz w:val="20"/>
                <w:szCs w:val="20"/>
              </w:rPr>
              <w:t xml:space="preserve">20,3</w:t>
            </w:r>
          </w:p>
        </w:tc>
        <w:tc>
          <w:tcPr>
            <w:tcW w:w="1092" w:type="dxa"/>
            <w:textDirection w:val="lrTb"/>
            <w:vAlign w:val="center"/>
          </w:tcPr>
          <w:p>
            <w:pPr>
              <w:pStyle w:val="Normal"/>
              <w:jc w:val="center"/>
              <w:rPr>
                <w:b/>
                <w:sz w:val="20"/>
                <w:szCs w:val="20"/>
              </w:rPr>
            </w:pPr>
            <w:r>
              <w:rPr>
                <w:b/>
                <w:sz w:val="20"/>
                <w:szCs w:val="20"/>
              </w:rPr>
              <w:t xml:space="preserve">220</w:t>
            </w:r>
          </w:p>
        </w:tc>
        <w:tc>
          <w:tcPr>
            <w:tcW w:w="1318" w:type="dxa"/>
            <w:textDirection w:val="lrTb"/>
            <w:vAlign w:val="center"/>
          </w:tcPr>
          <w:p>
            <w:pPr>
              <w:pStyle w:val="Normal"/>
              <w:jc w:val="center"/>
              <w:rPr>
                <w:b/>
                <w:sz w:val="20"/>
                <w:szCs w:val="20"/>
              </w:rPr>
            </w:pPr>
            <w:r>
              <w:rPr>
                <w:b/>
                <w:sz w:val="20"/>
                <w:szCs w:val="20"/>
              </w:rPr>
              <w:t xml:space="preserve">21,4</w:t>
            </w:r>
          </w:p>
        </w:tc>
        <w:tc>
          <w:tcPr>
            <w:tcW w:w="1469" w:type="dxa"/>
            <w:textDirection w:val="lrTb"/>
            <w:vAlign w:val="bottom"/>
          </w:tcPr>
          <w:p>
            <w:pPr>
              <w:pStyle w:val="Normal"/>
              <w:jc w:val="center"/>
              <w:rPr>
                <w:b/>
                <w:sz w:val="20"/>
                <w:szCs w:val="20"/>
              </w:rPr>
            </w:pPr>
            <w:r>
              <w:rPr>
                <w:b/>
                <w:sz w:val="20"/>
                <w:szCs w:val="20"/>
              </w:rPr>
              <w:t xml:space="preserve">-5,5</w:t>
            </w:r>
          </w:p>
        </w:tc>
      </w:tr>
    </w:tbl>
    <w:p>
      <w:pPr>
        <w:pStyle w:val="Normal"/>
        <w:spacing w:line="264" w:lineRule="auto"/>
        <w:jc w:val="center"/>
        <w:rPr>
          <w:szCs w:val="20"/>
        </w:rPr>
      </w:pPr>
      <w:r>
        <w:rPr>
          <w:szCs w:val="20"/>
        </w:rPr>
      </w:r>
    </w:p>
    <w:p>
      <w:pPr>
        <w:pStyle w:val="Heading4"/>
        <w:ind w:firstLine="709"/>
        <w:jc w:val="both"/>
        <w:rPr>
          <w:rFonts w:ascii="Times New Roman" w:hAnsi="Times New Roman" w:cs="Times New Roman"/>
          <w:b w:val="0"/>
          <w:bCs w:val="0"/>
          <w:iCs/>
          <w:color w:val="000000"/>
          <w:sz w:val="24"/>
          <w:szCs w:val="24"/>
        </w:rPr>
      </w:pPr>
      <w:r>
        <w:rPr>
          <w:rFonts w:ascii="Times New Roman" w:hAnsi="Times New Roman" w:cs="Times New Roman"/>
          <w:b w:val="0"/>
          <w:bCs w:val="0"/>
          <w:iCs/>
          <w:color w:val="000000"/>
          <w:sz w:val="24"/>
          <w:szCs w:val="24"/>
        </w:rPr>
      </w:r>
    </w:p>
    <w:p>
      <w:pPr>
        <w:pStyle w:val="Heading4"/>
        <w:ind w:firstLine="709"/>
        <w:jc w:val="both"/>
        <w:rPr>
          <w:rFonts w:ascii="Times New Roman" w:hAnsi="Times New Roman" w:cs="Times New Roman"/>
          <w:b w:val="0"/>
          <w:bCs w:val="0"/>
          <w:color w:val="000000"/>
          <w:sz w:val="24"/>
          <w:szCs w:val="24"/>
        </w:rPr>
      </w:pPr>
      <w:r>
        <w:rPr>
          <w:rFonts w:ascii="Times New Roman" w:hAnsi="Times New Roman" w:cs="Times New Roman"/>
          <w:b w:val="0"/>
          <w:bCs w:val="0"/>
          <w:iCs/>
          <w:color w:val="000000"/>
          <w:sz w:val="24"/>
          <w:szCs w:val="24"/>
        </w:rPr>
        <w:t xml:space="preserve">В целом отравления регистрируются среди мужчин</w:t>
      </w:r>
      <w:r>
        <w:rPr>
          <w:rFonts w:ascii="Times New Roman" w:hAnsi="Times New Roman" w:cs="Times New Roman"/>
          <w:b w:val="0"/>
          <w:bCs w:val="0"/>
          <w:iCs/>
          <w:color w:val="000000"/>
          <w:sz w:val="24"/>
          <w:szCs w:val="24"/>
        </w:rPr>
        <w:t xml:space="preserve"> </w:t>
      </w:r>
      <w:r>
        <w:rPr>
          <w:rFonts w:ascii="Times New Roman" w:hAnsi="Times New Roman" w:cs="Times New Roman"/>
          <w:b w:val="0"/>
          <w:bCs w:val="0"/>
          <w:iCs/>
          <w:color w:val="000000"/>
          <w:sz w:val="24"/>
          <w:szCs w:val="24"/>
        </w:rPr>
        <w:t xml:space="preserve">в </w:t>
      </w:r>
      <w:r>
        <w:rPr>
          <w:rFonts w:ascii="Times New Roman" w:hAnsi="Times New Roman" w:cs="Times New Roman"/>
          <w:b w:val="0"/>
          <w:bCs w:val="0"/>
          <w:iCs/>
          <w:color w:val="000000"/>
          <w:sz w:val="24"/>
          <w:szCs w:val="24"/>
        </w:rPr>
        <w:t xml:space="preserve">1,4</w:t>
      </w:r>
      <w:r>
        <w:rPr>
          <w:rFonts w:ascii="Times New Roman" w:hAnsi="Times New Roman" w:cs="Times New Roman"/>
          <w:b w:val="0"/>
          <w:bCs w:val="0"/>
          <w:iCs/>
          <w:color w:val="000000"/>
          <w:sz w:val="24"/>
          <w:szCs w:val="24"/>
        </w:rPr>
        <w:t xml:space="preserve"> раза чаще</w:t>
      </w:r>
      <w:r>
        <w:rPr>
          <w:rFonts w:ascii="Times New Roman" w:hAnsi="Times New Roman" w:cs="Times New Roman"/>
          <w:b w:val="0"/>
          <w:bCs w:val="0"/>
          <w:iCs/>
          <w:color w:val="000000"/>
          <w:sz w:val="24"/>
          <w:szCs w:val="24"/>
        </w:rPr>
        <w:t xml:space="preserve"> (23,5 на 100 тыс. мужского населения)</w:t>
      </w:r>
      <w:r>
        <w:rPr>
          <w:rFonts w:ascii="Times New Roman" w:hAnsi="Times New Roman" w:cs="Times New Roman"/>
          <w:b w:val="0"/>
          <w:bCs w:val="0"/>
          <w:iCs/>
          <w:color w:val="000000"/>
          <w:sz w:val="24"/>
          <w:szCs w:val="24"/>
        </w:rPr>
        <w:t xml:space="preserve">, чем среди женщин</w:t>
      </w:r>
      <w:r>
        <w:rPr>
          <w:rFonts w:ascii="Times New Roman" w:hAnsi="Times New Roman" w:cs="Times New Roman"/>
          <w:b w:val="0"/>
          <w:bCs w:val="0"/>
          <w:iCs/>
          <w:color w:val="000000"/>
          <w:sz w:val="24"/>
          <w:szCs w:val="24"/>
        </w:rPr>
        <w:t xml:space="preserve"> (17,7).</w:t>
      </w:r>
      <w:r>
        <w:rPr>
          <w:rFonts w:ascii="Times New Roman" w:hAnsi="Times New Roman" w:cs="Times New Roman"/>
          <w:b w:val="0"/>
          <w:bCs w:val="0"/>
          <w:iCs/>
          <w:color w:val="000000"/>
          <w:sz w:val="24"/>
          <w:szCs w:val="24"/>
        </w:rPr>
        <w:t xml:space="preserve"> </w:t>
      </w:r>
      <w:r>
        <w:rPr>
          <w:rFonts w:ascii="Times New Roman" w:hAnsi="Times New Roman" w:cs="Times New Roman"/>
          <w:b w:val="0"/>
          <w:bCs w:val="0"/>
          <w:color w:val="000000"/>
          <w:sz w:val="24"/>
          <w:szCs w:val="24"/>
        </w:rPr>
      </w:r>
    </w:p>
    <w:p>
      <w:pPr>
        <w:pStyle w:val="BodyTextIndent2"/>
        <w:ind w:firstLine="709"/>
      </w:pPr>
      <w:r>
        <w:rPr>
          <w:bCs/>
        </w:rPr>
        <w:t xml:space="preserve">Обстоятельства отравлений</w:t>
      </w:r>
      <w:r>
        <w:t xml:space="preserve"> в </w:t>
      </w:r>
      <w:r>
        <w:t xml:space="preserve">112</w:t>
      </w:r>
      <w:r>
        <w:t xml:space="preserve"> случаях (</w:t>
      </w:r>
      <w:r>
        <w:t xml:space="preserve">53,8</w:t>
      </w:r>
      <w:r>
        <w:t xml:space="preserve"> %) оцениваются как случайные, из них </w:t>
      </w:r>
      <w:r>
        <w:t xml:space="preserve">49</w:t>
      </w:r>
      <w:r>
        <w:t xml:space="preserve"> % с целью опьянения, </w:t>
      </w:r>
      <w:r>
        <w:t xml:space="preserve">89</w:t>
      </w:r>
      <w:r>
        <w:t xml:space="preserve"> экстренных извещени</w:t>
      </w:r>
      <w:r>
        <w:t xml:space="preserve">й (42,8</w:t>
      </w:r>
      <w:r>
        <w:t xml:space="preserve"> %</w:t>
      </w:r>
      <w:r>
        <w:t xml:space="preserve">)</w:t>
      </w:r>
      <w:r>
        <w:t xml:space="preserve"> свидетельствуют о преднамеренном отравлении, в том числе</w:t>
      </w:r>
      <w:r>
        <w:t xml:space="preserve"> 65,2</w:t>
      </w:r>
      <w:r>
        <w:t xml:space="preserve"> % </w:t>
      </w:r>
      <w:r>
        <w:t xml:space="preserve">с целью суицида</w:t>
      </w:r>
      <w:r>
        <w:t xml:space="preserve">.</w:t>
      </w:r>
      <w:r>
        <w:t xml:space="preserve"> </w:t>
      </w:r>
    </w:p>
    <w:p>
      <w:pPr>
        <w:pStyle w:val="BodyTextIndent2"/>
        <w:ind w:firstLine="709"/>
      </w:pPr>
      <w:r>
        <w:t xml:space="preserve">В структуре отравлений </w:t>
      </w:r>
      <w:r>
        <w:rPr>
          <w:bCs/>
        </w:rPr>
        <w:t xml:space="preserve">по социальному статусу</w:t>
      </w:r>
      <w:r>
        <w:t xml:space="preserve"> </w:t>
      </w:r>
      <w:r>
        <w:rPr>
          <w:bCs/>
        </w:rPr>
        <w:t xml:space="preserve">пострадавших</w:t>
      </w:r>
      <w:r>
        <w:rPr>
          <w:b/>
          <w:bCs/>
        </w:rPr>
        <w:t xml:space="preserve"> </w:t>
      </w:r>
      <w:r>
        <w:t xml:space="preserve">наибольшее количество отравлений регистрируется среди безработных – </w:t>
      </w:r>
      <w:r>
        <w:t xml:space="preserve">49</w:t>
      </w:r>
      <w:r>
        <w:t xml:space="preserve"> % от общего колич</w:t>
      </w:r>
      <w:r>
        <w:t xml:space="preserve">е</w:t>
      </w:r>
      <w:r>
        <w:t xml:space="preserve">ства случаев, </w:t>
      </w:r>
      <w:r>
        <w:t xml:space="preserve">19,2</w:t>
      </w:r>
      <w:r>
        <w:t xml:space="preserve"> % - людей пенсионного возраста, </w:t>
      </w:r>
      <w:r>
        <w:t xml:space="preserve">10,9</w:t>
      </w:r>
      <w:r>
        <w:t xml:space="preserve"> % </w:t>
      </w:r>
      <w:r>
        <w:t xml:space="preserve">-</w:t>
      </w:r>
      <w:r>
        <w:t xml:space="preserve">  </w:t>
      </w:r>
      <w:r>
        <w:t xml:space="preserve">школьников, 11,1</w:t>
      </w:r>
      <w:r>
        <w:t xml:space="preserve"> % -</w:t>
      </w:r>
      <w:r>
        <w:t xml:space="preserve"> </w:t>
      </w:r>
      <w:r>
        <w:t xml:space="preserve">работающего населения</w:t>
      </w:r>
      <w:r>
        <w:t xml:space="preserve">,</w:t>
      </w:r>
      <w:r>
        <w:t xml:space="preserve"> </w:t>
      </w:r>
      <w:r>
        <w:t xml:space="preserve">2</w:t>
      </w:r>
      <w:r>
        <w:t xml:space="preserve">,</w:t>
      </w:r>
      <w:r>
        <w:t xml:space="preserve">9 % - детей</w:t>
      </w:r>
      <w:r>
        <w:t xml:space="preserve">, посещающи</w:t>
      </w:r>
      <w:r>
        <w:t xml:space="preserve">х</w:t>
      </w:r>
      <w:r>
        <w:t xml:space="preserve"> ДДУ,</w:t>
      </w:r>
      <w:r>
        <w:t xml:space="preserve"> по 1,4 % - </w:t>
      </w:r>
      <w:r>
        <w:t xml:space="preserve">уч</w:t>
      </w:r>
      <w:r>
        <w:t xml:space="preserve">а</w:t>
      </w:r>
      <w:r>
        <w:t xml:space="preserve">щих</w:t>
      </w:r>
      <w:r>
        <w:t xml:space="preserve">ся средне-профессиональных училищ, техникумов и ВУЗов </w:t>
      </w:r>
      <w:r>
        <w:t xml:space="preserve">и</w:t>
      </w:r>
      <w:r>
        <w:t xml:space="preserve"> неорганизованны</w:t>
      </w:r>
      <w:r>
        <w:t xml:space="preserve">х</w:t>
      </w:r>
      <w:r>
        <w:t xml:space="preserve"> дет</w:t>
      </w:r>
      <w:r>
        <w:t xml:space="preserve">ей, 0,5 % - мигрантов и переселенцев.</w:t>
      </w:r>
      <w:r>
        <w:t xml:space="preserve"> </w:t>
      </w:r>
    </w:p>
    <w:p>
      <w:pPr>
        <w:pStyle w:val="Normal"/>
        <w:ind w:firstLine="709"/>
        <w:jc w:val="both"/>
      </w:pPr>
      <w:r>
        <w:t xml:space="preserve">Анализ интенсивности отравлений по возрастным категориям позволил в</w:t>
      </w:r>
      <w:r>
        <w:t xml:space="preserve">ы</w:t>
      </w:r>
      <w:r>
        <w:t xml:space="preserve">явить группу риска</w:t>
      </w:r>
      <w:r>
        <w:t xml:space="preserve"> </w:t>
      </w:r>
      <w:r>
        <w:t xml:space="preserve">–  лица </w:t>
      </w:r>
      <w:r>
        <w:t xml:space="preserve">   20</w:t>
      </w:r>
      <w:r>
        <w:t xml:space="preserve"> -</w:t>
      </w:r>
      <w:r>
        <w:t xml:space="preserve"> 29</w:t>
      </w:r>
      <w:r>
        <w:t xml:space="preserve"> лет (</w:t>
      </w:r>
      <w:r>
        <w:t xml:space="preserve">32,8</w:t>
      </w:r>
      <w:r>
        <w:t xml:space="preserve"> на 100 тыс. соответствующего населения).</w:t>
      </w:r>
      <w:r>
        <w:t xml:space="preserve"> </w:t>
      </w:r>
    </w:p>
    <w:p>
      <w:pPr>
        <w:pStyle w:val="Normal"/>
        <w:ind w:firstLine="709"/>
        <w:jc w:val="both"/>
      </w:pPr>
      <w:r>
        <w:rPr>
          <w:szCs w:val="20"/>
        </w:rPr>
        <w:t xml:space="preserve">Среди детей до 14 лет было зарегистрировано 2</w:t>
      </w:r>
      <w:r>
        <w:rPr>
          <w:szCs w:val="20"/>
        </w:rPr>
        <w:t xml:space="preserve">5</w:t>
      </w:r>
      <w:r>
        <w:rPr>
          <w:szCs w:val="20"/>
        </w:rPr>
        <w:t xml:space="preserve"> случаев отравлений (1 кв. </w:t>
      </w:r>
      <w:r>
        <w:rPr>
          <w:szCs w:val="20"/>
        </w:rPr>
        <w:t xml:space="preserve">2024</w:t>
      </w:r>
      <w:r>
        <w:rPr>
          <w:szCs w:val="20"/>
        </w:rPr>
        <w:t xml:space="preserve"> г. - </w:t>
      </w:r>
      <w:r>
        <w:rPr>
          <w:szCs w:val="20"/>
        </w:rPr>
        <w:t xml:space="preserve">26</w:t>
      </w:r>
      <w:r>
        <w:rPr>
          <w:szCs w:val="20"/>
        </w:rPr>
        <w:t xml:space="preserve">), </w:t>
      </w:r>
      <w:r>
        <w:rPr>
          <w:szCs w:val="20"/>
        </w:rPr>
        <w:t xml:space="preserve">из них 2 случая со смертельным исходом от  окиси углерода. </w:t>
      </w:r>
      <w:r>
        <w:rPr>
          <w:szCs w:val="20"/>
        </w:rPr>
        <w:t xml:space="preserve">За </w:t>
      </w:r>
      <w:r>
        <w:rPr>
          <w:szCs w:val="20"/>
        </w:rPr>
        <w:t xml:space="preserve">анал</w:t>
      </w:r>
      <w:r>
        <w:rPr>
          <w:szCs w:val="20"/>
        </w:rPr>
        <w:t xml:space="preserve">и</w:t>
      </w:r>
      <w:r>
        <w:rPr>
          <w:szCs w:val="20"/>
        </w:rPr>
        <w:t xml:space="preserve">зируемый</w:t>
      </w:r>
      <w:r>
        <w:rPr>
          <w:szCs w:val="20"/>
        </w:rPr>
        <w:t xml:space="preserve"> период показатель отравлений </w:t>
      </w:r>
      <w:r>
        <w:rPr>
          <w:szCs w:val="20"/>
        </w:rPr>
        <w:t xml:space="preserve">не изменился и составил</w:t>
      </w:r>
      <w:r>
        <w:rPr>
          <w:szCs w:val="20"/>
        </w:rPr>
        <w:t xml:space="preserve"> </w:t>
      </w:r>
      <w:r>
        <w:rPr>
          <w:szCs w:val="20"/>
        </w:rPr>
        <w:t xml:space="preserve">13,1 </w:t>
      </w:r>
      <w:r>
        <w:rPr>
          <w:szCs w:val="20"/>
        </w:rPr>
        <w:t xml:space="preserve">на 100 тыс. детского населения.</w:t>
      </w:r>
      <w:r>
        <w:t xml:space="preserve"> Среди детей превалируют отравления лекарственными препаратами (</w:t>
      </w:r>
      <w:r>
        <w:t xml:space="preserve">52 </w:t>
      </w:r>
      <w:r>
        <w:t xml:space="preserve">%)</w:t>
      </w:r>
      <w:r>
        <w:t xml:space="preserve"> и алкоголем (32 %)</w:t>
      </w:r>
      <w:r>
        <w:t xml:space="preserve">, основным</w:t>
      </w:r>
      <w:r>
        <w:t xml:space="preserve">и обстоятельства</w:t>
      </w:r>
      <w:r>
        <w:t xml:space="preserve">м</w:t>
      </w:r>
      <w:r>
        <w:t xml:space="preserve">и</w:t>
      </w:r>
      <w:r>
        <w:t xml:space="preserve"> отравлений явля</w:t>
      </w:r>
      <w:r>
        <w:t xml:space="preserve">ю</w:t>
      </w:r>
      <w:r>
        <w:t xml:space="preserve">тся ошибочный прием</w:t>
      </w:r>
      <w:r>
        <w:t xml:space="preserve"> (36 %) и с целью опьянения (32 %)</w:t>
      </w:r>
      <w:r>
        <w:t xml:space="preserve">. </w:t>
      </w:r>
    </w:p>
    <w:p>
      <w:pPr>
        <w:pStyle w:val="BodyTextIndent2"/>
        <w:ind w:firstLine="709"/>
        <w:rPr>
          <w:szCs w:val="20"/>
        </w:rPr>
      </w:pPr>
      <w:r>
        <w:rPr>
          <w:szCs w:val="20"/>
        </w:rPr>
        <w:t xml:space="preserve">Среди подростков </w:t>
      </w:r>
      <w:r>
        <w:rPr>
          <w:szCs w:val="20"/>
        </w:rPr>
        <w:t xml:space="preserve">было </w:t>
      </w:r>
      <w:r>
        <w:rPr>
          <w:szCs w:val="20"/>
        </w:rPr>
        <w:t xml:space="preserve">зарегистрировано </w:t>
      </w:r>
      <w:r>
        <w:rPr>
          <w:szCs w:val="20"/>
        </w:rPr>
        <w:t xml:space="preserve">12 </w:t>
      </w:r>
      <w:r>
        <w:rPr>
          <w:szCs w:val="20"/>
        </w:rPr>
        <w:t xml:space="preserve">случа</w:t>
      </w:r>
      <w:r>
        <w:rPr>
          <w:szCs w:val="20"/>
        </w:rPr>
        <w:t xml:space="preserve">ев</w:t>
      </w:r>
      <w:r>
        <w:rPr>
          <w:szCs w:val="20"/>
        </w:rPr>
        <w:t xml:space="preserve"> отравлений</w:t>
      </w:r>
      <w:r>
        <w:rPr>
          <w:szCs w:val="20"/>
        </w:rPr>
        <w:t xml:space="preserve"> (в 1 кв. 2024 г . - 8). В сравнении с аналогичным периодом прошлого года п</w:t>
      </w:r>
      <w:r>
        <w:rPr>
          <w:szCs w:val="20"/>
        </w:rPr>
        <w:t xml:space="preserve">оказатель</w:t>
      </w:r>
      <w:r>
        <w:rPr>
          <w:szCs w:val="20"/>
        </w:rPr>
        <w:t xml:space="preserve"> не изменился</w:t>
      </w:r>
      <w:r>
        <w:rPr>
          <w:szCs w:val="20"/>
        </w:rPr>
        <w:t xml:space="preserve"> и составил 32,0</w:t>
      </w:r>
      <w:r>
        <w:rPr>
          <w:szCs w:val="20"/>
        </w:rPr>
        <w:t xml:space="preserve"> на 100 тыс. подростков. </w:t>
      </w:r>
      <w:r>
        <w:rPr>
          <w:szCs w:val="20"/>
        </w:rPr>
        <w:t xml:space="preserve">Формируют структуру отравлений лиц 15-17 лет – медикаменты  (</w:t>
      </w:r>
      <w:r>
        <w:rPr>
          <w:szCs w:val="20"/>
        </w:rPr>
        <w:t xml:space="preserve">83,3</w:t>
      </w:r>
      <w:r>
        <w:rPr>
          <w:szCs w:val="20"/>
        </w:rPr>
        <w:t xml:space="preserve"> %), основным обстоятельством является </w:t>
      </w:r>
      <w:r>
        <w:rPr>
          <w:szCs w:val="20"/>
        </w:rPr>
        <w:t xml:space="preserve">суицид (66,6 %)</w:t>
      </w:r>
      <w:r>
        <w:rPr>
          <w:szCs w:val="20"/>
        </w:rPr>
        <w:t xml:space="preserve">. В 1 квартале </w:t>
      </w:r>
      <w:r>
        <w:rPr>
          <w:szCs w:val="20"/>
        </w:rPr>
        <w:t xml:space="preserve">2025</w:t>
      </w:r>
      <w:r>
        <w:rPr>
          <w:szCs w:val="20"/>
        </w:rPr>
        <w:t xml:space="preserve"> года среди подростков </w:t>
      </w:r>
      <w:r>
        <w:rPr>
          <w:szCs w:val="20"/>
        </w:rPr>
        <w:t xml:space="preserve">был зарегистрирован 1 </w:t>
      </w:r>
      <w:r>
        <w:rPr>
          <w:szCs w:val="20"/>
        </w:rPr>
        <w:t xml:space="preserve">смертельны</w:t>
      </w:r>
      <w:r>
        <w:rPr>
          <w:szCs w:val="20"/>
        </w:rPr>
        <w:t xml:space="preserve">й</w:t>
      </w:r>
      <w:r>
        <w:rPr>
          <w:szCs w:val="20"/>
        </w:rPr>
        <w:t xml:space="preserve"> случа</w:t>
      </w:r>
      <w:r>
        <w:rPr>
          <w:szCs w:val="20"/>
        </w:rPr>
        <w:t xml:space="preserve">й</w:t>
      </w:r>
      <w:r>
        <w:rPr>
          <w:szCs w:val="20"/>
        </w:rPr>
        <w:t xml:space="preserve"> от отравлени</w:t>
      </w:r>
      <w:r>
        <w:rPr>
          <w:szCs w:val="20"/>
        </w:rPr>
        <w:t xml:space="preserve">я лекарственными препаратами с целью суицида</w:t>
      </w:r>
      <w:r>
        <w:rPr>
          <w:szCs w:val="20"/>
        </w:rPr>
        <w:t xml:space="preserve">.</w:t>
      </w:r>
      <w:r>
        <w:rPr>
          <w:szCs w:val="20"/>
        </w:rPr>
        <w:t xml:space="preserve"> </w:t>
      </w:r>
      <w:r>
        <w:rPr>
          <w:szCs w:val="20"/>
        </w:rPr>
      </w:r>
    </w:p>
    <w:p>
      <w:pPr>
        <w:pStyle w:val="Normal"/>
        <w:ind w:firstLine="709"/>
        <w:jc w:val="both"/>
        <w:rPr>
          <w:szCs w:val="20"/>
        </w:rPr>
      </w:pPr>
      <w:r>
        <w:rPr>
          <w:szCs w:val="20"/>
        </w:rPr>
        <w:t xml:space="preserve">По районам города распределение случаев отравлений среди детей и подрос</w:t>
      </w:r>
      <w:r>
        <w:rPr>
          <w:szCs w:val="20"/>
        </w:rPr>
        <w:t xml:space="preserve">т</w:t>
      </w:r>
      <w:r>
        <w:rPr>
          <w:szCs w:val="20"/>
        </w:rPr>
        <w:t xml:space="preserve">ков представлено в таблице 8</w:t>
      </w:r>
      <w:r>
        <w:rPr>
          <w:szCs w:val="20"/>
        </w:rPr>
        <w:t xml:space="preserve">.</w:t>
      </w:r>
      <w:r>
        <w:rPr>
          <w:szCs w:val="20"/>
        </w:rPr>
      </w:r>
    </w:p>
    <w:p>
      <w:pPr>
        <w:pStyle w:val="Normal"/>
        <w:ind w:firstLine="709"/>
        <w:jc w:val="both"/>
        <w:rPr>
          <w:szCs w:val="20"/>
        </w:rPr>
      </w:pPr>
      <w:r>
        <w:rPr>
          <w:szCs w:val="20"/>
        </w:rPr>
      </w:r>
    </w:p>
    <w:p>
      <w:pPr>
        <w:pStyle w:val="Normal"/>
        <w:ind w:firstLine="709"/>
        <w:jc w:val="right"/>
        <w:rPr>
          <w:szCs w:val="20"/>
        </w:rPr>
      </w:pPr>
      <w:r>
        <w:rPr>
          <w:szCs w:val="20"/>
        </w:rPr>
        <w:t xml:space="preserve">Таблица 8</w:t>
      </w:r>
    </w:p>
    <w:p>
      <w:pPr>
        <w:pStyle w:val="Normal"/>
        <w:jc w:val="center"/>
        <w:rPr>
          <w:b/>
        </w:rPr>
      </w:pPr>
      <w:r>
        <w:rPr>
          <w:b/>
        </w:rPr>
        <w:t xml:space="preserve">Показатели отравлений </w:t>
      </w:r>
    </w:p>
    <w:p>
      <w:pPr>
        <w:pStyle w:val="Normal"/>
        <w:jc w:val="center"/>
        <w:rPr>
          <w:b/>
        </w:rPr>
      </w:pPr>
      <w:r>
        <w:rPr>
          <w:b/>
        </w:rPr>
        <w:t xml:space="preserve">по районам города среди детей и подростков за 1 кв. 2025г.</w:t>
      </w:r>
    </w:p>
    <w:p>
      <w:pPr>
        <w:pStyle w:val="Normal"/>
        <w:jc w:val="center"/>
        <w:rPr>
          <w:b/>
        </w:rPr>
      </w:pPr>
      <w:r>
        <w:rPr>
          <w:b/>
        </w:rPr>
        <w:t xml:space="preserve"> (на 100 тыс. соответствующего населения)</w:t>
      </w:r>
    </w:p>
    <w:p>
      <w:pPr>
        <w:pStyle w:val="Normal"/>
        <w:jc w:val="center"/>
        <w:rPr>
          <w:b/>
        </w:rPr>
      </w:pPr>
      <w:r>
        <w:rPr>
          <w:b/>
        </w:rPr>
      </w:r>
    </w:p>
    <w:tbl>
      <w:tblPr>
        <w:tblW w:w="6000" w:type="dxa"/>
        <w:jc w:val="center"/>
        <w:tblInd w:w="93" w:type="dxa"/>
        <w:tblLayout w:type="autofit"/>
        <w:tblCellMar>
          <w:left w:w="108" w:type="dxa"/>
          <w:top w:w="0" w:type="dxa"/>
          <w:right w:w="108" w:type="dxa"/>
          <w:bottom w:w="0" w:type="dxa"/>
        </w:tblCellMar>
      </w:tblPr>
      <w:tblGrid>
        <w:gridCol w:w="2160"/>
        <w:gridCol w:w="960"/>
        <w:gridCol w:w="960"/>
        <w:gridCol w:w="960"/>
        <w:gridCol w:w="960"/>
      </w:tblGrid>
      <w:tr>
        <w:trPr>
          <w:trHeight w:val="545"/>
        </w:trPr>
        <w:tc>
          <w:tcPr>
            <w:tcW w:w="2160" w:type="dxa"/>
            <w:vMerge w:val="restart"/>
            <w:tcBorders>
              <w:top w:val="single" w:color="000000" w:sz="8" w:space="0"/>
              <w:left w:val="single" w:color="000000" w:sz="8" w:space="0"/>
              <w:bottom w:val="single" w:color="000000" w:sz="8" w:space="0"/>
              <w:right w:val="single" w:color="000000" w:sz="4" w:space="0"/>
            </w:tcBorders>
            <w:noWrap/>
            <w:textDirection w:val="lrTb"/>
            <w:vAlign w:val="bottom"/>
          </w:tcPr>
          <w:p>
            <w:pPr>
              <w:pStyle w:val="Normal"/>
              <w:jc w:val="center"/>
              <w:rPr>
                <w:sz w:val="22"/>
                <w:szCs w:val="22"/>
              </w:rPr>
            </w:pPr>
            <w:r>
              <w:rPr>
                <w:sz w:val="22"/>
                <w:szCs w:val="22"/>
              </w:rPr>
              <w:t xml:space="preserve">Районы города</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дети </w:t>
            </w:r>
          </w:p>
          <w:p>
            <w:pPr>
              <w:pStyle w:val="Normal"/>
              <w:jc w:val="center"/>
              <w:rPr>
                <w:sz w:val="22"/>
                <w:szCs w:val="22"/>
              </w:rPr>
            </w:pPr>
            <w:r>
              <w:rPr>
                <w:sz w:val="22"/>
                <w:szCs w:val="22"/>
              </w:rPr>
              <w:t xml:space="preserve">(0-14 лет)</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подростки </w:t>
            </w:r>
          </w:p>
          <w:p>
            <w:pPr>
              <w:pStyle w:val="Normal"/>
              <w:jc w:val="center"/>
              <w:rPr>
                <w:sz w:val="22"/>
                <w:szCs w:val="22"/>
              </w:rPr>
            </w:pPr>
            <w:r>
              <w:rPr>
                <w:sz w:val="22"/>
                <w:szCs w:val="22"/>
              </w:rPr>
              <w:t xml:space="preserve">(15-17 лет)</w:t>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t xml:space="preserve">Ленинский</w:t>
            </w: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51,4</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0</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0,0</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Свердловский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7,6</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28,4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Дзержинский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11,7</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50,9</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Мотовилихинский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11,1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57,4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Орджоникидзевский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8,9</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22,5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Кировский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18,6</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Индустриальный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27,1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15,5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w:t>
            </w:r>
            <w:r>
              <w:rPr>
                <w:b/>
                <w:sz w:val="22"/>
                <w:szCs w:val="22"/>
              </w:rPr>
              <w:t xml:space="preserve"> </w:t>
            </w:r>
            <w:r>
              <w:rPr>
                <w:b/>
                <w:sz w:val="22"/>
                <w:szCs w:val="22"/>
              </w:rPr>
              <w:t xml:space="preserve">Пермь</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25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13,1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32,0</w:t>
            </w:r>
          </w:p>
        </w:tc>
      </w:tr>
    </w:tbl>
    <w:p>
      <w:pPr>
        <w:pStyle w:val="Normal"/>
        <w:tabs>
          <w:tab w:val="left" w:pos="6374" w:leader="none"/>
        </w:tabs>
        <w:ind w:firstLine="709"/>
        <w:jc w:val="both"/>
        <w:rPr>
          <w:szCs w:val="20"/>
        </w:rPr>
      </w:pPr>
      <w:r>
        <w:rPr>
          <w:szCs w:val="20"/>
        </w:rPr>
        <w:tab/>
      </w:r>
    </w:p>
    <w:p>
      <w:pPr>
        <w:pStyle w:val="Normal"/>
        <w:ind w:firstLine="709"/>
        <w:jc w:val="both"/>
        <w:rPr>
          <w:szCs w:val="20"/>
        </w:rPr>
      </w:pPr>
      <w:r>
        <w:rPr>
          <w:szCs w:val="20"/>
        </w:rPr>
        <w:t xml:space="preserve">77</w:t>
      </w:r>
      <w:r>
        <w:rPr>
          <w:szCs w:val="20"/>
        </w:rPr>
        <w:t xml:space="preserve"> случа</w:t>
      </w:r>
      <w:r>
        <w:rPr>
          <w:szCs w:val="20"/>
        </w:rPr>
        <w:t xml:space="preserve">ев</w:t>
      </w:r>
      <w:r>
        <w:rPr>
          <w:szCs w:val="20"/>
        </w:rPr>
        <w:t xml:space="preserve"> отравлений</w:t>
      </w:r>
      <w:r>
        <w:rPr>
          <w:szCs w:val="20"/>
        </w:rPr>
        <w:t xml:space="preserve"> </w:t>
      </w:r>
      <w:r>
        <w:rPr>
          <w:szCs w:val="20"/>
        </w:rPr>
        <w:t xml:space="preserve">(</w:t>
      </w:r>
      <w:r>
        <w:rPr>
          <w:szCs w:val="20"/>
        </w:rPr>
        <w:t xml:space="preserve">37</w:t>
      </w:r>
      <w:r>
        <w:rPr>
          <w:szCs w:val="20"/>
        </w:rPr>
        <w:t xml:space="preserve"> %) закончились летальным исходом. Показатель смертности от острых отравлений </w:t>
      </w:r>
      <w:r>
        <w:rPr>
          <w:szCs w:val="20"/>
        </w:rPr>
        <w:t xml:space="preserve">(7,5 </w:t>
      </w:r>
      <w:r>
        <w:rPr>
          <w:szCs w:val="20"/>
        </w:rPr>
        <w:t xml:space="preserve">на 100 тыс. населения</w:t>
      </w:r>
      <w:r>
        <w:rPr>
          <w:szCs w:val="20"/>
        </w:rPr>
        <w:t xml:space="preserve">) не изменился по отношению к уровню аналогичного периода прошлого года и </w:t>
      </w:r>
      <w:r>
        <w:t xml:space="preserve">не превысил</w:t>
      </w:r>
      <w:r>
        <w:t xml:space="preserve"> среднекраево</w:t>
      </w:r>
      <w:r>
        <w:t xml:space="preserve">й</w:t>
      </w:r>
      <w:r>
        <w:t xml:space="preserve"> (</w:t>
      </w:r>
      <w:r>
        <w:t xml:space="preserve">6,8</w:t>
      </w:r>
      <w:r>
        <w:t xml:space="preserve">).</w:t>
      </w:r>
      <w:r>
        <w:rPr>
          <w:szCs w:val="20"/>
        </w:rPr>
      </w:r>
    </w:p>
    <w:p>
      <w:pPr>
        <w:pStyle w:val="Normal"/>
        <w:ind w:firstLine="709"/>
        <w:jc w:val="both"/>
        <w:rPr>
          <w:szCs w:val="20"/>
        </w:rPr>
      </w:pPr>
      <w:r>
        <w:rPr>
          <w:szCs w:val="20"/>
        </w:rPr>
        <w:t xml:space="preserve">В структуре причин смертности первое место заняли отравления </w:t>
      </w:r>
      <w:r>
        <w:rPr>
          <w:szCs w:val="20"/>
        </w:rPr>
        <w:t xml:space="preserve">алкоголем и его суррогатами</w:t>
      </w:r>
      <w:r>
        <w:rPr>
          <w:szCs w:val="20"/>
        </w:rPr>
        <w:t xml:space="preserve"> </w:t>
      </w:r>
      <w:r>
        <w:rPr>
          <w:szCs w:val="20"/>
        </w:rPr>
        <w:t xml:space="preserve">(48</w:t>
      </w:r>
      <w:r>
        <w:rPr>
          <w:szCs w:val="20"/>
        </w:rPr>
        <w:t xml:space="preserve"> %</w:t>
      </w:r>
      <w:r>
        <w:rPr>
          <w:szCs w:val="20"/>
        </w:rPr>
        <w:t xml:space="preserve">),</w:t>
      </w:r>
      <w:r>
        <w:rPr>
          <w:szCs w:val="20"/>
        </w:rPr>
        <w:t xml:space="preserve"> второе </w:t>
      </w:r>
      <w:r>
        <w:rPr>
          <w:szCs w:val="20"/>
        </w:rPr>
        <w:t xml:space="preserve">–</w:t>
      </w:r>
      <w:r>
        <w:rPr>
          <w:szCs w:val="20"/>
        </w:rPr>
        <w:t xml:space="preserve"> </w:t>
      </w:r>
      <w:r>
        <w:rPr>
          <w:szCs w:val="20"/>
        </w:rPr>
        <w:t xml:space="preserve">наркотическими препаратами (26 %).</w:t>
      </w:r>
    </w:p>
    <w:p>
      <w:pPr>
        <w:pStyle w:val="Normal"/>
        <w:ind w:firstLine="709"/>
        <w:jc w:val="both"/>
        <w:rPr>
          <w:color w:val="000000"/>
          <w:sz w:val="26"/>
          <w:szCs w:val="26"/>
          <w:u w:val="single"/>
        </w:rPr>
      </w:pPr>
      <w:r>
        <w:rPr>
          <w:color w:val="000000"/>
          <w:sz w:val="26"/>
          <w:szCs w:val="26"/>
          <w:u w:val="single"/>
        </w:rPr>
      </w:r>
    </w:p>
    <w:p>
      <w:pPr>
        <w:pStyle w:val="Title"/>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r>
    </w:p>
    <w:p>
      <w:pPr>
        <w:pStyle w:val="Title"/>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r>
    </w:p>
    <w:p>
      <w:pPr>
        <w:pStyle w:val="Title"/>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r>
    </w:p>
    <w:p>
      <w:pPr>
        <w:pStyle w:val="Title"/>
        <w:rPr>
          <w:rFonts w:ascii="Times New Roman" w:hAnsi="Times New Roman" w:cs="Times New Roman"/>
          <w:color w:val="000000"/>
          <w:sz w:val="26"/>
          <w:szCs w:val="26"/>
          <w:u w:val="single"/>
        </w:rPr>
      </w:pPr>
      <w:r>
        <w:rPr>
          <w:rFonts w:ascii="Times New Roman" w:hAnsi="Times New Roman" w:cs="Times New Roman"/>
          <w:color w:val="000000"/>
          <w:sz w:val="26"/>
          <w:szCs w:val="26"/>
          <w:u w:val="single"/>
        </w:rPr>
        <w:t xml:space="preserve">5. Анализ отравлений медикаментами</w:t>
      </w:r>
      <w:r>
        <w:rPr>
          <w:rFonts w:ascii="Times New Roman" w:hAnsi="Times New Roman" w:cs="Times New Roman"/>
          <w:color w:val="000000"/>
          <w:sz w:val="26"/>
          <w:szCs w:val="26"/>
          <w:u w:val="single"/>
        </w:rPr>
      </w:r>
    </w:p>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p>
      <w:pPr>
        <w:pStyle w:val="Heading2"/>
        <w:spacing w:line="240" w:lineRule="auto"/>
        <w:ind w:firstLine="709"/>
        <w:jc w:val="both"/>
        <w:rPr>
          <w:rFonts w:ascii="Times New Roman" w:hAnsi="Times New Roman" w:cs="Times New Roman"/>
          <w:b w:val="0"/>
          <w:color w:val="000000"/>
          <w:sz w:val="24"/>
          <w:szCs w:val="24"/>
        </w:rPr>
      </w:pPr>
      <w:r>
        <w:rPr>
          <w:rFonts w:ascii="Times New Roman" w:hAnsi="Times New Roman" w:cs="Times New Roman"/>
          <w:b w:val="0"/>
          <w:bCs w:val="0"/>
          <w:color w:val="000000"/>
          <w:sz w:val="24"/>
          <w:szCs w:val="20"/>
        </w:rPr>
        <w:t xml:space="preserve">За 1 квартал </w:t>
      </w:r>
      <w:r>
        <w:rPr>
          <w:rFonts w:ascii="Times New Roman" w:hAnsi="Times New Roman" w:cs="Times New Roman"/>
          <w:b w:val="0"/>
          <w:bCs w:val="0"/>
          <w:color w:val="000000"/>
          <w:sz w:val="24"/>
          <w:szCs w:val="20"/>
        </w:rPr>
        <w:t xml:space="preserve">2025 </w:t>
      </w:r>
      <w:r>
        <w:rPr>
          <w:rFonts w:ascii="Times New Roman" w:hAnsi="Times New Roman" w:cs="Times New Roman"/>
          <w:b w:val="0"/>
          <w:bCs w:val="0"/>
          <w:color w:val="000000"/>
          <w:sz w:val="24"/>
          <w:szCs w:val="20"/>
        </w:rPr>
        <w:t xml:space="preserve">г</w:t>
      </w:r>
      <w:r>
        <w:rPr>
          <w:rFonts w:ascii="Times New Roman" w:hAnsi="Times New Roman" w:cs="Times New Roman"/>
          <w:b w:val="0"/>
          <w:bCs w:val="0"/>
          <w:color w:val="000000"/>
          <w:sz w:val="24"/>
          <w:szCs w:val="20"/>
        </w:rPr>
        <w:t xml:space="preserve">ода было </w:t>
      </w:r>
      <w:r>
        <w:rPr>
          <w:rFonts w:ascii="Times New Roman" w:hAnsi="Times New Roman" w:cs="Times New Roman"/>
          <w:b w:val="0"/>
          <w:bCs w:val="0"/>
          <w:color w:val="000000"/>
          <w:sz w:val="24"/>
          <w:szCs w:val="20"/>
        </w:rPr>
        <w:t xml:space="preserve">зарегистрирован</w:t>
      </w:r>
      <w:r>
        <w:rPr>
          <w:rFonts w:ascii="Times New Roman" w:hAnsi="Times New Roman" w:cs="Times New Roman"/>
          <w:b w:val="0"/>
          <w:bCs w:val="0"/>
          <w:color w:val="000000"/>
          <w:sz w:val="24"/>
          <w:szCs w:val="20"/>
        </w:rPr>
        <w:t xml:space="preserve">о</w:t>
      </w:r>
      <w:r>
        <w:rPr>
          <w:rFonts w:ascii="Times New Roman" w:hAnsi="Times New Roman" w:cs="Times New Roman"/>
          <w:b w:val="0"/>
          <w:bCs w:val="0"/>
          <w:color w:val="000000"/>
          <w:sz w:val="24"/>
          <w:szCs w:val="20"/>
        </w:rPr>
        <w:t xml:space="preserve"> </w:t>
      </w:r>
      <w:r>
        <w:rPr>
          <w:rFonts w:ascii="Times New Roman" w:hAnsi="Times New Roman" w:cs="Times New Roman"/>
          <w:b w:val="0"/>
          <w:bCs w:val="0"/>
          <w:color w:val="000000"/>
          <w:sz w:val="24"/>
          <w:szCs w:val="20"/>
        </w:rPr>
        <w:t xml:space="preserve">76</w:t>
      </w:r>
      <w:r>
        <w:rPr>
          <w:rFonts w:ascii="Times New Roman" w:hAnsi="Times New Roman" w:cs="Times New Roman"/>
          <w:b w:val="0"/>
          <w:bCs w:val="0"/>
          <w:color w:val="000000"/>
          <w:sz w:val="24"/>
          <w:szCs w:val="20"/>
        </w:rPr>
        <w:t xml:space="preserve"> случа</w:t>
      </w:r>
      <w:r>
        <w:rPr>
          <w:rFonts w:ascii="Times New Roman" w:hAnsi="Times New Roman" w:cs="Times New Roman"/>
          <w:b w:val="0"/>
          <w:bCs w:val="0"/>
          <w:color w:val="000000"/>
          <w:sz w:val="24"/>
          <w:szCs w:val="20"/>
        </w:rPr>
        <w:t xml:space="preserve">ев</w:t>
      </w:r>
      <w:r>
        <w:rPr>
          <w:rFonts w:ascii="Times New Roman" w:hAnsi="Times New Roman" w:cs="Times New Roman"/>
          <w:b w:val="0"/>
          <w:bCs w:val="0"/>
          <w:color w:val="000000"/>
          <w:sz w:val="24"/>
          <w:szCs w:val="20"/>
        </w:rPr>
        <w:t xml:space="preserve"> отравлений лекарственными препаратами</w:t>
      </w:r>
      <w:r>
        <w:rPr>
          <w:rFonts w:ascii="Times New Roman" w:hAnsi="Times New Roman" w:cs="Times New Roman"/>
          <w:b w:val="0"/>
          <w:bCs w:val="0"/>
          <w:color w:val="000000"/>
          <w:sz w:val="24"/>
          <w:szCs w:val="20"/>
        </w:rPr>
        <w:t xml:space="preserve"> (1 кв.2024 г. - 78)</w:t>
      </w:r>
      <w:r>
        <w:rPr>
          <w:rFonts w:ascii="Times New Roman" w:hAnsi="Times New Roman" w:cs="Times New Roman"/>
          <w:b w:val="0"/>
          <w:bCs w:val="0"/>
          <w:color w:val="000000"/>
          <w:sz w:val="24"/>
          <w:szCs w:val="20"/>
        </w:rPr>
        <w:t xml:space="preserve">, которые заняли в общей структуре отравлений первое ранговое место – </w:t>
      </w:r>
      <w:r>
        <w:rPr>
          <w:rFonts w:ascii="Times New Roman" w:hAnsi="Times New Roman" w:cs="Times New Roman"/>
          <w:b w:val="0"/>
          <w:bCs w:val="0"/>
          <w:color w:val="000000"/>
          <w:sz w:val="24"/>
          <w:szCs w:val="20"/>
        </w:rPr>
        <w:t xml:space="preserve">36,5</w:t>
      </w:r>
      <w:r>
        <w:rPr>
          <w:rFonts w:ascii="Times New Roman" w:hAnsi="Times New Roman" w:cs="Times New Roman"/>
          <w:b w:val="0"/>
          <w:bCs w:val="0"/>
          <w:color w:val="000000"/>
          <w:sz w:val="24"/>
          <w:szCs w:val="20"/>
        </w:rPr>
        <w:t xml:space="preserve"> %.</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r>
    </w:p>
    <w:p>
      <w:pPr>
        <w:pStyle w:val="Heading2"/>
        <w:spacing w:line="240" w:lineRule="auto"/>
        <w:ind w:firstLine="709"/>
        <w:jc w:val="both"/>
        <w:rPr>
          <w:rFonts w:ascii="Times New Roman" w:hAnsi="Times New Roman" w:cs="Times New Roman"/>
          <w:b w:val="0"/>
          <w:color w:val="000000"/>
          <w:sz w:val="24"/>
          <w:szCs w:val="24"/>
        </w:rPr>
      </w:pPr>
      <w:r>
        <w:rPr>
          <w:rFonts w:ascii="Times New Roman" w:hAnsi="Times New Roman" w:cs="Times New Roman"/>
          <w:b w:val="0"/>
          <w:bCs w:val="0"/>
          <w:color w:val="000000"/>
          <w:sz w:val="24"/>
          <w:szCs w:val="20"/>
        </w:rPr>
        <w:t xml:space="preserve">За анализируемый период показатель медикаментозных отравлений не изменился (7,4 на 100 тыс. населения), но </w:t>
      </w:r>
      <w:r>
        <w:rPr>
          <w:rFonts w:ascii="Times New Roman" w:hAnsi="Times New Roman" w:cs="Times New Roman"/>
          <w:b w:val="0"/>
          <w:bCs w:val="0"/>
          <w:color w:val="000000"/>
          <w:sz w:val="24"/>
          <w:szCs w:val="20"/>
        </w:rPr>
        <w:t xml:space="preserve">превыси</w:t>
      </w:r>
      <w:r>
        <w:rPr>
          <w:rFonts w:ascii="Times New Roman" w:hAnsi="Times New Roman" w:cs="Times New Roman"/>
          <w:b w:val="0"/>
          <w:bCs w:val="0"/>
          <w:color w:val="000000"/>
          <w:sz w:val="24"/>
          <w:szCs w:val="20"/>
        </w:rPr>
        <w:t xml:space="preserve">л</w:t>
      </w:r>
      <w:r>
        <w:rPr>
          <w:rFonts w:ascii="Times New Roman" w:hAnsi="Times New Roman" w:cs="Times New Roman"/>
          <w:b w:val="0"/>
          <w:bCs w:val="0"/>
          <w:color w:val="000000"/>
          <w:sz w:val="24"/>
          <w:szCs w:val="20"/>
        </w:rPr>
        <w:t xml:space="preserve"> в 1,</w:t>
      </w:r>
      <w:r>
        <w:rPr>
          <w:rFonts w:ascii="Times New Roman" w:hAnsi="Times New Roman" w:cs="Times New Roman"/>
          <w:b w:val="0"/>
          <w:bCs w:val="0"/>
          <w:color w:val="000000"/>
          <w:sz w:val="24"/>
          <w:szCs w:val="20"/>
        </w:rPr>
        <w:t xml:space="preserve">7</w:t>
      </w:r>
      <w:r>
        <w:rPr>
          <w:rFonts w:ascii="Times New Roman" w:hAnsi="Times New Roman" w:cs="Times New Roman"/>
          <w:b w:val="0"/>
          <w:bCs w:val="0"/>
          <w:color w:val="000000"/>
          <w:sz w:val="24"/>
          <w:szCs w:val="20"/>
        </w:rPr>
        <w:t xml:space="preserve"> раза средн</w:t>
      </w:r>
      <w:r>
        <w:rPr>
          <w:rFonts w:ascii="Times New Roman" w:hAnsi="Times New Roman" w:cs="Times New Roman"/>
          <w:b w:val="0"/>
          <w:bCs w:val="0"/>
          <w:color w:val="000000"/>
          <w:sz w:val="24"/>
          <w:szCs w:val="20"/>
        </w:rPr>
        <w:t xml:space="preserve">е</w:t>
      </w:r>
      <w:r>
        <w:rPr>
          <w:rFonts w:ascii="Times New Roman" w:hAnsi="Times New Roman" w:cs="Times New Roman"/>
          <w:b w:val="0"/>
          <w:bCs w:val="0"/>
          <w:color w:val="000000"/>
          <w:sz w:val="24"/>
          <w:szCs w:val="20"/>
        </w:rPr>
        <w:t xml:space="preserve">краевой уровень (</w:t>
      </w:r>
      <w:r>
        <w:rPr>
          <w:rFonts w:ascii="Times New Roman" w:hAnsi="Times New Roman" w:cs="Times New Roman"/>
          <w:b w:val="0"/>
          <w:bCs w:val="0"/>
          <w:color w:val="000000"/>
          <w:sz w:val="24"/>
          <w:szCs w:val="20"/>
        </w:rPr>
        <w:t xml:space="preserve">4,3</w:t>
      </w:r>
      <w:r>
        <w:rPr>
          <w:rFonts w:ascii="Times New Roman" w:hAnsi="Times New Roman" w:cs="Times New Roman"/>
          <w:b w:val="0"/>
          <w:bCs w:val="0"/>
          <w:color w:val="000000"/>
          <w:sz w:val="24"/>
          <w:szCs w:val="20"/>
        </w:rPr>
        <w:t xml:space="preserve">)</w:t>
      </w:r>
      <w:r>
        <w:rPr>
          <w:rFonts w:ascii="Times New Roman" w:hAnsi="Times New Roman" w:cs="Times New Roman"/>
          <w:b w:val="0"/>
          <w:bCs w:val="0"/>
          <w:color w:val="000000"/>
          <w:sz w:val="24"/>
          <w:szCs w:val="20"/>
        </w:rPr>
        <w:t xml:space="preserve"> (табл. 6.) </w:t>
      </w:r>
      <w:r>
        <w:rPr>
          <w:rFonts w:ascii="Times New Roman" w:hAnsi="Times New Roman" w:cs="Times New Roman"/>
          <w:b w:val="0"/>
          <w:color w:val="000000"/>
          <w:sz w:val="24"/>
          <w:szCs w:val="24"/>
        </w:rPr>
        <w:t xml:space="preserve">Территория</w:t>
      </w:r>
      <w:r>
        <w:rPr>
          <w:rFonts w:ascii="Times New Roman" w:hAnsi="Times New Roman" w:cs="Times New Roman"/>
          <w:b w:val="0"/>
          <w:color w:val="000000"/>
          <w:sz w:val="24"/>
          <w:szCs w:val="24"/>
        </w:rPr>
        <w:t xml:space="preserve"> неблагополучия </w:t>
      </w:r>
      <w:r>
        <w:rPr>
          <w:rFonts w:ascii="Times New Roman" w:hAnsi="Times New Roman" w:cs="Times New Roman"/>
          <w:b w:val="0"/>
          <w:color w:val="000000"/>
          <w:sz w:val="24"/>
          <w:szCs w:val="24"/>
        </w:rPr>
        <w:t xml:space="preserve">не </w:t>
      </w:r>
      <w:r>
        <w:rPr>
          <w:rFonts w:ascii="Times New Roman" w:hAnsi="Times New Roman" w:cs="Times New Roman"/>
          <w:b w:val="0"/>
          <w:color w:val="000000"/>
          <w:sz w:val="24"/>
          <w:szCs w:val="24"/>
        </w:rPr>
        <w:t xml:space="preserve">определен</w:t>
      </w:r>
      <w:r>
        <w:rPr>
          <w:rFonts w:ascii="Times New Roman" w:hAnsi="Times New Roman" w:cs="Times New Roman"/>
          <w:b w:val="0"/>
          <w:color w:val="000000"/>
          <w:sz w:val="24"/>
          <w:szCs w:val="24"/>
        </w:rPr>
        <w:t xml:space="preserve">а, достоверных отличий </w:t>
      </w:r>
      <w:r>
        <w:rPr>
          <w:rFonts w:ascii="Times New Roman" w:hAnsi="Times New Roman" w:cs="Times New Roman"/>
          <w:b w:val="0"/>
          <w:color w:val="000000"/>
          <w:sz w:val="24"/>
          <w:szCs w:val="24"/>
        </w:rPr>
        <w:t xml:space="preserve">показател</w:t>
      </w:r>
      <w:r>
        <w:rPr>
          <w:rFonts w:ascii="Times New Roman" w:hAnsi="Times New Roman" w:cs="Times New Roman"/>
          <w:b w:val="0"/>
          <w:color w:val="000000"/>
          <w:sz w:val="24"/>
          <w:szCs w:val="24"/>
        </w:rPr>
        <w:t xml:space="preserve">ей</w:t>
      </w:r>
      <w:r>
        <w:rPr>
          <w:rFonts w:ascii="Times New Roman" w:hAnsi="Times New Roman" w:cs="Times New Roman"/>
          <w:b w:val="0"/>
          <w:color w:val="000000"/>
          <w:sz w:val="24"/>
          <w:szCs w:val="24"/>
        </w:rPr>
        <w:t xml:space="preserve"> отравлений </w:t>
      </w:r>
      <w:r>
        <w:rPr>
          <w:rFonts w:ascii="Times New Roman" w:hAnsi="Times New Roman" w:cs="Times New Roman"/>
          <w:b w:val="0"/>
          <w:color w:val="000000"/>
          <w:sz w:val="24"/>
          <w:szCs w:val="24"/>
        </w:rPr>
        <w:t xml:space="preserve">от среднегородского</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не выявлено</w:t>
      </w:r>
      <w:r>
        <w:rPr>
          <w:rFonts w:ascii="Times New Roman" w:hAnsi="Times New Roman" w:cs="Times New Roman"/>
          <w:b w:val="0"/>
          <w:color w:val="000000"/>
          <w:sz w:val="24"/>
          <w:szCs w:val="24"/>
        </w:rPr>
        <w:t xml:space="preserve">. </w:t>
      </w:r>
      <w:r>
        <w:rPr>
          <w:rFonts w:ascii="Times New Roman" w:hAnsi="Times New Roman" w:cs="Times New Roman"/>
          <w:b w:val="0"/>
          <w:color w:val="000000"/>
          <w:sz w:val="24"/>
          <w:szCs w:val="24"/>
        </w:rPr>
        <w:t xml:space="preserve">В сравнении с аналогичным периодом прошлого года районные уровни отравлений не изменились, видимые отличия не достоверны </w:t>
      </w:r>
      <w:r>
        <w:rPr>
          <w:rFonts w:ascii="Times New Roman" w:hAnsi="Times New Roman" w:cs="Times New Roman"/>
          <w:b w:val="0"/>
          <w:bCs w:val="0"/>
          <w:color w:val="000000"/>
          <w:sz w:val="24"/>
          <w:szCs w:val="20"/>
        </w:rPr>
        <w:t xml:space="preserve">(табл.9</w:t>
      </w:r>
      <w:r>
        <w:rPr>
          <w:rFonts w:ascii="Times New Roman" w:hAnsi="Times New Roman" w:cs="Times New Roman"/>
          <w:b w:val="0"/>
          <w:bCs w:val="0"/>
          <w:color w:val="000000"/>
          <w:sz w:val="24"/>
          <w:szCs w:val="20"/>
        </w:rPr>
        <w:t xml:space="preserve">).</w:t>
      </w:r>
      <w:r>
        <w:rPr>
          <w:rFonts w:ascii="Times New Roman" w:hAnsi="Times New Roman" w:cs="Times New Roman"/>
          <w:b w:val="0"/>
          <w:bCs w:val="0"/>
          <w:color w:val="000000"/>
          <w:sz w:val="24"/>
          <w:szCs w:val="20"/>
        </w:rPr>
        <w:t xml:space="preserve"> </w:t>
      </w:r>
      <w:r>
        <w:rPr>
          <w:rFonts w:ascii="Times New Roman" w:hAnsi="Times New Roman" w:cs="Times New Roman"/>
          <w:b w:val="0"/>
          <w:color w:val="000000"/>
          <w:sz w:val="24"/>
          <w:szCs w:val="24"/>
        </w:rPr>
      </w:r>
    </w:p>
    <w:p>
      <w:pPr>
        <w:pStyle w:val="Title"/>
        <w:jc w:val="right"/>
        <w:rPr>
          <w:rFonts w:ascii="Times New Roman" w:hAnsi="Times New Roman" w:cs="Times New Roman"/>
          <w:b w:val="0"/>
          <w:color w:val="000000"/>
          <w:sz w:val="24"/>
          <w:szCs w:val="24"/>
        </w:rPr>
      </w:pPr>
      <w:r>
        <w:rPr>
          <w:rFonts w:ascii="Times New Roman" w:hAnsi="Times New Roman" w:cs="Times New Roman"/>
          <w:b w:val="0"/>
          <w:color w:val="000000"/>
          <w:sz w:val="24"/>
          <w:szCs w:val="24"/>
        </w:rPr>
        <w:t xml:space="preserve">Таблица 9</w:t>
      </w:r>
      <w:r>
        <w:rPr>
          <w:rFonts w:ascii="Times New Roman" w:hAnsi="Times New Roman" w:cs="Times New Roman"/>
          <w:b w:val="0"/>
          <w:color w:val="000000"/>
          <w:sz w:val="24"/>
          <w:szCs w:val="24"/>
        </w:rPr>
      </w:r>
    </w:p>
    <w:p>
      <w:pPr>
        <w:pStyle w:val="Normal"/>
        <w:spacing w:line="264" w:lineRule="auto"/>
        <w:ind w:firstLine="539"/>
        <w:jc w:val="center"/>
        <w:rPr>
          <w:b/>
          <w:szCs w:val="20"/>
        </w:rPr>
      </w:pPr>
      <w:r>
        <w:rPr>
          <w:b/>
          <w:bCs/>
          <w:szCs w:val="20"/>
        </w:rPr>
        <w:t xml:space="preserve"> </w:t>
      </w:r>
      <w:r>
        <w:rPr>
          <w:b/>
          <w:szCs w:val="20"/>
        </w:rPr>
        <w:t xml:space="preserve">Показатели</w:t>
      </w:r>
      <w:r>
        <w:rPr>
          <w:b/>
          <w:szCs w:val="20"/>
        </w:rPr>
        <w:t xml:space="preserve"> отравлений лекарственными препаратами по районам города</w:t>
      </w:r>
    </w:p>
    <w:p>
      <w:pPr>
        <w:pStyle w:val="Normal"/>
        <w:spacing w:line="264" w:lineRule="auto"/>
        <w:ind w:firstLine="539"/>
        <w:jc w:val="center"/>
        <w:rPr>
          <w:b/>
          <w:szCs w:val="20"/>
        </w:rPr>
      </w:pPr>
      <w:r>
        <w:rPr>
          <w:b/>
          <w:szCs w:val="20"/>
        </w:rPr>
        <w:t xml:space="preserve"> (на 100 тыс. населения)</w:t>
      </w:r>
    </w:p>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tbl>
      <w:tblPr>
        <w:tblW w:w="898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199"/>
        <w:gridCol w:w="1308"/>
        <w:gridCol w:w="1092"/>
        <w:gridCol w:w="1318"/>
        <w:gridCol w:w="1469"/>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507"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2025</w:t>
            </w:r>
            <w:r>
              <w:rPr>
                <w:sz w:val="22"/>
                <w:szCs w:val="22"/>
              </w:rPr>
              <w:t xml:space="preserve">г.</w:t>
            </w:r>
            <w:r>
              <w:rPr>
                <w:b/>
                <w:sz w:val="22"/>
                <w:szCs w:val="22"/>
              </w:rPr>
            </w:r>
          </w:p>
        </w:tc>
        <w:tc>
          <w:tcPr>
            <w:tcW w:w="2410"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2024</w:t>
            </w:r>
            <w:r>
              <w:rPr>
                <w:sz w:val="22"/>
                <w:szCs w:val="22"/>
              </w:rPr>
              <w:t xml:space="preserve">г.</w:t>
            </w:r>
            <w:r>
              <w:rPr>
                <w:b/>
                <w:sz w:val="22"/>
                <w:szCs w:val="22"/>
              </w:rPr>
            </w:r>
          </w:p>
        </w:tc>
        <w:tc>
          <w:tcPr>
            <w:tcW w:w="1469"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b/>
                <w:sz w:val="22"/>
                <w:szCs w:val="22"/>
              </w:rPr>
              <w:t xml:space="preserve">(%)</w:t>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199"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0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092"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1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469"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199" w:type="dxa"/>
            <w:textDirection w:val="lrTb"/>
            <w:vAlign w:val="center"/>
          </w:tcPr>
          <w:p>
            <w:pPr>
              <w:pStyle w:val="Normal"/>
              <w:jc w:val="center"/>
              <w:rPr>
                <w:sz w:val="20"/>
                <w:szCs w:val="20"/>
              </w:rPr>
            </w:pPr>
            <w:r>
              <w:rPr>
                <w:sz w:val="20"/>
                <w:szCs w:val="20"/>
              </w:rPr>
              <w:t xml:space="preserve">5</w:t>
            </w:r>
          </w:p>
        </w:tc>
        <w:tc>
          <w:tcPr>
            <w:tcW w:w="1308" w:type="dxa"/>
            <w:textDirection w:val="lrTb"/>
            <w:vAlign w:val="center"/>
          </w:tcPr>
          <w:p>
            <w:pPr>
              <w:pStyle w:val="Normal"/>
              <w:jc w:val="center"/>
              <w:rPr>
                <w:sz w:val="20"/>
                <w:szCs w:val="20"/>
              </w:rPr>
            </w:pPr>
            <w:r>
              <w:rPr>
                <w:sz w:val="20"/>
                <w:szCs w:val="20"/>
              </w:rPr>
              <w:t xml:space="preserve">11,2</w:t>
            </w:r>
          </w:p>
        </w:tc>
        <w:tc>
          <w:tcPr>
            <w:tcW w:w="1092" w:type="dxa"/>
            <w:textDirection w:val="lrTb"/>
            <w:vAlign w:val="center"/>
          </w:tcPr>
          <w:p>
            <w:pPr>
              <w:pStyle w:val="Normal"/>
              <w:jc w:val="center"/>
              <w:rPr>
                <w:sz w:val="20"/>
                <w:szCs w:val="20"/>
              </w:rPr>
            </w:pPr>
            <w:r>
              <w:rPr>
                <w:sz w:val="20"/>
                <w:szCs w:val="20"/>
              </w:rPr>
              <w:t xml:space="preserve">2</w:t>
            </w:r>
          </w:p>
        </w:tc>
        <w:tc>
          <w:tcPr>
            <w:tcW w:w="1318" w:type="dxa"/>
            <w:textDirection w:val="lrTb"/>
            <w:vAlign w:val="center"/>
          </w:tcPr>
          <w:p>
            <w:pPr>
              <w:pStyle w:val="Normal"/>
              <w:jc w:val="center"/>
              <w:rPr>
                <w:sz w:val="20"/>
                <w:szCs w:val="20"/>
              </w:rPr>
            </w:pPr>
            <w:r>
              <w:rPr>
                <w:sz w:val="20"/>
                <w:szCs w:val="20"/>
              </w:rPr>
              <w:t xml:space="preserve">4,5</w:t>
            </w:r>
          </w:p>
        </w:tc>
        <w:tc>
          <w:tcPr>
            <w:tcW w:w="1469"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199" w:type="dxa"/>
            <w:textDirection w:val="lrTb"/>
            <w:vAlign w:val="center"/>
          </w:tcPr>
          <w:p>
            <w:pPr>
              <w:pStyle w:val="Normal"/>
              <w:jc w:val="center"/>
              <w:rPr>
                <w:sz w:val="20"/>
                <w:szCs w:val="20"/>
              </w:rPr>
            </w:pPr>
            <w:r>
              <w:rPr>
                <w:sz w:val="20"/>
                <w:szCs w:val="20"/>
              </w:rPr>
              <w:t xml:space="preserve">20</w:t>
            </w:r>
          </w:p>
        </w:tc>
        <w:tc>
          <w:tcPr>
            <w:tcW w:w="1308" w:type="dxa"/>
            <w:textDirection w:val="lrTb"/>
            <w:vAlign w:val="center"/>
          </w:tcPr>
          <w:p>
            <w:pPr>
              <w:pStyle w:val="Normal"/>
              <w:jc w:val="center"/>
              <w:rPr>
                <w:sz w:val="20"/>
                <w:szCs w:val="20"/>
              </w:rPr>
            </w:pPr>
            <w:r>
              <w:rPr>
                <w:sz w:val="20"/>
                <w:szCs w:val="20"/>
              </w:rPr>
              <w:t xml:space="preserve">9,4</w:t>
            </w:r>
          </w:p>
        </w:tc>
        <w:tc>
          <w:tcPr>
            <w:tcW w:w="1092" w:type="dxa"/>
            <w:textDirection w:val="lrTb"/>
            <w:vAlign w:val="center"/>
          </w:tcPr>
          <w:p>
            <w:pPr>
              <w:pStyle w:val="Normal"/>
              <w:jc w:val="center"/>
              <w:rPr>
                <w:sz w:val="20"/>
                <w:szCs w:val="20"/>
              </w:rPr>
            </w:pPr>
            <w:r>
              <w:rPr>
                <w:sz w:val="20"/>
                <w:szCs w:val="20"/>
              </w:rPr>
              <w:t xml:space="preserve">12</w:t>
            </w:r>
          </w:p>
        </w:tc>
        <w:tc>
          <w:tcPr>
            <w:tcW w:w="1318" w:type="dxa"/>
            <w:textDirection w:val="lrTb"/>
            <w:vAlign w:val="center"/>
          </w:tcPr>
          <w:p>
            <w:pPr>
              <w:pStyle w:val="Normal"/>
              <w:jc w:val="center"/>
              <w:rPr>
                <w:sz w:val="20"/>
                <w:szCs w:val="20"/>
              </w:rPr>
            </w:pPr>
            <w:r>
              <w:rPr>
                <w:sz w:val="20"/>
                <w:szCs w:val="20"/>
              </w:rPr>
              <w:t xml:space="preserve">5,6</w:t>
            </w:r>
          </w:p>
        </w:tc>
        <w:tc>
          <w:tcPr>
            <w:tcW w:w="1469" w:type="dxa"/>
            <w:textDirection w:val="lrTb"/>
            <w:vAlign w:val="bottom"/>
          </w:tcPr>
          <w:p>
            <w:pPr>
              <w:pStyle w:val="Normal"/>
              <w:jc w:val="center"/>
              <w:rPr>
                <w:sz w:val="20"/>
                <w:szCs w:val="20"/>
              </w:rPr>
            </w:pPr>
            <w:r>
              <w:rPr>
                <w:sz w:val="20"/>
                <w:szCs w:val="20"/>
              </w:rPr>
              <w:t xml:space="preserve">66,7</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199" w:type="dxa"/>
            <w:textDirection w:val="lrTb"/>
            <w:vAlign w:val="center"/>
          </w:tcPr>
          <w:p>
            <w:pPr>
              <w:pStyle w:val="Normal"/>
              <w:jc w:val="center"/>
              <w:rPr>
                <w:sz w:val="20"/>
                <w:szCs w:val="20"/>
              </w:rPr>
            </w:pPr>
            <w:r>
              <w:rPr>
                <w:sz w:val="20"/>
                <w:szCs w:val="20"/>
              </w:rPr>
              <w:t xml:space="preserve">12</w:t>
            </w:r>
          </w:p>
        </w:tc>
        <w:tc>
          <w:tcPr>
            <w:tcW w:w="1308" w:type="dxa"/>
            <w:textDirection w:val="lrTb"/>
            <w:vAlign w:val="center"/>
          </w:tcPr>
          <w:p>
            <w:pPr>
              <w:pStyle w:val="Normal"/>
              <w:jc w:val="center"/>
              <w:rPr>
                <w:sz w:val="20"/>
                <w:szCs w:val="20"/>
              </w:rPr>
            </w:pPr>
            <w:r>
              <w:rPr>
                <w:sz w:val="20"/>
                <w:szCs w:val="20"/>
              </w:rPr>
              <w:t xml:space="preserve">6,9</w:t>
            </w:r>
          </w:p>
        </w:tc>
        <w:tc>
          <w:tcPr>
            <w:tcW w:w="1092" w:type="dxa"/>
            <w:textDirection w:val="lrTb"/>
            <w:vAlign w:val="center"/>
          </w:tcPr>
          <w:p>
            <w:pPr>
              <w:pStyle w:val="Normal"/>
              <w:jc w:val="center"/>
              <w:rPr>
                <w:sz w:val="20"/>
                <w:szCs w:val="20"/>
              </w:rPr>
            </w:pPr>
            <w:r>
              <w:rPr>
                <w:sz w:val="20"/>
                <w:szCs w:val="20"/>
              </w:rPr>
              <w:t xml:space="preserve">11</w:t>
            </w:r>
          </w:p>
        </w:tc>
        <w:tc>
          <w:tcPr>
            <w:tcW w:w="1318" w:type="dxa"/>
            <w:textDirection w:val="lrTb"/>
            <w:vAlign w:val="center"/>
          </w:tcPr>
          <w:p>
            <w:pPr>
              <w:pStyle w:val="Normal"/>
              <w:jc w:val="center"/>
              <w:rPr>
                <w:sz w:val="20"/>
                <w:szCs w:val="20"/>
              </w:rPr>
            </w:pPr>
            <w:r>
              <w:rPr>
                <w:sz w:val="20"/>
                <w:szCs w:val="20"/>
              </w:rPr>
              <w:t xml:space="preserve">6,3</w:t>
            </w:r>
          </w:p>
        </w:tc>
        <w:tc>
          <w:tcPr>
            <w:tcW w:w="1469" w:type="dxa"/>
            <w:textDirection w:val="lrTb"/>
            <w:vAlign w:val="bottom"/>
          </w:tcPr>
          <w:p>
            <w:pPr>
              <w:pStyle w:val="Normal"/>
              <w:jc w:val="center"/>
              <w:rPr>
                <w:sz w:val="20"/>
                <w:szCs w:val="20"/>
              </w:rPr>
            </w:pPr>
            <w:r>
              <w:rPr>
                <w:sz w:val="20"/>
                <w:szCs w:val="20"/>
              </w:rPr>
              <w:t xml:space="preserve">9,1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199" w:type="dxa"/>
            <w:textDirection w:val="lrTb"/>
            <w:vAlign w:val="center"/>
          </w:tcPr>
          <w:p>
            <w:pPr>
              <w:pStyle w:val="Normal"/>
              <w:jc w:val="center"/>
              <w:rPr>
                <w:sz w:val="20"/>
                <w:szCs w:val="20"/>
              </w:rPr>
            </w:pPr>
            <w:r>
              <w:rPr>
                <w:sz w:val="20"/>
                <w:szCs w:val="20"/>
              </w:rPr>
              <w:t xml:space="preserve">12</w:t>
            </w:r>
          </w:p>
        </w:tc>
        <w:tc>
          <w:tcPr>
            <w:tcW w:w="1308" w:type="dxa"/>
            <w:textDirection w:val="lrTb"/>
            <w:vAlign w:val="center"/>
          </w:tcPr>
          <w:p>
            <w:pPr>
              <w:pStyle w:val="Normal"/>
              <w:jc w:val="center"/>
              <w:rPr>
                <w:sz w:val="20"/>
                <w:szCs w:val="20"/>
              </w:rPr>
            </w:pPr>
            <w:r>
              <w:rPr>
                <w:sz w:val="20"/>
                <w:szCs w:val="20"/>
              </w:rPr>
              <w:t xml:space="preserve">6,5</w:t>
            </w:r>
          </w:p>
        </w:tc>
        <w:tc>
          <w:tcPr>
            <w:tcW w:w="1092" w:type="dxa"/>
            <w:textDirection w:val="lrTb"/>
            <w:vAlign w:val="center"/>
          </w:tcPr>
          <w:p>
            <w:pPr>
              <w:pStyle w:val="Normal"/>
              <w:jc w:val="center"/>
              <w:rPr>
                <w:sz w:val="20"/>
                <w:szCs w:val="20"/>
              </w:rPr>
            </w:pPr>
            <w:r>
              <w:rPr>
                <w:sz w:val="20"/>
                <w:szCs w:val="20"/>
              </w:rPr>
              <w:t xml:space="preserve">21</w:t>
            </w:r>
          </w:p>
        </w:tc>
        <w:tc>
          <w:tcPr>
            <w:tcW w:w="1318" w:type="dxa"/>
            <w:textDirection w:val="lrTb"/>
            <w:vAlign w:val="center"/>
          </w:tcPr>
          <w:p>
            <w:pPr>
              <w:pStyle w:val="Normal"/>
              <w:jc w:val="center"/>
              <w:rPr>
                <w:sz w:val="20"/>
                <w:szCs w:val="20"/>
              </w:rPr>
            </w:pPr>
            <w:r>
              <w:rPr>
                <w:sz w:val="20"/>
                <w:szCs w:val="20"/>
              </w:rPr>
              <w:t xml:space="preserve">11,4</w:t>
            </w:r>
          </w:p>
        </w:tc>
        <w:tc>
          <w:tcPr>
            <w:tcW w:w="1469" w:type="dxa"/>
            <w:textDirection w:val="lrTb"/>
            <w:vAlign w:val="bottom"/>
          </w:tcPr>
          <w:p>
            <w:pPr>
              <w:pStyle w:val="Normal"/>
              <w:jc w:val="center"/>
              <w:rPr>
                <w:sz w:val="20"/>
                <w:szCs w:val="20"/>
              </w:rPr>
            </w:pPr>
            <w:r>
              <w:rPr>
                <w:sz w:val="20"/>
                <w:szCs w:val="20"/>
              </w:rPr>
              <w:t xml:space="preserve">-42,9</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199" w:type="dxa"/>
            <w:textDirection w:val="lrTb"/>
            <w:vAlign w:val="center"/>
          </w:tcPr>
          <w:p>
            <w:pPr>
              <w:pStyle w:val="Normal"/>
              <w:jc w:val="center"/>
              <w:rPr>
                <w:sz w:val="20"/>
                <w:szCs w:val="20"/>
              </w:rPr>
            </w:pPr>
            <w:r>
              <w:rPr>
                <w:sz w:val="20"/>
                <w:szCs w:val="20"/>
              </w:rPr>
              <w:t xml:space="preserve">8</w:t>
            </w:r>
          </w:p>
        </w:tc>
        <w:tc>
          <w:tcPr>
            <w:tcW w:w="1308" w:type="dxa"/>
            <w:textDirection w:val="lrTb"/>
            <w:vAlign w:val="center"/>
          </w:tcPr>
          <w:p>
            <w:pPr>
              <w:pStyle w:val="Normal"/>
              <w:jc w:val="center"/>
              <w:rPr>
                <w:sz w:val="20"/>
                <w:szCs w:val="20"/>
              </w:rPr>
            </w:pPr>
            <w:r>
              <w:rPr>
                <w:sz w:val="20"/>
                <w:szCs w:val="20"/>
              </w:rPr>
              <w:t xml:space="preserve">7,0</w:t>
            </w:r>
          </w:p>
        </w:tc>
        <w:tc>
          <w:tcPr>
            <w:tcW w:w="1092" w:type="dxa"/>
            <w:textDirection w:val="lrTb"/>
            <w:vAlign w:val="center"/>
          </w:tcPr>
          <w:p>
            <w:pPr>
              <w:pStyle w:val="Normal"/>
              <w:jc w:val="center"/>
              <w:rPr>
                <w:sz w:val="20"/>
                <w:szCs w:val="20"/>
              </w:rPr>
            </w:pPr>
            <w:r>
              <w:rPr>
                <w:sz w:val="20"/>
                <w:szCs w:val="20"/>
              </w:rPr>
              <w:t xml:space="preserve">9</w:t>
            </w:r>
          </w:p>
        </w:tc>
        <w:tc>
          <w:tcPr>
            <w:tcW w:w="1318" w:type="dxa"/>
            <w:textDirection w:val="lrTb"/>
            <w:vAlign w:val="center"/>
          </w:tcPr>
          <w:p>
            <w:pPr>
              <w:pStyle w:val="Normal"/>
              <w:jc w:val="center"/>
              <w:rPr>
                <w:sz w:val="20"/>
                <w:szCs w:val="20"/>
              </w:rPr>
            </w:pPr>
            <w:r>
              <w:rPr>
                <w:sz w:val="20"/>
                <w:szCs w:val="20"/>
              </w:rPr>
              <w:t xml:space="preserve">7,9</w:t>
            </w:r>
          </w:p>
        </w:tc>
        <w:tc>
          <w:tcPr>
            <w:tcW w:w="1469" w:type="dxa"/>
            <w:textDirection w:val="lrTb"/>
            <w:vAlign w:val="bottom"/>
          </w:tcPr>
          <w:p>
            <w:pPr>
              <w:pStyle w:val="Normal"/>
              <w:jc w:val="center"/>
              <w:rPr>
                <w:sz w:val="20"/>
                <w:szCs w:val="20"/>
              </w:rPr>
            </w:pPr>
            <w:r>
              <w:rPr>
                <w:sz w:val="20"/>
                <w:szCs w:val="20"/>
              </w:rPr>
              <w:t xml:space="preserve">-11,1</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199" w:type="dxa"/>
            <w:textDirection w:val="lrTb"/>
            <w:vAlign w:val="center"/>
          </w:tcPr>
          <w:p>
            <w:pPr>
              <w:pStyle w:val="Normal"/>
              <w:jc w:val="center"/>
              <w:rPr>
                <w:sz w:val="20"/>
                <w:szCs w:val="20"/>
              </w:rPr>
            </w:pPr>
            <w:r>
              <w:rPr>
                <w:sz w:val="20"/>
                <w:szCs w:val="20"/>
              </w:rPr>
              <w:t xml:space="preserve">6</w:t>
            </w:r>
          </w:p>
        </w:tc>
        <w:tc>
          <w:tcPr>
            <w:tcW w:w="1308" w:type="dxa"/>
            <w:textDirection w:val="lrTb"/>
            <w:vAlign w:val="center"/>
          </w:tcPr>
          <w:p>
            <w:pPr>
              <w:pStyle w:val="Normal"/>
              <w:jc w:val="center"/>
              <w:rPr>
                <w:sz w:val="20"/>
                <w:szCs w:val="20"/>
              </w:rPr>
            </w:pPr>
            <w:r>
              <w:rPr>
                <w:sz w:val="20"/>
                <w:szCs w:val="20"/>
              </w:rPr>
              <w:t xml:space="preserve">4,7</w:t>
            </w:r>
          </w:p>
        </w:tc>
        <w:tc>
          <w:tcPr>
            <w:tcW w:w="1092" w:type="dxa"/>
            <w:textDirection w:val="lrTb"/>
            <w:vAlign w:val="center"/>
          </w:tcPr>
          <w:p>
            <w:pPr>
              <w:pStyle w:val="Normal"/>
              <w:jc w:val="center"/>
              <w:rPr>
                <w:sz w:val="20"/>
                <w:szCs w:val="20"/>
              </w:rPr>
            </w:pPr>
            <w:r>
              <w:rPr>
                <w:sz w:val="20"/>
                <w:szCs w:val="20"/>
              </w:rPr>
              <w:t xml:space="preserve">6</w:t>
            </w:r>
          </w:p>
        </w:tc>
        <w:tc>
          <w:tcPr>
            <w:tcW w:w="1318" w:type="dxa"/>
            <w:textDirection w:val="lrTb"/>
            <w:vAlign w:val="center"/>
          </w:tcPr>
          <w:p>
            <w:pPr>
              <w:pStyle w:val="Normal"/>
              <w:jc w:val="center"/>
              <w:rPr>
                <w:sz w:val="20"/>
                <w:szCs w:val="20"/>
              </w:rPr>
            </w:pPr>
            <w:r>
              <w:rPr>
                <w:sz w:val="20"/>
                <w:szCs w:val="20"/>
              </w:rPr>
              <w:t xml:space="preserve">4,7</w:t>
            </w:r>
          </w:p>
        </w:tc>
        <w:tc>
          <w:tcPr>
            <w:tcW w:w="1469" w:type="dxa"/>
            <w:textDirection w:val="lrTb"/>
            <w:vAlign w:val="bottom"/>
          </w:tcPr>
          <w:p>
            <w:pPr>
              <w:pStyle w:val="Normal"/>
              <w:jc w:val="center"/>
              <w:rPr>
                <w:sz w:val="20"/>
                <w:szCs w:val="20"/>
              </w:rPr>
            </w:pPr>
            <w:r>
              <w:rPr>
                <w:sz w:val="20"/>
                <w:szCs w:val="20"/>
              </w:rPr>
              <w:t xml:space="preserve">0,0</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199" w:type="dxa"/>
            <w:textDirection w:val="lrTb"/>
            <w:vAlign w:val="center"/>
          </w:tcPr>
          <w:p>
            <w:pPr>
              <w:pStyle w:val="Normal"/>
              <w:jc w:val="center"/>
              <w:rPr>
                <w:sz w:val="20"/>
                <w:szCs w:val="20"/>
              </w:rPr>
            </w:pPr>
            <w:r>
              <w:rPr>
                <w:sz w:val="20"/>
                <w:szCs w:val="20"/>
              </w:rPr>
              <w:t xml:space="preserve">13</w:t>
            </w:r>
          </w:p>
        </w:tc>
        <w:tc>
          <w:tcPr>
            <w:tcW w:w="1308" w:type="dxa"/>
            <w:textDirection w:val="lrTb"/>
            <w:vAlign w:val="center"/>
          </w:tcPr>
          <w:p>
            <w:pPr>
              <w:pStyle w:val="Normal"/>
              <w:jc w:val="center"/>
              <w:rPr>
                <w:sz w:val="20"/>
                <w:szCs w:val="20"/>
              </w:rPr>
            </w:pPr>
            <w:r>
              <w:rPr>
                <w:sz w:val="20"/>
                <w:szCs w:val="20"/>
              </w:rPr>
              <w:t xml:space="preserve">7,7</w:t>
            </w:r>
          </w:p>
        </w:tc>
        <w:tc>
          <w:tcPr>
            <w:tcW w:w="1092" w:type="dxa"/>
            <w:textDirection w:val="lrTb"/>
            <w:vAlign w:val="center"/>
          </w:tcPr>
          <w:p>
            <w:pPr>
              <w:pStyle w:val="Normal"/>
              <w:jc w:val="center"/>
              <w:rPr>
                <w:sz w:val="20"/>
                <w:szCs w:val="20"/>
              </w:rPr>
            </w:pPr>
            <w:r>
              <w:rPr>
                <w:sz w:val="20"/>
                <w:szCs w:val="20"/>
              </w:rPr>
              <w:t xml:space="preserve">17</w:t>
            </w:r>
          </w:p>
        </w:tc>
        <w:tc>
          <w:tcPr>
            <w:tcW w:w="1318" w:type="dxa"/>
            <w:textDirection w:val="lrTb"/>
            <w:vAlign w:val="center"/>
          </w:tcPr>
          <w:p>
            <w:pPr>
              <w:pStyle w:val="Normal"/>
              <w:jc w:val="center"/>
              <w:rPr>
                <w:sz w:val="20"/>
                <w:szCs w:val="20"/>
              </w:rPr>
            </w:pPr>
            <w:r>
              <w:rPr>
                <w:sz w:val="20"/>
                <w:szCs w:val="20"/>
              </w:rPr>
              <w:t xml:space="preserve">10,1</w:t>
            </w:r>
          </w:p>
        </w:tc>
        <w:tc>
          <w:tcPr>
            <w:tcW w:w="1469" w:type="dxa"/>
            <w:textDirection w:val="lrTb"/>
            <w:vAlign w:val="bottom"/>
          </w:tcPr>
          <w:p>
            <w:pPr>
              <w:pStyle w:val="Normal"/>
              <w:jc w:val="center"/>
              <w:rPr>
                <w:sz w:val="20"/>
                <w:szCs w:val="20"/>
              </w:rPr>
            </w:pPr>
            <w:r>
              <w:rPr>
                <w:sz w:val="20"/>
                <w:szCs w:val="20"/>
              </w:rPr>
              <w:t xml:space="preserve">-23,5</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г.Пермь</w:t>
            </w:r>
          </w:p>
        </w:tc>
        <w:tc>
          <w:tcPr>
            <w:tcW w:w="1199" w:type="dxa"/>
            <w:textDirection w:val="lrTb"/>
            <w:vAlign w:val="center"/>
          </w:tcPr>
          <w:p>
            <w:pPr>
              <w:pStyle w:val="Normal"/>
              <w:jc w:val="center"/>
              <w:rPr>
                <w:b/>
                <w:sz w:val="20"/>
                <w:szCs w:val="20"/>
              </w:rPr>
            </w:pPr>
            <w:r>
              <w:rPr>
                <w:b/>
                <w:sz w:val="20"/>
                <w:szCs w:val="20"/>
              </w:rPr>
              <w:t xml:space="preserve">76</w:t>
            </w:r>
          </w:p>
        </w:tc>
        <w:tc>
          <w:tcPr>
            <w:tcW w:w="1308" w:type="dxa"/>
            <w:textDirection w:val="lrTb"/>
            <w:vAlign w:val="center"/>
          </w:tcPr>
          <w:p>
            <w:pPr>
              <w:pStyle w:val="Normal"/>
              <w:jc w:val="center"/>
              <w:rPr>
                <w:b/>
                <w:sz w:val="20"/>
                <w:szCs w:val="20"/>
              </w:rPr>
            </w:pPr>
            <w:r>
              <w:rPr>
                <w:b/>
                <w:sz w:val="20"/>
                <w:szCs w:val="20"/>
              </w:rPr>
              <w:t xml:space="preserve">7,4</w:t>
            </w:r>
          </w:p>
        </w:tc>
        <w:tc>
          <w:tcPr>
            <w:tcW w:w="1092" w:type="dxa"/>
            <w:textDirection w:val="lrTb"/>
            <w:vAlign w:val="center"/>
          </w:tcPr>
          <w:p>
            <w:pPr>
              <w:pStyle w:val="Normal"/>
              <w:jc w:val="center"/>
              <w:rPr>
                <w:b/>
                <w:sz w:val="20"/>
                <w:szCs w:val="20"/>
              </w:rPr>
            </w:pPr>
            <w:r>
              <w:rPr>
                <w:b/>
                <w:sz w:val="20"/>
                <w:szCs w:val="20"/>
              </w:rPr>
              <w:t xml:space="preserve">78</w:t>
            </w:r>
          </w:p>
        </w:tc>
        <w:tc>
          <w:tcPr>
            <w:tcW w:w="1318" w:type="dxa"/>
            <w:textDirection w:val="lrTb"/>
            <w:vAlign w:val="center"/>
          </w:tcPr>
          <w:p>
            <w:pPr>
              <w:pStyle w:val="Normal"/>
              <w:jc w:val="center"/>
              <w:rPr>
                <w:b/>
                <w:sz w:val="20"/>
                <w:szCs w:val="20"/>
              </w:rPr>
            </w:pPr>
            <w:r>
              <w:rPr>
                <w:b/>
                <w:sz w:val="20"/>
                <w:szCs w:val="20"/>
              </w:rPr>
              <w:t xml:space="preserve">7,6</w:t>
            </w:r>
          </w:p>
        </w:tc>
        <w:tc>
          <w:tcPr>
            <w:tcW w:w="1469" w:type="dxa"/>
            <w:textDirection w:val="lrTb"/>
            <w:vAlign w:val="bottom"/>
          </w:tcPr>
          <w:p>
            <w:pPr>
              <w:pStyle w:val="Normal"/>
              <w:jc w:val="center"/>
              <w:rPr>
                <w:b/>
                <w:sz w:val="20"/>
                <w:szCs w:val="20"/>
              </w:rPr>
            </w:pPr>
            <w:r>
              <w:rPr>
                <w:b/>
                <w:sz w:val="20"/>
                <w:szCs w:val="20"/>
              </w:rPr>
              <w:t xml:space="preserve">-2,6</w:t>
            </w:r>
          </w:p>
        </w:tc>
      </w:tr>
    </w:tbl>
    <w:p>
      <w:pPr>
        <w:pStyle w:val="Normal"/>
      </w:pPr>
    </w:p>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p>
      <w:pPr>
        <w:pStyle w:val="BodyTextIndent2"/>
        <w:ind w:firstLine="709"/>
        <w:rPr>
          <w:sz w:val="20"/>
          <w:szCs w:val="20"/>
          <w:highlight w:val="red"/>
        </w:rPr>
      </w:pPr>
      <w:r>
        <w:rPr>
          <w:szCs w:val="20"/>
        </w:rPr>
        <w:t xml:space="preserve">В социальной структуре отравлений лекарственными препаратами удельный вес неработающих трудоспособного возраста составил </w:t>
      </w:r>
      <w:r>
        <w:rPr>
          <w:szCs w:val="20"/>
        </w:rPr>
        <w:t xml:space="preserve">42,1</w:t>
      </w:r>
      <w:r>
        <w:rPr>
          <w:szCs w:val="20"/>
        </w:rPr>
        <w:t xml:space="preserve"> %,</w:t>
      </w:r>
      <w:r>
        <w:rPr>
          <w:szCs w:val="20"/>
        </w:rPr>
        <w:t xml:space="preserve"> </w:t>
      </w:r>
      <w:r>
        <w:t xml:space="preserve">школьник</w:t>
      </w:r>
      <w:r>
        <w:t xml:space="preserve">ов – 18,4 %, </w:t>
      </w:r>
      <w:r>
        <w:rPr>
          <w:szCs w:val="20"/>
        </w:rPr>
        <w:t xml:space="preserve">работающих</w:t>
      </w:r>
      <w:r>
        <w:rPr>
          <w:szCs w:val="20"/>
        </w:rPr>
        <w:t xml:space="preserve"> – 15,8 %,</w:t>
      </w:r>
      <w:r>
        <w:t xml:space="preserve"> </w:t>
      </w:r>
      <w:r>
        <w:rPr>
          <w:szCs w:val="20"/>
        </w:rPr>
        <w:t xml:space="preserve">пенсионеров – 9,2 %,</w:t>
      </w:r>
      <w:r>
        <w:rPr>
          <w:szCs w:val="20"/>
        </w:rPr>
        <w:t xml:space="preserve"> </w:t>
      </w:r>
      <w:r>
        <w:t xml:space="preserve">дет</w:t>
      </w:r>
      <w:r>
        <w:t xml:space="preserve">ей</w:t>
      </w:r>
      <w:r>
        <w:t xml:space="preserve">, посещающи</w:t>
      </w:r>
      <w:r>
        <w:t xml:space="preserve">х</w:t>
      </w:r>
      <w:r>
        <w:t xml:space="preserve"> ДДУ</w:t>
      </w:r>
      <w:r>
        <w:t xml:space="preserve"> –</w:t>
      </w:r>
      <w:r>
        <w:rPr>
          <w:szCs w:val="20"/>
        </w:rPr>
        <w:t xml:space="preserve"> </w:t>
      </w:r>
      <w:r>
        <w:rPr>
          <w:szCs w:val="20"/>
        </w:rPr>
        <w:t xml:space="preserve">5,3 %,</w:t>
      </w:r>
      <w:r>
        <w:t xml:space="preserve"> </w:t>
      </w:r>
      <w:r>
        <w:rPr>
          <w:szCs w:val="20"/>
        </w:rPr>
        <w:t xml:space="preserve">учащихся </w:t>
      </w:r>
      <w:r>
        <w:rPr>
          <w:sz w:val="20"/>
          <w:szCs w:val="20"/>
        </w:rPr>
        <w:t xml:space="preserve"> </w:t>
      </w:r>
      <w:r>
        <w:t xml:space="preserve">средне-профессиональных училищ, техникумов и ВУЗов</w:t>
      </w:r>
      <w:r>
        <w:t xml:space="preserve">  – 3,9 %, </w:t>
      </w:r>
      <w:r>
        <w:t xml:space="preserve">неорганизованны</w:t>
      </w:r>
      <w:r>
        <w:t xml:space="preserve">х</w:t>
      </w:r>
      <w:r>
        <w:t xml:space="preserve"> дет</w:t>
      </w:r>
      <w:r>
        <w:t xml:space="preserve">ей – 2,6 %, мигрантов, переселенцев – 1,3 %.</w:t>
      </w:r>
      <w:r>
        <w:rPr>
          <w:highlight w:val="red"/>
        </w:rPr>
        <w:t xml:space="preserve">                                                                                                                                                                         </w:t>
      </w:r>
      <w:r>
        <w:rPr>
          <w:sz w:val="20"/>
          <w:szCs w:val="20"/>
          <w:highlight w:val="red"/>
        </w:rPr>
      </w:r>
    </w:p>
    <w:p>
      <w:pPr>
        <w:pStyle w:val="BodyTextIndent2"/>
        <w:ind w:firstLine="709"/>
      </w:pPr>
      <w:r>
        <w:t xml:space="preserve">Группой риска по возрасту являются лица  15-17 лет (26,7 на 100 соответствующего населения) и 20-29 лет (</w:t>
      </w:r>
      <w:r>
        <w:t xml:space="preserve">22,8)</w:t>
      </w:r>
      <w:r>
        <w:t xml:space="preserve">.                                                                                                    </w:t>
      </w:r>
    </w:p>
    <w:p>
      <w:pPr>
        <w:pStyle w:val="BodyTextIndent2"/>
        <w:ind w:firstLine="709"/>
        <w:rPr>
          <w:szCs w:val="20"/>
        </w:rPr>
      </w:pPr>
      <w:r>
        <w:t xml:space="preserve">В структуре медикаментозных</w:t>
      </w:r>
      <w:r>
        <w:t xml:space="preserve"> отравлений по полу удельный вес женского населения составил </w:t>
      </w:r>
      <w:r>
        <w:t xml:space="preserve">77,6</w:t>
      </w:r>
      <w:r>
        <w:t xml:space="preserve"> %, мужского –</w:t>
      </w:r>
      <w:r>
        <w:t xml:space="preserve"> 22,4</w:t>
      </w:r>
      <w:r>
        <w:t xml:space="preserve"> %.</w:t>
      </w:r>
      <w:r>
        <w:rPr>
          <w:szCs w:val="20"/>
        </w:rPr>
        <w:t xml:space="preserve"> </w:t>
      </w:r>
      <w:r>
        <w:rPr>
          <w:szCs w:val="20"/>
        </w:rPr>
        <w:t xml:space="preserve">Показатель отравлений среди </w:t>
      </w:r>
      <w:r>
        <w:rPr>
          <w:szCs w:val="20"/>
        </w:rPr>
        <w:t xml:space="preserve">женщин</w:t>
      </w:r>
      <w:r>
        <w:rPr>
          <w:szCs w:val="20"/>
        </w:rPr>
        <w:t xml:space="preserve"> </w:t>
      </w:r>
      <w:r>
        <w:rPr>
          <w:szCs w:val="20"/>
        </w:rPr>
        <w:t xml:space="preserve">– 10,3</w:t>
      </w:r>
      <w:r>
        <w:rPr>
          <w:szCs w:val="20"/>
        </w:rPr>
        <w:t xml:space="preserve"> на 100 тыс. соответствующего населения</w:t>
      </w:r>
      <w:r>
        <w:rPr>
          <w:szCs w:val="20"/>
        </w:rPr>
        <w:t xml:space="preserve">, среди мужчин – 3,7</w:t>
      </w:r>
      <w:r>
        <w:rPr>
          <w:szCs w:val="20"/>
        </w:rPr>
        <w:t xml:space="preserve">. </w:t>
      </w:r>
      <w:r>
        <w:rPr>
          <w:szCs w:val="20"/>
        </w:rPr>
        <w:t xml:space="preserve">В г</w:t>
      </w:r>
      <w:r>
        <w:t xml:space="preserve">рупп</w:t>
      </w:r>
      <w:r>
        <w:t xml:space="preserve">у</w:t>
      </w:r>
      <w:r>
        <w:t xml:space="preserve"> риска по возрасту и полу</w:t>
      </w:r>
      <w:r>
        <w:t xml:space="preserve"> входят</w:t>
      </w:r>
      <w:r>
        <w:t xml:space="preserve"> </w:t>
      </w:r>
      <w:r>
        <w:t xml:space="preserve">девушки 15 - 17 лет с показателем 53,8 на 100 тыс. соответствующего населения и 20 - 29 лет (34,5)</w:t>
      </w:r>
      <w:r>
        <w:t xml:space="preserve">.</w:t>
      </w:r>
      <w:r>
        <w:rPr>
          <w:szCs w:val="20"/>
        </w:rPr>
      </w:r>
    </w:p>
    <w:p>
      <w:pPr>
        <w:pStyle w:val="BodyTextIndent2"/>
        <w:ind w:firstLine="709"/>
        <w:rPr>
          <w:szCs w:val="20"/>
        </w:rPr>
      </w:pPr>
      <w:r>
        <w:rPr>
          <w:szCs w:val="20"/>
        </w:rPr>
        <w:t xml:space="preserve">Среди детей до 14 лет </w:t>
      </w:r>
      <w:r>
        <w:rPr>
          <w:szCs w:val="20"/>
        </w:rPr>
        <w:t xml:space="preserve">было </w:t>
      </w:r>
      <w:r>
        <w:rPr>
          <w:szCs w:val="20"/>
        </w:rPr>
        <w:t xml:space="preserve">зарегистрирован</w:t>
      </w:r>
      <w:r>
        <w:rPr>
          <w:szCs w:val="20"/>
        </w:rPr>
        <w:t xml:space="preserve">о</w:t>
      </w:r>
      <w:r>
        <w:rPr>
          <w:szCs w:val="20"/>
        </w:rPr>
        <w:t xml:space="preserve"> </w:t>
      </w:r>
      <w:r>
        <w:rPr>
          <w:szCs w:val="20"/>
        </w:rPr>
        <w:t xml:space="preserve">13</w:t>
      </w:r>
      <w:r>
        <w:rPr>
          <w:szCs w:val="20"/>
        </w:rPr>
        <w:t xml:space="preserve"> случа</w:t>
      </w:r>
      <w:r>
        <w:rPr>
          <w:szCs w:val="20"/>
        </w:rPr>
        <w:t xml:space="preserve">ев</w:t>
      </w:r>
      <w:r>
        <w:rPr>
          <w:szCs w:val="20"/>
        </w:rPr>
        <w:t xml:space="preserve"> отравлений лекарственн</w:t>
      </w:r>
      <w:r>
        <w:rPr>
          <w:szCs w:val="20"/>
        </w:rPr>
        <w:t xml:space="preserve">ы</w:t>
      </w:r>
      <w:r>
        <w:rPr>
          <w:szCs w:val="20"/>
        </w:rPr>
        <w:t xml:space="preserve">ми препаратами (</w:t>
      </w:r>
      <w:r>
        <w:rPr>
          <w:szCs w:val="20"/>
        </w:rPr>
        <w:t xml:space="preserve">1 кв.2024 </w:t>
      </w:r>
      <w:r>
        <w:rPr>
          <w:szCs w:val="20"/>
        </w:rPr>
        <w:t xml:space="preserve">г. - </w:t>
      </w:r>
      <w:r>
        <w:rPr>
          <w:szCs w:val="20"/>
        </w:rPr>
        <w:t xml:space="preserve">10</w:t>
      </w:r>
      <w:r>
        <w:rPr>
          <w:szCs w:val="20"/>
        </w:rPr>
        <w:t xml:space="preserve">). </w:t>
      </w:r>
      <w:r>
        <w:rPr>
          <w:szCs w:val="20"/>
        </w:rPr>
        <w:t xml:space="preserve">В </w:t>
      </w:r>
      <w:r>
        <w:rPr>
          <w:szCs w:val="20"/>
        </w:rPr>
        <w:t xml:space="preserve">сравнении с </w:t>
      </w:r>
      <w:r>
        <w:rPr>
          <w:szCs w:val="20"/>
        </w:rPr>
        <w:t xml:space="preserve">аналогичным периодом </w:t>
      </w:r>
      <w:r>
        <w:rPr>
          <w:szCs w:val="20"/>
        </w:rPr>
        <w:t xml:space="preserve">прошл</w:t>
      </w:r>
      <w:r>
        <w:rPr>
          <w:szCs w:val="20"/>
        </w:rPr>
        <w:t xml:space="preserve">ого</w:t>
      </w:r>
      <w:r>
        <w:rPr>
          <w:szCs w:val="20"/>
        </w:rPr>
        <w:t xml:space="preserve"> год</w:t>
      </w:r>
      <w:r>
        <w:rPr>
          <w:szCs w:val="20"/>
        </w:rPr>
        <w:t xml:space="preserve">а</w:t>
      </w:r>
      <w:r>
        <w:rPr>
          <w:szCs w:val="20"/>
        </w:rPr>
        <w:t xml:space="preserve"> </w:t>
      </w:r>
      <w:r>
        <w:rPr>
          <w:szCs w:val="20"/>
        </w:rPr>
        <w:t xml:space="preserve">п</w:t>
      </w:r>
      <w:r>
        <w:rPr>
          <w:szCs w:val="20"/>
        </w:rPr>
        <w:t xml:space="preserve">оказатель медикаментозных отравлений среди детей </w:t>
      </w:r>
      <w:r>
        <w:rPr>
          <w:szCs w:val="20"/>
        </w:rPr>
        <w:t xml:space="preserve">не изменился и составил  6,8 </w:t>
      </w:r>
      <w:r>
        <w:rPr>
          <w:szCs w:val="20"/>
        </w:rPr>
        <w:t xml:space="preserve">на 100</w:t>
      </w:r>
      <w:r>
        <w:rPr>
          <w:szCs w:val="20"/>
        </w:rPr>
        <w:t xml:space="preserve"> тыс. детского населения</w:t>
      </w:r>
      <w:r>
        <w:rPr>
          <w:szCs w:val="20"/>
        </w:rPr>
        <w:t xml:space="preserve">. </w:t>
      </w:r>
      <w:r>
        <w:rPr>
          <w:szCs w:val="20"/>
        </w:rPr>
        <w:t xml:space="preserve">61,5 %</w:t>
      </w:r>
      <w:r>
        <w:rPr>
          <w:szCs w:val="20"/>
        </w:rPr>
        <w:t xml:space="preserve"> случа</w:t>
      </w:r>
      <w:r>
        <w:rPr>
          <w:szCs w:val="20"/>
        </w:rPr>
        <w:t xml:space="preserve">ев</w:t>
      </w:r>
      <w:r>
        <w:rPr>
          <w:szCs w:val="20"/>
        </w:rPr>
        <w:t xml:space="preserve"> отравлений </w:t>
      </w:r>
      <w:r>
        <w:rPr>
          <w:szCs w:val="20"/>
        </w:rPr>
        <w:t xml:space="preserve">лекарственными препаратами </w:t>
      </w:r>
      <w:r>
        <w:rPr>
          <w:szCs w:val="20"/>
        </w:rPr>
        <w:t xml:space="preserve">у детей </w:t>
      </w:r>
      <w:r>
        <w:rPr>
          <w:szCs w:val="20"/>
        </w:rPr>
        <w:t xml:space="preserve">вызвано ошибочном приемом.</w:t>
      </w:r>
      <w:r>
        <w:rPr>
          <w:szCs w:val="20"/>
        </w:rPr>
      </w:r>
    </w:p>
    <w:p>
      <w:pPr>
        <w:pStyle w:val="Normal"/>
        <w:ind w:firstLine="709"/>
        <w:jc w:val="both"/>
        <w:rPr>
          <w:szCs w:val="20"/>
        </w:rPr>
      </w:pPr>
      <w:r>
        <w:rPr>
          <w:szCs w:val="20"/>
        </w:rPr>
        <w:t xml:space="preserve">Среди подростков</w:t>
      </w:r>
      <w:r>
        <w:rPr>
          <w:szCs w:val="20"/>
        </w:rPr>
        <w:t xml:space="preserve"> было зарегистрировано</w:t>
      </w:r>
      <w:r>
        <w:rPr>
          <w:szCs w:val="20"/>
        </w:rPr>
        <w:t xml:space="preserve"> </w:t>
      </w:r>
      <w:r>
        <w:rPr>
          <w:szCs w:val="20"/>
        </w:rPr>
        <w:t xml:space="preserve">10</w:t>
      </w:r>
      <w:r>
        <w:rPr>
          <w:szCs w:val="20"/>
        </w:rPr>
        <w:t xml:space="preserve"> случа</w:t>
      </w:r>
      <w:r>
        <w:rPr>
          <w:szCs w:val="20"/>
        </w:rPr>
        <w:t xml:space="preserve">ев</w:t>
      </w:r>
      <w:r>
        <w:rPr>
          <w:szCs w:val="20"/>
        </w:rPr>
        <w:t xml:space="preserve"> отравлений лекарственными препаратами</w:t>
      </w:r>
      <w:r>
        <w:rPr>
          <w:szCs w:val="20"/>
        </w:rPr>
        <w:t xml:space="preserve"> (1 кв. 2024г. - 8), из них 1 со смертельным исходом</w:t>
      </w:r>
      <w:r>
        <w:rPr>
          <w:szCs w:val="20"/>
        </w:rPr>
        <w:t xml:space="preserve">. </w:t>
      </w:r>
      <w:r>
        <w:rPr>
          <w:szCs w:val="20"/>
        </w:rPr>
        <w:t xml:space="preserve">Показатель медикаментозных отравлений среди подрос</w:t>
      </w:r>
      <w:r>
        <w:rPr>
          <w:szCs w:val="20"/>
        </w:rPr>
        <w:t xml:space="preserve">т</w:t>
      </w:r>
      <w:r>
        <w:rPr>
          <w:szCs w:val="20"/>
        </w:rPr>
        <w:t xml:space="preserve">ков соответствовал</w:t>
      </w:r>
      <w:r>
        <w:rPr>
          <w:szCs w:val="20"/>
        </w:rPr>
        <w:t xml:space="preserve"> уровню 1 квартала </w:t>
      </w:r>
      <w:r>
        <w:rPr>
          <w:szCs w:val="20"/>
        </w:rPr>
        <w:t xml:space="preserve">2024</w:t>
      </w:r>
      <w:r>
        <w:rPr>
          <w:szCs w:val="20"/>
        </w:rPr>
        <w:t xml:space="preserve"> года и состав</w:t>
      </w:r>
      <w:r>
        <w:rPr>
          <w:szCs w:val="20"/>
        </w:rPr>
        <w:t xml:space="preserve">ил</w:t>
      </w:r>
      <w:r>
        <w:rPr>
          <w:szCs w:val="20"/>
        </w:rPr>
        <w:t xml:space="preserve"> </w:t>
      </w:r>
      <w:r>
        <w:rPr>
          <w:szCs w:val="20"/>
        </w:rPr>
        <w:t xml:space="preserve">26,7</w:t>
      </w:r>
      <w:r>
        <w:rPr>
          <w:szCs w:val="20"/>
        </w:rPr>
        <w:t xml:space="preserve"> на 100 тыс. подросткового населения. </w:t>
      </w:r>
      <w:r>
        <w:rPr>
          <w:szCs w:val="20"/>
        </w:rPr>
        <w:t xml:space="preserve">70 % случаев</w:t>
      </w:r>
      <w:r>
        <w:rPr>
          <w:szCs w:val="20"/>
        </w:rPr>
        <w:t xml:space="preserve"> отравлений лекарственными препаратами у подростков </w:t>
      </w:r>
      <w:r>
        <w:rPr>
          <w:szCs w:val="20"/>
        </w:rPr>
        <w:t xml:space="preserve">суицидального характера</w:t>
      </w:r>
      <w:r>
        <w:rPr>
          <w:szCs w:val="20"/>
        </w:rPr>
        <w:t xml:space="preserve">.</w:t>
      </w:r>
      <w:r>
        <w:rPr>
          <w:szCs w:val="20"/>
        </w:rPr>
        <w:t xml:space="preserve"> </w:t>
      </w:r>
    </w:p>
    <w:p>
      <w:pPr>
        <w:pStyle w:val="Normal"/>
        <w:ind w:firstLine="709"/>
        <w:jc w:val="both"/>
        <w:rPr>
          <w:szCs w:val="20"/>
        </w:rPr>
      </w:pPr>
      <w:r>
        <w:rPr>
          <w:szCs w:val="20"/>
        </w:rPr>
        <w:t xml:space="preserve">Распределение случаев отравлений лекарственными препаратами среди детей и подростков по районам города представлено в таблице 1</w:t>
      </w:r>
      <w:r>
        <w:rPr>
          <w:szCs w:val="20"/>
        </w:rPr>
        <w:t xml:space="preserve">0</w:t>
      </w:r>
      <w:r>
        <w:rPr>
          <w:szCs w:val="20"/>
        </w:rPr>
        <w:t xml:space="preserve">.</w:t>
      </w:r>
      <w:r>
        <w:rPr>
          <w:szCs w:val="20"/>
        </w:rPr>
      </w:r>
    </w:p>
    <w:p>
      <w:pPr>
        <w:pStyle w:val="Normal"/>
        <w:ind w:firstLine="709"/>
        <w:jc w:val="right"/>
        <w:rPr>
          <w:szCs w:val="20"/>
        </w:rPr>
      </w:pPr>
      <w:r>
        <w:rPr>
          <w:szCs w:val="20"/>
        </w:rPr>
        <w:t xml:space="preserve">Таблица 10</w:t>
      </w:r>
    </w:p>
    <w:p>
      <w:pPr>
        <w:pStyle w:val="Normal"/>
        <w:jc w:val="center"/>
        <w:rPr>
          <w:b/>
        </w:rPr>
      </w:pPr>
      <w:r>
        <w:rPr>
          <w:b/>
        </w:rPr>
        <w:t xml:space="preserve">Показатели отравлений медикаментами</w:t>
      </w:r>
    </w:p>
    <w:p>
      <w:pPr>
        <w:pStyle w:val="Normal"/>
        <w:jc w:val="center"/>
        <w:rPr>
          <w:b/>
        </w:rPr>
      </w:pPr>
      <w:r>
        <w:rPr>
          <w:b/>
        </w:rPr>
        <w:t xml:space="preserve">по районам города среди детей и подростков за 1 кв. 2025г.</w:t>
      </w:r>
    </w:p>
    <w:p>
      <w:pPr>
        <w:pStyle w:val="Normal"/>
        <w:jc w:val="center"/>
        <w:rPr>
          <w:b/>
        </w:rPr>
      </w:pPr>
      <w:r>
        <w:rPr>
          <w:b/>
        </w:rPr>
        <w:t xml:space="preserve"> (на 100 тыс. соответствующего населения)</w:t>
      </w:r>
    </w:p>
    <w:p>
      <w:pPr>
        <w:pStyle w:val="Normal"/>
        <w:ind w:firstLine="709"/>
        <w:jc w:val="both"/>
        <w:rPr>
          <w:szCs w:val="20"/>
        </w:rPr>
      </w:pPr>
      <w:r>
        <w:rPr>
          <w:szCs w:val="20"/>
        </w:rPr>
      </w:r>
    </w:p>
    <w:tbl>
      <w:tblPr>
        <w:tblW w:w="6000" w:type="dxa"/>
        <w:jc w:val="center"/>
        <w:tblInd w:w="93" w:type="dxa"/>
        <w:tblLayout w:type="autofit"/>
        <w:tblCellMar>
          <w:left w:w="108" w:type="dxa"/>
          <w:top w:w="0" w:type="dxa"/>
          <w:right w:w="108" w:type="dxa"/>
          <w:bottom w:w="0" w:type="dxa"/>
        </w:tblCellMar>
      </w:tblPr>
      <w:tblGrid>
        <w:gridCol w:w="2160"/>
        <w:gridCol w:w="960"/>
        <w:gridCol w:w="960"/>
        <w:gridCol w:w="960"/>
        <w:gridCol w:w="960"/>
      </w:tblGrid>
      <w:tr>
        <w:trPr>
          <w:trHeight w:val="545"/>
        </w:trPr>
        <w:tc>
          <w:tcPr>
            <w:tcW w:w="2160" w:type="dxa"/>
            <w:vMerge w:val="restart"/>
            <w:tcBorders>
              <w:top w:val="single" w:color="000000" w:sz="8" w:space="0"/>
              <w:left w:val="single" w:color="000000" w:sz="8" w:space="0"/>
              <w:bottom w:val="single" w:color="000000" w:sz="8" w:space="0"/>
              <w:right w:val="single" w:color="000000" w:sz="4" w:space="0"/>
            </w:tcBorders>
            <w:noWrap/>
            <w:textDirection w:val="lrTb"/>
            <w:vAlign w:val="bottom"/>
          </w:tcPr>
          <w:p>
            <w:pPr>
              <w:pStyle w:val="Normal"/>
              <w:jc w:val="center"/>
              <w:rPr>
                <w:sz w:val="22"/>
                <w:szCs w:val="22"/>
              </w:rPr>
            </w:pPr>
            <w:r>
              <w:rPr>
                <w:sz w:val="22"/>
                <w:szCs w:val="22"/>
              </w:rPr>
              <w:t xml:space="preserve">Районы города</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дети </w:t>
            </w:r>
          </w:p>
          <w:p>
            <w:pPr>
              <w:pStyle w:val="Normal"/>
              <w:jc w:val="center"/>
              <w:rPr>
                <w:sz w:val="22"/>
                <w:szCs w:val="22"/>
              </w:rPr>
            </w:pPr>
            <w:r>
              <w:rPr>
                <w:sz w:val="22"/>
                <w:szCs w:val="22"/>
              </w:rPr>
              <w:t xml:space="preserve">(0-14 лет)</w:t>
            </w:r>
          </w:p>
        </w:tc>
        <w:tc>
          <w:tcPr>
            <w:tcW w:w="1920"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подростки </w:t>
            </w:r>
          </w:p>
          <w:p>
            <w:pPr>
              <w:pStyle w:val="Normal"/>
              <w:jc w:val="center"/>
              <w:rPr>
                <w:sz w:val="22"/>
                <w:szCs w:val="22"/>
              </w:rPr>
            </w:pPr>
            <w:r>
              <w:rPr>
                <w:sz w:val="22"/>
                <w:szCs w:val="22"/>
              </w:rPr>
              <w:t xml:space="preserve">(15-17 лет)</w:t>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Ленинский</w:t>
            </w: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17,1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0</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0,0</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Свердловский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14,2</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Дзержинский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33,9</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Мотовилихинский</w:t>
            </w:r>
            <w:r>
              <w:rPr>
                <w:sz w:val="22"/>
                <w:szCs w:val="22"/>
              </w:rPr>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57,4</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Орджоникидзевский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4,5</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22,5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Кировский</w:t>
            </w:r>
            <w:r>
              <w:rPr>
                <w:sz w:val="22"/>
                <w:szCs w:val="22"/>
              </w:rPr>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18,6</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Индустриальный</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4</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13,6</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15,5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г.Пермь</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13</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6,8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10</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26,7</w:t>
            </w:r>
          </w:p>
        </w:tc>
      </w:tr>
    </w:tbl>
    <w:p>
      <w:pPr>
        <w:pStyle w:val="Normal"/>
        <w:ind w:firstLine="709"/>
        <w:jc w:val="both"/>
        <w:rPr>
          <w:szCs w:val="20"/>
        </w:rPr>
      </w:pPr>
      <w:r>
        <w:rPr>
          <w:szCs w:val="20"/>
        </w:rPr>
      </w:r>
    </w:p>
    <w:p>
      <w:pPr>
        <w:pStyle w:val="Normal"/>
        <w:ind w:firstLine="709"/>
        <w:jc w:val="both"/>
      </w:pPr>
      <w:r>
        <w:t xml:space="preserve">Из </w:t>
      </w:r>
      <w:r>
        <w:t xml:space="preserve">76</w:t>
      </w:r>
      <w:r>
        <w:t xml:space="preserve"> случа</w:t>
      </w:r>
      <w:r>
        <w:t xml:space="preserve">ев</w:t>
      </w:r>
      <w:r>
        <w:t xml:space="preserve"> медикаментозных отравлений по г. Перми </w:t>
      </w:r>
      <w:r>
        <w:t xml:space="preserve">3</w:t>
      </w:r>
      <w:r>
        <w:t xml:space="preserve"> закончил</w:t>
      </w:r>
      <w:r>
        <w:t xml:space="preserve">и</w:t>
      </w:r>
      <w:r>
        <w:t xml:space="preserve">с</w:t>
      </w:r>
      <w:r>
        <w:t xml:space="preserve">ь</w:t>
      </w:r>
      <w:r>
        <w:t xml:space="preserve"> л</w:t>
      </w:r>
      <w:r>
        <w:t xml:space="preserve">е</w:t>
      </w:r>
      <w:r>
        <w:t xml:space="preserve">тальным исходом. </w:t>
      </w:r>
      <w:r>
        <w:t xml:space="preserve">П</w:t>
      </w:r>
      <w:r>
        <w:t xml:space="preserve">оказатель смертельных отравлений </w:t>
      </w:r>
      <w:r>
        <w:t xml:space="preserve">(0,3 на 100 тыс. населения) аналогичен уровням  сравнительного периода прошлого года и краевого</w:t>
      </w:r>
      <w:r>
        <w:t xml:space="preserve"> </w:t>
      </w:r>
      <w:r>
        <w:t xml:space="preserve">(табл.6)</w:t>
      </w:r>
      <w:r>
        <w:t xml:space="preserve">.</w:t>
      </w:r>
    </w:p>
    <w:p>
      <w:pPr>
        <w:pStyle w:val="Normal"/>
        <w:ind w:firstLine="709"/>
        <w:jc w:val="both"/>
      </w:pPr>
    </w:p>
    <w:p>
      <w:pPr>
        <w:pStyle w:val="Title"/>
        <w:rPr>
          <w:color w:val="000000"/>
          <w:sz w:val="26"/>
          <w:szCs w:val="26"/>
          <w:u w:val="single"/>
        </w:rPr>
      </w:pPr>
      <w:r>
        <w:rPr>
          <w:rFonts w:ascii="Times New Roman" w:hAnsi="Times New Roman" w:cs="Times New Roman"/>
          <w:color w:val="000000"/>
          <w:sz w:val="26"/>
          <w:szCs w:val="26"/>
          <w:u w:val="single"/>
        </w:rPr>
        <w:t xml:space="preserve">6. Анализ отравлений алкоголем и его суррогатами</w:t>
      </w:r>
      <w:r>
        <w:rPr>
          <w:color w:val="000000"/>
          <w:sz w:val="26"/>
          <w:szCs w:val="26"/>
          <w:u w:val="single"/>
        </w:rPr>
      </w:r>
    </w:p>
    <w:p>
      <w:pPr>
        <w:pStyle w:val="Heading2"/>
      </w:pPr>
    </w:p>
    <w:p>
      <w:pPr>
        <w:pStyle w:val="BodyText"/>
        <w:spacing w:after="0"/>
        <w:ind w:firstLine="709"/>
        <w:jc w:val="both"/>
        <w:rPr>
          <w:szCs w:val="20"/>
        </w:rPr>
      </w:pPr>
      <w:r>
        <w:rPr>
          <w:szCs w:val="20"/>
        </w:rPr>
        <w:t xml:space="preserve">За </w:t>
      </w:r>
      <w:r>
        <w:rPr>
          <w:szCs w:val="20"/>
        </w:rPr>
        <w:t xml:space="preserve">анализируемый</w:t>
      </w:r>
      <w:r>
        <w:rPr>
          <w:szCs w:val="20"/>
        </w:rPr>
        <w:t xml:space="preserve"> период</w:t>
      </w:r>
      <w:r>
        <w:rPr>
          <w:szCs w:val="20"/>
        </w:rPr>
        <w:t xml:space="preserve"> среди нас</w:t>
      </w:r>
      <w:r>
        <w:rPr>
          <w:szCs w:val="20"/>
        </w:rPr>
        <w:t xml:space="preserve">еления г. Перми было зарегистрировано</w:t>
      </w:r>
      <w:r>
        <w:rPr>
          <w:szCs w:val="20"/>
        </w:rPr>
        <w:t xml:space="preserve"> </w:t>
      </w:r>
      <w:r>
        <w:rPr>
          <w:szCs w:val="20"/>
        </w:rPr>
        <w:t xml:space="preserve">54</w:t>
      </w:r>
      <w:r>
        <w:rPr>
          <w:szCs w:val="20"/>
        </w:rPr>
        <w:t xml:space="preserve"> сл</w:t>
      </w:r>
      <w:r>
        <w:rPr>
          <w:szCs w:val="20"/>
        </w:rPr>
        <w:t xml:space="preserve">у</w:t>
      </w:r>
      <w:r>
        <w:rPr>
          <w:szCs w:val="20"/>
        </w:rPr>
        <w:t xml:space="preserve">ча</w:t>
      </w:r>
      <w:r>
        <w:rPr>
          <w:szCs w:val="20"/>
        </w:rPr>
        <w:t xml:space="preserve">я </w:t>
      </w:r>
      <w:r>
        <w:rPr>
          <w:szCs w:val="20"/>
        </w:rPr>
        <w:t xml:space="preserve">отравлен</w:t>
      </w:r>
      <w:r>
        <w:rPr>
          <w:szCs w:val="20"/>
        </w:rPr>
        <w:t xml:space="preserve">ий алкоголем и его суррогатами. </w:t>
      </w:r>
      <w:r>
        <w:rPr>
          <w:szCs w:val="20"/>
        </w:rPr>
        <w:t xml:space="preserve">Данная группа заняла в структуре всех отравлений</w:t>
      </w:r>
      <w:r>
        <w:rPr>
          <w:szCs w:val="20"/>
        </w:rPr>
        <w:t xml:space="preserve"> </w:t>
      </w:r>
      <w:r>
        <w:rPr>
          <w:szCs w:val="20"/>
        </w:rPr>
        <w:t xml:space="preserve">(</w:t>
      </w:r>
      <w:r>
        <w:rPr>
          <w:szCs w:val="20"/>
        </w:rPr>
        <w:t xml:space="preserve">26 </w:t>
      </w:r>
      <w:r>
        <w:rPr>
          <w:szCs w:val="20"/>
        </w:rPr>
        <w:t xml:space="preserve">%) </w:t>
      </w:r>
      <w:r>
        <w:rPr>
          <w:szCs w:val="20"/>
        </w:rPr>
        <w:t xml:space="preserve">второе</w:t>
      </w:r>
      <w:r>
        <w:rPr>
          <w:szCs w:val="20"/>
        </w:rPr>
        <w:t xml:space="preserve"> ранговое место</w:t>
      </w:r>
      <w:r>
        <w:rPr>
          <w:szCs w:val="20"/>
        </w:rPr>
        <w:t xml:space="preserve">, в структуре причин смертности (48 %) - первое.</w:t>
      </w:r>
      <w:r>
        <w:rPr>
          <w:szCs w:val="20"/>
        </w:rPr>
      </w:r>
    </w:p>
    <w:p>
      <w:pPr>
        <w:pStyle w:val="BodyText"/>
        <w:spacing w:after="0"/>
        <w:ind w:firstLine="709"/>
        <w:jc w:val="both"/>
        <w:rPr>
          <w:szCs w:val="20"/>
        </w:rPr>
      </w:pPr>
      <w:r>
        <w:rPr>
          <w:szCs w:val="20"/>
        </w:rPr>
        <w:t xml:space="preserve">Показатель алкогольных отравлений</w:t>
      </w:r>
      <w:r>
        <w:rPr>
          <w:szCs w:val="20"/>
        </w:rPr>
        <w:t xml:space="preserve"> (5,3 на 100 тыс. населения)</w:t>
      </w:r>
      <w:r>
        <w:rPr>
          <w:szCs w:val="20"/>
        </w:rPr>
        <w:t xml:space="preserve"> </w:t>
      </w:r>
      <w:r>
        <w:rPr>
          <w:szCs w:val="20"/>
        </w:rPr>
        <w:t xml:space="preserve">не изменился</w:t>
      </w:r>
      <w:r>
        <w:rPr>
          <w:szCs w:val="20"/>
        </w:rPr>
        <w:t xml:space="preserve"> по отношению к уровню аналогичного периода прошлого</w:t>
      </w:r>
      <w:r>
        <w:rPr>
          <w:szCs w:val="20"/>
        </w:rPr>
        <w:t xml:space="preserve"> года (4,3) и </w:t>
      </w:r>
      <w:r>
        <w:rPr>
          <w:szCs w:val="20"/>
        </w:rPr>
        <w:t xml:space="preserve">среднекраево</w:t>
      </w:r>
      <w:r>
        <w:rPr>
          <w:szCs w:val="20"/>
        </w:rPr>
        <w:t xml:space="preserve">му (3,7) (табл. 6, 11)</w:t>
      </w:r>
      <w:r>
        <w:rPr>
          <w:szCs w:val="20"/>
        </w:rPr>
        <w:t xml:space="preserve">.</w:t>
      </w:r>
      <w:r>
        <w:rPr>
          <w:szCs w:val="20"/>
        </w:rPr>
        <w:t xml:space="preserve"> </w:t>
      </w:r>
      <w:r>
        <w:rPr>
          <w:szCs w:val="20"/>
        </w:rPr>
      </w:r>
    </w:p>
    <w:p>
      <w:pPr>
        <w:pStyle w:val="BodyText"/>
        <w:spacing w:after="0"/>
        <w:ind w:right="-30" w:firstLine="709"/>
        <w:jc w:val="both"/>
        <w:rPr>
          <w:szCs w:val="20"/>
        </w:rPr>
      </w:pPr>
      <w:r>
        <w:t xml:space="preserve">Территория неблагополучия не определена, достоверных отличий показателей</w:t>
      </w:r>
      <w:r>
        <w:t xml:space="preserve"> алкогольных</w:t>
      </w:r>
      <w:r>
        <w:t xml:space="preserve"> отравлений от среднегородского не выявлено. В сравнении с аналогичным периодом прошлого года районные уровни отравлений</w:t>
      </w:r>
      <w:r>
        <w:t xml:space="preserve"> алкоголем и его суррогатами</w:t>
      </w:r>
      <w:r>
        <w:t xml:space="preserve"> не изменились, видимые отличия не достоверны</w:t>
      </w:r>
      <w:r>
        <w:rPr>
          <w:b/>
        </w:rPr>
        <w:t xml:space="preserve"> </w:t>
      </w:r>
      <w:r>
        <w:rPr>
          <w:szCs w:val="20"/>
        </w:rPr>
        <w:t xml:space="preserve">(табл.1</w:t>
      </w:r>
      <w:r>
        <w:rPr>
          <w:szCs w:val="20"/>
        </w:rPr>
        <w:t xml:space="preserve">1</w:t>
      </w:r>
      <w:r>
        <w:rPr>
          <w:szCs w:val="20"/>
        </w:rPr>
        <w:t xml:space="preserve">)</w:t>
      </w:r>
      <w:r>
        <w:rPr>
          <w:szCs w:val="20"/>
        </w:rPr>
        <w:t xml:space="preserve">.</w:t>
      </w:r>
    </w:p>
    <w:p>
      <w:pPr>
        <w:pStyle w:val="BodyText"/>
        <w:spacing w:after="0"/>
        <w:ind w:right="-30" w:firstLine="709"/>
        <w:jc w:val="right"/>
        <w:rPr>
          <w:szCs w:val="20"/>
        </w:rPr>
      </w:pPr>
      <w:r>
        <w:rPr>
          <w:szCs w:val="20"/>
        </w:rPr>
        <w:t xml:space="preserve">Таблица 11</w:t>
      </w:r>
    </w:p>
    <w:p>
      <w:pPr>
        <w:pStyle w:val="BodyText"/>
        <w:spacing w:after="0"/>
        <w:jc w:val="center"/>
        <w:rPr>
          <w:sz w:val="20"/>
          <w:szCs w:val="20"/>
        </w:rPr>
      </w:pPr>
      <w:r>
        <w:rPr>
          <w:sz w:val="20"/>
          <w:szCs w:val="20"/>
        </w:rPr>
      </w:r>
    </w:p>
    <w:p>
      <w:pPr>
        <w:pStyle w:val="BodyText"/>
        <w:spacing w:after="0"/>
        <w:jc w:val="center"/>
        <w:rPr>
          <w:b/>
          <w:szCs w:val="20"/>
        </w:rPr>
      </w:pPr>
      <w:r>
        <w:rPr>
          <w:b/>
          <w:szCs w:val="20"/>
        </w:rPr>
        <w:t xml:space="preserve">Уровн</w:t>
      </w:r>
      <w:r>
        <w:rPr>
          <w:b/>
          <w:szCs w:val="20"/>
        </w:rPr>
        <w:t xml:space="preserve">и</w:t>
      </w:r>
      <w:r>
        <w:rPr>
          <w:b/>
          <w:szCs w:val="20"/>
        </w:rPr>
        <w:t xml:space="preserve"> отравлений алкоголем и его суррогатами по районам г. Перми</w:t>
      </w:r>
    </w:p>
    <w:p>
      <w:pPr>
        <w:pStyle w:val="BodyText"/>
        <w:jc w:val="center"/>
        <w:rPr>
          <w:b/>
          <w:sz w:val="20"/>
          <w:szCs w:val="20"/>
        </w:rPr>
      </w:pPr>
      <w:r>
        <w:rPr>
          <w:b/>
          <w:szCs w:val="20"/>
        </w:rPr>
        <w:t xml:space="preserve">(на 100 тыс. населения)</w:t>
      </w:r>
      <w:r>
        <w:rPr>
          <w:b/>
          <w:sz w:val="20"/>
          <w:szCs w:val="20"/>
        </w:rPr>
      </w:r>
    </w:p>
    <w:tbl>
      <w:tblPr>
        <w:tblW w:w="898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199"/>
        <w:gridCol w:w="1308"/>
        <w:gridCol w:w="1092"/>
        <w:gridCol w:w="1318"/>
        <w:gridCol w:w="1469"/>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507"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2025</w:t>
            </w:r>
            <w:r>
              <w:rPr>
                <w:sz w:val="22"/>
                <w:szCs w:val="22"/>
              </w:rPr>
              <w:t xml:space="preserve">г.</w:t>
            </w:r>
            <w:r>
              <w:rPr>
                <w:b/>
                <w:sz w:val="22"/>
                <w:szCs w:val="22"/>
              </w:rPr>
            </w:r>
          </w:p>
        </w:tc>
        <w:tc>
          <w:tcPr>
            <w:tcW w:w="2410"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2024</w:t>
            </w:r>
            <w:r>
              <w:rPr>
                <w:sz w:val="22"/>
                <w:szCs w:val="22"/>
              </w:rPr>
              <w:t xml:space="preserve">г.</w:t>
            </w:r>
            <w:r>
              <w:rPr>
                <w:b/>
                <w:sz w:val="22"/>
                <w:szCs w:val="22"/>
              </w:rPr>
            </w:r>
          </w:p>
        </w:tc>
        <w:tc>
          <w:tcPr>
            <w:tcW w:w="1469"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199"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0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092"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318"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469"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199" w:type="dxa"/>
            <w:textDirection w:val="lrTb"/>
            <w:vAlign w:val="center"/>
          </w:tcPr>
          <w:p>
            <w:pPr>
              <w:pStyle w:val="Normal"/>
              <w:jc w:val="center"/>
              <w:rPr>
                <w:sz w:val="20"/>
                <w:szCs w:val="20"/>
              </w:rPr>
            </w:pPr>
            <w:r>
              <w:rPr>
                <w:sz w:val="20"/>
                <w:szCs w:val="20"/>
              </w:rPr>
            </w:r>
          </w:p>
        </w:tc>
        <w:tc>
          <w:tcPr>
            <w:tcW w:w="1308" w:type="dxa"/>
            <w:textDirection w:val="lrTb"/>
            <w:vAlign w:val="center"/>
          </w:tcPr>
          <w:p>
            <w:pPr>
              <w:pStyle w:val="Normal"/>
              <w:jc w:val="center"/>
              <w:rPr>
                <w:sz w:val="20"/>
                <w:szCs w:val="20"/>
              </w:rPr>
            </w:pPr>
            <w:r>
              <w:rPr>
                <w:sz w:val="20"/>
                <w:szCs w:val="20"/>
              </w:rPr>
            </w:r>
          </w:p>
        </w:tc>
        <w:tc>
          <w:tcPr>
            <w:tcW w:w="1092" w:type="dxa"/>
            <w:textDirection w:val="lrTb"/>
            <w:vAlign w:val="center"/>
          </w:tcPr>
          <w:p>
            <w:pPr>
              <w:pStyle w:val="Normal"/>
              <w:jc w:val="center"/>
              <w:rPr>
                <w:sz w:val="20"/>
                <w:szCs w:val="20"/>
              </w:rPr>
            </w:pPr>
            <w:r>
              <w:rPr>
                <w:sz w:val="20"/>
                <w:szCs w:val="20"/>
              </w:rPr>
              <w:t xml:space="preserve">2</w:t>
            </w:r>
          </w:p>
        </w:tc>
        <w:tc>
          <w:tcPr>
            <w:tcW w:w="1318" w:type="dxa"/>
            <w:textDirection w:val="lrTb"/>
            <w:vAlign w:val="center"/>
          </w:tcPr>
          <w:p>
            <w:pPr>
              <w:pStyle w:val="Normal"/>
              <w:jc w:val="center"/>
              <w:rPr>
                <w:sz w:val="20"/>
                <w:szCs w:val="20"/>
              </w:rPr>
            </w:pPr>
            <w:r>
              <w:rPr>
                <w:sz w:val="20"/>
                <w:szCs w:val="20"/>
              </w:rPr>
              <w:t xml:space="preserve">4,5</w:t>
            </w:r>
          </w:p>
        </w:tc>
        <w:tc>
          <w:tcPr>
            <w:tcW w:w="1469"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199" w:type="dxa"/>
            <w:textDirection w:val="lrTb"/>
            <w:vAlign w:val="center"/>
          </w:tcPr>
          <w:p>
            <w:pPr>
              <w:pStyle w:val="Normal"/>
              <w:jc w:val="center"/>
              <w:rPr>
                <w:sz w:val="20"/>
                <w:szCs w:val="20"/>
              </w:rPr>
            </w:pPr>
            <w:r>
              <w:rPr>
                <w:sz w:val="20"/>
                <w:szCs w:val="20"/>
              </w:rPr>
              <w:t xml:space="preserve">14</w:t>
            </w:r>
          </w:p>
        </w:tc>
        <w:tc>
          <w:tcPr>
            <w:tcW w:w="1308" w:type="dxa"/>
            <w:textDirection w:val="lrTb"/>
            <w:vAlign w:val="center"/>
          </w:tcPr>
          <w:p>
            <w:pPr>
              <w:pStyle w:val="Normal"/>
              <w:jc w:val="center"/>
              <w:rPr>
                <w:sz w:val="20"/>
                <w:szCs w:val="20"/>
              </w:rPr>
            </w:pPr>
            <w:r>
              <w:rPr>
                <w:sz w:val="20"/>
                <w:szCs w:val="20"/>
              </w:rPr>
              <w:t xml:space="preserve">6,5</w:t>
            </w:r>
          </w:p>
        </w:tc>
        <w:tc>
          <w:tcPr>
            <w:tcW w:w="1092" w:type="dxa"/>
            <w:textDirection w:val="lrTb"/>
            <w:vAlign w:val="center"/>
          </w:tcPr>
          <w:p>
            <w:pPr>
              <w:pStyle w:val="Normal"/>
              <w:jc w:val="center"/>
              <w:rPr>
                <w:sz w:val="20"/>
                <w:szCs w:val="20"/>
              </w:rPr>
            </w:pPr>
            <w:r>
              <w:rPr>
                <w:sz w:val="20"/>
                <w:szCs w:val="20"/>
              </w:rPr>
              <w:t xml:space="preserve">7</w:t>
            </w:r>
          </w:p>
        </w:tc>
        <w:tc>
          <w:tcPr>
            <w:tcW w:w="1318" w:type="dxa"/>
            <w:textDirection w:val="lrTb"/>
            <w:vAlign w:val="center"/>
          </w:tcPr>
          <w:p>
            <w:pPr>
              <w:pStyle w:val="Normal"/>
              <w:jc w:val="center"/>
              <w:rPr>
                <w:sz w:val="20"/>
                <w:szCs w:val="20"/>
              </w:rPr>
            </w:pPr>
            <w:r>
              <w:rPr>
                <w:sz w:val="20"/>
                <w:szCs w:val="20"/>
              </w:rPr>
              <w:t xml:space="preserve">3,3</w:t>
            </w:r>
          </w:p>
        </w:tc>
        <w:tc>
          <w:tcPr>
            <w:tcW w:w="1469" w:type="dxa"/>
            <w:textDirection w:val="lrTb"/>
            <w:vAlign w:val="bottom"/>
          </w:tcPr>
          <w:p>
            <w:pPr>
              <w:pStyle w:val="Normal"/>
              <w:jc w:val="center"/>
              <w:rPr>
                <w:sz w:val="20"/>
                <w:szCs w:val="20"/>
              </w:rPr>
            </w:pPr>
            <w:r>
              <w:rPr>
                <w:sz w:val="20"/>
                <w:szCs w:val="20"/>
              </w:rPr>
              <w:t xml:space="preserve">+ 7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199" w:type="dxa"/>
            <w:textDirection w:val="lrTb"/>
            <w:vAlign w:val="center"/>
          </w:tcPr>
          <w:p>
            <w:pPr>
              <w:pStyle w:val="Normal"/>
              <w:jc w:val="center"/>
              <w:rPr>
                <w:sz w:val="20"/>
                <w:szCs w:val="20"/>
              </w:rPr>
            </w:pPr>
            <w:r>
              <w:rPr>
                <w:sz w:val="20"/>
                <w:szCs w:val="20"/>
              </w:rPr>
              <w:t xml:space="preserve">4</w:t>
            </w:r>
          </w:p>
        </w:tc>
        <w:tc>
          <w:tcPr>
            <w:tcW w:w="1308" w:type="dxa"/>
            <w:textDirection w:val="lrTb"/>
            <w:vAlign w:val="center"/>
          </w:tcPr>
          <w:p>
            <w:pPr>
              <w:pStyle w:val="Normal"/>
              <w:jc w:val="center"/>
              <w:rPr>
                <w:sz w:val="20"/>
                <w:szCs w:val="20"/>
              </w:rPr>
            </w:pPr>
            <w:r>
              <w:rPr>
                <w:sz w:val="20"/>
                <w:szCs w:val="20"/>
              </w:rPr>
              <w:t xml:space="preserve">2,3</w:t>
            </w:r>
          </w:p>
        </w:tc>
        <w:tc>
          <w:tcPr>
            <w:tcW w:w="1092" w:type="dxa"/>
            <w:textDirection w:val="lrTb"/>
            <w:vAlign w:val="center"/>
          </w:tcPr>
          <w:p>
            <w:pPr>
              <w:pStyle w:val="Normal"/>
              <w:jc w:val="center"/>
              <w:rPr>
                <w:sz w:val="20"/>
                <w:szCs w:val="20"/>
              </w:rPr>
            </w:pPr>
            <w:r>
              <w:rPr>
                <w:sz w:val="20"/>
                <w:szCs w:val="20"/>
              </w:rPr>
              <w:t xml:space="preserve">6</w:t>
            </w:r>
          </w:p>
        </w:tc>
        <w:tc>
          <w:tcPr>
            <w:tcW w:w="1318" w:type="dxa"/>
            <w:textDirection w:val="lrTb"/>
            <w:vAlign w:val="center"/>
          </w:tcPr>
          <w:p>
            <w:pPr>
              <w:pStyle w:val="Normal"/>
              <w:jc w:val="center"/>
              <w:rPr>
                <w:sz w:val="20"/>
                <w:szCs w:val="20"/>
              </w:rPr>
            </w:pPr>
            <w:r>
              <w:rPr>
                <w:sz w:val="20"/>
                <w:szCs w:val="20"/>
              </w:rPr>
              <w:t xml:space="preserve">3,5</w:t>
            </w:r>
          </w:p>
        </w:tc>
        <w:tc>
          <w:tcPr>
            <w:tcW w:w="1469"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199" w:type="dxa"/>
            <w:textDirection w:val="lrTb"/>
            <w:vAlign w:val="center"/>
          </w:tcPr>
          <w:p>
            <w:pPr>
              <w:pStyle w:val="Normal"/>
              <w:jc w:val="center"/>
              <w:rPr>
                <w:sz w:val="20"/>
                <w:szCs w:val="20"/>
              </w:rPr>
            </w:pPr>
            <w:r>
              <w:rPr>
                <w:sz w:val="20"/>
                <w:szCs w:val="20"/>
              </w:rPr>
              <w:t xml:space="preserve">14</w:t>
            </w:r>
          </w:p>
        </w:tc>
        <w:tc>
          <w:tcPr>
            <w:tcW w:w="1308" w:type="dxa"/>
            <w:textDirection w:val="lrTb"/>
            <w:vAlign w:val="center"/>
          </w:tcPr>
          <w:p>
            <w:pPr>
              <w:pStyle w:val="Normal"/>
              <w:jc w:val="center"/>
              <w:rPr>
                <w:sz w:val="20"/>
                <w:szCs w:val="20"/>
              </w:rPr>
            </w:pPr>
            <w:r>
              <w:rPr>
                <w:sz w:val="20"/>
                <w:szCs w:val="20"/>
              </w:rPr>
              <w:t xml:space="preserve">7,6</w:t>
            </w:r>
          </w:p>
        </w:tc>
        <w:tc>
          <w:tcPr>
            <w:tcW w:w="1092" w:type="dxa"/>
            <w:textDirection w:val="lrTb"/>
            <w:vAlign w:val="center"/>
          </w:tcPr>
          <w:p>
            <w:pPr>
              <w:pStyle w:val="Normal"/>
              <w:jc w:val="center"/>
              <w:rPr>
                <w:sz w:val="20"/>
                <w:szCs w:val="20"/>
              </w:rPr>
            </w:pPr>
            <w:r>
              <w:rPr>
                <w:sz w:val="20"/>
                <w:szCs w:val="20"/>
              </w:rPr>
              <w:t xml:space="preserve">12</w:t>
            </w:r>
          </w:p>
        </w:tc>
        <w:tc>
          <w:tcPr>
            <w:tcW w:w="1318" w:type="dxa"/>
            <w:textDirection w:val="lrTb"/>
            <w:vAlign w:val="center"/>
          </w:tcPr>
          <w:p>
            <w:pPr>
              <w:pStyle w:val="Normal"/>
              <w:jc w:val="center"/>
              <w:rPr>
                <w:sz w:val="20"/>
                <w:szCs w:val="20"/>
              </w:rPr>
            </w:pPr>
            <w:r>
              <w:rPr>
                <w:sz w:val="20"/>
                <w:szCs w:val="20"/>
              </w:rPr>
              <w:t xml:space="preserve">6,5</w:t>
            </w:r>
          </w:p>
        </w:tc>
        <w:tc>
          <w:tcPr>
            <w:tcW w:w="1469"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199" w:type="dxa"/>
            <w:textDirection w:val="lrTb"/>
            <w:vAlign w:val="center"/>
          </w:tcPr>
          <w:p>
            <w:pPr>
              <w:pStyle w:val="Normal"/>
              <w:jc w:val="center"/>
              <w:rPr>
                <w:sz w:val="20"/>
                <w:szCs w:val="20"/>
              </w:rPr>
            </w:pPr>
            <w:r>
              <w:rPr>
                <w:sz w:val="20"/>
                <w:szCs w:val="20"/>
              </w:rPr>
              <w:t xml:space="preserve">7</w:t>
            </w:r>
          </w:p>
        </w:tc>
        <w:tc>
          <w:tcPr>
            <w:tcW w:w="1308" w:type="dxa"/>
            <w:textDirection w:val="lrTb"/>
            <w:vAlign w:val="center"/>
          </w:tcPr>
          <w:p>
            <w:pPr>
              <w:pStyle w:val="Normal"/>
              <w:jc w:val="center"/>
              <w:rPr>
                <w:sz w:val="20"/>
                <w:szCs w:val="20"/>
              </w:rPr>
            </w:pPr>
            <w:r>
              <w:rPr>
                <w:sz w:val="20"/>
                <w:szCs w:val="20"/>
              </w:rPr>
              <w:t xml:space="preserve">6,2</w:t>
            </w:r>
          </w:p>
        </w:tc>
        <w:tc>
          <w:tcPr>
            <w:tcW w:w="1092" w:type="dxa"/>
            <w:textDirection w:val="lrTb"/>
            <w:vAlign w:val="center"/>
          </w:tcPr>
          <w:p>
            <w:pPr>
              <w:pStyle w:val="Normal"/>
              <w:jc w:val="center"/>
              <w:rPr>
                <w:sz w:val="20"/>
                <w:szCs w:val="20"/>
              </w:rPr>
            </w:pPr>
            <w:r>
              <w:rPr>
                <w:sz w:val="20"/>
                <w:szCs w:val="20"/>
              </w:rPr>
              <w:t xml:space="preserve">2</w:t>
            </w:r>
          </w:p>
        </w:tc>
        <w:tc>
          <w:tcPr>
            <w:tcW w:w="1318" w:type="dxa"/>
            <w:textDirection w:val="lrTb"/>
            <w:vAlign w:val="center"/>
          </w:tcPr>
          <w:p>
            <w:pPr>
              <w:pStyle w:val="Normal"/>
              <w:jc w:val="center"/>
              <w:rPr>
                <w:sz w:val="20"/>
                <w:szCs w:val="20"/>
              </w:rPr>
            </w:pPr>
            <w:r>
              <w:rPr>
                <w:sz w:val="20"/>
                <w:szCs w:val="20"/>
              </w:rPr>
              <w:t xml:space="preserve">1,8</w:t>
            </w:r>
          </w:p>
        </w:tc>
        <w:tc>
          <w:tcPr>
            <w:tcW w:w="1469" w:type="dxa"/>
            <w:textDirection w:val="lrTb"/>
            <w:vAlign w:val="bottom"/>
          </w:tcPr>
          <w:p>
            <w:pPr>
              <w:pStyle w:val="Normal"/>
              <w:jc w:val="center"/>
              <w:rPr>
                <w:sz w:val="20"/>
                <w:szCs w:val="20"/>
              </w:rPr>
            </w:pPr>
            <w:r>
              <w:rPr>
                <w:sz w:val="20"/>
                <w:szCs w:val="20"/>
              </w:rPr>
              <w:t xml:space="preserve">+ 5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199" w:type="dxa"/>
            <w:textDirection w:val="lrTb"/>
            <w:vAlign w:val="center"/>
          </w:tcPr>
          <w:p>
            <w:pPr>
              <w:pStyle w:val="Normal"/>
              <w:jc w:val="center"/>
              <w:rPr>
                <w:sz w:val="20"/>
                <w:szCs w:val="20"/>
              </w:rPr>
            </w:pPr>
            <w:r>
              <w:rPr>
                <w:sz w:val="20"/>
                <w:szCs w:val="20"/>
              </w:rPr>
              <w:t xml:space="preserve">5</w:t>
            </w:r>
          </w:p>
        </w:tc>
        <w:tc>
          <w:tcPr>
            <w:tcW w:w="1308" w:type="dxa"/>
            <w:textDirection w:val="lrTb"/>
            <w:vAlign w:val="center"/>
          </w:tcPr>
          <w:p>
            <w:pPr>
              <w:pStyle w:val="Normal"/>
              <w:jc w:val="center"/>
              <w:rPr>
                <w:sz w:val="20"/>
                <w:szCs w:val="20"/>
              </w:rPr>
            </w:pPr>
            <w:r>
              <w:rPr>
                <w:sz w:val="20"/>
                <w:szCs w:val="20"/>
              </w:rPr>
              <w:t xml:space="preserve">3,9</w:t>
            </w:r>
          </w:p>
        </w:tc>
        <w:tc>
          <w:tcPr>
            <w:tcW w:w="1092" w:type="dxa"/>
            <w:textDirection w:val="lrTb"/>
            <w:vAlign w:val="center"/>
          </w:tcPr>
          <w:p>
            <w:pPr>
              <w:pStyle w:val="Normal"/>
              <w:jc w:val="center"/>
              <w:rPr>
                <w:sz w:val="20"/>
                <w:szCs w:val="20"/>
              </w:rPr>
            </w:pPr>
            <w:r>
              <w:rPr>
                <w:sz w:val="20"/>
                <w:szCs w:val="20"/>
              </w:rPr>
              <w:t xml:space="preserve">5</w:t>
            </w:r>
          </w:p>
        </w:tc>
        <w:tc>
          <w:tcPr>
            <w:tcW w:w="1318" w:type="dxa"/>
            <w:textDirection w:val="lrTb"/>
            <w:vAlign w:val="center"/>
          </w:tcPr>
          <w:p>
            <w:pPr>
              <w:pStyle w:val="Normal"/>
              <w:jc w:val="center"/>
              <w:rPr>
                <w:sz w:val="20"/>
                <w:szCs w:val="20"/>
              </w:rPr>
            </w:pPr>
            <w:r>
              <w:rPr>
                <w:sz w:val="20"/>
                <w:szCs w:val="20"/>
              </w:rPr>
              <w:t xml:space="preserve">3,9</w:t>
            </w:r>
          </w:p>
        </w:tc>
        <w:tc>
          <w:tcPr>
            <w:tcW w:w="1469" w:type="dxa"/>
            <w:textDirection w:val="lrTb"/>
            <w:vAlign w:val="bottom"/>
          </w:tcPr>
          <w:p>
            <w:pPr>
              <w:pStyle w:val="Normal"/>
              <w:jc w:val="center"/>
              <w:rPr>
                <w:sz w:val="20"/>
                <w:szCs w:val="20"/>
              </w:rPr>
            </w:pPr>
            <w:r>
              <w:rPr>
                <w:sz w:val="20"/>
                <w:szCs w:val="20"/>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199" w:type="dxa"/>
            <w:textDirection w:val="lrTb"/>
            <w:vAlign w:val="center"/>
          </w:tcPr>
          <w:p>
            <w:pPr>
              <w:pStyle w:val="Normal"/>
              <w:jc w:val="center"/>
              <w:rPr>
                <w:sz w:val="20"/>
                <w:szCs w:val="20"/>
              </w:rPr>
            </w:pPr>
            <w:r>
              <w:rPr>
                <w:sz w:val="20"/>
                <w:szCs w:val="20"/>
              </w:rPr>
              <w:t xml:space="preserve">10</w:t>
            </w:r>
          </w:p>
        </w:tc>
        <w:tc>
          <w:tcPr>
            <w:tcW w:w="1308" w:type="dxa"/>
            <w:textDirection w:val="lrTb"/>
            <w:vAlign w:val="center"/>
          </w:tcPr>
          <w:p>
            <w:pPr>
              <w:pStyle w:val="Normal"/>
              <w:jc w:val="center"/>
              <w:rPr>
                <w:sz w:val="20"/>
                <w:szCs w:val="20"/>
              </w:rPr>
            </w:pPr>
            <w:r>
              <w:rPr>
                <w:sz w:val="20"/>
                <w:szCs w:val="20"/>
              </w:rPr>
              <w:t xml:space="preserve">5,9</w:t>
            </w:r>
          </w:p>
        </w:tc>
        <w:tc>
          <w:tcPr>
            <w:tcW w:w="1092" w:type="dxa"/>
            <w:textDirection w:val="lrTb"/>
            <w:vAlign w:val="center"/>
          </w:tcPr>
          <w:p>
            <w:pPr>
              <w:pStyle w:val="Normal"/>
              <w:jc w:val="center"/>
              <w:rPr>
                <w:sz w:val="20"/>
                <w:szCs w:val="20"/>
              </w:rPr>
            </w:pPr>
            <w:r>
              <w:rPr>
                <w:sz w:val="20"/>
                <w:szCs w:val="20"/>
              </w:rPr>
              <w:t xml:space="preserve">10</w:t>
            </w:r>
          </w:p>
        </w:tc>
        <w:tc>
          <w:tcPr>
            <w:tcW w:w="1318" w:type="dxa"/>
            <w:textDirection w:val="lrTb"/>
            <w:vAlign w:val="center"/>
          </w:tcPr>
          <w:p>
            <w:pPr>
              <w:pStyle w:val="Normal"/>
              <w:jc w:val="center"/>
              <w:rPr>
                <w:sz w:val="20"/>
                <w:szCs w:val="20"/>
              </w:rPr>
            </w:pPr>
            <w:r>
              <w:rPr>
                <w:sz w:val="20"/>
                <w:szCs w:val="20"/>
              </w:rPr>
              <w:t xml:space="preserve">5,9</w:t>
            </w:r>
          </w:p>
        </w:tc>
        <w:tc>
          <w:tcPr>
            <w:tcW w:w="1469" w:type="dxa"/>
            <w:textDirection w:val="lrTb"/>
            <w:vAlign w:val="bottom"/>
          </w:tcPr>
          <w:p>
            <w:pPr>
              <w:pStyle w:val="Normal"/>
              <w:jc w:val="center"/>
              <w:rPr>
                <w:sz w:val="20"/>
                <w:szCs w:val="20"/>
              </w:rPr>
            </w:pPr>
            <w:r>
              <w:rPr>
                <w:sz w:val="20"/>
                <w:szCs w:val="20"/>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г.Пермь</w:t>
            </w:r>
          </w:p>
        </w:tc>
        <w:tc>
          <w:tcPr>
            <w:tcW w:w="1199" w:type="dxa"/>
            <w:textDirection w:val="lrTb"/>
            <w:vAlign w:val="center"/>
          </w:tcPr>
          <w:p>
            <w:pPr>
              <w:pStyle w:val="Normal"/>
              <w:jc w:val="center"/>
              <w:rPr>
                <w:b/>
                <w:sz w:val="20"/>
                <w:szCs w:val="20"/>
              </w:rPr>
            </w:pPr>
            <w:r>
              <w:rPr>
                <w:b/>
                <w:sz w:val="20"/>
                <w:szCs w:val="20"/>
              </w:rPr>
              <w:t xml:space="preserve">54</w:t>
            </w:r>
          </w:p>
        </w:tc>
        <w:tc>
          <w:tcPr>
            <w:tcW w:w="1308" w:type="dxa"/>
            <w:textDirection w:val="lrTb"/>
            <w:vAlign w:val="center"/>
          </w:tcPr>
          <w:p>
            <w:pPr>
              <w:pStyle w:val="Normal"/>
              <w:jc w:val="center"/>
              <w:rPr>
                <w:b/>
                <w:sz w:val="20"/>
                <w:szCs w:val="20"/>
              </w:rPr>
            </w:pPr>
            <w:r>
              <w:rPr>
                <w:b/>
                <w:sz w:val="20"/>
                <w:szCs w:val="20"/>
              </w:rPr>
              <w:t xml:space="preserve">5,3</w:t>
            </w:r>
          </w:p>
        </w:tc>
        <w:tc>
          <w:tcPr>
            <w:tcW w:w="1092" w:type="dxa"/>
            <w:textDirection w:val="lrTb"/>
            <w:vAlign w:val="center"/>
          </w:tcPr>
          <w:p>
            <w:pPr>
              <w:pStyle w:val="Normal"/>
              <w:jc w:val="center"/>
              <w:rPr>
                <w:b/>
                <w:sz w:val="20"/>
                <w:szCs w:val="20"/>
              </w:rPr>
            </w:pPr>
            <w:r>
              <w:rPr>
                <w:b/>
                <w:sz w:val="20"/>
                <w:szCs w:val="20"/>
              </w:rPr>
              <w:t xml:space="preserve">44</w:t>
            </w:r>
          </w:p>
        </w:tc>
        <w:tc>
          <w:tcPr>
            <w:tcW w:w="1318" w:type="dxa"/>
            <w:textDirection w:val="lrTb"/>
            <w:vAlign w:val="center"/>
          </w:tcPr>
          <w:p>
            <w:pPr>
              <w:pStyle w:val="Normal"/>
              <w:jc w:val="center"/>
              <w:rPr>
                <w:b/>
                <w:sz w:val="20"/>
                <w:szCs w:val="20"/>
              </w:rPr>
            </w:pPr>
            <w:r>
              <w:rPr>
                <w:b/>
                <w:sz w:val="20"/>
                <w:szCs w:val="20"/>
              </w:rPr>
              <w:t xml:space="preserve">4,3</w:t>
            </w:r>
          </w:p>
        </w:tc>
        <w:tc>
          <w:tcPr>
            <w:tcW w:w="1469" w:type="dxa"/>
            <w:textDirection w:val="lrTb"/>
            <w:vAlign w:val="bottom"/>
          </w:tcPr>
          <w:p>
            <w:pPr>
              <w:pStyle w:val="Normal"/>
              <w:jc w:val="center"/>
              <w:rPr>
                <w:b/>
                <w:sz w:val="20"/>
                <w:szCs w:val="20"/>
              </w:rPr>
            </w:pPr>
            <w:r>
              <w:rPr>
                <w:b/>
                <w:sz w:val="20"/>
                <w:szCs w:val="20"/>
              </w:rPr>
              <w:t xml:space="preserve">22,7</w:t>
            </w:r>
            <w:r>
              <w:rPr>
                <w:b/>
                <w:sz w:val="20"/>
                <w:szCs w:val="20"/>
              </w:rPr>
              <w:t xml:space="preserve"> %</w:t>
            </w:r>
            <w:r>
              <w:rPr>
                <w:b/>
                <w:sz w:val="20"/>
                <w:szCs w:val="20"/>
              </w:rPr>
            </w:r>
          </w:p>
        </w:tc>
      </w:tr>
    </w:tbl>
    <w:p>
      <w:pPr>
        <w:pStyle w:val="BodyText"/>
        <w:spacing w:after="0"/>
        <w:ind w:firstLine="709"/>
        <w:jc w:val="both"/>
        <w:rPr>
          <w:szCs w:val="20"/>
        </w:rPr>
      </w:pPr>
      <w:r>
        <w:rPr>
          <w:szCs w:val="20"/>
        </w:rPr>
      </w:r>
    </w:p>
    <w:p>
      <w:pPr>
        <w:pStyle w:val="BodyText"/>
        <w:spacing w:after="0"/>
        <w:ind w:firstLine="709"/>
        <w:jc w:val="both"/>
        <w:rPr>
          <w:szCs w:val="20"/>
        </w:rPr>
      </w:pPr>
      <w:r>
        <w:rPr>
          <w:szCs w:val="20"/>
        </w:rPr>
        <w:t xml:space="preserve">В социальной структуре </w:t>
      </w:r>
      <w:r>
        <w:rPr>
          <w:szCs w:val="20"/>
        </w:rPr>
        <w:t xml:space="preserve">лиц </w:t>
      </w:r>
      <w:r>
        <w:rPr>
          <w:szCs w:val="20"/>
        </w:rPr>
        <w:t xml:space="preserve">отравившихся алкоголем, по-прежнему, наибольший удельный вес занимают </w:t>
      </w:r>
      <w:r>
        <w:rPr>
          <w:szCs w:val="20"/>
        </w:rPr>
        <w:t xml:space="preserve">безработные</w:t>
      </w:r>
      <w:r>
        <w:rPr>
          <w:szCs w:val="20"/>
        </w:rPr>
        <w:t xml:space="preserve"> (</w:t>
      </w:r>
      <w:r>
        <w:rPr>
          <w:szCs w:val="20"/>
        </w:rPr>
        <w:t xml:space="preserve">51,9</w:t>
      </w:r>
      <w:r>
        <w:rPr>
          <w:szCs w:val="20"/>
        </w:rPr>
        <w:t xml:space="preserve">%)</w:t>
      </w:r>
      <w:r>
        <w:rPr>
          <w:szCs w:val="20"/>
        </w:rPr>
        <w:t xml:space="preserve">.</w:t>
      </w:r>
    </w:p>
    <w:p>
      <w:pPr>
        <w:pStyle w:val="BodyTextIndent2"/>
        <w:ind w:firstLine="709"/>
      </w:pPr>
      <w:r>
        <w:t xml:space="preserve">Группа</w:t>
      </w:r>
      <w:r>
        <w:t xml:space="preserve"> риска по возрасту </w:t>
      </w:r>
      <w:r>
        <w:t xml:space="preserve">не определена, достоверных отличий не выявлено</w:t>
      </w:r>
      <w:r>
        <w:t xml:space="preserve">.</w:t>
      </w:r>
    </w:p>
    <w:p>
      <w:pPr>
        <w:pStyle w:val="BodyTextIndent2"/>
        <w:ind w:firstLine="709"/>
        <w:rPr>
          <w:szCs w:val="20"/>
        </w:rPr>
      </w:pPr>
      <w:r>
        <w:rPr>
          <w:szCs w:val="20"/>
        </w:rPr>
        <w:t xml:space="preserve">68,5 % случаев отравлений </w:t>
      </w:r>
      <w:r>
        <w:rPr>
          <w:szCs w:val="20"/>
        </w:rPr>
        <w:t xml:space="preserve">алкоголем и его суррогатами </w:t>
      </w:r>
      <w:r>
        <w:rPr>
          <w:szCs w:val="20"/>
        </w:rPr>
        <w:t xml:space="preserve">формирует </w:t>
      </w:r>
      <w:r>
        <w:rPr>
          <w:szCs w:val="20"/>
        </w:rPr>
        <w:t xml:space="preserve">му</w:t>
      </w:r>
      <w:r>
        <w:rPr>
          <w:szCs w:val="20"/>
        </w:rPr>
        <w:t xml:space="preserve">ж</w:t>
      </w:r>
      <w:r>
        <w:rPr>
          <w:szCs w:val="20"/>
        </w:rPr>
        <w:t xml:space="preserve">ско</w:t>
      </w:r>
      <w:r>
        <w:rPr>
          <w:szCs w:val="20"/>
        </w:rPr>
        <w:t xml:space="preserve">е</w:t>
      </w:r>
      <w:r>
        <w:rPr>
          <w:szCs w:val="20"/>
        </w:rPr>
        <w:t xml:space="preserve"> населени</w:t>
      </w:r>
      <w:r>
        <w:rPr>
          <w:szCs w:val="20"/>
        </w:rPr>
        <w:t xml:space="preserve">е</w:t>
      </w:r>
      <w:r>
        <w:rPr>
          <w:szCs w:val="20"/>
        </w:rPr>
        <w:t xml:space="preserve">. Показатель отравлений среди мужчин достоверно превысил таковой среди же</w:t>
      </w:r>
      <w:r>
        <w:rPr>
          <w:szCs w:val="20"/>
        </w:rPr>
        <w:t xml:space="preserve">н</w:t>
      </w:r>
      <w:r>
        <w:rPr>
          <w:szCs w:val="20"/>
        </w:rPr>
        <w:t xml:space="preserve">щин в </w:t>
      </w:r>
      <w:r>
        <w:rPr>
          <w:szCs w:val="20"/>
        </w:rPr>
        <w:t xml:space="preserve">2,7</w:t>
      </w:r>
      <w:r>
        <w:rPr>
          <w:szCs w:val="20"/>
        </w:rPr>
        <w:t xml:space="preserve"> раз</w:t>
      </w:r>
      <w:r>
        <w:rPr>
          <w:szCs w:val="20"/>
        </w:rPr>
        <w:t xml:space="preserve">а</w:t>
      </w:r>
      <w:r>
        <w:rPr>
          <w:szCs w:val="20"/>
        </w:rPr>
        <w:t xml:space="preserve"> (</w:t>
      </w:r>
      <w:r>
        <w:rPr>
          <w:szCs w:val="20"/>
        </w:rPr>
        <w:t xml:space="preserve">8,1</w:t>
      </w:r>
      <w:r>
        <w:rPr>
          <w:szCs w:val="20"/>
        </w:rPr>
        <w:t xml:space="preserve"> на 100 тыс. соответствующего населения против </w:t>
      </w:r>
      <w:r>
        <w:rPr>
          <w:szCs w:val="20"/>
        </w:rPr>
        <w:t xml:space="preserve">3,0). </w:t>
      </w:r>
      <w:r>
        <w:t xml:space="preserve">Групп</w:t>
      </w:r>
      <w:r>
        <w:t xml:space="preserve">а</w:t>
      </w:r>
      <w:r>
        <w:t xml:space="preserve"> риска по возрасту и полу </w:t>
      </w:r>
      <w:r>
        <w:t xml:space="preserve">не определена, достоверных отличий не выявлено.</w:t>
      </w:r>
      <w:r>
        <w:rPr>
          <w:szCs w:val="20"/>
        </w:rPr>
      </w:r>
    </w:p>
    <w:p>
      <w:pPr>
        <w:pStyle w:val="BodyText"/>
        <w:spacing w:after="0"/>
        <w:ind w:firstLine="709"/>
        <w:jc w:val="both"/>
        <w:rPr>
          <w:szCs w:val="20"/>
        </w:rPr>
      </w:pPr>
      <w:r>
        <w:rPr>
          <w:szCs w:val="20"/>
        </w:rPr>
        <w:t xml:space="preserve">За 1 квартал 2025 года среди детей было</w:t>
      </w:r>
      <w:r>
        <w:rPr>
          <w:szCs w:val="20"/>
        </w:rPr>
        <w:t xml:space="preserve"> зарегистрирован</w:t>
      </w:r>
      <w:r>
        <w:rPr>
          <w:szCs w:val="20"/>
        </w:rPr>
        <w:t xml:space="preserve">о 8 случаев</w:t>
      </w:r>
      <w:r>
        <w:rPr>
          <w:szCs w:val="20"/>
        </w:rPr>
        <w:t xml:space="preserve"> </w:t>
      </w:r>
      <w:r>
        <w:rPr>
          <w:szCs w:val="20"/>
        </w:rPr>
        <w:t xml:space="preserve">отравлений алкоголем, подростков – 1 случай</w:t>
      </w:r>
      <w:r>
        <w:rPr>
          <w:szCs w:val="20"/>
        </w:rPr>
        <w:t xml:space="preserve">.</w:t>
      </w:r>
      <w:r>
        <w:rPr>
          <w:szCs w:val="20"/>
        </w:rPr>
        <w:t xml:space="preserve"> </w:t>
      </w:r>
      <w:r>
        <w:rPr>
          <w:szCs w:val="20"/>
        </w:rPr>
      </w:r>
    </w:p>
    <w:p>
      <w:pPr>
        <w:pStyle w:val="Normal"/>
        <w:ind w:firstLine="709"/>
        <w:jc w:val="both"/>
        <w:rPr>
          <w:szCs w:val="20"/>
        </w:rPr>
      </w:pPr>
      <w:r>
        <w:rPr>
          <w:szCs w:val="20"/>
        </w:rPr>
        <w:t xml:space="preserve">Распределение случаев отравлений алкоголем и его суррогатами среди подростков по районам города представлено в таблице 1</w:t>
      </w:r>
      <w:r>
        <w:rPr>
          <w:szCs w:val="20"/>
        </w:rPr>
        <w:t xml:space="preserve">2</w:t>
      </w:r>
      <w:r>
        <w:rPr>
          <w:szCs w:val="20"/>
        </w:rPr>
        <w:t xml:space="preserve">.</w:t>
      </w:r>
      <w:r>
        <w:rPr>
          <w:szCs w:val="20"/>
        </w:rPr>
      </w:r>
    </w:p>
    <w:p>
      <w:pPr>
        <w:pStyle w:val="Normal"/>
        <w:ind w:firstLine="709"/>
        <w:jc w:val="right"/>
        <w:rPr>
          <w:szCs w:val="20"/>
        </w:rPr>
      </w:pPr>
      <w:r>
        <w:rPr>
          <w:szCs w:val="20"/>
        </w:rPr>
      </w:r>
    </w:p>
    <w:p>
      <w:pPr>
        <w:pStyle w:val="Normal"/>
        <w:ind w:firstLine="709"/>
        <w:jc w:val="right"/>
        <w:rPr>
          <w:szCs w:val="20"/>
        </w:rPr>
      </w:pPr>
      <w:r>
        <w:rPr>
          <w:szCs w:val="20"/>
        </w:rPr>
        <w:t xml:space="preserve">Таблица 12</w:t>
      </w:r>
    </w:p>
    <w:p>
      <w:pPr>
        <w:pStyle w:val="Normal"/>
        <w:jc w:val="center"/>
        <w:rPr>
          <w:b/>
        </w:rPr>
      </w:pPr>
      <w:r>
        <w:rPr>
          <w:b/>
        </w:rPr>
        <w:t xml:space="preserve">Показатели отравлений алкоголем </w:t>
      </w:r>
    </w:p>
    <w:p>
      <w:pPr>
        <w:pStyle w:val="Normal"/>
        <w:jc w:val="center"/>
        <w:rPr>
          <w:b/>
        </w:rPr>
      </w:pPr>
      <w:r>
        <w:rPr>
          <w:b/>
        </w:rPr>
        <w:t xml:space="preserve">по районам города среди детей и подростков за 1 кв. 2025г.</w:t>
      </w:r>
    </w:p>
    <w:p>
      <w:pPr>
        <w:pStyle w:val="Normal"/>
        <w:jc w:val="center"/>
        <w:rPr>
          <w:b/>
        </w:rPr>
      </w:pPr>
      <w:r>
        <w:rPr>
          <w:b/>
        </w:rPr>
        <w:t xml:space="preserve"> (на 100 тыс. соответствующего населения)</w:t>
      </w:r>
    </w:p>
    <w:p>
      <w:pPr>
        <w:pStyle w:val="Normal"/>
        <w:jc w:val="center"/>
        <w:rPr>
          <w:b/>
        </w:rPr>
      </w:pPr>
      <w:r>
        <w:rPr>
          <w:b/>
        </w:rPr>
      </w:r>
    </w:p>
    <w:tbl>
      <w:tblPr>
        <w:tblW w:w="6000" w:type="dxa"/>
        <w:jc w:val="center"/>
        <w:tblInd w:w="93" w:type="dxa"/>
        <w:tblLayout w:type="autofit"/>
        <w:tblCellMar>
          <w:left w:w="108" w:type="dxa"/>
          <w:top w:w="0" w:type="dxa"/>
          <w:right w:w="108" w:type="dxa"/>
          <w:bottom w:w="0" w:type="dxa"/>
        </w:tblCellMar>
      </w:tblPr>
      <w:tblGrid>
        <w:gridCol w:w="2160"/>
        <w:gridCol w:w="960"/>
        <w:gridCol w:w="960"/>
        <w:gridCol w:w="960"/>
        <w:gridCol w:w="960"/>
      </w:tblGrid>
      <w:tr>
        <w:trPr>
          <w:trHeight w:val="270"/>
        </w:trPr>
        <w:tc>
          <w:tcPr>
            <w:tcW w:w="2160" w:type="dxa"/>
            <w:vMerge w:val="restart"/>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1920" w:type="dxa"/>
            <w:gridSpan w:val="2"/>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дети</w:t>
            </w:r>
            <w:r>
              <w:rPr>
                <w:sz w:val="22"/>
                <w:szCs w:val="22"/>
              </w:rPr>
            </w:r>
          </w:p>
        </w:tc>
        <w:tc>
          <w:tcPr>
            <w:tcW w:w="1920" w:type="dxa"/>
            <w:gridSpan w:val="2"/>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подростки</w:t>
            </w:r>
            <w:r>
              <w:rPr>
                <w:sz w:val="22"/>
                <w:szCs w:val="22"/>
              </w:rPr>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6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Свердловский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2,5</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14,2</w:t>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Дзержинский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2,9</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Мотовилихинский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5,5</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Орджоникидзевский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1</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4,5</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r>
      <w:tr>
        <w:trPr>
          <w:trHeight w:val="270"/>
        </w:trPr>
        <w:tc>
          <w:tcPr>
            <w:tcW w:w="2160" w:type="dxa"/>
            <w:tcBorders>
              <w:top w:val="single" w:color="000000" w:sz="8" w:space="0"/>
              <w:left w:val="single" w:color="000000" w:sz="8" w:space="0"/>
              <w:bottom w:val="single" w:color="000000" w:sz="8" w:space="0"/>
              <w:right w:val="single" w:color="000000" w:sz="8" w:space="0"/>
            </w:tcBorders>
            <w:textDirection w:val="lrTb"/>
            <w:vAlign w:val="bottom"/>
          </w:tcPr>
          <w:p>
            <w:pPr>
              <w:pStyle w:val="Normal"/>
              <w:rPr>
                <w:sz w:val="22"/>
                <w:szCs w:val="22"/>
              </w:rPr>
            </w:pPr>
            <w:r>
              <w:rPr>
                <w:sz w:val="22"/>
                <w:szCs w:val="22"/>
              </w:rPr>
              <w:t xml:space="preserve">Индустриальный</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3</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t xml:space="preserve">10,2</w:t>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c>
          <w:tcPr>
            <w:tcW w:w="960" w:type="dxa"/>
            <w:tcBorders>
              <w:top w:val="single" w:color="000000" w:sz="4" w:space="0"/>
              <w:left w:val="none" w:color="FFFFFF" w:sz="255" w:space="0"/>
              <w:bottom w:val="single" w:color="000000" w:sz="8" w:space="0"/>
              <w:right w:val="single" w:color="000000" w:sz="8" w:space="0"/>
            </w:tcBorders>
            <w:textDirection w:val="lrTb"/>
            <w:vAlign w:val="center"/>
          </w:tcPr>
          <w:p>
            <w:pPr>
              <w:pStyle w:val="Normal"/>
              <w:jc w:val="center"/>
              <w:rPr>
                <w:sz w:val="22"/>
                <w:szCs w:val="22"/>
              </w:rPr>
            </w:pPr>
            <w:r>
              <w:rPr>
                <w:sz w:val="22"/>
                <w:szCs w:val="22"/>
              </w:rPr>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г.Пермь</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2"/>
                <w:szCs w:val="22"/>
              </w:rPr>
            </w:pPr>
            <w:r>
              <w:rPr>
                <w:b/>
                <w:sz w:val="22"/>
                <w:szCs w:val="22"/>
              </w:rPr>
              <w:t xml:space="preserve">8</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2"/>
                <w:szCs w:val="22"/>
              </w:rPr>
            </w:pPr>
            <w:r>
              <w:rPr>
                <w:b/>
                <w:sz w:val="22"/>
                <w:szCs w:val="22"/>
              </w:rPr>
              <w:t xml:space="preserve">4,2</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2"/>
                <w:szCs w:val="22"/>
              </w:rPr>
            </w:pPr>
            <w:r>
              <w:rPr>
                <w:b/>
                <w:sz w:val="22"/>
                <w:szCs w:val="22"/>
              </w:rPr>
              <w:t xml:space="preserve">1</w:t>
            </w:r>
          </w:p>
        </w:tc>
        <w:tc>
          <w:tcPr>
            <w:tcW w:w="96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2"/>
                <w:szCs w:val="22"/>
              </w:rPr>
            </w:pPr>
            <w:r>
              <w:rPr>
                <w:b/>
                <w:sz w:val="22"/>
                <w:szCs w:val="22"/>
              </w:rPr>
              <w:t xml:space="preserve">2,7</w:t>
            </w:r>
          </w:p>
        </w:tc>
      </w:tr>
    </w:tbl>
    <w:p>
      <w:pPr>
        <w:pStyle w:val="Normal"/>
        <w:jc w:val="center"/>
        <w:rPr>
          <w:b/>
          <w:u w:val="single"/>
        </w:rPr>
      </w:pPr>
      <w:r>
        <w:rPr>
          <w:b/>
          <w:u w:val="single"/>
        </w:rPr>
      </w:r>
    </w:p>
    <w:p>
      <w:pPr>
        <w:pStyle w:val="BodyText"/>
        <w:spacing w:after="0"/>
        <w:ind w:firstLine="709"/>
        <w:jc w:val="both"/>
        <w:rPr>
          <w:szCs w:val="20"/>
        </w:rPr>
      </w:pPr>
      <w:r>
        <w:rPr>
          <w:szCs w:val="20"/>
        </w:rPr>
      </w:r>
    </w:p>
    <w:p>
      <w:pPr>
        <w:pStyle w:val="BodyText"/>
        <w:spacing w:after="0"/>
        <w:ind w:firstLine="709"/>
        <w:jc w:val="both"/>
        <w:rPr>
          <w:b/>
          <w:color w:val="000000"/>
          <w:sz w:val="26"/>
          <w:szCs w:val="26"/>
          <w:u w:val="single"/>
        </w:rPr>
      </w:pPr>
      <w:r>
        <w:rPr>
          <w:szCs w:val="20"/>
        </w:rPr>
        <w:t xml:space="preserve">Из </w:t>
      </w:r>
      <w:r>
        <w:rPr>
          <w:szCs w:val="20"/>
        </w:rPr>
        <w:t xml:space="preserve">54</w:t>
      </w:r>
      <w:r>
        <w:rPr>
          <w:szCs w:val="20"/>
        </w:rPr>
        <w:t xml:space="preserve"> зарегистрированн</w:t>
      </w:r>
      <w:r>
        <w:rPr>
          <w:szCs w:val="20"/>
        </w:rPr>
        <w:t xml:space="preserve">ых</w:t>
      </w:r>
      <w:r>
        <w:rPr>
          <w:szCs w:val="20"/>
        </w:rPr>
        <w:t xml:space="preserve"> отравлен</w:t>
      </w:r>
      <w:r>
        <w:rPr>
          <w:szCs w:val="20"/>
        </w:rPr>
        <w:t xml:space="preserve">ий</w:t>
      </w:r>
      <w:r>
        <w:rPr>
          <w:szCs w:val="20"/>
        </w:rPr>
        <w:t xml:space="preserve"> алкоголем и его суррогатами </w:t>
      </w:r>
      <w:r>
        <w:rPr>
          <w:szCs w:val="20"/>
        </w:rPr>
        <w:t xml:space="preserve">37</w:t>
      </w:r>
      <w:r>
        <w:rPr>
          <w:szCs w:val="20"/>
        </w:rPr>
        <w:t xml:space="preserve"> (</w:t>
      </w:r>
      <w:r>
        <w:rPr>
          <w:szCs w:val="20"/>
        </w:rPr>
        <w:t xml:space="preserve">68,5 </w:t>
      </w:r>
      <w:r>
        <w:rPr>
          <w:szCs w:val="20"/>
        </w:rPr>
        <w:t xml:space="preserve">%) закончились летальным исходом. Показатель смертельных отравлений алкоголем </w:t>
      </w:r>
      <w:r>
        <w:rPr>
          <w:szCs w:val="20"/>
        </w:rPr>
        <w:t xml:space="preserve">(2,5 на 100 тыс. населения) остался на уровне 1 квартала прошлого года   и </w:t>
      </w:r>
      <w:r>
        <w:rPr>
          <w:szCs w:val="20"/>
        </w:rPr>
        <w:t xml:space="preserve">среднекраев</w:t>
      </w:r>
      <w:r>
        <w:rPr>
          <w:szCs w:val="20"/>
        </w:rPr>
        <w:t xml:space="preserve">ого (табл. 6)</w:t>
      </w:r>
      <w:r>
        <w:rPr>
          <w:szCs w:val="20"/>
        </w:rPr>
        <w:t xml:space="preserve">.</w:t>
      </w:r>
      <w:r>
        <w:rPr>
          <w:szCs w:val="20"/>
        </w:rPr>
        <w:t xml:space="preserve"> </w:t>
      </w:r>
      <w:r>
        <w:rPr>
          <w:b/>
          <w:color w:val="000000"/>
          <w:sz w:val="26"/>
          <w:szCs w:val="26"/>
          <w:u w:val="single"/>
        </w:rPr>
      </w:r>
    </w:p>
    <w:p>
      <w:pPr>
        <w:pStyle w:val="Normal"/>
        <w:jc w:val="center"/>
        <w:rPr>
          <w:b/>
          <w:color w:val="000000"/>
          <w:sz w:val="26"/>
          <w:szCs w:val="26"/>
          <w:u w:val="single"/>
        </w:rPr>
      </w:pPr>
      <w:r>
        <w:rPr>
          <w:b/>
          <w:color w:val="000000"/>
          <w:sz w:val="26"/>
          <w:szCs w:val="26"/>
          <w:u w:val="single"/>
        </w:rPr>
      </w:r>
    </w:p>
    <w:p>
      <w:pPr>
        <w:pStyle w:val="Normal"/>
        <w:jc w:val="center"/>
        <w:rPr>
          <w:b/>
          <w:color w:val="000000"/>
          <w:sz w:val="26"/>
          <w:szCs w:val="26"/>
          <w:u w:val="single"/>
        </w:rPr>
      </w:pPr>
      <w:r>
        <w:rPr>
          <w:b/>
          <w:color w:val="000000"/>
          <w:sz w:val="26"/>
          <w:szCs w:val="26"/>
          <w:u w:val="single"/>
        </w:rPr>
        <w:t xml:space="preserve">7. Анализ</w:t>
      </w:r>
      <w:r>
        <w:rPr>
          <w:rFonts w:ascii="Arial" w:hAnsi="Arial" w:cs="Arial"/>
          <w:b/>
          <w:color w:val="000000"/>
          <w:sz w:val="26"/>
          <w:szCs w:val="26"/>
          <w:u w:val="single"/>
        </w:rPr>
        <w:t xml:space="preserve"> </w:t>
      </w:r>
      <w:r>
        <w:rPr>
          <w:b/>
          <w:color w:val="000000"/>
          <w:sz w:val="26"/>
          <w:szCs w:val="26"/>
          <w:u w:val="single"/>
        </w:rPr>
        <w:t xml:space="preserve">отравлений наркотическими веществами</w:t>
      </w:r>
      <w:r>
        <w:rPr>
          <w:b/>
          <w:color w:val="000000"/>
          <w:sz w:val="26"/>
          <w:szCs w:val="26"/>
          <w:u w:val="single"/>
        </w:rPr>
      </w:r>
    </w:p>
    <w:p>
      <w:pPr>
        <w:pStyle w:val="Normal"/>
        <w:jc w:val="center"/>
        <w:rPr>
          <w:b/>
          <w:bCs/>
          <w:color w:val="000000"/>
          <w:u w:val="single"/>
        </w:rPr>
      </w:pPr>
      <w:r>
        <w:rPr>
          <w:b/>
          <w:bCs/>
          <w:color w:val="000000"/>
          <w:u w:val="single"/>
        </w:rPr>
      </w:r>
    </w:p>
    <w:p>
      <w:pPr>
        <w:pStyle w:val="BodyText"/>
        <w:spacing w:after="0"/>
        <w:ind w:firstLine="709"/>
        <w:jc w:val="both"/>
        <w:rPr>
          <w:b/>
          <w:i/>
        </w:rPr>
      </w:pPr>
      <w:r>
        <w:rPr>
          <w:iCs/>
          <w:szCs w:val="20"/>
        </w:rPr>
        <w:t xml:space="preserve">За 1 квартал </w:t>
      </w:r>
      <w:r>
        <w:rPr>
          <w:iCs/>
          <w:szCs w:val="20"/>
        </w:rPr>
        <w:t xml:space="preserve">2025</w:t>
      </w:r>
      <w:r>
        <w:rPr>
          <w:iCs/>
          <w:szCs w:val="20"/>
        </w:rPr>
        <w:t xml:space="preserve"> года </w:t>
      </w:r>
      <w:r>
        <w:t xml:space="preserve">п</w:t>
      </w:r>
      <w:r>
        <w:rPr>
          <w:iCs/>
          <w:szCs w:val="20"/>
        </w:rPr>
        <w:t xml:space="preserve">о данным экстренных извещений в г. Перми был</w:t>
      </w:r>
      <w:r>
        <w:rPr>
          <w:iCs/>
          <w:szCs w:val="20"/>
        </w:rPr>
        <w:t xml:space="preserve">и</w:t>
      </w:r>
      <w:r>
        <w:rPr>
          <w:iCs/>
          <w:szCs w:val="20"/>
        </w:rPr>
        <w:t xml:space="preserve"> зарегистрир</w:t>
      </w:r>
      <w:r>
        <w:rPr>
          <w:iCs/>
          <w:szCs w:val="20"/>
        </w:rPr>
        <w:t xml:space="preserve">о</w:t>
      </w:r>
      <w:r>
        <w:rPr>
          <w:iCs/>
          <w:szCs w:val="20"/>
        </w:rPr>
        <w:t xml:space="preserve">ван</w:t>
      </w:r>
      <w:r>
        <w:rPr>
          <w:iCs/>
          <w:szCs w:val="20"/>
        </w:rPr>
        <w:t xml:space="preserve">ы</w:t>
      </w:r>
      <w:r>
        <w:rPr>
          <w:iCs/>
          <w:szCs w:val="20"/>
        </w:rPr>
        <w:t xml:space="preserve"> </w:t>
      </w:r>
      <w:r>
        <w:rPr>
          <w:iCs/>
          <w:szCs w:val="20"/>
        </w:rPr>
        <w:t xml:space="preserve">29</w:t>
      </w:r>
      <w:r>
        <w:rPr>
          <w:iCs/>
          <w:szCs w:val="20"/>
        </w:rPr>
        <w:t xml:space="preserve"> случа</w:t>
      </w:r>
      <w:r>
        <w:rPr>
          <w:iCs/>
          <w:szCs w:val="20"/>
        </w:rPr>
        <w:t xml:space="preserve">ев</w:t>
      </w:r>
      <w:r>
        <w:rPr>
          <w:iCs/>
          <w:szCs w:val="20"/>
        </w:rPr>
        <w:t xml:space="preserve"> отравлений наркотиками (1 кв. </w:t>
      </w:r>
      <w:r>
        <w:rPr>
          <w:iCs/>
          <w:szCs w:val="20"/>
        </w:rPr>
        <w:t xml:space="preserve">2024</w:t>
      </w:r>
      <w:r>
        <w:rPr>
          <w:iCs/>
          <w:szCs w:val="20"/>
        </w:rPr>
        <w:t xml:space="preserve">г. – </w:t>
      </w:r>
      <w:r>
        <w:rPr>
          <w:iCs/>
          <w:szCs w:val="20"/>
        </w:rPr>
        <w:t xml:space="preserve">39</w:t>
      </w:r>
      <w:r>
        <w:rPr>
          <w:iCs/>
          <w:szCs w:val="20"/>
        </w:rPr>
        <w:t xml:space="preserve"> случа</w:t>
      </w:r>
      <w:r>
        <w:rPr>
          <w:iCs/>
          <w:szCs w:val="20"/>
        </w:rPr>
        <w:t xml:space="preserve">ев</w:t>
      </w:r>
      <w:r>
        <w:rPr>
          <w:iCs/>
          <w:szCs w:val="20"/>
        </w:rPr>
        <w:t xml:space="preserve">).</w:t>
      </w:r>
      <w:r>
        <w:rPr>
          <w:b/>
          <w:i/>
          <w:iCs/>
          <w:szCs w:val="20"/>
        </w:rPr>
        <w:t xml:space="preserve"> </w:t>
      </w:r>
      <w:r>
        <w:rPr>
          <w:szCs w:val="20"/>
        </w:rPr>
        <w:t xml:space="preserve">Данная группа заняла в структуре всех отравлений </w:t>
      </w:r>
      <w:r>
        <w:rPr>
          <w:szCs w:val="20"/>
        </w:rPr>
        <w:t xml:space="preserve">треть</w:t>
      </w:r>
      <w:r>
        <w:rPr>
          <w:szCs w:val="20"/>
        </w:rPr>
        <w:t xml:space="preserve">е ранговое место (</w:t>
      </w:r>
      <w:r>
        <w:rPr>
          <w:szCs w:val="20"/>
        </w:rPr>
        <w:t xml:space="preserve">13,9 </w:t>
      </w:r>
      <w:r>
        <w:rPr>
          <w:szCs w:val="20"/>
        </w:rPr>
        <w:t xml:space="preserve">%), а в структуре пр</w:t>
      </w:r>
      <w:r>
        <w:rPr>
          <w:szCs w:val="20"/>
        </w:rPr>
        <w:t xml:space="preserve">и</w:t>
      </w:r>
      <w:r>
        <w:rPr>
          <w:szCs w:val="20"/>
        </w:rPr>
        <w:t xml:space="preserve">чин </w:t>
      </w:r>
      <w:r>
        <w:rPr>
          <w:szCs w:val="20"/>
        </w:rPr>
        <w:t xml:space="preserve">смертности - 2 ранговое место (26 %).</w:t>
      </w:r>
      <w:r>
        <w:rPr>
          <w:b/>
          <w:i/>
        </w:rPr>
      </w:r>
    </w:p>
    <w:p>
      <w:pPr>
        <w:pStyle w:val="BodyTextIndent"/>
        <w:ind w:firstLine="709"/>
        <w:jc w:val="both"/>
        <w:rPr>
          <w:b w:val="0"/>
          <w:i w:val="0"/>
          <w:color w:val="000000"/>
        </w:rPr>
      </w:pPr>
      <w:r>
        <w:rPr>
          <w:b w:val="0"/>
          <w:i w:val="0"/>
          <w:color w:val="000000"/>
        </w:rPr>
        <w:t xml:space="preserve">Городской показатель наркотических отравлений (</w:t>
      </w:r>
      <w:r>
        <w:rPr>
          <w:b w:val="0"/>
          <w:i w:val="0"/>
          <w:color w:val="000000"/>
        </w:rPr>
        <w:t xml:space="preserve">2,8</w:t>
      </w:r>
      <w:r>
        <w:rPr>
          <w:b w:val="0"/>
          <w:i w:val="0"/>
          <w:color w:val="000000"/>
        </w:rPr>
        <w:t xml:space="preserve"> на 100 тыс. населения) не изменился </w:t>
      </w:r>
      <w:r>
        <w:rPr>
          <w:b w:val="0"/>
          <w:i w:val="0"/>
          <w:color w:val="000000"/>
        </w:rPr>
        <w:t xml:space="preserve">относительно уровней</w:t>
      </w:r>
      <w:r>
        <w:rPr>
          <w:b w:val="0"/>
          <w:i w:val="0"/>
          <w:color w:val="000000"/>
        </w:rPr>
        <w:t xml:space="preserve"> аналогичного периода </w:t>
      </w:r>
      <w:r>
        <w:rPr>
          <w:b w:val="0"/>
          <w:i w:val="0"/>
          <w:color w:val="000000"/>
        </w:rPr>
        <w:t xml:space="preserve">2024 г. </w:t>
      </w:r>
      <w:r>
        <w:rPr>
          <w:b w:val="0"/>
          <w:i w:val="0"/>
          <w:color w:val="000000"/>
        </w:rPr>
        <w:t xml:space="preserve">и </w:t>
      </w:r>
      <w:r>
        <w:rPr>
          <w:b w:val="0"/>
          <w:i w:val="0"/>
          <w:color w:val="000000"/>
        </w:rPr>
        <w:t xml:space="preserve">среднекраевого</w:t>
      </w:r>
      <w:r>
        <w:rPr>
          <w:b w:val="0"/>
          <w:i w:val="0"/>
          <w:color w:val="000000"/>
        </w:rPr>
        <w:t xml:space="preserve"> (</w:t>
      </w:r>
      <w:r>
        <w:rPr>
          <w:b w:val="0"/>
          <w:i w:val="0"/>
          <w:color w:val="000000"/>
        </w:rPr>
        <w:t xml:space="preserve">табл.6</w:t>
      </w:r>
      <w:r>
        <w:rPr>
          <w:b w:val="0"/>
          <w:i w:val="0"/>
          <w:color w:val="000000"/>
        </w:rPr>
        <w:t xml:space="preserve">).</w:t>
      </w:r>
      <w:r>
        <w:rPr>
          <w:b w:val="0"/>
          <w:i w:val="0"/>
          <w:color w:val="000000"/>
        </w:rPr>
        <w:t xml:space="preserve"> </w:t>
      </w:r>
    </w:p>
    <w:p>
      <w:pPr>
        <w:pStyle w:val="BodyTextIndent"/>
        <w:ind w:firstLine="709"/>
        <w:jc w:val="both"/>
        <w:rPr>
          <w:b w:val="0"/>
          <w:bCs w:val="0"/>
          <w:i w:val="0"/>
          <w:iCs w:val="0"/>
          <w:color w:val="000000"/>
          <w:szCs w:val="20"/>
        </w:rPr>
      </w:pPr>
      <w:r>
        <w:rPr>
          <w:b w:val="0"/>
          <w:bCs w:val="0"/>
          <w:i w:val="0"/>
          <w:iCs w:val="0"/>
          <w:color w:val="000000"/>
          <w:szCs w:val="20"/>
        </w:rPr>
        <w:t xml:space="preserve">Территория неблагополучия не определена – достоверных отличий от средн</w:t>
      </w:r>
      <w:r>
        <w:rPr>
          <w:b w:val="0"/>
          <w:bCs w:val="0"/>
          <w:i w:val="0"/>
          <w:iCs w:val="0"/>
          <w:color w:val="000000"/>
          <w:szCs w:val="20"/>
        </w:rPr>
        <w:t xml:space="preserve">егородского уровня не выявлено.</w:t>
      </w:r>
      <w:r>
        <w:t xml:space="preserve"> </w:t>
      </w:r>
      <w:r>
        <w:rPr>
          <w:b w:val="0"/>
          <w:bCs w:val="0"/>
          <w:i w:val="0"/>
          <w:iCs w:val="0"/>
          <w:color w:val="000000"/>
          <w:szCs w:val="20"/>
        </w:rPr>
        <w:t xml:space="preserve">В сравнении с </w:t>
      </w:r>
      <w:r>
        <w:rPr>
          <w:b w:val="0"/>
          <w:bCs w:val="0"/>
          <w:i w:val="0"/>
          <w:iCs w:val="0"/>
          <w:color w:val="000000"/>
          <w:szCs w:val="20"/>
        </w:rPr>
        <w:t xml:space="preserve">1 кварталом прошлого года уровни</w:t>
      </w:r>
      <w:r>
        <w:rPr>
          <w:b w:val="0"/>
          <w:bCs w:val="0"/>
          <w:i w:val="0"/>
          <w:iCs w:val="0"/>
          <w:color w:val="000000"/>
          <w:szCs w:val="20"/>
        </w:rPr>
        <w:t xml:space="preserve"> </w:t>
      </w:r>
      <w:r>
        <w:rPr>
          <w:b w:val="0"/>
          <w:bCs w:val="0"/>
          <w:i w:val="0"/>
          <w:iCs w:val="0"/>
          <w:color w:val="000000"/>
          <w:szCs w:val="20"/>
        </w:rPr>
        <w:t xml:space="preserve">наркотических </w:t>
      </w:r>
      <w:r>
        <w:rPr>
          <w:b w:val="0"/>
          <w:bCs w:val="0"/>
          <w:i w:val="0"/>
          <w:iCs w:val="0"/>
          <w:color w:val="000000"/>
          <w:szCs w:val="20"/>
        </w:rPr>
        <w:t xml:space="preserve">отравлений </w:t>
      </w:r>
      <w:r>
        <w:rPr>
          <w:b w:val="0"/>
          <w:bCs w:val="0"/>
          <w:i w:val="0"/>
          <w:iCs w:val="0"/>
          <w:color w:val="000000"/>
          <w:szCs w:val="20"/>
        </w:rPr>
        <w:t xml:space="preserve">по районам города не изменились, видимые изменения недостоверны </w:t>
      </w:r>
      <w:r>
        <w:rPr>
          <w:b w:val="0"/>
          <w:bCs w:val="0"/>
          <w:i w:val="0"/>
          <w:iCs w:val="0"/>
          <w:color w:val="000000"/>
          <w:szCs w:val="20"/>
        </w:rPr>
        <w:t xml:space="preserve">(табл.1</w:t>
      </w:r>
      <w:r>
        <w:rPr>
          <w:b w:val="0"/>
          <w:bCs w:val="0"/>
          <w:i w:val="0"/>
          <w:iCs w:val="0"/>
          <w:color w:val="000000"/>
          <w:szCs w:val="20"/>
        </w:rPr>
        <w:t xml:space="preserve">3</w:t>
      </w:r>
      <w:r>
        <w:rPr>
          <w:b w:val="0"/>
          <w:bCs w:val="0"/>
          <w:i w:val="0"/>
          <w:iCs w:val="0"/>
          <w:color w:val="000000"/>
          <w:szCs w:val="20"/>
        </w:rPr>
        <w:t xml:space="preserve">).</w:t>
      </w:r>
      <w:r>
        <w:rPr>
          <w:b w:val="0"/>
          <w:bCs w:val="0"/>
          <w:i w:val="0"/>
          <w:iCs w:val="0"/>
          <w:color w:val="000000"/>
          <w:szCs w:val="20"/>
        </w:rPr>
      </w:r>
    </w:p>
    <w:p>
      <w:pPr>
        <w:pStyle w:val="BodyTextIndent"/>
        <w:ind w:left="709"/>
        <w:jc w:val="right"/>
        <w:rPr>
          <w:b w:val="0"/>
          <w:bCs w:val="0"/>
          <w:i w:val="0"/>
          <w:iCs w:val="0"/>
          <w:color w:val="000000"/>
        </w:rPr>
      </w:pPr>
      <w:r>
        <w:rPr>
          <w:b w:val="0"/>
          <w:bCs w:val="0"/>
          <w:i w:val="0"/>
          <w:iCs w:val="0"/>
          <w:color w:val="000000"/>
        </w:rPr>
      </w:r>
    </w:p>
    <w:p>
      <w:pPr>
        <w:pStyle w:val="BodyTextIndent"/>
        <w:ind w:left="709"/>
        <w:jc w:val="right"/>
        <w:rPr>
          <w:b w:val="0"/>
          <w:bCs w:val="0"/>
          <w:i w:val="0"/>
          <w:iCs w:val="0"/>
          <w:color w:val="000000"/>
        </w:rPr>
      </w:pPr>
      <w:r>
        <w:rPr>
          <w:b w:val="0"/>
          <w:bCs w:val="0"/>
          <w:i w:val="0"/>
          <w:iCs w:val="0"/>
          <w:color w:val="000000"/>
        </w:rPr>
        <w:t xml:space="preserve">Таблица 13</w:t>
      </w:r>
    </w:p>
    <w:p>
      <w:pPr>
        <w:pStyle w:val="BodyTextIndent"/>
        <w:ind w:left="709"/>
        <w:jc w:val="right"/>
        <w:rPr>
          <w:b w:val="0"/>
          <w:bCs w:val="0"/>
          <w:i w:val="0"/>
          <w:iCs w:val="0"/>
          <w:color w:val="000000"/>
        </w:rPr>
      </w:pPr>
      <w:r>
        <w:rPr>
          <w:b w:val="0"/>
          <w:bCs w:val="0"/>
          <w:i w:val="0"/>
          <w:iCs w:val="0"/>
          <w:color w:val="000000"/>
        </w:rPr>
      </w:r>
    </w:p>
    <w:p>
      <w:pPr>
        <w:pStyle w:val="BodyTextIndent"/>
        <w:ind w:left="709" w:hanging="709"/>
        <w:jc w:val="center"/>
        <w:rPr>
          <w:bCs w:val="0"/>
          <w:i w:val="0"/>
          <w:iCs w:val="0"/>
          <w:color w:val="000000"/>
          <w:szCs w:val="20"/>
        </w:rPr>
      </w:pPr>
      <w:r>
        <w:rPr>
          <w:bCs w:val="0"/>
          <w:i w:val="0"/>
          <w:iCs w:val="0"/>
          <w:color w:val="000000"/>
          <w:szCs w:val="20"/>
        </w:rPr>
        <w:t xml:space="preserve">Уровень отравлений наркотическими препаратами по районам города</w:t>
      </w:r>
    </w:p>
    <w:p>
      <w:pPr>
        <w:pStyle w:val="BodyTextIndent"/>
        <w:ind w:left="709" w:hanging="709"/>
        <w:jc w:val="center"/>
        <w:rPr>
          <w:bCs w:val="0"/>
          <w:i w:val="0"/>
          <w:iCs w:val="0"/>
          <w:color w:val="000000"/>
          <w:szCs w:val="20"/>
        </w:rPr>
      </w:pPr>
      <w:r>
        <w:rPr>
          <w:bCs w:val="0"/>
          <w:i w:val="0"/>
          <w:iCs w:val="0"/>
          <w:color w:val="000000"/>
          <w:szCs w:val="20"/>
        </w:rPr>
        <w:t xml:space="preserve"> (на 100 тыс. населения)</w:t>
      </w:r>
    </w:p>
    <w:p>
      <w:pPr>
        <w:pStyle w:val="BodyTextIndent"/>
        <w:ind w:left="709" w:hanging="709"/>
        <w:jc w:val="center"/>
        <w:rPr>
          <w:b w:val="0"/>
          <w:bCs w:val="0"/>
          <w:i w:val="0"/>
          <w:iCs w:val="0"/>
          <w:color w:val="000000"/>
          <w:szCs w:val="20"/>
        </w:rPr>
      </w:pPr>
      <w:r>
        <w:rPr>
          <w:b w:val="0"/>
          <w:bCs w:val="0"/>
          <w:i w:val="0"/>
          <w:iCs w:val="0"/>
          <w:color w:val="000000"/>
          <w:szCs w:val="20"/>
        </w:rPr>
      </w:r>
    </w:p>
    <w:tbl>
      <w:tblPr>
        <w:tblW w:w="90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596"/>
        <w:gridCol w:w="1090"/>
        <w:gridCol w:w="1275"/>
        <w:gridCol w:w="993"/>
        <w:gridCol w:w="1456"/>
        <w:gridCol w:w="1662"/>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restart"/>
            <w:textDirection w:val="lrTb"/>
            <w:vAlign w:val="center"/>
          </w:tcPr>
          <w:p>
            <w:pPr>
              <w:pStyle w:val="Normal"/>
              <w:jc w:val="center"/>
              <w:rPr>
                <w:sz w:val="22"/>
                <w:szCs w:val="22"/>
              </w:rPr>
            </w:pPr>
            <w:r>
              <w:rPr>
                <w:sz w:val="22"/>
                <w:szCs w:val="22"/>
              </w:rPr>
              <w:t xml:space="preserve">Районы Перми</w:t>
            </w:r>
          </w:p>
        </w:tc>
        <w:tc>
          <w:tcPr>
            <w:tcW w:w="2365"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2025</w:t>
            </w:r>
            <w:r>
              <w:rPr>
                <w:sz w:val="22"/>
                <w:szCs w:val="22"/>
              </w:rPr>
              <w:t xml:space="preserve">г.</w:t>
            </w:r>
            <w:r>
              <w:rPr>
                <w:b/>
                <w:sz w:val="22"/>
                <w:szCs w:val="22"/>
              </w:rPr>
            </w:r>
          </w:p>
        </w:tc>
        <w:tc>
          <w:tcPr>
            <w:tcW w:w="2449"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2024</w:t>
            </w:r>
            <w:r>
              <w:rPr>
                <w:sz w:val="22"/>
                <w:szCs w:val="22"/>
              </w:rPr>
              <w:t xml:space="preserve">г.</w:t>
            </w:r>
            <w:r>
              <w:rPr>
                <w:b/>
                <w:sz w:val="22"/>
                <w:szCs w:val="22"/>
              </w:rPr>
            </w:r>
          </w:p>
        </w:tc>
        <w:tc>
          <w:tcPr>
            <w:tcW w:w="1662"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b/>
                <w:sz w:val="22"/>
                <w:szCs w:val="22"/>
              </w:rPr>
            </w:pPr>
            <w:r>
              <w:rPr>
                <w:sz w:val="22"/>
                <w:szCs w:val="22"/>
              </w:rPr>
              <w:t xml:space="preserve">(случаи)</w:t>
            </w: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vMerge w:val="continue"/>
            <w:textDirection w:val="lrTb"/>
            <w:vAlign w:val="center"/>
          </w:tcPr>
          <w:p>
            <w:pPr>
              <w:pStyle w:val="Normal"/>
              <w:jc w:val="center"/>
              <w:rPr>
                <w:b/>
                <w:sz w:val="22"/>
                <w:szCs w:val="22"/>
              </w:rPr>
            </w:pPr>
            <w:r>
              <w:rPr>
                <w:b/>
                <w:sz w:val="22"/>
                <w:szCs w:val="22"/>
              </w:rPr>
            </w:r>
          </w:p>
        </w:tc>
        <w:tc>
          <w:tcPr>
            <w:tcW w:w="1090"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275"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993"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456"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662"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Ленинский</w:t>
            </w:r>
          </w:p>
        </w:tc>
        <w:tc>
          <w:tcPr>
            <w:tcW w:w="1090" w:type="dxa"/>
            <w:textDirection w:val="lrTb"/>
            <w:vAlign w:val="center"/>
          </w:tcPr>
          <w:p>
            <w:pPr>
              <w:pStyle w:val="Normal"/>
              <w:jc w:val="center"/>
              <w:rPr>
                <w:sz w:val="20"/>
                <w:szCs w:val="20"/>
              </w:rPr>
            </w:pPr>
            <w:r>
              <w:rPr>
                <w:sz w:val="20"/>
                <w:szCs w:val="20"/>
              </w:rPr>
              <w:t xml:space="preserve">3</w:t>
            </w:r>
          </w:p>
        </w:tc>
        <w:tc>
          <w:tcPr>
            <w:tcW w:w="1275" w:type="dxa"/>
            <w:textDirection w:val="lrTb"/>
            <w:vAlign w:val="center"/>
          </w:tcPr>
          <w:p>
            <w:pPr>
              <w:pStyle w:val="Normal"/>
              <w:jc w:val="center"/>
              <w:rPr>
                <w:sz w:val="20"/>
                <w:szCs w:val="20"/>
              </w:rPr>
            </w:pPr>
            <w:r>
              <w:rPr>
                <w:sz w:val="20"/>
                <w:szCs w:val="20"/>
              </w:rPr>
              <w:t xml:space="preserve">6,7</w:t>
            </w:r>
          </w:p>
        </w:tc>
        <w:tc>
          <w:tcPr>
            <w:tcW w:w="993" w:type="dxa"/>
            <w:textDirection w:val="lrTb"/>
            <w:vAlign w:val="center"/>
          </w:tcPr>
          <w:p>
            <w:pPr>
              <w:pStyle w:val="Normal"/>
              <w:jc w:val="center"/>
              <w:rPr>
                <w:sz w:val="20"/>
                <w:szCs w:val="20"/>
              </w:rPr>
            </w:pPr>
            <w:r>
              <w:rPr>
                <w:sz w:val="20"/>
                <w:szCs w:val="20"/>
              </w:rPr>
              <w:t xml:space="preserve">1</w:t>
            </w:r>
          </w:p>
        </w:tc>
        <w:tc>
          <w:tcPr>
            <w:tcW w:w="1456" w:type="dxa"/>
            <w:textDirection w:val="lrTb"/>
            <w:vAlign w:val="center"/>
          </w:tcPr>
          <w:p>
            <w:pPr>
              <w:pStyle w:val="Normal"/>
              <w:jc w:val="center"/>
              <w:rPr>
                <w:sz w:val="20"/>
                <w:szCs w:val="20"/>
              </w:rPr>
            </w:pPr>
            <w:r>
              <w:rPr>
                <w:sz w:val="20"/>
                <w:szCs w:val="20"/>
              </w:rPr>
              <w:t xml:space="preserve">2,2</w:t>
            </w:r>
          </w:p>
        </w:tc>
        <w:tc>
          <w:tcPr>
            <w:tcW w:w="1662"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Свердловский</w:t>
            </w:r>
          </w:p>
        </w:tc>
        <w:tc>
          <w:tcPr>
            <w:tcW w:w="1090" w:type="dxa"/>
            <w:textDirection w:val="lrTb"/>
            <w:vAlign w:val="center"/>
          </w:tcPr>
          <w:p>
            <w:pPr>
              <w:pStyle w:val="Normal"/>
              <w:jc w:val="center"/>
              <w:rPr>
                <w:sz w:val="20"/>
                <w:szCs w:val="20"/>
              </w:rPr>
            </w:pPr>
            <w:r>
              <w:rPr>
                <w:sz w:val="20"/>
                <w:szCs w:val="20"/>
              </w:rPr>
              <w:t xml:space="preserve">4</w:t>
            </w:r>
          </w:p>
        </w:tc>
        <w:tc>
          <w:tcPr>
            <w:tcW w:w="1275" w:type="dxa"/>
            <w:textDirection w:val="lrTb"/>
            <w:vAlign w:val="center"/>
          </w:tcPr>
          <w:p>
            <w:pPr>
              <w:pStyle w:val="Normal"/>
              <w:jc w:val="center"/>
              <w:rPr>
                <w:sz w:val="20"/>
                <w:szCs w:val="20"/>
              </w:rPr>
            </w:pPr>
            <w:r>
              <w:rPr>
                <w:sz w:val="20"/>
                <w:szCs w:val="20"/>
              </w:rPr>
              <w:t xml:space="preserve">1,9</w:t>
            </w:r>
          </w:p>
        </w:tc>
        <w:tc>
          <w:tcPr>
            <w:tcW w:w="993" w:type="dxa"/>
            <w:textDirection w:val="lrTb"/>
            <w:vAlign w:val="center"/>
          </w:tcPr>
          <w:p>
            <w:pPr>
              <w:pStyle w:val="Normal"/>
              <w:jc w:val="center"/>
              <w:rPr>
                <w:sz w:val="20"/>
                <w:szCs w:val="20"/>
              </w:rPr>
            </w:pPr>
            <w:r>
              <w:rPr>
                <w:sz w:val="20"/>
                <w:szCs w:val="20"/>
              </w:rPr>
              <w:t xml:space="preserve">7</w:t>
            </w:r>
          </w:p>
        </w:tc>
        <w:tc>
          <w:tcPr>
            <w:tcW w:w="1456" w:type="dxa"/>
            <w:textDirection w:val="lrTb"/>
            <w:vAlign w:val="center"/>
          </w:tcPr>
          <w:p>
            <w:pPr>
              <w:pStyle w:val="Normal"/>
              <w:jc w:val="center"/>
              <w:rPr>
                <w:sz w:val="20"/>
                <w:szCs w:val="20"/>
              </w:rPr>
            </w:pPr>
            <w:r>
              <w:rPr>
                <w:sz w:val="20"/>
                <w:szCs w:val="20"/>
              </w:rPr>
              <w:t xml:space="preserve">3,3</w:t>
            </w:r>
          </w:p>
        </w:tc>
        <w:tc>
          <w:tcPr>
            <w:tcW w:w="1662"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Дзержинский</w:t>
            </w:r>
          </w:p>
        </w:tc>
        <w:tc>
          <w:tcPr>
            <w:tcW w:w="1090" w:type="dxa"/>
            <w:textDirection w:val="lrTb"/>
            <w:vAlign w:val="center"/>
          </w:tcPr>
          <w:p>
            <w:pPr>
              <w:pStyle w:val="Normal"/>
              <w:jc w:val="center"/>
              <w:rPr>
                <w:sz w:val="20"/>
                <w:szCs w:val="20"/>
              </w:rPr>
            </w:pPr>
            <w:r>
              <w:rPr>
                <w:sz w:val="20"/>
                <w:szCs w:val="20"/>
              </w:rPr>
              <w:t xml:space="preserve">7</w:t>
            </w:r>
          </w:p>
        </w:tc>
        <w:tc>
          <w:tcPr>
            <w:tcW w:w="1275" w:type="dxa"/>
            <w:textDirection w:val="lrTb"/>
            <w:vAlign w:val="center"/>
          </w:tcPr>
          <w:p>
            <w:pPr>
              <w:pStyle w:val="Normal"/>
              <w:jc w:val="center"/>
              <w:rPr>
                <w:sz w:val="20"/>
                <w:szCs w:val="20"/>
              </w:rPr>
            </w:pPr>
            <w:r>
              <w:rPr>
                <w:sz w:val="20"/>
                <w:szCs w:val="20"/>
              </w:rPr>
              <w:t xml:space="preserve">4,0</w:t>
            </w:r>
          </w:p>
        </w:tc>
        <w:tc>
          <w:tcPr>
            <w:tcW w:w="993" w:type="dxa"/>
            <w:textDirection w:val="lrTb"/>
            <w:vAlign w:val="center"/>
          </w:tcPr>
          <w:p>
            <w:pPr>
              <w:pStyle w:val="Normal"/>
              <w:jc w:val="center"/>
              <w:rPr>
                <w:sz w:val="20"/>
                <w:szCs w:val="20"/>
              </w:rPr>
            </w:pPr>
            <w:r>
              <w:rPr>
                <w:sz w:val="20"/>
                <w:szCs w:val="20"/>
              </w:rPr>
              <w:t xml:space="preserve">4</w:t>
            </w:r>
          </w:p>
        </w:tc>
        <w:tc>
          <w:tcPr>
            <w:tcW w:w="1456" w:type="dxa"/>
            <w:textDirection w:val="lrTb"/>
            <w:vAlign w:val="center"/>
          </w:tcPr>
          <w:p>
            <w:pPr>
              <w:pStyle w:val="Normal"/>
              <w:jc w:val="center"/>
              <w:rPr>
                <w:sz w:val="20"/>
                <w:szCs w:val="20"/>
              </w:rPr>
            </w:pPr>
            <w:r>
              <w:rPr>
                <w:sz w:val="20"/>
                <w:szCs w:val="20"/>
              </w:rPr>
              <w:t xml:space="preserve">2,3</w:t>
            </w:r>
          </w:p>
        </w:tc>
        <w:tc>
          <w:tcPr>
            <w:tcW w:w="1662" w:type="dxa"/>
            <w:textDirection w:val="lrTb"/>
            <w:vAlign w:val="bottom"/>
          </w:tcPr>
          <w:p>
            <w:pPr>
              <w:pStyle w:val="Normal"/>
              <w:jc w:val="center"/>
              <w:rPr>
                <w:sz w:val="20"/>
                <w:szCs w:val="20"/>
              </w:rPr>
            </w:pPr>
            <w:r>
              <w:rPr>
                <w:sz w:val="20"/>
                <w:szCs w:val="20"/>
              </w:rPr>
              <w:t xml:space="preserve">+ 3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Мотовилихинский</w:t>
            </w:r>
          </w:p>
        </w:tc>
        <w:tc>
          <w:tcPr>
            <w:tcW w:w="1090" w:type="dxa"/>
            <w:textDirection w:val="lrTb"/>
            <w:vAlign w:val="center"/>
          </w:tcPr>
          <w:p>
            <w:pPr>
              <w:pStyle w:val="Normal"/>
              <w:jc w:val="center"/>
              <w:rPr>
                <w:sz w:val="20"/>
                <w:szCs w:val="20"/>
              </w:rPr>
            </w:pPr>
            <w:r>
              <w:rPr>
                <w:sz w:val="20"/>
                <w:szCs w:val="20"/>
              </w:rPr>
              <w:t xml:space="preserve">4</w:t>
            </w:r>
          </w:p>
        </w:tc>
        <w:tc>
          <w:tcPr>
            <w:tcW w:w="1275" w:type="dxa"/>
            <w:textDirection w:val="lrTb"/>
            <w:vAlign w:val="center"/>
          </w:tcPr>
          <w:p>
            <w:pPr>
              <w:pStyle w:val="Normal"/>
              <w:jc w:val="center"/>
              <w:rPr>
                <w:sz w:val="20"/>
                <w:szCs w:val="20"/>
              </w:rPr>
            </w:pPr>
            <w:r>
              <w:rPr>
                <w:sz w:val="20"/>
                <w:szCs w:val="20"/>
              </w:rPr>
              <w:t xml:space="preserve">2,2</w:t>
            </w:r>
          </w:p>
        </w:tc>
        <w:tc>
          <w:tcPr>
            <w:tcW w:w="993" w:type="dxa"/>
            <w:textDirection w:val="lrTb"/>
            <w:vAlign w:val="center"/>
          </w:tcPr>
          <w:p>
            <w:pPr>
              <w:pStyle w:val="Normal"/>
              <w:jc w:val="center"/>
              <w:rPr>
                <w:sz w:val="20"/>
                <w:szCs w:val="20"/>
              </w:rPr>
            </w:pPr>
            <w:r>
              <w:rPr>
                <w:sz w:val="20"/>
                <w:szCs w:val="20"/>
              </w:rPr>
              <w:t xml:space="preserve">4</w:t>
            </w:r>
          </w:p>
        </w:tc>
        <w:tc>
          <w:tcPr>
            <w:tcW w:w="1456" w:type="dxa"/>
            <w:textDirection w:val="lrTb"/>
            <w:vAlign w:val="center"/>
          </w:tcPr>
          <w:p>
            <w:pPr>
              <w:pStyle w:val="Normal"/>
              <w:jc w:val="center"/>
              <w:rPr>
                <w:sz w:val="20"/>
                <w:szCs w:val="20"/>
              </w:rPr>
            </w:pPr>
            <w:r>
              <w:rPr>
                <w:sz w:val="20"/>
                <w:szCs w:val="20"/>
              </w:rPr>
              <w:t xml:space="preserve">2,2</w:t>
            </w:r>
          </w:p>
        </w:tc>
        <w:tc>
          <w:tcPr>
            <w:tcW w:w="1662" w:type="dxa"/>
            <w:textDirection w:val="lrTb"/>
            <w:vAlign w:val="bottom"/>
          </w:tcPr>
          <w:p>
            <w:pPr>
              <w:pStyle w:val="Normal"/>
              <w:jc w:val="center"/>
              <w:rPr>
                <w:sz w:val="20"/>
                <w:szCs w:val="20"/>
              </w:rPr>
            </w:pPr>
            <w:r>
              <w:rPr>
                <w:sz w:val="20"/>
                <w:szCs w:val="20"/>
              </w:rPr>
              <w:t xml:space="preserve">-</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Орджоникидзевский</w:t>
            </w:r>
          </w:p>
        </w:tc>
        <w:tc>
          <w:tcPr>
            <w:tcW w:w="1090" w:type="dxa"/>
            <w:textDirection w:val="lrTb"/>
            <w:vAlign w:val="center"/>
          </w:tcPr>
          <w:p>
            <w:pPr>
              <w:pStyle w:val="Normal"/>
              <w:jc w:val="center"/>
              <w:rPr>
                <w:sz w:val="20"/>
                <w:szCs w:val="20"/>
              </w:rPr>
            </w:pPr>
            <w:r>
              <w:rPr>
                <w:sz w:val="20"/>
                <w:szCs w:val="20"/>
              </w:rPr>
              <w:t xml:space="preserve">4</w:t>
            </w:r>
          </w:p>
        </w:tc>
        <w:tc>
          <w:tcPr>
            <w:tcW w:w="1275" w:type="dxa"/>
            <w:textDirection w:val="lrTb"/>
            <w:vAlign w:val="center"/>
          </w:tcPr>
          <w:p>
            <w:pPr>
              <w:pStyle w:val="Normal"/>
              <w:jc w:val="center"/>
              <w:rPr>
                <w:sz w:val="20"/>
                <w:szCs w:val="20"/>
              </w:rPr>
            </w:pPr>
            <w:r>
              <w:rPr>
                <w:sz w:val="20"/>
                <w:szCs w:val="20"/>
              </w:rPr>
              <w:t xml:space="preserve">3,5</w:t>
            </w:r>
          </w:p>
        </w:tc>
        <w:tc>
          <w:tcPr>
            <w:tcW w:w="993" w:type="dxa"/>
            <w:textDirection w:val="lrTb"/>
            <w:vAlign w:val="center"/>
          </w:tcPr>
          <w:p>
            <w:pPr>
              <w:pStyle w:val="Normal"/>
              <w:jc w:val="center"/>
              <w:rPr>
                <w:sz w:val="20"/>
                <w:szCs w:val="20"/>
              </w:rPr>
            </w:pPr>
            <w:r>
              <w:rPr>
                <w:sz w:val="20"/>
                <w:szCs w:val="20"/>
              </w:rPr>
              <w:t xml:space="preserve">11</w:t>
            </w:r>
          </w:p>
        </w:tc>
        <w:tc>
          <w:tcPr>
            <w:tcW w:w="1456" w:type="dxa"/>
            <w:textDirection w:val="lrTb"/>
            <w:vAlign w:val="center"/>
          </w:tcPr>
          <w:p>
            <w:pPr>
              <w:pStyle w:val="Normal"/>
              <w:jc w:val="center"/>
              <w:rPr>
                <w:sz w:val="20"/>
                <w:szCs w:val="20"/>
              </w:rPr>
            </w:pPr>
            <w:r>
              <w:rPr>
                <w:sz w:val="20"/>
                <w:szCs w:val="20"/>
              </w:rPr>
              <w:t xml:space="preserve">9,7</w:t>
            </w:r>
          </w:p>
        </w:tc>
        <w:tc>
          <w:tcPr>
            <w:tcW w:w="1662" w:type="dxa"/>
            <w:textDirection w:val="lrTb"/>
            <w:vAlign w:val="bottom"/>
          </w:tcPr>
          <w:p>
            <w:pPr>
              <w:pStyle w:val="Normal"/>
              <w:jc w:val="center"/>
              <w:rPr>
                <w:sz w:val="20"/>
                <w:szCs w:val="20"/>
              </w:rPr>
            </w:pPr>
            <w:r>
              <w:rPr>
                <w:sz w:val="20"/>
                <w:szCs w:val="20"/>
              </w:rPr>
              <w:t xml:space="preserve">- 7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Кировский</w:t>
            </w:r>
          </w:p>
        </w:tc>
        <w:tc>
          <w:tcPr>
            <w:tcW w:w="1090" w:type="dxa"/>
            <w:textDirection w:val="lrTb"/>
            <w:vAlign w:val="center"/>
          </w:tcPr>
          <w:p>
            <w:pPr>
              <w:pStyle w:val="Normal"/>
              <w:jc w:val="center"/>
              <w:rPr>
                <w:sz w:val="20"/>
                <w:szCs w:val="20"/>
              </w:rPr>
            </w:pPr>
            <w:r>
              <w:rPr>
                <w:sz w:val="20"/>
                <w:szCs w:val="20"/>
              </w:rPr>
              <w:t xml:space="preserve">2</w:t>
            </w:r>
          </w:p>
        </w:tc>
        <w:tc>
          <w:tcPr>
            <w:tcW w:w="1275" w:type="dxa"/>
            <w:textDirection w:val="lrTb"/>
            <w:vAlign w:val="center"/>
          </w:tcPr>
          <w:p>
            <w:pPr>
              <w:pStyle w:val="Normal"/>
              <w:jc w:val="center"/>
              <w:rPr>
                <w:sz w:val="20"/>
                <w:szCs w:val="20"/>
              </w:rPr>
            </w:pPr>
            <w:r>
              <w:rPr>
                <w:sz w:val="20"/>
                <w:szCs w:val="20"/>
              </w:rPr>
              <w:t xml:space="preserve">1,6</w:t>
            </w:r>
          </w:p>
        </w:tc>
        <w:tc>
          <w:tcPr>
            <w:tcW w:w="993" w:type="dxa"/>
            <w:textDirection w:val="lrTb"/>
            <w:vAlign w:val="center"/>
          </w:tcPr>
          <w:p>
            <w:pPr>
              <w:pStyle w:val="Normal"/>
              <w:jc w:val="center"/>
              <w:rPr>
                <w:sz w:val="20"/>
                <w:szCs w:val="20"/>
              </w:rPr>
            </w:pPr>
            <w:r>
              <w:rPr>
                <w:sz w:val="20"/>
                <w:szCs w:val="20"/>
              </w:rPr>
              <w:t xml:space="preserve">5</w:t>
            </w:r>
          </w:p>
        </w:tc>
        <w:tc>
          <w:tcPr>
            <w:tcW w:w="1456" w:type="dxa"/>
            <w:textDirection w:val="lrTb"/>
            <w:vAlign w:val="center"/>
          </w:tcPr>
          <w:p>
            <w:pPr>
              <w:pStyle w:val="Normal"/>
              <w:jc w:val="center"/>
              <w:rPr>
                <w:sz w:val="20"/>
                <w:szCs w:val="20"/>
              </w:rPr>
            </w:pPr>
            <w:r>
              <w:rPr>
                <w:sz w:val="20"/>
                <w:szCs w:val="20"/>
              </w:rPr>
              <w:t xml:space="preserve">3,9</w:t>
            </w:r>
          </w:p>
        </w:tc>
        <w:tc>
          <w:tcPr>
            <w:tcW w:w="1662" w:type="dxa"/>
            <w:textDirection w:val="lrTb"/>
            <w:vAlign w:val="bottom"/>
          </w:tcPr>
          <w:p>
            <w:pPr>
              <w:pStyle w:val="Normal"/>
              <w:jc w:val="center"/>
              <w:rPr>
                <w:sz w:val="20"/>
                <w:szCs w:val="20"/>
              </w:rPr>
            </w:pPr>
            <w:r>
              <w:rPr>
                <w:sz w:val="20"/>
                <w:szCs w:val="20"/>
              </w:rPr>
              <w:t xml:space="preserve">- 3 случая</w:t>
            </w:r>
          </w:p>
        </w:tc>
      </w:tr>
      <w:tr>
        <w:trPr>
          <w:trHeight w:val="6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sz w:val="22"/>
                <w:szCs w:val="22"/>
              </w:rPr>
            </w:pPr>
            <w:r>
              <w:rPr>
                <w:sz w:val="22"/>
                <w:szCs w:val="22"/>
              </w:rPr>
              <w:t xml:space="preserve">Индустриальный</w:t>
            </w:r>
          </w:p>
        </w:tc>
        <w:tc>
          <w:tcPr>
            <w:tcW w:w="1090" w:type="dxa"/>
            <w:textDirection w:val="lrTb"/>
            <w:vAlign w:val="center"/>
          </w:tcPr>
          <w:p>
            <w:pPr>
              <w:pStyle w:val="Normal"/>
              <w:jc w:val="center"/>
              <w:rPr>
                <w:sz w:val="20"/>
                <w:szCs w:val="20"/>
              </w:rPr>
            </w:pPr>
            <w:r>
              <w:rPr>
                <w:sz w:val="20"/>
                <w:szCs w:val="20"/>
              </w:rPr>
              <w:t xml:space="preserve">5</w:t>
            </w:r>
          </w:p>
        </w:tc>
        <w:tc>
          <w:tcPr>
            <w:tcW w:w="1275" w:type="dxa"/>
            <w:textDirection w:val="lrTb"/>
            <w:vAlign w:val="center"/>
          </w:tcPr>
          <w:p>
            <w:pPr>
              <w:pStyle w:val="Normal"/>
              <w:jc w:val="center"/>
              <w:rPr>
                <w:sz w:val="20"/>
                <w:szCs w:val="20"/>
              </w:rPr>
            </w:pPr>
            <w:r>
              <w:rPr>
                <w:sz w:val="20"/>
                <w:szCs w:val="20"/>
              </w:rPr>
              <w:t xml:space="preserve">3,0</w:t>
            </w:r>
          </w:p>
        </w:tc>
        <w:tc>
          <w:tcPr>
            <w:tcW w:w="993" w:type="dxa"/>
            <w:textDirection w:val="lrTb"/>
            <w:vAlign w:val="center"/>
          </w:tcPr>
          <w:p>
            <w:pPr>
              <w:pStyle w:val="Normal"/>
              <w:jc w:val="center"/>
              <w:rPr>
                <w:sz w:val="20"/>
                <w:szCs w:val="20"/>
              </w:rPr>
            </w:pPr>
            <w:r>
              <w:rPr>
                <w:sz w:val="20"/>
                <w:szCs w:val="20"/>
              </w:rPr>
              <w:t xml:space="preserve">7</w:t>
            </w:r>
          </w:p>
        </w:tc>
        <w:tc>
          <w:tcPr>
            <w:tcW w:w="1456" w:type="dxa"/>
            <w:textDirection w:val="lrTb"/>
            <w:vAlign w:val="center"/>
          </w:tcPr>
          <w:p>
            <w:pPr>
              <w:pStyle w:val="Normal"/>
              <w:jc w:val="center"/>
              <w:rPr>
                <w:sz w:val="20"/>
                <w:szCs w:val="20"/>
              </w:rPr>
            </w:pPr>
            <w:r>
              <w:rPr>
                <w:sz w:val="20"/>
                <w:szCs w:val="20"/>
              </w:rPr>
              <w:t xml:space="preserve">4,2</w:t>
            </w:r>
          </w:p>
        </w:tc>
        <w:tc>
          <w:tcPr>
            <w:tcW w:w="1662"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96" w:type="dxa"/>
            <w:textDirection w:val="lrTb"/>
            <w:vAlign w:val="bottom"/>
          </w:tcPr>
          <w:p>
            <w:pPr>
              <w:pStyle w:val="Normal"/>
              <w:rPr>
                <w:b/>
                <w:sz w:val="22"/>
                <w:szCs w:val="22"/>
              </w:rPr>
            </w:pPr>
            <w:r>
              <w:rPr>
                <w:b/>
                <w:sz w:val="22"/>
                <w:szCs w:val="22"/>
              </w:rPr>
              <w:t xml:space="preserve">г.Пермь</w:t>
            </w:r>
          </w:p>
        </w:tc>
        <w:tc>
          <w:tcPr>
            <w:tcW w:w="1090" w:type="dxa"/>
            <w:textDirection w:val="lrTb"/>
            <w:vAlign w:val="center"/>
          </w:tcPr>
          <w:p>
            <w:pPr>
              <w:pStyle w:val="Normal"/>
              <w:jc w:val="center"/>
              <w:rPr>
                <w:b/>
                <w:sz w:val="20"/>
                <w:szCs w:val="20"/>
              </w:rPr>
            </w:pPr>
            <w:r>
              <w:rPr>
                <w:b/>
                <w:sz w:val="20"/>
                <w:szCs w:val="20"/>
              </w:rPr>
              <w:t xml:space="preserve">29</w:t>
            </w:r>
          </w:p>
        </w:tc>
        <w:tc>
          <w:tcPr>
            <w:tcW w:w="1275" w:type="dxa"/>
            <w:textDirection w:val="lrTb"/>
            <w:vAlign w:val="center"/>
          </w:tcPr>
          <w:p>
            <w:pPr>
              <w:pStyle w:val="Normal"/>
              <w:jc w:val="center"/>
              <w:rPr>
                <w:b/>
                <w:sz w:val="20"/>
                <w:szCs w:val="20"/>
              </w:rPr>
            </w:pPr>
            <w:r>
              <w:rPr>
                <w:b/>
                <w:sz w:val="20"/>
                <w:szCs w:val="20"/>
              </w:rPr>
              <w:t xml:space="preserve">2,8</w:t>
            </w:r>
          </w:p>
        </w:tc>
        <w:tc>
          <w:tcPr>
            <w:tcW w:w="993" w:type="dxa"/>
            <w:textDirection w:val="lrTb"/>
            <w:vAlign w:val="center"/>
          </w:tcPr>
          <w:p>
            <w:pPr>
              <w:pStyle w:val="Normal"/>
              <w:jc w:val="center"/>
              <w:rPr>
                <w:b/>
                <w:sz w:val="20"/>
                <w:szCs w:val="20"/>
              </w:rPr>
            </w:pPr>
            <w:r>
              <w:rPr>
                <w:b/>
                <w:sz w:val="20"/>
                <w:szCs w:val="20"/>
              </w:rPr>
              <w:t xml:space="preserve">39</w:t>
            </w:r>
          </w:p>
        </w:tc>
        <w:tc>
          <w:tcPr>
            <w:tcW w:w="1456" w:type="dxa"/>
            <w:textDirection w:val="lrTb"/>
            <w:vAlign w:val="center"/>
          </w:tcPr>
          <w:p>
            <w:pPr>
              <w:pStyle w:val="Normal"/>
              <w:jc w:val="center"/>
              <w:rPr>
                <w:b/>
                <w:sz w:val="20"/>
                <w:szCs w:val="20"/>
              </w:rPr>
            </w:pPr>
            <w:r>
              <w:rPr>
                <w:b/>
                <w:sz w:val="20"/>
                <w:szCs w:val="20"/>
              </w:rPr>
              <w:t xml:space="preserve">3,8</w:t>
            </w:r>
          </w:p>
        </w:tc>
        <w:tc>
          <w:tcPr>
            <w:tcW w:w="1662" w:type="dxa"/>
            <w:textDirection w:val="lrTb"/>
            <w:vAlign w:val="bottom"/>
          </w:tcPr>
          <w:p>
            <w:pPr>
              <w:pStyle w:val="Normal"/>
              <w:jc w:val="center"/>
              <w:rPr>
                <w:b/>
                <w:sz w:val="20"/>
                <w:szCs w:val="20"/>
              </w:rPr>
            </w:pPr>
            <w:r>
              <w:rPr>
                <w:b/>
                <w:sz w:val="20"/>
                <w:szCs w:val="20"/>
              </w:rPr>
              <w:t xml:space="preserve">-</w:t>
            </w:r>
            <w:r>
              <w:rPr>
                <w:b/>
                <w:sz w:val="20"/>
                <w:szCs w:val="20"/>
              </w:rPr>
              <w:t xml:space="preserve"> 10 случаев</w:t>
            </w:r>
            <w:r>
              <w:rPr>
                <w:b/>
                <w:sz w:val="20"/>
                <w:szCs w:val="20"/>
              </w:rPr>
            </w:r>
          </w:p>
        </w:tc>
      </w:tr>
    </w:tbl>
    <w:p>
      <w:pPr>
        <w:pStyle w:val="Heading2"/>
        <w:spacing w:line="240" w:lineRule="auto"/>
        <w:ind w:firstLine="709"/>
        <w:jc w:val="both"/>
        <w:rPr>
          <w:rFonts w:ascii="Times New Roman" w:hAnsi="Times New Roman" w:cs="Times New Roman"/>
          <w:b w:val="0"/>
          <w:bCs w:val="0"/>
          <w:color w:val="000000"/>
          <w:sz w:val="24"/>
          <w:szCs w:val="20"/>
        </w:rPr>
      </w:pPr>
      <w:r>
        <w:rPr>
          <w:rFonts w:ascii="Times New Roman" w:hAnsi="Times New Roman" w:cs="Times New Roman"/>
          <w:b w:val="0"/>
          <w:bCs w:val="0"/>
          <w:color w:val="000000"/>
          <w:sz w:val="24"/>
          <w:szCs w:val="20"/>
        </w:rPr>
      </w:r>
    </w:p>
    <w:p>
      <w:pPr>
        <w:pStyle w:val="BodyText"/>
        <w:spacing w:after="0"/>
        <w:ind w:firstLine="709"/>
        <w:jc w:val="both"/>
        <w:rPr>
          <w:szCs w:val="20"/>
        </w:rPr>
      </w:pPr>
      <w:r>
        <w:rPr>
          <w:szCs w:val="20"/>
        </w:rPr>
        <w:t xml:space="preserve">Группа риска по возрасту - лица 40 - 49 лет, с показателем 9,0 на 100 тыс. соответствующего населения достоверно превышающим среднегородской (2,8). </w:t>
      </w:r>
    </w:p>
    <w:p>
      <w:pPr>
        <w:pStyle w:val="BodyTextIndent2"/>
        <w:ind w:firstLine="709"/>
        <w:rPr>
          <w:szCs w:val="20"/>
        </w:rPr>
      </w:pPr>
      <w:r>
        <w:t xml:space="preserve">Уровень отравлений среди мужчин выше, чем у женщин (</w:t>
      </w:r>
      <w:r>
        <w:t xml:space="preserve">5,5 </w:t>
      </w:r>
      <w:r>
        <w:t xml:space="preserve">на 100 тыс. мужчин против </w:t>
      </w:r>
      <w:r>
        <w:t xml:space="preserve">0,7</w:t>
      </w:r>
      <w:r>
        <w:t xml:space="preserve"> на 100 тыс. женщин). </w:t>
      </w:r>
      <w:r>
        <w:t xml:space="preserve">Групп</w:t>
      </w:r>
      <w:r>
        <w:t xml:space="preserve">а</w:t>
      </w:r>
      <w:r>
        <w:t xml:space="preserve"> риска по возрасту и полу</w:t>
      </w:r>
      <w:r>
        <w:t xml:space="preserve"> -</w:t>
      </w:r>
      <w:r>
        <w:t xml:space="preserve"> </w:t>
      </w:r>
      <w:r>
        <w:t xml:space="preserve">мужчины в возрасте 40 - 49 лет (18,2 на 100 тыс. соответствующего населения)</w:t>
      </w:r>
      <w:r>
        <w:t xml:space="preserve">.</w:t>
      </w:r>
      <w:r>
        <w:rPr>
          <w:szCs w:val="20"/>
        </w:rPr>
      </w:r>
    </w:p>
    <w:p>
      <w:pPr>
        <w:pStyle w:val="BodyTextIndent2"/>
        <w:ind w:firstLine="709"/>
        <w:rPr>
          <w:b/>
          <w:bCs/>
          <w:i/>
          <w:iCs/>
          <w:szCs w:val="20"/>
        </w:rPr>
      </w:pPr>
      <w:r>
        <w:t xml:space="preserve">Среди </w:t>
      </w:r>
      <w:r>
        <w:t xml:space="preserve">несовершеннолетних за 1 квартал 2025 года отравлений наркотическими препаратами не было зарегистрировано.</w:t>
      </w:r>
      <w:r>
        <w:rPr>
          <w:b/>
          <w:bCs/>
          <w:i/>
          <w:iCs/>
          <w:szCs w:val="20"/>
        </w:rPr>
      </w:r>
    </w:p>
    <w:p>
      <w:pPr>
        <w:pStyle w:val="BodyTextIndent2"/>
        <w:ind w:firstLine="709"/>
        <w:rPr>
          <w:szCs w:val="20"/>
        </w:rPr>
      </w:pPr>
      <w:r>
        <w:rPr>
          <w:szCs w:val="20"/>
        </w:rPr>
        <w:t xml:space="preserve">В социальной структуре </w:t>
      </w:r>
      <w:r>
        <w:rPr>
          <w:szCs w:val="20"/>
        </w:rPr>
        <w:t xml:space="preserve">лиц </w:t>
      </w:r>
      <w:r>
        <w:rPr>
          <w:szCs w:val="20"/>
        </w:rPr>
        <w:t xml:space="preserve">отравившихся </w:t>
      </w:r>
      <w:r>
        <w:rPr>
          <w:szCs w:val="20"/>
        </w:rPr>
        <w:t xml:space="preserve">наркотическими препаратами</w:t>
      </w:r>
      <w:r>
        <w:rPr>
          <w:szCs w:val="20"/>
        </w:rPr>
        <w:t xml:space="preserve">, по-прежнему, наибольший удельный вес занимают </w:t>
      </w:r>
      <w:r>
        <w:rPr>
          <w:szCs w:val="20"/>
        </w:rPr>
        <w:t xml:space="preserve">безработные</w:t>
      </w:r>
      <w:r>
        <w:rPr>
          <w:szCs w:val="20"/>
        </w:rPr>
        <w:t xml:space="preserve"> (</w:t>
      </w:r>
      <w:r>
        <w:rPr>
          <w:szCs w:val="20"/>
        </w:rPr>
        <w:t xml:space="preserve">89,7</w:t>
      </w:r>
      <w:r>
        <w:rPr>
          <w:szCs w:val="20"/>
        </w:rPr>
        <w:t xml:space="preserve"> %)</w:t>
      </w:r>
      <w:r>
        <w:rPr>
          <w:szCs w:val="20"/>
        </w:rPr>
        <w:t xml:space="preserve">.</w:t>
      </w:r>
      <w:r>
        <w:rPr>
          <w:szCs w:val="20"/>
        </w:rPr>
      </w:r>
    </w:p>
    <w:p>
      <w:pPr>
        <w:pStyle w:val="BodyTextIndent"/>
        <w:ind w:firstLine="709"/>
        <w:jc w:val="both"/>
        <w:rPr>
          <w:b w:val="0"/>
          <w:bCs w:val="0"/>
          <w:i w:val="0"/>
          <w:iCs w:val="0"/>
          <w:color w:val="000000"/>
          <w:szCs w:val="20"/>
        </w:rPr>
      </w:pPr>
      <w:r>
        <w:rPr>
          <w:b w:val="0"/>
          <w:bCs w:val="0"/>
          <w:i w:val="0"/>
          <w:iCs w:val="0"/>
          <w:color w:val="000000"/>
          <w:szCs w:val="20"/>
        </w:rPr>
        <w:t xml:space="preserve">69</w:t>
      </w:r>
      <w:r>
        <w:rPr>
          <w:b w:val="0"/>
          <w:bCs w:val="0"/>
          <w:i w:val="0"/>
          <w:iCs w:val="0"/>
          <w:color w:val="000000"/>
          <w:szCs w:val="20"/>
        </w:rPr>
        <w:t xml:space="preserve"> % случаев отравлений наркотическими веществами закончились смертельным исходом (</w:t>
      </w:r>
      <w:r>
        <w:rPr>
          <w:b w:val="0"/>
          <w:bCs w:val="0"/>
          <w:i w:val="0"/>
          <w:iCs w:val="0"/>
          <w:color w:val="000000"/>
          <w:szCs w:val="20"/>
        </w:rPr>
        <w:t xml:space="preserve">20</w:t>
      </w:r>
      <w:r>
        <w:rPr>
          <w:b w:val="0"/>
          <w:bCs w:val="0"/>
          <w:i w:val="0"/>
          <w:iCs w:val="0"/>
          <w:color w:val="000000"/>
          <w:szCs w:val="20"/>
        </w:rPr>
        <w:t xml:space="preserve"> случа</w:t>
      </w:r>
      <w:r>
        <w:rPr>
          <w:b w:val="0"/>
          <w:bCs w:val="0"/>
          <w:i w:val="0"/>
          <w:iCs w:val="0"/>
          <w:color w:val="000000"/>
          <w:szCs w:val="20"/>
        </w:rPr>
        <w:t xml:space="preserve">ев</w:t>
      </w:r>
      <w:r>
        <w:rPr>
          <w:b w:val="0"/>
          <w:bCs w:val="0"/>
          <w:i w:val="0"/>
          <w:iCs w:val="0"/>
          <w:color w:val="000000"/>
          <w:szCs w:val="20"/>
        </w:rPr>
        <w:t xml:space="preserve">). </w:t>
      </w:r>
      <w:r>
        <w:rPr>
          <w:b w:val="0"/>
          <w:bCs w:val="0"/>
          <w:i w:val="0"/>
          <w:iCs w:val="0"/>
          <w:color w:val="000000"/>
          <w:szCs w:val="20"/>
        </w:rPr>
        <w:t xml:space="preserve">Показатель смертельных отравлений </w:t>
      </w:r>
      <w:r>
        <w:rPr>
          <w:b w:val="0"/>
          <w:bCs w:val="0"/>
          <w:i w:val="0"/>
          <w:iCs w:val="0"/>
          <w:color w:val="000000"/>
          <w:szCs w:val="20"/>
        </w:rPr>
        <w:t xml:space="preserve">наркотическими веществами</w:t>
      </w:r>
      <w:r>
        <w:rPr>
          <w:b w:val="0"/>
          <w:bCs w:val="0"/>
          <w:i w:val="0"/>
          <w:iCs w:val="0"/>
          <w:color w:val="000000"/>
          <w:szCs w:val="20"/>
        </w:rPr>
        <w:t xml:space="preserve"> (</w:t>
      </w:r>
      <w:r>
        <w:rPr>
          <w:b w:val="0"/>
          <w:bCs w:val="0"/>
          <w:i w:val="0"/>
          <w:iCs w:val="0"/>
          <w:color w:val="000000"/>
          <w:szCs w:val="20"/>
        </w:rPr>
        <w:t xml:space="preserve">1,9</w:t>
      </w:r>
      <w:r>
        <w:rPr>
          <w:b w:val="0"/>
          <w:bCs w:val="0"/>
          <w:i w:val="0"/>
          <w:iCs w:val="0"/>
          <w:color w:val="000000"/>
          <w:szCs w:val="20"/>
        </w:rPr>
        <w:t xml:space="preserve"> на 100 тыс. населения)  </w:t>
      </w:r>
      <w:r>
        <w:rPr>
          <w:b w:val="0"/>
          <w:bCs w:val="0"/>
          <w:i w:val="0"/>
          <w:iCs w:val="0"/>
          <w:color w:val="000000"/>
          <w:szCs w:val="20"/>
        </w:rPr>
        <w:t xml:space="preserve">не изменился </w:t>
      </w:r>
      <w:r>
        <w:rPr>
          <w:b w:val="0"/>
          <w:bCs w:val="0"/>
          <w:i w:val="0"/>
          <w:iCs w:val="0"/>
          <w:color w:val="000000"/>
          <w:szCs w:val="20"/>
        </w:rPr>
        <w:t xml:space="preserve">по отношению к уровн</w:t>
      </w:r>
      <w:r>
        <w:rPr>
          <w:b w:val="0"/>
          <w:bCs w:val="0"/>
          <w:i w:val="0"/>
          <w:iCs w:val="0"/>
          <w:color w:val="000000"/>
          <w:szCs w:val="20"/>
        </w:rPr>
        <w:t xml:space="preserve">ю</w:t>
      </w:r>
      <w:r>
        <w:rPr>
          <w:b w:val="0"/>
          <w:bCs w:val="0"/>
          <w:i w:val="0"/>
          <w:iCs w:val="0"/>
          <w:color w:val="000000"/>
          <w:szCs w:val="20"/>
        </w:rPr>
        <w:t xml:space="preserve"> 1 квартала прошлого года</w:t>
      </w:r>
      <w:r>
        <w:rPr>
          <w:b w:val="0"/>
          <w:bCs w:val="0"/>
          <w:i w:val="0"/>
          <w:iCs w:val="0"/>
          <w:color w:val="000000"/>
          <w:szCs w:val="20"/>
        </w:rPr>
        <w:t xml:space="preserve"> (2,9) и не превысил</w:t>
      </w:r>
      <w:r>
        <w:rPr>
          <w:b w:val="0"/>
          <w:bCs w:val="0"/>
          <w:i w:val="0"/>
          <w:iCs w:val="0"/>
          <w:color w:val="000000"/>
          <w:szCs w:val="20"/>
        </w:rPr>
        <w:t xml:space="preserve"> среднекраево</w:t>
      </w:r>
      <w:r>
        <w:rPr>
          <w:b w:val="0"/>
          <w:bCs w:val="0"/>
          <w:i w:val="0"/>
          <w:iCs w:val="0"/>
          <w:color w:val="000000"/>
          <w:szCs w:val="20"/>
        </w:rPr>
        <w:t xml:space="preserve">й (1,3).</w:t>
      </w:r>
    </w:p>
    <w:p>
      <w:pPr>
        <w:pStyle w:val="Normal"/>
        <w:jc w:val="center"/>
        <w:rPr>
          <w:b/>
          <w:color w:val="000000"/>
          <w:sz w:val="26"/>
          <w:szCs w:val="26"/>
          <w:u w:val="single"/>
        </w:rPr>
      </w:pPr>
      <w:r>
        <w:rPr>
          <w:b/>
          <w:color w:val="000000"/>
          <w:sz w:val="26"/>
          <w:szCs w:val="26"/>
          <w:u w:val="single"/>
        </w:rPr>
      </w:r>
    </w:p>
    <w:p>
      <w:pPr>
        <w:pStyle w:val="Heading9"/>
        <w:jc w:val="center"/>
        <w:rPr>
          <w:b w:val="0"/>
          <w:bCs w:val="0"/>
          <w:color w:val="000000"/>
          <w:sz w:val="26"/>
          <w:szCs w:val="26"/>
          <w:u w:val="single"/>
        </w:rPr>
      </w:pPr>
      <w:r>
        <w:rPr>
          <w:color w:val="000000"/>
          <w:sz w:val="26"/>
          <w:szCs w:val="26"/>
          <w:u w:val="single"/>
        </w:rPr>
        <w:t xml:space="preserve">8. Анализ</w:t>
      </w:r>
      <w:r>
        <w:rPr>
          <w:rFonts w:ascii="Arial" w:hAnsi="Arial" w:cs="Arial"/>
          <w:color w:val="000000"/>
          <w:sz w:val="26"/>
          <w:szCs w:val="26"/>
          <w:u w:val="single"/>
        </w:rPr>
        <w:t xml:space="preserve"> </w:t>
      </w:r>
      <w:r>
        <w:rPr>
          <w:color w:val="000000"/>
          <w:sz w:val="26"/>
          <w:szCs w:val="26"/>
          <w:u w:val="single"/>
        </w:rPr>
        <w:t xml:space="preserve">отравлений с целью суицида</w:t>
      </w:r>
      <w:r>
        <w:rPr>
          <w:b w:val="0"/>
          <w:bCs w:val="0"/>
          <w:color w:val="000000"/>
          <w:sz w:val="26"/>
          <w:szCs w:val="26"/>
          <w:u w:val="single"/>
        </w:rPr>
      </w:r>
    </w:p>
    <w:p>
      <w:pPr>
        <w:pStyle w:val="Normal"/>
        <w:ind w:firstLine="540"/>
        <w:jc w:val="both"/>
        <w:rPr>
          <w:sz w:val="20"/>
          <w:szCs w:val="20"/>
        </w:rPr>
      </w:pPr>
      <w:r>
        <w:rPr>
          <w:sz w:val="20"/>
          <w:szCs w:val="20"/>
        </w:rPr>
      </w:r>
    </w:p>
    <w:p>
      <w:pPr>
        <w:pStyle w:val="Normal"/>
        <w:spacing w:before="120"/>
        <w:ind w:firstLine="709"/>
        <w:jc w:val="both"/>
      </w:pPr>
      <w:r>
        <w:t xml:space="preserve">В 1 квартале 2025 г.</w:t>
      </w:r>
      <w:r>
        <w:t xml:space="preserve"> </w:t>
      </w:r>
      <w:r>
        <w:t xml:space="preserve">было </w:t>
      </w:r>
      <w:r>
        <w:t xml:space="preserve">зарегистрирован</w:t>
      </w:r>
      <w:r>
        <w:t xml:space="preserve">о</w:t>
      </w:r>
      <w:r>
        <w:t xml:space="preserve"> </w:t>
      </w:r>
      <w:r>
        <w:t xml:space="preserve">58</w:t>
      </w:r>
      <w:r>
        <w:t xml:space="preserve"> случа</w:t>
      </w:r>
      <w:r>
        <w:t xml:space="preserve">ев </w:t>
      </w:r>
      <w:r>
        <w:t xml:space="preserve">отравлений с целью суицида (</w:t>
      </w:r>
      <w:r>
        <w:t xml:space="preserve">1 кв. 2024 </w:t>
      </w:r>
      <w:r>
        <w:t xml:space="preserve">г. – </w:t>
      </w:r>
      <w:r>
        <w:t xml:space="preserve">58</w:t>
      </w:r>
      <w:r>
        <w:t xml:space="preserve">). </w:t>
      </w:r>
      <w:r>
        <w:t xml:space="preserve">В сравнении с аналогичным периодом прошлого года и</w:t>
      </w:r>
      <w:r>
        <w:t xml:space="preserve">н</w:t>
      </w:r>
      <w:r>
        <w:t xml:space="preserve">тенсивный показатель </w:t>
      </w:r>
      <w:r>
        <w:t xml:space="preserve">не изменился (5,6 на 100 тыс. населения), но </w:t>
      </w:r>
      <w:r>
        <w:rPr>
          <w:szCs w:val="20"/>
        </w:rPr>
        <w:t xml:space="preserve">превысил</w:t>
      </w:r>
      <w:r>
        <w:t xml:space="preserve"> </w:t>
      </w:r>
      <w:r>
        <w:t xml:space="preserve">в 1,9 раза</w:t>
      </w:r>
      <w:r>
        <w:t xml:space="preserve"> среднекраево</w:t>
      </w:r>
      <w:r>
        <w:t xml:space="preserve">й</w:t>
      </w:r>
      <w:r>
        <w:t xml:space="preserve"> уров</w:t>
      </w:r>
      <w:r>
        <w:t xml:space="preserve">ень </w:t>
      </w:r>
      <w:r>
        <w:t xml:space="preserve"> (</w:t>
      </w:r>
      <w:r>
        <w:t xml:space="preserve">3,0). За 1 квартал 2025 г. были зарегистрированы 2 случая суицидальных отравлений со смертельным исходом.</w:t>
      </w:r>
    </w:p>
    <w:p>
      <w:pPr>
        <w:pStyle w:val="User"/>
        <w:jc w:val="both"/>
        <w:rPr>
          <w:rFonts w:ascii="Times New Roman" w:hAnsi="Times New Roman" w:cs="Times New Roman"/>
          <w:b/>
          <w:bCs/>
          <w:i/>
          <w:iCs/>
          <w:sz w:val="24"/>
          <w:szCs w:val="24"/>
        </w:rPr>
      </w:pPr>
      <w:r>
        <w:rPr>
          <w:rFonts w:ascii="Times New Roman" w:hAnsi="Times New Roman" w:cs="Times New Roman"/>
          <w:bCs/>
          <w:iCs/>
          <w:sz w:val="24"/>
          <w:szCs w:val="24"/>
        </w:rPr>
        <w:t xml:space="preserve">          </w:t>
      </w:r>
      <w:r>
        <w:rPr>
          <w:rFonts w:ascii="Times New Roman" w:hAnsi="Times New Roman" w:cs="Times New Roman"/>
          <w:bCs/>
          <w:iCs/>
          <w:sz w:val="24"/>
          <w:szCs w:val="24"/>
        </w:rPr>
        <w:t xml:space="preserve">Территория неблагополучия не определена – достоверных отличий от среднегородского уровня не выявлено</w:t>
      </w:r>
      <w:r>
        <w:rPr>
          <w:b/>
          <w:bCs/>
          <w:i/>
          <w:iCs/>
          <w:szCs w:val="20"/>
        </w:rPr>
        <w:t xml:space="preserve">.</w:t>
      </w:r>
      <w:r>
        <w:t xml:space="preserve"> </w:t>
      </w:r>
      <w:r>
        <w:rPr>
          <w:rFonts w:ascii="Times New Roman" w:hAnsi="Times New Roman" w:cs="Times New Roman"/>
          <w:bCs/>
          <w:iCs/>
          <w:sz w:val="24"/>
          <w:szCs w:val="24"/>
        </w:rPr>
        <w:t xml:space="preserve">В сравнении с 1 кварталом прошлого года уровни </w:t>
      </w:r>
      <w:r>
        <w:rPr>
          <w:rFonts w:ascii="Times New Roman" w:hAnsi="Times New Roman" w:cs="Times New Roman"/>
          <w:bCs/>
          <w:iCs/>
          <w:sz w:val="24"/>
          <w:szCs w:val="24"/>
        </w:rPr>
        <w:t xml:space="preserve">суицидальных</w:t>
      </w:r>
      <w:r>
        <w:rPr>
          <w:rFonts w:ascii="Times New Roman" w:hAnsi="Times New Roman" w:cs="Times New Roman"/>
          <w:bCs/>
          <w:iCs/>
          <w:sz w:val="24"/>
          <w:szCs w:val="24"/>
        </w:rPr>
        <w:t xml:space="preserve"> отравлений по районам города не изменились, видимые изменения недостоверны</w:t>
      </w:r>
      <w:r>
        <w:rPr>
          <w:rFonts w:ascii="Times New Roman" w:hAnsi="Times New Roman" w:cs="Times New Roman"/>
          <w:bCs/>
          <w:iCs/>
          <w:sz w:val="24"/>
          <w:szCs w:val="24"/>
        </w:rPr>
        <w:t xml:space="preserve"> (табл.1</w:t>
      </w:r>
      <w:r>
        <w:rPr>
          <w:rFonts w:ascii="Times New Roman" w:hAnsi="Times New Roman" w:cs="Times New Roman"/>
          <w:bCs/>
          <w:iCs/>
          <w:sz w:val="24"/>
          <w:szCs w:val="24"/>
        </w:rPr>
        <w:t xml:space="preserve">4</w:t>
      </w:r>
      <w:r>
        <w:rPr>
          <w:rFonts w:ascii="Times New Roman" w:hAnsi="Times New Roman" w:cs="Times New Roman"/>
          <w:bCs/>
          <w:iCs/>
          <w:sz w:val="24"/>
          <w:szCs w:val="24"/>
        </w:rPr>
        <w:t xml:space="preserve">).</w:t>
      </w:r>
      <w:r>
        <w:rPr>
          <w:rFonts w:ascii="Times New Roman" w:hAnsi="Times New Roman" w:cs="Times New Roman"/>
          <w:b/>
          <w:bCs/>
          <w:i/>
          <w:iCs/>
          <w:sz w:val="24"/>
          <w:szCs w:val="24"/>
        </w:rPr>
      </w:r>
    </w:p>
    <w:p>
      <w:pPr>
        <w:pStyle w:val="BodyTextIndent"/>
        <w:jc w:val="right"/>
        <w:rPr>
          <w:b w:val="0"/>
          <w:bCs w:val="0"/>
          <w:i w:val="0"/>
          <w:iCs w:val="0"/>
          <w:color w:val="000000"/>
        </w:rPr>
      </w:pPr>
      <w:r>
        <w:rPr>
          <w:b w:val="0"/>
          <w:bCs w:val="0"/>
          <w:i w:val="0"/>
          <w:iCs w:val="0"/>
          <w:color w:val="000000"/>
        </w:rPr>
        <w:t xml:space="preserve">Таблица </w:t>
      </w:r>
      <w:r>
        <w:rPr>
          <w:b w:val="0"/>
          <w:bCs w:val="0"/>
          <w:i w:val="0"/>
          <w:iCs w:val="0"/>
          <w:color w:val="000000"/>
        </w:rPr>
        <w:t xml:space="preserve">14</w:t>
      </w:r>
      <w:r>
        <w:rPr>
          <w:b w:val="0"/>
          <w:bCs w:val="0"/>
          <w:i w:val="0"/>
          <w:iCs w:val="0"/>
          <w:color w:val="000000"/>
        </w:rPr>
      </w:r>
    </w:p>
    <w:p>
      <w:pPr>
        <w:pStyle w:val="BodyTextIndent"/>
        <w:jc w:val="center"/>
        <w:rPr>
          <w:bCs w:val="0"/>
          <w:i w:val="0"/>
          <w:iCs w:val="0"/>
          <w:color w:val="000000"/>
          <w:szCs w:val="20"/>
        </w:rPr>
      </w:pPr>
      <w:r>
        <w:rPr>
          <w:bCs w:val="0"/>
          <w:i w:val="0"/>
          <w:iCs w:val="0"/>
          <w:color w:val="000000"/>
          <w:szCs w:val="20"/>
        </w:rPr>
        <w:t xml:space="preserve">Уров</w:t>
      </w:r>
      <w:r>
        <w:rPr>
          <w:bCs w:val="0"/>
          <w:i w:val="0"/>
          <w:iCs w:val="0"/>
          <w:color w:val="000000"/>
          <w:szCs w:val="20"/>
        </w:rPr>
        <w:t xml:space="preserve">н</w:t>
      </w:r>
      <w:r>
        <w:rPr>
          <w:bCs w:val="0"/>
          <w:i w:val="0"/>
          <w:iCs w:val="0"/>
          <w:color w:val="000000"/>
          <w:szCs w:val="20"/>
        </w:rPr>
        <w:t xml:space="preserve">и</w:t>
      </w:r>
      <w:r>
        <w:rPr>
          <w:bCs w:val="0"/>
          <w:i w:val="0"/>
          <w:iCs w:val="0"/>
          <w:color w:val="000000"/>
          <w:szCs w:val="20"/>
        </w:rPr>
        <w:t xml:space="preserve"> суицидальных отравлений по районам г. Перми  </w:t>
      </w:r>
    </w:p>
    <w:p>
      <w:pPr>
        <w:pStyle w:val="BodyTextIndent"/>
        <w:jc w:val="center"/>
        <w:rPr>
          <w:bCs w:val="0"/>
          <w:i w:val="0"/>
          <w:iCs w:val="0"/>
          <w:color w:val="000000"/>
          <w:szCs w:val="20"/>
        </w:rPr>
      </w:pPr>
      <w:r>
        <w:rPr>
          <w:bCs w:val="0"/>
          <w:i w:val="0"/>
          <w:iCs w:val="0"/>
          <w:color w:val="000000"/>
          <w:szCs w:val="20"/>
        </w:rPr>
        <w:t xml:space="preserve">(на 100 тыс. населения)</w:t>
      </w:r>
    </w:p>
    <w:p>
      <w:pPr>
        <w:pStyle w:val="BodyTextIndent"/>
        <w:ind w:firstLine="709"/>
        <w:jc w:val="both"/>
        <w:rPr>
          <w:bCs w:val="0"/>
          <w:i w:val="0"/>
          <w:iCs w:val="0"/>
          <w:color w:val="000000"/>
          <w:szCs w:val="20"/>
        </w:rPr>
      </w:pPr>
      <w:r>
        <w:rPr>
          <w:bCs w:val="0"/>
          <w:i w:val="0"/>
          <w:iCs w:val="0"/>
          <w:color w:val="000000"/>
          <w:szCs w:val="20"/>
        </w:rPr>
      </w:r>
    </w:p>
    <w:tbl>
      <w:tblPr>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2268"/>
        <w:gridCol w:w="1134"/>
        <w:gridCol w:w="1276"/>
        <w:gridCol w:w="1134"/>
        <w:gridCol w:w="1417"/>
        <w:gridCol w:w="1753"/>
      </w:tblGrid>
      <w:tr>
        <w:trPr>
          <w:trHeight w:val="153"/>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Merge w:val="restart"/>
            <w:textDirection w:val="lrTb"/>
            <w:vAlign w:val="center"/>
          </w:tcPr>
          <w:p>
            <w:pPr>
              <w:pStyle w:val="Normal"/>
              <w:jc w:val="center"/>
              <w:rPr>
                <w:sz w:val="22"/>
                <w:szCs w:val="22"/>
              </w:rPr>
            </w:pPr>
            <w:r>
              <w:rPr>
                <w:sz w:val="22"/>
                <w:szCs w:val="22"/>
              </w:rPr>
              <w:t xml:space="preserve">Районы Перми</w:t>
            </w:r>
          </w:p>
        </w:tc>
        <w:tc>
          <w:tcPr>
            <w:tcW w:w="2410"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2025</w:t>
            </w:r>
            <w:r>
              <w:rPr>
                <w:sz w:val="22"/>
                <w:szCs w:val="22"/>
              </w:rPr>
              <w:t xml:space="preserve">г.</w:t>
            </w:r>
            <w:r>
              <w:rPr>
                <w:b/>
                <w:sz w:val="22"/>
                <w:szCs w:val="22"/>
              </w:rPr>
            </w:r>
          </w:p>
        </w:tc>
        <w:tc>
          <w:tcPr>
            <w:tcW w:w="2551" w:type="dxa"/>
            <w:gridSpan w:val="2"/>
            <w:textDirection w:val="lrTb"/>
            <w:vAlign w:val="center"/>
          </w:tcPr>
          <w:p>
            <w:pPr>
              <w:pStyle w:val="Normal"/>
              <w:jc w:val="center"/>
              <w:rPr>
                <w:b/>
                <w:sz w:val="22"/>
                <w:szCs w:val="22"/>
              </w:rPr>
            </w:pPr>
            <w:r>
              <w:rPr>
                <w:sz w:val="22"/>
                <w:szCs w:val="22"/>
              </w:rPr>
              <w:t xml:space="preserve">1 кв. </w:t>
            </w:r>
            <w:r>
              <w:rPr>
                <w:sz w:val="22"/>
                <w:szCs w:val="22"/>
              </w:rPr>
              <w:t xml:space="preserve">2024</w:t>
            </w:r>
            <w:r>
              <w:rPr>
                <w:sz w:val="22"/>
                <w:szCs w:val="22"/>
              </w:rPr>
              <w:t xml:space="preserve">г.</w:t>
            </w:r>
            <w:r>
              <w:rPr>
                <w:b/>
                <w:sz w:val="22"/>
                <w:szCs w:val="22"/>
              </w:rPr>
            </w:r>
          </w:p>
        </w:tc>
        <w:tc>
          <w:tcPr>
            <w:tcW w:w="1753" w:type="dxa"/>
            <w:vMerge w:val="restart"/>
            <w:textDirection w:val="lrTb"/>
            <w:vAlign w:val="center"/>
          </w:tcPr>
          <w:p>
            <w:pPr>
              <w:pStyle w:val="Normal"/>
              <w:ind w:left="-74"/>
              <w:jc w:val="center"/>
              <w:rPr>
                <w:sz w:val="22"/>
                <w:szCs w:val="22"/>
              </w:rPr>
            </w:pPr>
            <w:r>
              <w:rPr>
                <w:sz w:val="22"/>
                <w:szCs w:val="22"/>
              </w:rPr>
              <w:t xml:space="preserve">темп</w:t>
            </w:r>
          </w:p>
          <w:p>
            <w:pPr>
              <w:pStyle w:val="Normal"/>
              <w:jc w:val="center"/>
              <w:rPr>
                <w:sz w:val="22"/>
                <w:szCs w:val="22"/>
              </w:rPr>
            </w:pPr>
            <w:r>
              <w:rPr>
                <w:sz w:val="22"/>
                <w:szCs w:val="22"/>
              </w:rPr>
              <w:t xml:space="preserve">измен</w:t>
            </w:r>
            <w:r>
              <w:rPr>
                <w:sz w:val="22"/>
                <w:szCs w:val="22"/>
              </w:rPr>
              <w:t xml:space="preserve">е</w:t>
            </w:r>
            <w:r>
              <w:rPr>
                <w:sz w:val="22"/>
                <w:szCs w:val="22"/>
              </w:rPr>
              <w:t xml:space="preserve">ний</w:t>
            </w:r>
          </w:p>
          <w:p>
            <w:pPr>
              <w:pStyle w:val="Normal"/>
              <w:jc w:val="center"/>
              <w:rPr>
                <w:sz w:val="22"/>
                <w:szCs w:val="22"/>
              </w:rPr>
            </w:pPr>
            <w:r>
              <w:rPr>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vMerge w:val="continue"/>
            <w:textDirection w:val="lrTb"/>
            <w:vAlign w:val="center"/>
          </w:tcPr>
          <w:p>
            <w:pPr>
              <w:pStyle w:val="Normal"/>
              <w:jc w:val="center"/>
              <w:rPr>
                <w:b/>
                <w:sz w:val="22"/>
                <w:szCs w:val="22"/>
              </w:rPr>
            </w:pPr>
            <w:r>
              <w:rPr>
                <w:b/>
                <w:sz w:val="22"/>
                <w:szCs w:val="22"/>
              </w:rPr>
            </w:r>
          </w:p>
        </w:tc>
        <w:tc>
          <w:tcPr>
            <w:tcW w:w="1134" w:type="dxa"/>
            <w:textDirection w:val="lrTb"/>
            <w:vAlign w:val="center"/>
          </w:tcPr>
          <w:p>
            <w:pPr>
              <w:pStyle w:val="Normal"/>
              <w:jc w:val="center"/>
              <w:rPr>
                <w:b/>
                <w:sz w:val="22"/>
                <w:szCs w:val="22"/>
              </w:rPr>
            </w:pPr>
            <w:r>
              <w:rPr>
                <w:sz w:val="22"/>
                <w:szCs w:val="22"/>
              </w:rPr>
              <w:t xml:space="preserve">абс. число</w:t>
            </w:r>
            <w:r>
              <w:rPr>
                <w:b/>
                <w:sz w:val="22"/>
                <w:szCs w:val="22"/>
              </w:rPr>
            </w:r>
          </w:p>
        </w:tc>
        <w:tc>
          <w:tcPr>
            <w:tcW w:w="1276"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134" w:type="dxa"/>
            <w:textDirection w:val="lrTb"/>
            <w:vAlign w:val="center"/>
          </w:tcPr>
          <w:p>
            <w:pPr>
              <w:pStyle w:val="Normal"/>
              <w:jc w:val="center"/>
              <w:rPr>
                <w:sz w:val="22"/>
                <w:szCs w:val="22"/>
              </w:rPr>
            </w:pPr>
            <w:r>
              <w:rPr>
                <w:sz w:val="22"/>
                <w:szCs w:val="22"/>
              </w:rPr>
              <w:t xml:space="preserve">абс. </w:t>
            </w:r>
            <w:r>
              <w:rPr>
                <w:sz w:val="22"/>
                <w:szCs w:val="22"/>
              </w:rPr>
            </w:r>
          </w:p>
          <w:p>
            <w:pPr>
              <w:pStyle w:val="Normal"/>
              <w:jc w:val="center"/>
              <w:rPr>
                <w:b/>
                <w:sz w:val="22"/>
                <w:szCs w:val="22"/>
              </w:rPr>
            </w:pPr>
            <w:r>
              <w:rPr>
                <w:sz w:val="22"/>
                <w:szCs w:val="22"/>
              </w:rPr>
              <w:t xml:space="preserve">число</w:t>
            </w:r>
            <w:r>
              <w:rPr>
                <w:b/>
                <w:sz w:val="22"/>
                <w:szCs w:val="22"/>
              </w:rPr>
            </w:r>
          </w:p>
        </w:tc>
        <w:tc>
          <w:tcPr>
            <w:tcW w:w="1417" w:type="dxa"/>
            <w:textDirection w:val="lrTb"/>
            <w:vAlign w:val="center"/>
          </w:tcPr>
          <w:p>
            <w:pPr>
              <w:pStyle w:val="Normal"/>
              <w:jc w:val="center"/>
              <w:rPr>
                <w:b/>
                <w:sz w:val="22"/>
                <w:szCs w:val="22"/>
              </w:rPr>
            </w:pPr>
            <w:r>
              <w:rPr>
                <w:sz w:val="22"/>
                <w:szCs w:val="22"/>
              </w:rPr>
              <w:t xml:space="preserve">показатель</w:t>
            </w:r>
            <w:r>
              <w:rPr>
                <w:b/>
                <w:sz w:val="22"/>
                <w:szCs w:val="22"/>
              </w:rPr>
            </w:r>
          </w:p>
        </w:tc>
        <w:tc>
          <w:tcPr>
            <w:tcW w:w="1753" w:type="dxa"/>
            <w:vMerge w:val="continue"/>
            <w:textDirection w:val="lrTb"/>
            <w:vAlign w:val="center"/>
          </w:tcPr>
          <w:p>
            <w:pPr>
              <w:pStyle w:val="Normal"/>
              <w:jc w:val="center"/>
              <w:rPr>
                <w:b/>
                <w:sz w:val="22"/>
                <w:szCs w:val="22"/>
              </w:rPr>
            </w:pPr>
            <w:r>
              <w:rPr>
                <w:b/>
                <w:sz w:val="22"/>
                <w:szCs w:val="22"/>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center"/>
          </w:tcPr>
          <w:p>
            <w:pPr>
              <w:pStyle w:val="Normal"/>
              <w:rPr>
                <w:sz w:val="22"/>
                <w:szCs w:val="22"/>
              </w:rPr>
            </w:pPr>
            <w:r>
              <w:rPr>
                <w:sz w:val="22"/>
                <w:szCs w:val="22"/>
              </w:rPr>
              <w:t xml:space="preserve">Ленинский</w:t>
            </w:r>
          </w:p>
        </w:tc>
        <w:tc>
          <w:tcPr>
            <w:tcW w:w="1134" w:type="dxa"/>
            <w:textDirection w:val="lrTb"/>
            <w:vAlign w:val="center"/>
          </w:tcPr>
          <w:p>
            <w:pPr>
              <w:pStyle w:val="Normal"/>
              <w:jc w:val="center"/>
              <w:rPr>
                <w:sz w:val="20"/>
                <w:szCs w:val="20"/>
              </w:rPr>
            </w:pPr>
            <w:r>
              <w:rPr>
                <w:sz w:val="20"/>
                <w:szCs w:val="20"/>
              </w:rPr>
              <w:t xml:space="preserve">3</w:t>
            </w:r>
          </w:p>
        </w:tc>
        <w:tc>
          <w:tcPr>
            <w:tcW w:w="1276" w:type="dxa"/>
            <w:textDirection w:val="lrTb"/>
            <w:vAlign w:val="center"/>
          </w:tcPr>
          <w:p>
            <w:pPr>
              <w:pStyle w:val="Normal"/>
              <w:jc w:val="center"/>
              <w:rPr>
                <w:sz w:val="20"/>
                <w:szCs w:val="20"/>
              </w:rPr>
            </w:pPr>
            <w:r>
              <w:rPr>
                <w:sz w:val="20"/>
                <w:szCs w:val="20"/>
              </w:rPr>
              <w:t xml:space="preserve">6,7</w:t>
            </w:r>
          </w:p>
        </w:tc>
        <w:tc>
          <w:tcPr>
            <w:tcW w:w="1134" w:type="dxa"/>
            <w:textDirection w:val="lrTb"/>
            <w:vAlign w:val="center"/>
          </w:tcPr>
          <w:p>
            <w:pPr>
              <w:pStyle w:val="Normal"/>
              <w:jc w:val="center"/>
              <w:rPr>
                <w:sz w:val="20"/>
                <w:szCs w:val="20"/>
              </w:rPr>
            </w:pPr>
            <w:r>
              <w:rPr>
                <w:sz w:val="20"/>
                <w:szCs w:val="20"/>
              </w:rPr>
              <w:t xml:space="preserve">1</w:t>
            </w:r>
          </w:p>
        </w:tc>
        <w:tc>
          <w:tcPr>
            <w:tcW w:w="1417" w:type="dxa"/>
            <w:textDirection w:val="lrTb"/>
            <w:vAlign w:val="center"/>
          </w:tcPr>
          <w:p>
            <w:pPr>
              <w:pStyle w:val="Normal"/>
              <w:jc w:val="center"/>
              <w:rPr>
                <w:sz w:val="20"/>
                <w:szCs w:val="20"/>
              </w:rPr>
            </w:pPr>
            <w:r>
              <w:rPr>
                <w:sz w:val="20"/>
                <w:szCs w:val="20"/>
              </w:rPr>
              <w:t xml:space="preserve">2,2</w:t>
            </w:r>
          </w:p>
        </w:tc>
        <w:tc>
          <w:tcPr>
            <w:tcW w:w="1753"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Свердловский</w:t>
            </w:r>
          </w:p>
        </w:tc>
        <w:tc>
          <w:tcPr>
            <w:tcW w:w="1134" w:type="dxa"/>
            <w:textDirection w:val="lrTb"/>
            <w:vAlign w:val="center"/>
          </w:tcPr>
          <w:p>
            <w:pPr>
              <w:pStyle w:val="Normal"/>
              <w:jc w:val="center"/>
              <w:rPr>
                <w:sz w:val="20"/>
                <w:szCs w:val="20"/>
              </w:rPr>
            </w:pPr>
            <w:r>
              <w:rPr>
                <w:sz w:val="20"/>
                <w:szCs w:val="20"/>
              </w:rPr>
              <w:t xml:space="preserve">15</w:t>
            </w:r>
          </w:p>
        </w:tc>
        <w:tc>
          <w:tcPr>
            <w:tcW w:w="1276" w:type="dxa"/>
            <w:textDirection w:val="lrTb"/>
            <w:vAlign w:val="center"/>
          </w:tcPr>
          <w:p>
            <w:pPr>
              <w:pStyle w:val="Normal"/>
              <w:jc w:val="center"/>
              <w:rPr>
                <w:sz w:val="20"/>
                <w:szCs w:val="20"/>
              </w:rPr>
            </w:pPr>
            <w:r>
              <w:rPr>
                <w:sz w:val="20"/>
                <w:szCs w:val="20"/>
              </w:rPr>
              <w:t xml:space="preserve">7,0</w:t>
            </w:r>
          </w:p>
        </w:tc>
        <w:tc>
          <w:tcPr>
            <w:tcW w:w="1134" w:type="dxa"/>
            <w:textDirection w:val="lrTb"/>
            <w:vAlign w:val="center"/>
          </w:tcPr>
          <w:p>
            <w:pPr>
              <w:pStyle w:val="Normal"/>
              <w:jc w:val="center"/>
              <w:rPr>
                <w:sz w:val="20"/>
                <w:szCs w:val="20"/>
              </w:rPr>
            </w:pPr>
            <w:r>
              <w:rPr>
                <w:sz w:val="20"/>
                <w:szCs w:val="20"/>
              </w:rPr>
              <w:t xml:space="preserve">9</w:t>
            </w:r>
          </w:p>
        </w:tc>
        <w:tc>
          <w:tcPr>
            <w:tcW w:w="1417" w:type="dxa"/>
            <w:textDirection w:val="lrTb"/>
            <w:vAlign w:val="center"/>
          </w:tcPr>
          <w:p>
            <w:pPr>
              <w:pStyle w:val="Normal"/>
              <w:jc w:val="center"/>
              <w:rPr>
                <w:sz w:val="20"/>
                <w:szCs w:val="20"/>
              </w:rPr>
            </w:pPr>
            <w:r>
              <w:rPr>
                <w:sz w:val="20"/>
                <w:szCs w:val="20"/>
              </w:rPr>
              <w:t xml:space="preserve">4,2</w:t>
            </w:r>
          </w:p>
        </w:tc>
        <w:tc>
          <w:tcPr>
            <w:tcW w:w="1753" w:type="dxa"/>
            <w:textDirection w:val="lrTb"/>
            <w:vAlign w:val="bottom"/>
          </w:tcPr>
          <w:p>
            <w:pPr>
              <w:pStyle w:val="Normal"/>
              <w:jc w:val="center"/>
              <w:rPr>
                <w:sz w:val="20"/>
                <w:szCs w:val="20"/>
              </w:rPr>
            </w:pPr>
            <w:r>
              <w:rPr>
                <w:sz w:val="20"/>
                <w:szCs w:val="20"/>
              </w:rPr>
              <w:t xml:space="preserve">+ 6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Дзержинский</w:t>
            </w:r>
          </w:p>
        </w:tc>
        <w:tc>
          <w:tcPr>
            <w:tcW w:w="1134" w:type="dxa"/>
            <w:textDirection w:val="lrTb"/>
            <w:vAlign w:val="center"/>
          </w:tcPr>
          <w:p>
            <w:pPr>
              <w:pStyle w:val="Normal"/>
              <w:jc w:val="center"/>
              <w:rPr>
                <w:sz w:val="20"/>
                <w:szCs w:val="20"/>
              </w:rPr>
            </w:pPr>
            <w:r>
              <w:rPr>
                <w:sz w:val="20"/>
                <w:szCs w:val="20"/>
              </w:rPr>
              <w:t xml:space="preserve">11</w:t>
            </w:r>
          </w:p>
        </w:tc>
        <w:tc>
          <w:tcPr>
            <w:tcW w:w="1276" w:type="dxa"/>
            <w:textDirection w:val="lrTb"/>
            <w:vAlign w:val="center"/>
          </w:tcPr>
          <w:p>
            <w:pPr>
              <w:pStyle w:val="Normal"/>
              <w:jc w:val="center"/>
              <w:rPr>
                <w:sz w:val="20"/>
                <w:szCs w:val="20"/>
              </w:rPr>
            </w:pPr>
            <w:r>
              <w:rPr>
                <w:sz w:val="20"/>
                <w:szCs w:val="20"/>
              </w:rPr>
              <w:t xml:space="preserve">6,3</w:t>
            </w:r>
          </w:p>
        </w:tc>
        <w:tc>
          <w:tcPr>
            <w:tcW w:w="1134" w:type="dxa"/>
            <w:textDirection w:val="lrTb"/>
            <w:vAlign w:val="center"/>
          </w:tcPr>
          <w:p>
            <w:pPr>
              <w:pStyle w:val="Normal"/>
              <w:jc w:val="center"/>
              <w:rPr>
                <w:sz w:val="20"/>
                <w:szCs w:val="20"/>
              </w:rPr>
            </w:pPr>
            <w:r>
              <w:rPr>
                <w:sz w:val="20"/>
                <w:szCs w:val="20"/>
              </w:rPr>
              <w:t xml:space="preserve">4</w:t>
            </w:r>
          </w:p>
        </w:tc>
        <w:tc>
          <w:tcPr>
            <w:tcW w:w="1417" w:type="dxa"/>
            <w:textDirection w:val="lrTb"/>
            <w:vAlign w:val="center"/>
          </w:tcPr>
          <w:p>
            <w:pPr>
              <w:pStyle w:val="Normal"/>
              <w:jc w:val="center"/>
              <w:rPr>
                <w:sz w:val="20"/>
                <w:szCs w:val="20"/>
              </w:rPr>
            </w:pPr>
            <w:r>
              <w:rPr>
                <w:sz w:val="20"/>
                <w:szCs w:val="20"/>
              </w:rPr>
              <w:t xml:space="preserve">2,3</w:t>
            </w:r>
          </w:p>
        </w:tc>
        <w:tc>
          <w:tcPr>
            <w:tcW w:w="1753" w:type="dxa"/>
            <w:textDirection w:val="lrTb"/>
            <w:vAlign w:val="bottom"/>
          </w:tcPr>
          <w:p>
            <w:pPr>
              <w:pStyle w:val="Normal"/>
              <w:jc w:val="center"/>
              <w:rPr>
                <w:sz w:val="20"/>
                <w:szCs w:val="20"/>
              </w:rPr>
            </w:pPr>
            <w:r>
              <w:rPr>
                <w:sz w:val="20"/>
                <w:szCs w:val="20"/>
              </w:rPr>
              <w:t xml:space="preserve">+ 7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Мотовилихинский</w:t>
            </w:r>
          </w:p>
        </w:tc>
        <w:tc>
          <w:tcPr>
            <w:tcW w:w="1134" w:type="dxa"/>
            <w:textDirection w:val="lrTb"/>
            <w:vAlign w:val="center"/>
          </w:tcPr>
          <w:p>
            <w:pPr>
              <w:pStyle w:val="Normal"/>
              <w:jc w:val="center"/>
              <w:rPr>
                <w:sz w:val="20"/>
                <w:szCs w:val="20"/>
              </w:rPr>
            </w:pPr>
            <w:r>
              <w:rPr>
                <w:sz w:val="20"/>
                <w:szCs w:val="20"/>
              </w:rPr>
              <w:t xml:space="preserve">10</w:t>
            </w:r>
          </w:p>
        </w:tc>
        <w:tc>
          <w:tcPr>
            <w:tcW w:w="1276" w:type="dxa"/>
            <w:textDirection w:val="lrTb"/>
            <w:vAlign w:val="center"/>
          </w:tcPr>
          <w:p>
            <w:pPr>
              <w:pStyle w:val="Normal"/>
              <w:jc w:val="center"/>
              <w:rPr>
                <w:sz w:val="20"/>
                <w:szCs w:val="20"/>
              </w:rPr>
            </w:pPr>
            <w:r>
              <w:rPr>
                <w:sz w:val="20"/>
                <w:szCs w:val="20"/>
              </w:rPr>
              <w:t xml:space="preserve">5,4</w:t>
            </w:r>
          </w:p>
        </w:tc>
        <w:tc>
          <w:tcPr>
            <w:tcW w:w="1134" w:type="dxa"/>
            <w:textDirection w:val="lrTb"/>
            <w:vAlign w:val="center"/>
          </w:tcPr>
          <w:p>
            <w:pPr>
              <w:pStyle w:val="Normal"/>
              <w:jc w:val="center"/>
              <w:rPr>
                <w:sz w:val="20"/>
                <w:szCs w:val="20"/>
              </w:rPr>
            </w:pPr>
            <w:r>
              <w:rPr>
                <w:sz w:val="20"/>
                <w:szCs w:val="20"/>
              </w:rPr>
              <w:t xml:space="preserve">15</w:t>
            </w:r>
          </w:p>
        </w:tc>
        <w:tc>
          <w:tcPr>
            <w:tcW w:w="1417" w:type="dxa"/>
            <w:textDirection w:val="lrTb"/>
            <w:vAlign w:val="center"/>
          </w:tcPr>
          <w:p>
            <w:pPr>
              <w:pStyle w:val="Normal"/>
              <w:jc w:val="center"/>
              <w:rPr>
                <w:sz w:val="20"/>
                <w:szCs w:val="20"/>
              </w:rPr>
            </w:pPr>
            <w:r>
              <w:rPr>
                <w:sz w:val="20"/>
                <w:szCs w:val="20"/>
              </w:rPr>
              <w:t xml:space="preserve">8,1</w:t>
            </w:r>
          </w:p>
        </w:tc>
        <w:tc>
          <w:tcPr>
            <w:tcW w:w="1753" w:type="dxa"/>
            <w:textDirection w:val="lrTb"/>
            <w:vAlign w:val="bottom"/>
          </w:tcPr>
          <w:p>
            <w:pPr>
              <w:pStyle w:val="Normal"/>
              <w:jc w:val="center"/>
              <w:rPr>
                <w:sz w:val="20"/>
                <w:szCs w:val="20"/>
              </w:rPr>
            </w:pPr>
            <w:r>
              <w:rPr>
                <w:sz w:val="20"/>
                <w:szCs w:val="20"/>
              </w:rPr>
              <w:t xml:space="preserve">- 5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Орджоникидзевский</w:t>
            </w:r>
          </w:p>
        </w:tc>
        <w:tc>
          <w:tcPr>
            <w:tcW w:w="1134" w:type="dxa"/>
            <w:textDirection w:val="lrTb"/>
            <w:vAlign w:val="center"/>
          </w:tcPr>
          <w:p>
            <w:pPr>
              <w:pStyle w:val="Normal"/>
              <w:jc w:val="center"/>
              <w:rPr>
                <w:sz w:val="20"/>
                <w:szCs w:val="20"/>
              </w:rPr>
            </w:pPr>
            <w:r>
              <w:rPr>
                <w:sz w:val="20"/>
                <w:szCs w:val="20"/>
              </w:rPr>
              <w:t xml:space="preserve">6</w:t>
            </w:r>
          </w:p>
        </w:tc>
        <w:tc>
          <w:tcPr>
            <w:tcW w:w="1276" w:type="dxa"/>
            <w:textDirection w:val="lrTb"/>
            <w:vAlign w:val="center"/>
          </w:tcPr>
          <w:p>
            <w:pPr>
              <w:pStyle w:val="Normal"/>
              <w:jc w:val="center"/>
              <w:rPr>
                <w:sz w:val="20"/>
                <w:szCs w:val="20"/>
              </w:rPr>
            </w:pPr>
            <w:r>
              <w:rPr>
                <w:sz w:val="20"/>
                <w:szCs w:val="20"/>
              </w:rPr>
              <w:t xml:space="preserve">5,3</w:t>
            </w:r>
          </w:p>
        </w:tc>
        <w:tc>
          <w:tcPr>
            <w:tcW w:w="1134" w:type="dxa"/>
            <w:textDirection w:val="lrTb"/>
            <w:vAlign w:val="center"/>
          </w:tcPr>
          <w:p>
            <w:pPr>
              <w:pStyle w:val="Normal"/>
              <w:jc w:val="center"/>
              <w:rPr>
                <w:sz w:val="20"/>
                <w:szCs w:val="20"/>
              </w:rPr>
            </w:pPr>
            <w:r>
              <w:rPr>
                <w:sz w:val="20"/>
                <w:szCs w:val="20"/>
              </w:rPr>
              <w:t xml:space="preserve">8</w:t>
            </w:r>
          </w:p>
        </w:tc>
        <w:tc>
          <w:tcPr>
            <w:tcW w:w="1417" w:type="dxa"/>
            <w:textDirection w:val="lrTb"/>
            <w:vAlign w:val="center"/>
          </w:tcPr>
          <w:p>
            <w:pPr>
              <w:pStyle w:val="Normal"/>
              <w:jc w:val="center"/>
              <w:rPr>
                <w:sz w:val="20"/>
                <w:szCs w:val="20"/>
              </w:rPr>
            </w:pPr>
            <w:r>
              <w:rPr>
                <w:sz w:val="20"/>
                <w:szCs w:val="20"/>
              </w:rPr>
              <w:t xml:space="preserve">7,0</w:t>
            </w:r>
          </w:p>
        </w:tc>
        <w:tc>
          <w:tcPr>
            <w:tcW w:w="1753"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Кировский</w:t>
            </w:r>
          </w:p>
        </w:tc>
        <w:tc>
          <w:tcPr>
            <w:tcW w:w="1134" w:type="dxa"/>
            <w:textDirection w:val="lrTb"/>
            <w:vAlign w:val="center"/>
          </w:tcPr>
          <w:p>
            <w:pPr>
              <w:pStyle w:val="Normal"/>
              <w:jc w:val="center"/>
              <w:rPr>
                <w:sz w:val="20"/>
                <w:szCs w:val="20"/>
              </w:rPr>
            </w:pPr>
            <w:r>
              <w:rPr>
                <w:sz w:val="20"/>
                <w:szCs w:val="20"/>
              </w:rPr>
              <w:t xml:space="preserve">4</w:t>
            </w:r>
          </w:p>
        </w:tc>
        <w:tc>
          <w:tcPr>
            <w:tcW w:w="1276" w:type="dxa"/>
            <w:textDirection w:val="lrTb"/>
            <w:vAlign w:val="center"/>
          </w:tcPr>
          <w:p>
            <w:pPr>
              <w:pStyle w:val="Normal"/>
              <w:jc w:val="center"/>
              <w:rPr>
                <w:sz w:val="20"/>
                <w:szCs w:val="20"/>
              </w:rPr>
            </w:pPr>
            <w:r>
              <w:rPr>
                <w:sz w:val="20"/>
                <w:szCs w:val="20"/>
              </w:rPr>
              <w:t xml:space="preserve">3,1</w:t>
            </w:r>
          </w:p>
        </w:tc>
        <w:tc>
          <w:tcPr>
            <w:tcW w:w="1134" w:type="dxa"/>
            <w:textDirection w:val="lrTb"/>
            <w:vAlign w:val="center"/>
          </w:tcPr>
          <w:p>
            <w:pPr>
              <w:pStyle w:val="Normal"/>
              <w:jc w:val="center"/>
              <w:rPr>
                <w:sz w:val="20"/>
                <w:szCs w:val="20"/>
              </w:rPr>
            </w:pPr>
            <w:r>
              <w:rPr>
                <w:sz w:val="20"/>
                <w:szCs w:val="20"/>
              </w:rPr>
              <w:t xml:space="preserve">6</w:t>
            </w:r>
          </w:p>
        </w:tc>
        <w:tc>
          <w:tcPr>
            <w:tcW w:w="1417" w:type="dxa"/>
            <w:textDirection w:val="lrTb"/>
            <w:vAlign w:val="center"/>
          </w:tcPr>
          <w:p>
            <w:pPr>
              <w:pStyle w:val="Normal"/>
              <w:jc w:val="center"/>
              <w:rPr>
                <w:sz w:val="20"/>
                <w:szCs w:val="20"/>
              </w:rPr>
            </w:pPr>
            <w:r>
              <w:rPr>
                <w:sz w:val="20"/>
                <w:szCs w:val="20"/>
              </w:rPr>
              <w:t xml:space="preserve">4,7</w:t>
            </w:r>
          </w:p>
        </w:tc>
        <w:tc>
          <w:tcPr>
            <w:tcW w:w="1753" w:type="dxa"/>
            <w:textDirection w:val="lrTb"/>
            <w:vAlign w:val="bottom"/>
          </w:tcPr>
          <w:p>
            <w:pPr>
              <w:pStyle w:val="Normal"/>
              <w:jc w:val="center"/>
              <w:rPr>
                <w:sz w:val="20"/>
                <w:szCs w:val="20"/>
              </w:rPr>
            </w:pPr>
            <w:r>
              <w:rPr>
                <w:sz w:val="20"/>
                <w:szCs w:val="20"/>
              </w:rPr>
              <w:t xml:space="preserve">- 2 случая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sz w:val="22"/>
                <w:szCs w:val="22"/>
              </w:rPr>
            </w:pPr>
            <w:r>
              <w:rPr>
                <w:sz w:val="22"/>
                <w:szCs w:val="22"/>
              </w:rPr>
              <w:t xml:space="preserve">Индустриальный</w:t>
            </w:r>
          </w:p>
        </w:tc>
        <w:tc>
          <w:tcPr>
            <w:tcW w:w="1134" w:type="dxa"/>
            <w:textDirection w:val="lrTb"/>
            <w:vAlign w:val="center"/>
          </w:tcPr>
          <w:p>
            <w:pPr>
              <w:pStyle w:val="Normal"/>
              <w:jc w:val="center"/>
              <w:rPr>
                <w:sz w:val="20"/>
                <w:szCs w:val="20"/>
              </w:rPr>
            </w:pPr>
            <w:r>
              <w:rPr>
                <w:sz w:val="20"/>
                <w:szCs w:val="20"/>
              </w:rPr>
              <w:t xml:space="preserve">9</w:t>
            </w:r>
          </w:p>
        </w:tc>
        <w:tc>
          <w:tcPr>
            <w:tcW w:w="1276" w:type="dxa"/>
            <w:textDirection w:val="lrTb"/>
            <w:vAlign w:val="center"/>
          </w:tcPr>
          <w:p>
            <w:pPr>
              <w:pStyle w:val="Normal"/>
              <w:jc w:val="center"/>
              <w:rPr>
                <w:sz w:val="20"/>
                <w:szCs w:val="20"/>
              </w:rPr>
            </w:pPr>
            <w:r>
              <w:rPr>
                <w:sz w:val="20"/>
                <w:szCs w:val="20"/>
              </w:rPr>
              <w:t xml:space="preserve">5,3</w:t>
            </w:r>
          </w:p>
        </w:tc>
        <w:tc>
          <w:tcPr>
            <w:tcW w:w="1134" w:type="dxa"/>
            <w:textDirection w:val="lrTb"/>
            <w:vAlign w:val="center"/>
          </w:tcPr>
          <w:p>
            <w:pPr>
              <w:pStyle w:val="Normal"/>
              <w:jc w:val="center"/>
              <w:rPr>
                <w:sz w:val="20"/>
                <w:szCs w:val="20"/>
              </w:rPr>
            </w:pPr>
            <w:r>
              <w:rPr>
                <w:sz w:val="20"/>
                <w:szCs w:val="20"/>
              </w:rPr>
              <w:t xml:space="preserve">15</w:t>
            </w:r>
          </w:p>
        </w:tc>
        <w:tc>
          <w:tcPr>
            <w:tcW w:w="1417" w:type="dxa"/>
            <w:textDirection w:val="lrTb"/>
            <w:vAlign w:val="center"/>
          </w:tcPr>
          <w:p>
            <w:pPr>
              <w:pStyle w:val="Normal"/>
              <w:jc w:val="center"/>
              <w:rPr>
                <w:sz w:val="20"/>
                <w:szCs w:val="20"/>
              </w:rPr>
            </w:pPr>
            <w:r>
              <w:rPr>
                <w:sz w:val="20"/>
                <w:szCs w:val="20"/>
              </w:rPr>
              <w:t xml:space="preserve">8,9</w:t>
            </w:r>
          </w:p>
        </w:tc>
        <w:tc>
          <w:tcPr>
            <w:tcW w:w="1753" w:type="dxa"/>
            <w:textDirection w:val="lrTb"/>
            <w:vAlign w:val="bottom"/>
          </w:tcPr>
          <w:p>
            <w:pPr>
              <w:pStyle w:val="Normal"/>
              <w:jc w:val="center"/>
              <w:rPr>
                <w:sz w:val="20"/>
                <w:szCs w:val="20"/>
              </w:rPr>
            </w:pPr>
            <w:r>
              <w:rPr>
                <w:sz w:val="20"/>
                <w:szCs w:val="20"/>
              </w:rPr>
              <w:t xml:space="preserve">- 6 случаев</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8" w:type="dxa"/>
            <w:textDirection w:val="lrTb"/>
            <w:vAlign w:val="bottom"/>
          </w:tcPr>
          <w:p>
            <w:pPr>
              <w:pStyle w:val="Normal"/>
              <w:rPr>
                <w:b/>
                <w:sz w:val="22"/>
                <w:szCs w:val="22"/>
              </w:rPr>
            </w:pPr>
            <w:r>
              <w:rPr>
                <w:b/>
                <w:sz w:val="22"/>
                <w:szCs w:val="22"/>
              </w:rPr>
              <w:t xml:space="preserve">г.Пермь</w:t>
            </w:r>
          </w:p>
        </w:tc>
        <w:tc>
          <w:tcPr>
            <w:tcW w:w="1134" w:type="dxa"/>
            <w:textDirection w:val="lrTb"/>
            <w:vAlign w:val="center"/>
          </w:tcPr>
          <w:p>
            <w:pPr>
              <w:pStyle w:val="Normal"/>
              <w:jc w:val="center"/>
              <w:rPr>
                <w:b/>
                <w:sz w:val="20"/>
                <w:szCs w:val="20"/>
              </w:rPr>
            </w:pPr>
            <w:r>
              <w:rPr>
                <w:b/>
                <w:sz w:val="20"/>
                <w:szCs w:val="20"/>
              </w:rPr>
              <w:t xml:space="preserve">58</w:t>
            </w:r>
          </w:p>
        </w:tc>
        <w:tc>
          <w:tcPr>
            <w:tcW w:w="1276" w:type="dxa"/>
            <w:textDirection w:val="lrTb"/>
            <w:vAlign w:val="center"/>
          </w:tcPr>
          <w:p>
            <w:pPr>
              <w:pStyle w:val="Normal"/>
              <w:jc w:val="center"/>
              <w:rPr>
                <w:b/>
                <w:sz w:val="20"/>
                <w:szCs w:val="20"/>
              </w:rPr>
            </w:pPr>
            <w:r>
              <w:rPr>
                <w:b/>
                <w:sz w:val="20"/>
                <w:szCs w:val="20"/>
              </w:rPr>
              <w:t xml:space="preserve">5,6</w:t>
            </w:r>
          </w:p>
        </w:tc>
        <w:tc>
          <w:tcPr>
            <w:tcW w:w="1134" w:type="dxa"/>
            <w:textDirection w:val="lrTb"/>
            <w:vAlign w:val="center"/>
          </w:tcPr>
          <w:p>
            <w:pPr>
              <w:pStyle w:val="Normal"/>
              <w:jc w:val="center"/>
              <w:rPr>
                <w:b/>
                <w:sz w:val="20"/>
                <w:szCs w:val="20"/>
              </w:rPr>
            </w:pPr>
            <w:r>
              <w:rPr>
                <w:b/>
                <w:sz w:val="20"/>
                <w:szCs w:val="20"/>
              </w:rPr>
              <w:t xml:space="preserve">58</w:t>
            </w:r>
          </w:p>
        </w:tc>
        <w:tc>
          <w:tcPr>
            <w:tcW w:w="1417" w:type="dxa"/>
            <w:textDirection w:val="lrTb"/>
            <w:vAlign w:val="center"/>
          </w:tcPr>
          <w:p>
            <w:pPr>
              <w:pStyle w:val="Normal"/>
              <w:jc w:val="center"/>
              <w:rPr>
                <w:b/>
                <w:sz w:val="20"/>
                <w:szCs w:val="20"/>
              </w:rPr>
            </w:pPr>
            <w:r>
              <w:rPr>
                <w:b/>
                <w:sz w:val="20"/>
                <w:szCs w:val="20"/>
              </w:rPr>
              <w:t xml:space="preserve">5,6</w:t>
            </w:r>
          </w:p>
        </w:tc>
        <w:tc>
          <w:tcPr>
            <w:tcW w:w="1753" w:type="dxa"/>
            <w:textDirection w:val="lrTb"/>
            <w:vAlign w:val="bottom"/>
          </w:tcPr>
          <w:p>
            <w:pPr>
              <w:pStyle w:val="Normal"/>
              <w:jc w:val="center"/>
              <w:rPr>
                <w:b/>
                <w:sz w:val="20"/>
                <w:szCs w:val="20"/>
              </w:rPr>
            </w:pPr>
            <w:r>
              <w:rPr>
                <w:b/>
                <w:sz w:val="20"/>
                <w:szCs w:val="20"/>
              </w:rPr>
              <w:t xml:space="preserve">-</w:t>
            </w:r>
            <w:r>
              <w:rPr>
                <w:b/>
                <w:sz w:val="20"/>
                <w:szCs w:val="20"/>
              </w:rPr>
            </w:r>
          </w:p>
        </w:tc>
      </w:tr>
    </w:tbl>
    <w:p>
      <w:pPr>
        <w:pStyle w:val="BodyTextIndent"/>
        <w:ind w:firstLine="709"/>
        <w:jc w:val="both"/>
        <w:rPr>
          <w:bCs w:val="0"/>
          <w:i w:val="0"/>
          <w:iCs w:val="0"/>
          <w:color w:val="000000"/>
          <w:szCs w:val="20"/>
        </w:rPr>
      </w:pPr>
      <w:r>
        <w:rPr>
          <w:bCs w:val="0"/>
          <w:i w:val="0"/>
          <w:iCs w:val="0"/>
          <w:color w:val="000000"/>
          <w:szCs w:val="20"/>
        </w:rPr>
      </w:r>
    </w:p>
    <w:p>
      <w:pPr>
        <w:pStyle w:val="BodyTextIndent2"/>
        <w:ind w:firstLine="709"/>
        <w:rPr>
          <w:sz w:val="20"/>
          <w:szCs w:val="20"/>
        </w:rPr>
      </w:pPr>
      <w:r>
        <w:rPr>
          <w:szCs w:val="20"/>
        </w:rPr>
        <w:t xml:space="preserve">В г</w:t>
      </w:r>
      <w:r>
        <w:rPr>
          <w:szCs w:val="20"/>
        </w:rPr>
        <w:t xml:space="preserve">рупп</w:t>
      </w:r>
      <w:r>
        <w:rPr>
          <w:szCs w:val="20"/>
        </w:rPr>
        <w:t xml:space="preserve">у</w:t>
      </w:r>
      <w:r>
        <w:rPr>
          <w:szCs w:val="20"/>
        </w:rPr>
        <w:t xml:space="preserve"> риска</w:t>
      </w:r>
      <w:r>
        <w:rPr>
          <w:szCs w:val="20"/>
        </w:rPr>
        <w:t xml:space="preserve"> по возрасту входят лица 15 - 17 лет (21,4 на 100 тыс. населения соответствующего возраста) и 20-29 лет (18,9) с показателями, превышающими среднегородской (5,6) до  3,8 раза.</w:t>
      </w:r>
      <w:r>
        <w:rPr>
          <w:sz w:val="20"/>
          <w:szCs w:val="20"/>
        </w:rPr>
        <w:t xml:space="preserve">                                                                                                     </w:t>
      </w:r>
    </w:p>
    <w:p>
      <w:pPr>
        <w:pStyle w:val="BodyTextIndent2"/>
        <w:ind w:firstLine="709"/>
        <w:rPr>
          <w:szCs w:val="20"/>
        </w:rPr>
      </w:pPr>
      <w:r>
        <w:t xml:space="preserve">Уровень отравлений </w:t>
      </w:r>
      <w:r>
        <w:t xml:space="preserve">с целью суицида </w:t>
      </w:r>
      <w:r>
        <w:t xml:space="preserve">среди </w:t>
      </w:r>
      <w:r>
        <w:t xml:space="preserve">женщин</w:t>
      </w:r>
      <w:r>
        <w:t xml:space="preserve"> в </w:t>
      </w:r>
      <w:r>
        <w:t xml:space="preserve">3,4 </w:t>
      </w:r>
      <w:r>
        <w:t xml:space="preserve">раза выше, чем у </w:t>
      </w:r>
      <w:r>
        <w:t xml:space="preserve">мужчин</w:t>
      </w:r>
      <w:r>
        <w:t xml:space="preserve"> (</w:t>
      </w:r>
      <w:r>
        <w:t xml:space="preserve">8,2 </w:t>
      </w:r>
      <w:r>
        <w:t xml:space="preserve">на 100 тыс. </w:t>
      </w:r>
      <w:r>
        <w:t xml:space="preserve">женщин</w:t>
      </w:r>
      <w:r>
        <w:t xml:space="preserve"> против </w:t>
      </w:r>
      <w:r>
        <w:t xml:space="preserve">2,4</w:t>
      </w:r>
      <w:r>
        <w:t xml:space="preserve"> на 100 тыс. </w:t>
      </w:r>
      <w:r>
        <w:t xml:space="preserve">мужчин</w:t>
      </w:r>
      <w:r>
        <w:t xml:space="preserve">).</w:t>
      </w:r>
      <w:r>
        <w:t xml:space="preserve"> В</w:t>
      </w:r>
      <w:r>
        <w:rPr>
          <w:b/>
          <w:i/>
        </w:rPr>
        <w:t xml:space="preserve"> </w:t>
      </w:r>
      <w:r>
        <w:t xml:space="preserve">гр</w:t>
      </w:r>
      <w:r>
        <w:t xml:space="preserve">упп</w:t>
      </w:r>
      <w:r>
        <w:t xml:space="preserve">у</w:t>
      </w:r>
      <w:r>
        <w:t xml:space="preserve"> риска по возрасту и полу </w:t>
      </w:r>
      <w:r>
        <w:t xml:space="preserve">входят девушки 15 - 17 лет с показателем 37,7 на 100 тыс. соответствующего населения и 20 - 29 лет (26,9)</w:t>
      </w:r>
      <w:r>
        <w:t xml:space="preserve">.</w:t>
      </w:r>
      <w:r>
        <w:rPr>
          <w:szCs w:val="20"/>
        </w:rPr>
      </w:r>
    </w:p>
    <w:p>
      <w:pPr>
        <w:pStyle w:val="Normal"/>
        <w:ind w:firstLine="709"/>
        <w:jc w:val="both"/>
        <w:rPr>
          <w:szCs w:val="20"/>
        </w:rPr>
      </w:pPr>
      <w:r>
        <w:rPr>
          <w:szCs w:val="20"/>
        </w:rPr>
        <w:t xml:space="preserve">В социальной</w:t>
      </w:r>
      <w:r>
        <w:rPr>
          <w:szCs w:val="20"/>
        </w:rPr>
        <w:t xml:space="preserve"> структуре суицидальных отравлений </w:t>
      </w:r>
      <w:r>
        <w:rPr>
          <w:szCs w:val="20"/>
        </w:rPr>
        <w:t xml:space="preserve">50</w:t>
      </w:r>
      <w:r>
        <w:rPr>
          <w:szCs w:val="20"/>
        </w:rPr>
        <w:t xml:space="preserve"> % составляют нераб</w:t>
      </w:r>
      <w:r>
        <w:rPr>
          <w:szCs w:val="20"/>
        </w:rPr>
        <w:t xml:space="preserve">о</w:t>
      </w:r>
      <w:r>
        <w:rPr>
          <w:szCs w:val="20"/>
        </w:rPr>
        <w:t xml:space="preserve">тающие трудоспособного возраста</w:t>
      </w:r>
      <w:r>
        <w:rPr>
          <w:szCs w:val="20"/>
        </w:rPr>
        <w:t xml:space="preserve">, 19,0 % - школьники, 15,5 % - работающее население, 8,6 %  -</w:t>
      </w:r>
      <w:r>
        <w:rPr>
          <w:szCs w:val="20"/>
        </w:rPr>
        <w:t xml:space="preserve"> </w:t>
      </w:r>
      <w:r>
        <w:rPr>
          <w:szCs w:val="20"/>
        </w:rPr>
        <w:t xml:space="preserve">пенсионеры, 3,4 % - </w:t>
      </w:r>
      <w:r>
        <w:t xml:space="preserve">учащи</w:t>
      </w:r>
      <w:r>
        <w:t xml:space="preserve">е</w:t>
      </w:r>
      <w:r>
        <w:t xml:space="preserve">ся средне-профессиональных уч</w:t>
      </w:r>
      <w:r>
        <w:t xml:space="preserve">и</w:t>
      </w:r>
      <w:r>
        <w:t xml:space="preserve">лищ, техникумов и ВУЗов</w:t>
      </w:r>
      <w:r>
        <w:t xml:space="preserve">,</w:t>
      </w:r>
      <w:r>
        <w:rPr>
          <w:szCs w:val="20"/>
        </w:rPr>
        <w:t xml:space="preserve"> 1,7 % - мигранты, переселенцы.</w:t>
      </w:r>
      <w:r>
        <w:rPr>
          <w:szCs w:val="20"/>
        </w:rPr>
      </w:r>
    </w:p>
    <w:p>
      <w:pPr>
        <w:pStyle w:val="BodyTextIndent"/>
        <w:ind w:firstLine="709"/>
        <w:jc w:val="both"/>
        <w:rPr>
          <w:b w:val="0"/>
          <w:bCs w:val="0"/>
          <w:i w:val="0"/>
          <w:iCs w:val="0"/>
          <w:color w:val="000000"/>
          <w:szCs w:val="20"/>
        </w:rPr>
      </w:pPr>
      <w:r>
        <w:rPr>
          <w:b w:val="0"/>
          <w:bCs w:val="0"/>
          <w:i w:val="0"/>
          <w:iCs w:val="0"/>
          <w:color w:val="000000"/>
          <w:szCs w:val="20"/>
        </w:rPr>
        <w:t xml:space="preserve">Зарегистрирован</w:t>
      </w:r>
      <w:r>
        <w:rPr>
          <w:b w:val="0"/>
          <w:bCs w:val="0"/>
          <w:i w:val="0"/>
          <w:iCs w:val="0"/>
          <w:color w:val="000000"/>
          <w:szCs w:val="20"/>
        </w:rPr>
        <w:t xml:space="preserve">о</w:t>
      </w:r>
      <w:r>
        <w:rPr>
          <w:b w:val="0"/>
          <w:bCs w:val="0"/>
          <w:i w:val="0"/>
          <w:iCs w:val="0"/>
          <w:color w:val="000000"/>
          <w:szCs w:val="20"/>
        </w:rPr>
        <w:t xml:space="preserve"> </w:t>
      </w:r>
      <w:r>
        <w:rPr>
          <w:b w:val="0"/>
          <w:bCs w:val="0"/>
          <w:i w:val="0"/>
          <w:iCs w:val="0"/>
          <w:color w:val="000000"/>
          <w:szCs w:val="20"/>
        </w:rPr>
        <w:t xml:space="preserve">14</w:t>
      </w:r>
      <w:r>
        <w:rPr>
          <w:b w:val="0"/>
          <w:bCs w:val="0"/>
          <w:i w:val="0"/>
          <w:iCs w:val="0"/>
          <w:color w:val="000000"/>
          <w:szCs w:val="20"/>
        </w:rPr>
        <w:t xml:space="preserve"> случа</w:t>
      </w:r>
      <w:r>
        <w:rPr>
          <w:b w:val="0"/>
          <w:bCs w:val="0"/>
          <w:i w:val="0"/>
          <w:iCs w:val="0"/>
          <w:color w:val="000000"/>
          <w:szCs w:val="20"/>
        </w:rPr>
        <w:t xml:space="preserve">ев </w:t>
      </w:r>
      <w:r>
        <w:rPr>
          <w:b w:val="0"/>
          <w:bCs w:val="0"/>
          <w:i w:val="0"/>
          <w:iCs w:val="0"/>
          <w:color w:val="000000"/>
          <w:szCs w:val="20"/>
        </w:rPr>
        <w:t xml:space="preserve">суицидальных отравлений среди детей до 1</w:t>
      </w:r>
      <w:r>
        <w:rPr>
          <w:b w:val="0"/>
          <w:bCs w:val="0"/>
          <w:i w:val="0"/>
          <w:iCs w:val="0"/>
          <w:color w:val="000000"/>
          <w:szCs w:val="20"/>
        </w:rPr>
        <w:t xml:space="preserve">7 лет. </w:t>
      </w:r>
      <w:r>
        <w:rPr>
          <w:b w:val="0"/>
          <w:bCs w:val="0"/>
          <w:i w:val="0"/>
          <w:iCs w:val="0"/>
          <w:color w:val="000000"/>
          <w:szCs w:val="20"/>
        </w:rPr>
        <w:t xml:space="preserve">Распределение случаев отравлений </w:t>
      </w:r>
      <w:r>
        <w:rPr>
          <w:b w:val="0"/>
          <w:bCs w:val="0"/>
          <w:i w:val="0"/>
          <w:iCs w:val="0"/>
          <w:color w:val="000000"/>
          <w:szCs w:val="20"/>
        </w:rPr>
        <w:t xml:space="preserve">с целью суицида</w:t>
      </w:r>
      <w:r>
        <w:rPr>
          <w:b w:val="0"/>
          <w:bCs w:val="0"/>
          <w:i w:val="0"/>
          <w:iCs w:val="0"/>
          <w:color w:val="000000"/>
          <w:szCs w:val="20"/>
        </w:rPr>
        <w:t xml:space="preserve"> среди </w:t>
      </w:r>
      <w:r>
        <w:rPr>
          <w:b w:val="0"/>
          <w:bCs w:val="0"/>
          <w:i w:val="0"/>
          <w:iCs w:val="0"/>
          <w:color w:val="000000"/>
          <w:szCs w:val="20"/>
        </w:rPr>
        <w:t xml:space="preserve">детей и </w:t>
      </w:r>
      <w:r>
        <w:rPr>
          <w:b w:val="0"/>
          <w:bCs w:val="0"/>
          <w:i w:val="0"/>
          <w:iCs w:val="0"/>
          <w:color w:val="000000"/>
          <w:szCs w:val="20"/>
        </w:rPr>
        <w:t xml:space="preserve">подростков по районам города представлено в таблице </w:t>
      </w:r>
      <w:r>
        <w:rPr>
          <w:b w:val="0"/>
          <w:bCs w:val="0"/>
          <w:i w:val="0"/>
          <w:iCs w:val="0"/>
          <w:color w:val="000000"/>
          <w:szCs w:val="20"/>
        </w:rPr>
        <w:t xml:space="preserve">15</w:t>
      </w:r>
      <w:r>
        <w:rPr>
          <w:b w:val="0"/>
          <w:bCs w:val="0"/>
          <w:i w:val="0"/>
          <w:iCs w:val="0"/>
          <w:color w:val="000000"/>
          <w:szCs w:val="20"/>
        </w:rPr>
        <w:t xml:space="preserve">.</w:t>
      </w:r>
      <w:r>
        <w:rPr>
          <w:b w:val="0"/>
          <w:bCs w:val="0"/>
          <w:i w:val="0"/>
          <w:iCs w:val="0"/>
          <w:color w:val="000000"/>
          <w:szCs w:val="20"/>
        </w:rPr>
        <w:t xml:space="preserve"> </w:t>
      </w:r>
    </w:p>
    <w:p>
      <w:pPr>
        <w:pStyle w:val="Normal"/>
        <w:ind w:firstLine="709"/>
        <w:jc w:val="right"/>
        <w:rPr>
          <w:szCs w:val="20"/>
        </w:rPr>
      </w:pPr>
      <w:r>
        <w:rPr>
          <w:szCs w:val="20"/>
        </w:rPr>
      </w:r>
    </w:p>
    <w:p>
      <w:pPr>
        <w:pStyle w:val="Normal"/>
        <w:ind w:firstLine="709"/>
        <w:jc w:val="right"/>
        <w:rPr>
          <w:szCs w:val="20"/>
        </w:rPr>
      </w:pPr>
      <w:r>
        <w:rPr>
          <w:szCs w:val="20"/>
        </w:rPr>
        <w:t xml:space="preserve">Таблица 15</w:t>
      </w:r>
    </w:p>
    <w:p>
      <w:pPr>
        <w:pStyle w:val="Normal"/>
        <w:jc w:val="center"/>
        <w:rPr>
          <w:b/>
        </w:rPr>
      </w:pPr>
      <w:r>
        <w:rPr>
          <w:b/>
        </w:rPr>
        <w:t xml:space="preserve">Показатели отравлений с целью суицида</w:t>
      </w:r>
    </w:p>
    <w:p>
      <w:pPr>
        <w:pStyle w:val="Normal"/>
        <w:jc w:val="center"/>
        <w:rPr>
          <w:b/>
        </w:rPr>
      </w:pPr>
      <w:r>
        <w:rPr>
          <w:b/>
        </w:rPr>
        <w:t xml:space="preserve">по районам города среди детей и подростков за 1 кв. 2025г.</w:t>
      </w:r>
    </w:p>
    <w:p>
      <w:pPr>
        <w:pStyle w:val="Normal"/>
        <w:jc w:val="center"/>
        <w:rPr>
          <w:b/>
        </w:rPr>
      </w:pPr>
      <w:r>
        <w:rPr>
          <w:b/>
        </w:rPr>
        <w:t xml:space="preserve"> (на 100 тыс. соответствующего населения)</w:t>
      </w:r>
    </w:p>
    <w:tbl>
      <w:tblPr>
        <w:tblW w:w="5962" w:type="dxa"/>
        <w:jc w:val="center"/>
        <w:tblInd w:w="131" w:type="dxa"/>
        <w:tblLayout w:type="autofit"/>
        <w:tblCellMar>
          <w:left w:w="108" w:type="dxa"/>
          <w:top w:w="0" w:type="dxa"/>
          <w:right w:w="108" w:type="dxa"/>
          <w:bottom w:w="0" w:type="dxa"/>
        </w:tblCellMar>
      </w:tblPr>
      <w:tblGrid>
        <w:gridCol w:w="2160"/>
        <w:gridCol w:w="950"/>
        <w:gridCol w:w="951"/>
        <w:gridCol w:w="950"/>
        <w:gridCol w:w="951"/>
      </w:tblGrid>
      <w:tr>
        <w:trPr>
          <w:trHeight w:val="545"/>
        </w:trPr>
        <w:tc>
          <w:tcPr>
            <w:tcW w:w="2160" w:type="dxa"/>
            <w:vMerge w:val="restart"/>
            <w:tcBorders>
              <w:top w:val="single" w:color="000000" w:sz="8" w:space="0"/>
              <w:left w:val="single" w:color="000000" w:sz="8" w:space="0"/>
              <w:bottom w:val="single" w:color="000000" w:sz="8" w:space="0"/>
              <w:right w:val="single" w:color="000000" w:sz="4" w:space="0"/>
            </w:tcBorders>
            <w:noWrap/>
            <w:textDirection w:val="lrTb"/>
            <w:vAlign w:val="center"/>
          </w:tcPr>
          <w:p>
            <w:pPr>
              <w:pStyle w:val="Normal"/>
              <w:jc w:val="center"/>
              <w:rPr>
                <w:sz w:val="22"/>
                <w:szCs w:val="22"/>
              </w:rPr>
            </w:pPr>
            <w:r>
              <w:rPr>
                <w:sz w:val="22"/>
                <w:szCs w:val="22"/>
              </w:rPr>
              <w:t xml:space="preserve">Районы города</w:t>
            </w:r>
          </w:p>
        </w:tc>
        <w:tc>
          <w:tcPr>
            <w:tcW w:w="1901"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дети </w:t>
            </w:r>
          </w:p>
          <w:p>
            <w:pPr>
              <w:pStyle w:val="Normal"/>
              <w:jc w:val="center"/>
              <w:rPr>
                <w:sz w:val="22"/>
                <w:szCs w:val="22"/>
              </w:rPr>
            </w:pPr>
            <w:r>
              <w:rPr>
                <w:sz w:val="22"/>
                <w:szCs w:val="22"/>
              </w:rPr>
              <w:t xml:space="preserve">(0-14 лет)</w:t>
            </w:r>
          </w:p>
        </w:tc>
        <w:tc>
          <w:tcPr>
            <w:tcW w:w="1901" w:type="dxa"/>
            <w:gridSpan w:val="2"/>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sz w:val="22"/>
                <w:szCs w:val="22"/>
              </w:rPr>
            </w:pPr>
            <w:r>
              <w:rPr>
                <w:sz w:val="22"/>
                <w:szCs w:val="22"/>
              </w:rPr>
              <w:t xml:space="preserve">подростки </w:t>
            </w:r>
          </w:p>
          <w:p>
            <w:pPr>
              <w:pStyle w:val="Normal"/>
              <w:jc w:val="center"/>
              <w:rPr>
                <w:sz w:val="22"/>
                <w:szCs w:val="22"/>
              </w:rPr>
            </w:pPr>
            <w:r>
              <w:rPr>
                <w:sz w:val="22"/>
                <w:szCs w:val="22"/>
              </w:rPr>
              <w:t xml:space="preserve">(15-17 лет)</w:t>
            </w:r>
          </w:p>
        </w:tc>
      </w:tr>
      <w:tr>
        <w:trPr>
          <w:trHeight w:val="270"/>
        </w:trPr>
        <w:tc>
          <w:tcPr>
            <w:tcW w:w="2160" w:type="dxa"/>
            <w:vMerge w:val="continue"/>
            <w:tcBorders>
              <w:top w:val="single" w:color="000000" w:sz="8" w:space="0"/>
              <w:left w:val="single" w:color="000000" w:sz="8" w:space="0"/>
              <w:bottom w:val="single" w:color="000000" w:sz="8" w:space="0"/>
              <w:right w:val="single" w:color="000000" w:sz="8" w:space="0"/>
            </w:tcBorders>
            <w:textDirection w:val="lrTb"/>
            <w:vAlign w:val="center"/>
          </w:tcPr>
          <w:p>
            <w:pPr>
              <w:pStyle w:val="Normal"/>
              <w:rPr>
                <w:sz w:val="22"/>
                <w:szCs w:val="22"/>
              </w:rPr>
            </w:pPr>
            <w:r>
              <w:rPr>
                <w:sz w:val="22"/>
                <w:szCs w:val="22"/>
              </w:rPr>
            </w:r>
          </w:p>
        </w:tc>
        <w:tc>
          <w:tcPr>
            <w:tcW w:w="95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51"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c>
          <w:tcPr>
            <w:tcW w:w="950"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абс.</w:t>
            </w:r>
          </w:p>
        </w:tc>
        <w:tc>
          <w:tcPr>
            <w:tcW w:w="951" w:type="dxa"/>
            <w:tcBorders>
              <w:top w:val="single" w:color="000000" w:sz="4" w:space="0"/>
              <w:left w:val="none" w:color="FFFFFF" w:sz="255" w:space="0"/>
              <w:bottom w:val="single" w:color="000000" w:sz="8" w:space="0"/>
              <w:right w:val="single" w:color="000000" w:sz="8" w:space="0"/>
            </w:tcBorders>
            <w:textDirection w:val="lrTb"/>
            <w:vAlign w:val="bottom"/>
          </w:tcPr>
          <w:p>
            <w:pPr>
              <w:pStyle w:val="Normal"/>
              <w:jc w:val="center"/>
              <w:rPr>
                <w:sz w:val="22"/>
                <w:szCs w:val="22"/>
              </w:rPr>
            </w:pPr>
            <w:r>
              <w:rPr>
                <w:sz w:val="22"/>
                <w:szCs w:val="22"/>
              </w:rPr>
              <w:t xml:space="preserve">пок-ль</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Ленинский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17,1</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Свердловский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2,5</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14,2</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Дзержинский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5,8</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50,9</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Мотовилихинский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2,8</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28,7</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Орджоникидзевский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22,5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sz w:val="22"/>
                <w:szCs w:val="22"/>
              </w:rPr>
            </w:pPr>
            <w:r>
              <w:rPr>
                <w:sz w:val="22"/>
                <w:szCs w:val="22"/>
              </w:rPr>
              <w:t xml:space="preserve">Индустриальный</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3,4</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sz w:val="20"/>
                <w:szCs w:val="20"/>
              </w:rPr>
            </w:pPr>
            <w:r>
              <w:rPr>
                <w:sz w:val="20"/>
                <w:szCs w:val="20"/>
              </w:rPr>
              <w:t xml:space="preserve">15,5</w:t>
            </w:r>
          </w:p>
        </w:tc>
      </w:tr>
      <w:tr>
        <w:trPr>
          <w:trHeight w:val="315"/>
        </w:trPr>
        <w:tc>
          <w:tcPr>
            <w:tcW w:w="2160" w:type="dxa"/>
            <w:tcBorders>
              <w:top w:val="none" w:color="FFFFFF" w:sz="255" w:space="0"/>
              <w:left w:val="single" w:color="000000" w:sz="8" w:space="0"/>
              <w:bottom w:val="single" w:color="000000" w:sz="8" w:space="0"/>
              <w:right w:val="single" w:color="000000" w:sz="8" w:space="0"/>
            </w:tcBorders>
            <w:noWrap/>
            <w:textDirection w:val="lrTb"/>
            <w:vAlign w:val="bottom"/>
          </w:tcPr>
          <w:p>
            <w:pPr>
              <w:pStyle w:val="Normal"/>
              <w:rPr>
                <w:b/>
                <w:sz w:val="22"/>
                <w:szCs w:val="22"/>
              </w:rPr>
            </w:pPr>
            <w:r>
              <w:rPr>
                <w:b/>
                <w:sz w:val="22"/>
                <w:szCs w:val="22"/>
              </w:rPr>
              <w:t xml:space="preserve">г.Пермь</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6</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3,1</w:t>
            </w:r>
          </w:p>
        </w:tc>
        <w:tc>
          <w:tcPr>
            <w:tcW w:w="950"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8</w:t>
            </w:r>
          </w:p>
        </w:tc>
        <w:tc>
          <w:tcPr>
            <w:tcW w:w="951" w:type="dxa"/>
            <w:tcBorders>
              <w:top w:val="none" w:color="FFFFFF" w:sz="255" w:space="0"/>
              <w:left w:val="none" w:color="FFFFFF" w:sz="255" w:space="0"/>
              <w:bottom w:val="single" w:color="000000" w:sz="8" w:space="0"/>
              <w:right w:val="single" w:color="000000" w:sz="8" w:space="0"/>
            </w:tcBorders>
            <w:textDirection w:val="lrTb"/>
            <w:vAlign w:val="center"/>
          </w:tcPr>
          <w:p>
            <w:pPr>
              <w:pStyle w:val="Normal"/>
              <w:jc w:val="center"/>
              <w:rPr>
                <w:b/>
                <w:sz w:val="20"/>
                <w:szCs w:val="20"/>
              </w:rPr>
            </w:pPr>
            <w:r>
              <w:rPr>
                <w:b/>
                <w:sz w:val="20"/>
                <w:szCs w:val="20"/>
              </w:rPr>
              <w:t xml:space="preserve">21,4</w:t>
            </w:r>
          </w:p>
        </w:tc>
      </w:tr>
    </w:tbl>
    <w:p>
      <w:pPr>
        <w:pStyle w:val="BodyTextIndent"/>
        <w:ind w:firstLine="709"/>
        <w:jc w:val="both"/>
        <w:rPr>
          <w:b w:val="0"/>
          <w:bCs w:val="0"/>
          <w:i w:val="0"/>
          <w:iCs w:val="0"/>
          <w:color w:val="000000"/>
          <w:szCs w:val="20"/>
        </w:rPr>
      </w:pPr>
      <w:r>
        <w:rPr>
          <w:b w:val="0"/>
          <w:bCs w:val="0"/>
          <w:i w:val="0"/>
          <w:iCs w:val="0"/>
          <w:color w:val="000000"/>
          <w:szCs w:val="20"/>
        </w:rPr>
      </w:r>
    </w:p>
    <w:p>
      <w:pPr>
        <w:pStyle w:val="Normal"/>
        <w:jc w:val="right"/>
      </w:pPr>
    </w:p>
    <w:p>
      <w:pPr>
        <w:pStyle w:val="Normal"/>
        <w:jc w:val="right"/>
      </w:pPr>
      <w:r>
        <w:t xml:space="preserve">Таблица 16</w:t>
      </w:r>
    </w:p>
    <w:p>
      <w:pPr>
        <w:pStyle w:val="Normal"/>
        <w:jc w:val="center"/>
        <w:rPr>
          <w:b/>
          <w:highlight w:val="yellow"/>
          <w:u w:val="single"/>
        </w:rPr>
      </w:pPr>
      <w:r>
        <w:rPr>
          <w:b/>
          <w:highlight w:val="yellow"/>
          <w:u w:val="single"/>
        </w:rPr>
      </w:r>
    </w:p>
    <w:p>
      <w:pPr>
        <w:pStyle w:val="Normal"/>
        <w:jc w:val="center"/>
        <w:rPr>
          <w:b/>
          <w:u w:val="single"/>
        </w:rPr>
      </w:pPr>
      <w:r>
        <w:rPr>
          <w:b/>
          <w:u w:val="single"/>
        </w:rPr>
        <w:t xml:space="preserve">Сравнительная характеристика отравлений химической этиологии</w:t>
      </w:r>
    </w:p>
    <w:p>
      <w:pPr>
        <w:pStyle w:val="Normal"/>
        <w:jc w:val="center"/>
        <w:rPr>
          <w:b/>
          <w:u w:val="single"/>
        </w:rPr>
      </w:pPr>
      <w:r>
        <w:rPr>
          <w:b/>
          <w:u w:val="single"/>
        </w:rPr>
        <w:t xml:space="preserve">населения г. Перми</w:t>
      </w:r>
      <w:r>
        <w:rPr>
          <w:b/>
          <w:u w:val="single"/>
        </w:rPr>
      </w:r>
    </w:p>
    <w:p>
      <w:pPr>
        <w:pStyle w:val="Normal"/>
        <w:jc w:val="center"/>
        <w:rPr>
          <w:b/>
          <w:u w:val="single"/>
        </w:rPr>
      </w:pPr>
      <w:r>
        <w:rPr>
          <w:b/>
          <w:u w:val="single"/>
        </w:rPr>
      </w:r>
    </w:p>
    <w:tbl>
      <w:tblPr>
        <w:tblW w:w="89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1E0" w:firstRow="1" w:lastRow="1" w:firstColumn="1" w:lastColumn="1" w:noHBand="0" w:noVBand="0"/>
      </w:tblPr>
      <w:tblGrid>
        <w:gridCol w:w="3257"/>
        <w:gridCol w:w="1828"/>
        <w:gridCol w:w="1828"/>
        <w:gridCol w:w="2005"/>
      </w:tblGrid>
      <w:tr>
        <w:trPr>
          <w:trHeight w:val="68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Title"/>
              <w:rPr>
                <w:rFonts w:ascii="Times New Roman" w:hAnsi="Times New Roman" w:cs="Times New Roman"/>
              </w:rPr>
            </w:pPr>
            <w:r>
              <w:rPr>
                <w:rFonts w:ascii="Times New Roman" w:hAnsi="Times New Roman" w:cs="Times New Roman"/>
              </w:rPr>
              <w:t xml:space="preserve">Критерий</w:t>
            </w:r>
          </w:p>
        </w:tc>
        <w:tc>
          <w:tcPr>
            <w:tcW w:w="1828" w:type="dxa"/>
            <w:textDirection w:val="lrTb"/>
            <w:vAlign w:val="center"/>
          </w:tcPr>
          <w:p>
            <w:pPr>
              <w:pStyle w:val="Title"/>
              <w:rPr>
                <w:rFonts w:ascii="Times New Roman" w:hAnsi="Times New Roman" w:cs="Times New Roman"/>
              </w:rPr>
            </w:pPr>
            <w:r>
              <w:rPr>
                <w:rFonts w:ascii="Times New Roman" w:hAnsi="Times New Roman" w:cs="Times New Roman"/>
              </w:rPr>
              <w:t xml:space="preserve">Медикаменты</w:t>
            </w:r>
          </w:p>
        </w:tc>
        <w:tc>
          <w:tcPr>
            <w:tcW w:w="1828" w:type="dxa"/>
            <w:textDirection w:val="lrTb"/>
            <w:vAlign w:val="center"/>
          </w:tcPr>
          <w:p>
            <w:pPr>
              <w:pStyle w:val="Title"/>
              <w:rPr>
                <w:rFonts w:ascii="Times New Roman" w:hAnsi="Times New Roman" w:cs="Times New Roman"/>
              </w:rPr>
            </w:pPr>
            <w:r>
              <w:rPr>
                <w:rFonts w:ascii="Times New Roman" w:hAnsi="Times New Roman" w:cs="Times New Roman"/>
              </w:rPr>
              <w:t xml:space="preserve">Алкоголь</w:t>
            </w:r>
          </w:p>
        </w:tc>
        <w:tc>
          <w:tcPr>
            <w:tcW w:w="2005" w:type="dxa"/>
            <w:textDirection w:val="lrTb"/>
            <w:vAlign w:val="center"/>
          </w:tcPr>
          <w:p>
            <w:pPr>
              <w:pStyle w:val="Title"/>
              <w:rPr>
                <w:rFonts w:ascii="Times New Roman" w:hAnsi="Times New Roman" w:cs="Times New Roman"/>
              </w:rPr>
            </w:pPr>
            <w:r>
              <w:rPr>
                <w:rFonts w:ascii="Times New Roman" w:hAnsi="Times New Roman" w:cs="Times New Roman"/>
              </w:rPr>
              <w:t xml:space="preserve">Наркотики</w:t>
            </w:r>
          </w:p>
        </w:tc>
      </w:tr>
      <w:tr>
        <w:trPr>
          <w:trHeight w:val="74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уровень отравлений в сравн</w:t>
            </w:r>
            <w:r>
              <w:rPr>
                <w:b/>
                <w:sz w:val="22"/>
                <w:szCs w:val="22"/>
              </w:rPr>
              <w:t xml:space="preserve">е</w:t>
            </w:r>
            <w:r>
              <w:rPr>
                <w:b/>
                <w:sz w:val="22"/>
                <w:szCs w:val="22"/>
              </w:rPr>
              <w:t xml:space="preserve">нии с 1 кв. </w:t>
            </w:r>
            <w:r>
              <w:rPr>
                <w:b/>
                <w:sz w:val="22"/>
                <w:szCs w:val="22"/>
              </w:rPr>
              <w:t xml:space="preserve">2024</w:t>
            </w:r>
            <w:r>
              <w:rPr>
                <w:b/>
                <w:sz w:val="22"/>
                <w:szCs w:val="22"/>
              </w:rPr>
              <w:t xml:space="preserve">г.</w:t>
            </w:r>
          </w:p>
        </w:tc>
        <w:tc>
          <w:tcPr>
            <w:tcW w:w="1828" w:type="dxa"/>
            <w:textDirection w:val="lrTb"/>
            <w:vAlign w:val="center"/>
          </w:tcPr>
          <w:p>
            <w:pPr>
              <w:pStyle w:val="Normal"/>
              <w:jc w:val="center"/>
              <w:rPr>
                <w:sz w:val="22"/>
                <w:szCs w:val="22"/>
              </w:rPr>
            </w:pPr>
            <w:r>
              <w:rPr>
                <w:sz w:val="22"/>
                <w:szCs w:val="22"/>
              </w:rPr>
              <w:t xml:space="preserve">Не изменился</w:t>
            </w:r>
            <w:r>
              <w:rPr>
                <w:sz w:val="22"/>
                <w:szCs w:val="22"/>
              </w:rPr>
            </w:r>
          </w:p>
        </w:tc>
        <w:tc>
          <w:tcPr>
            <w:tcW w:w="1828" w:type="dxa"/>
            <w:textDirection w:val="lrTb"/>
            <w:vAlign w:val="center"/>
          </w:tcPr>
          <w:p>
            <w:pPr>
              <w:pStyle w:val="Normal"/>
              <w:jc w:val="center"/>
              <w:rPr>
                <w:sz w:val="22"/>
                <w:szCs w:val="22"/>
              </w:rPr>
            </w:pPr>
            <w:r>
              <w:rPr>
                <w:sz w:val="22"/>
                <w:szCs w:val="22"/>
              </w:rPr>
              <w:t xml:space="preserve">Не изменился</w:t>
            </w:r>
            <w:r>
              <w:rPr>
                <w:sz w:val="22"/>
                <w:szCs w:val="22"/>
              </w:rPr>
            </w:r>
          </w:p>
        </w:tc>
        <w:tc>
          <w:tcPr>
            <w:tcW w:w="2005" w:type="dxa"/>
            <w:textDirection w:val="lrTb"/>
            <w:vAlign w:val="center"/>
          </w:tcPr>
          <w:p>
            <w:pPr>
              <w:pStyle w:val="Normal"/>
              <w:jc w:val="center"/>
              <w:rPr>
                <w:sz w:val="22"/>
                <w:szCs w:val="22"/>
              </w:rPr>
            </w:pPr>
            <w:r>
              <w:rPr>
                <w:sz w:val="22"/>
                <w:szCs w:val="22"/>
              </w:rPr>
              <w:t xml:space="preserve">Не изменился</w:t>
            </w:r>
            <w:r>
              <w:rPr>
                <w:sz w:val="22"/>
                <w:szCs w:val="22"/>
              </w:rPr>
            </w:r>
          </w:p>
        </w:tc>
      </w:tr>
      <w:tr>
        <w:trPr>
          <w:trHeight w:val="69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в т.ч. со смертельным исх</w:t>
            </w:r>
            <w:r>
              <w:rPr>
                <w:b/>
                <w:sz w:val="22"/>
                <w:szCs w:val="22"/>
              </w:rPr>
              <w:t xml:space="preserve">о</w:t>
            </w:r>
            <w:r>
              <w:rPr>
                <w:b/>
                <w:sz w:val="22"/>
                <w:szCs w:val="22"/>
              </w:rPr>
              <w:t xml:space="preserve">дом  в сравнении  с 1 кв. </w:t>
            </w:r>
            <w:r>
              <w:rPr>
                <w:b/>
                <w:sz w:val="22"/>
                <w:szCs w:val="22"/>
              </w:rPr>
              <w:t xml:space="preserve">2024</w:t>
            </w:r>
            <w:r>
              <w:rPr>
                <w:b/>
                <w:sz w:val="22"/>
                <w:szCs w:val="22"/>
              </w:rPr>
              <w:t xml:space="preserve">г.</w:t>
            </w:r>
          </w:p>
        </w:tc>
        <w:tc>
          <w:tcPr>
            <w:tcW w:w="1828" w:type="dxa"/>
            <w:textDirection w:val="lrTb"/>
            <w:vAlign w:val="center"/>
          </w:tcPr>
          <w:p>
            <w:pPr>
              <w:pStyle w:val="Normal"/>
              <w:jc w:val="center"/>
            </w:pPr>
            <w:r>
              <w:rPr>
                <w:sz w:val="22"/>
                <w:szCs w:val="22"/>
              </w:rPr>
              <w:t xml:space="preserve">Не изменился</w:t>
            </w:r>
          </w:p>
        </w:tc>
        <w:tc>
          <w:tcPr>
            <w:tcW w:w="1828" w:type="dxa"/>
            <w:textDirection w:val="lrTb"/>
            <w:vAlign w:val="center"/>
          </w:tcPr>
          <w:p>
            <w:pPr>
              <w:pStyle w:val="Normal"/>
              <w:jc w:val="center"/>
            </w:pPr>
            <w:r>
              <w:rPr>
                <w:sz w:val="22"/>
                <w:szCs w:val="22"/>
              </w:rPr>
              <w:t xml:space="preserve">Не изменился</w:t>
            </w:r>
          </w:p>
        </w:tc>
        <w:tc>
          <w:tcPr>
            <w:tcW w:w="2005" w:type="dxa"/>
            <w:textDirection w:val="lrTb"/>
            <w:vAlign w:val="center"/>
          </w:tcPr>
          <w:p>
            <w:pPr>
              <w:pStyle w:val="Normal"/>
              <w:jc w:val="center"/>
              <w:rPr>
                <w:sz w:val="22"/>
                <w:szCs w:val="22"/>
              </w:rPr>
            </w:pPr>
            <w:r>
              <w:rPr>
                <w:sz w:val="22"/>
                <w:szCs w:val="22"/>
              </w:rPr>
              <w:t xml:space="preserve">Не изменился</w:t>
            </w:r>
            <w:r>
              <w:rPr>
                <w:sz w:val="22"/>
                <w:szCs w:val="22"/>
              </w:rPr>
            </w:r>
          </w:p>
        </w:tc>
      </w:tr>
      <w:tr>
        <w:trPr>
          <w:trHeight w:val="70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территории риска</w:t>
            </w:r>
          </w:p>
        </w:tc>
        <w:tc>
          <w:tcPr>
            <w:tcW w:w="1828" w:type="dxa"/>
            <w:textDirection w:val="lrTb"/>
            <w:vAlign w:val="center"/>
          </w:tcPr>
          <w:p>
            <w:pPr>
              <w:pStyle w:val="Normal"/>
              <w:jc w:val="center"/>
              <w:rPr>
                <w:sz w:val="22"/>
                <w:szCs w:val="22"/>
              </w:rPr>
            </w:pPr>
            <w:r>
              <w:rPr>
                <w:sz w:val="22"/>
                <w:szCs w:val="22"/>
              </w:rPr>
              <w:t xml:space="preserve">Не определена</w:t>
            </w:r>
            <w:r>
              <w:rPr>
                <w:sz w:val="22"/>
                <w:szCs w:val="22"/>
              </w:rPr>
            </w:r>
          </w:p>
        </w:tc>
        <w:tc>
          <w:tcPr>
            <w:tcW w:w="1828" w:type="dxa"/>
            <w:textDirection w:val="lrTb"/>
            <w:vAlign w:val="center"/>
          </w:tcPr>
          <w:p>
            <w:pPr>
              <w:pStyle w:val="Normal"/>
              <w:jc w:val="center"/>
              <w:rPr>
                <w:sz w:val="22"/>
                <w:szCs w:val="22"/>
              </w:rPr>
            </w:pPr>
            <w:r>
              <w:rPr>
                <w:sz w:val="22"/>
                <w:szCs w:val="22"/>
              </w:rPr>
              <w:t xml:space="preserve">Не определена</w:t>
            </w:r>
            <w:r>
              <w:rPr>
                <w:sz w:val="22"/>
                <w:szCs w:val="22"/>
              </w:rPr>
              <w:t xml:space="preserve"> </w:t>
            </w:r>
            <w:r>
              <w:rPr>
                <w:sz w:val="22"/>
                <w:szCs w:val="22"/>
              </w:rPr>
            </w:r>
          </w:p>
        </w:tc>
        <w:tc>
          <w:tcPr>
            <w:tcW w:w="2005" w:type="dxa"/>
            <w:textDirection w:val="lrTb"/>
            <w:vAlign w:val="center"/>
          </w:tcPr>
          <w:p>
            <w:pPr>
              <w:pStyle w:val="Normal"/>
              <w:jc w:val="center"/>
              <w:rPr>
                <w:sz w:val="22"/>
                <w:szCs w:val="22"/>
              </w:rPr>
            </w:pPr>
            <w:r>
              <w:rPr>
                <w:sz w:val="22"/>
                <w:szCs w:val="22"/>
              </w:rPr>
              <w:t xml:space="preserve">Не определена</w:t>
            </w:r>
            <w:r>
              <w:rPr>
                <w:sz w:val="22"/>
                <w:szCs w:val="22"/>
              </w:rPr>
            </w:r>
          </w:p>
        </w:tc>
      </w:tr>
      <w:tr>
        <w:trPr>
          <w:trHeight w:val="54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группа риска по полу</w:t>
            </w:r>
            <w:r>
              <w:rPr>
                <w:b/>
                <w:sz w:val="22"/>
                <w:szCs w:val="22"/>
              </w:rPr>
              <w:t xml:space="preserve"> и возрасту</w:t>
            </w:r>
            <w:r>
              <w:rPr>
                <w:b/>
                <w:sz w:val="22"/>
                <w:szCs w:val="22"/>
              </w:rPr>
            </w:r>
          </w:p>
        </w:tc>
        <w:tc>
          <w:tcPr>
            <w:tcW w:w="1828" w:type="dxa"/>
            <w:textDirection w:val="lrTb"/>
            <w:vAlign w:val="center"/>
          </w:tcPr>
          <w:p>
            <w:pPr>
              <w:pStyle w:val="Normal"/>
              <w:jc w:val="center"/>
              <w:rPr>
                <w:sz w:val="22"/>
                <w:szCs w:val="22"/>
              </w:rPr>
            </w:pPr>
            <w:r>
              <w:rPr>
                <w:sz w:val="22"/>
                <w:szCs w:val="22"/>
              </w:rPr>
              <w:t xml:space="preserve">Женщины</w:t>
            </w:r>
          </w:p>
          <w:p>
            <w:pPr>
              <w:pStyle w:val="Normal"/>
              <w:jc w:val="center"/>
              <w:rPr>
                <w:sz w:val="22"/>
                <w:szCs w:val="22"/>
              </w:rPr>
            </w:pPr>
            <w:r>
              <w:rPr>
                <w:sz w:val="22"/>
                <w:szCs w:val="22"/>
              </w:rPr>
              <w:t xml:space="preserve"> 15-17 лет</w:t>
            </w:r>
          </w:p>
          <w:p>
            <w:pPr>
              <w:pStyle w:val="Normal"/>
              <w:jc w:val="center"/>
              <w:rPr>
                <w:sz w:val="22"/>
                <w:szCs w:val="22"/>
              </w:rPr>
            </w:pPr>
            <w:r>
              <w:rPr>
                <w:sz w:val="22"/>
                <w:szCs w:val="22"/>
              </w:rPr>
              <w:t xml:space="preserve">20-29 лет</w:t>
            </w:r>
            <w:r>
              <w:rPr>
                <w:sz w:val="22"/>
                <w:szCs w:val="22"/>
              </w:rPr>
            </w:r>
          </w:p>
        </w:tc>
        <w:tc>
          <w:tcPr>
            <w:tcW w:w="1828" w:type="dxa"/>
            <w:textDirection w:val="lrTb"/>
            <w:vAlign w:val="center"/>
          </w:tcPr>
          <w:p>
            <w:pPr>
              <w:pStyle w:val="Normal"/>
              <w:jc w:val="center"/>
              <w:rPr>
                <w:sz w:val="22"/>
                <w:szCs w:val="22"/>
              </w:rPr>
            </w:pPr>
            <w:r>
              <w:rPr>
                <w:sz w:val="22"/>
                <w:szCs w:val="22"/>
              </w:rPr>
              <w:t xml:space="preserve">Не определена</w:t>
            </w:r>
            <w:r>
              <w:rPr>
                <w:sz w:val="22"/>
                <w:szCs w:val="22"/>
              </w:rPr>
            </w:r>
          </w:p>
        </w:tc>
        <w:tc>
          <w:tcPr>
            <w:tcW w:w="2005" w:type="dxa"/>
            <w:textDirection w:val="lrTb"/>
            <w:vAlign w:val="center"/>
          </w:tcPr>
          <w:p>
            <w:pPr>
              <w:pStyle w:val="Normal"/>
              <w:jc w:val="center"/>
              <w:rPr>
                <w:sz w:val="22"/>
                <w:szCs w:val="22"/>
              </w:rPr>
            </w:pPr>
            <w:r>
              <w:rPr>
                <w:sz w:val="22"/>
                <w:szCs w:val="22"/>
              </w:rPr>
              <w:t xml:space="preserve">Мужчины</w:t>
            </w:r>
          </w:p>
          <w:p>
            <w:pPr>
              <w:pStyle w:val="Normal"/>
              <w:jc w:val="center"/>
              <w:rPr>
                <w:sz w:val="22"/>
                <w:szCs w:val="22"/>
              </w:rPr>
            </w:pPr>
            <w:r>
              <w:rPr>
                <w:sz w:val="22"/>
                <w:szCs w:val="22"/>
              </w:rPr>
              <w:t xml:space="preserve"> 40 - 49 лет</w:t>
            </w:r>
            <w:r>
              <w:rPr>
                <w:sz w:val="22"/>
                <w:szCs w:val="22"/>
              </w:rPr>
            </w:r>
          </w:p>
        </w:tc>
      </w:tr>
      <w:tr>
        <w:trPr>
          <w:trHeight w:val="564"/>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группа риска по социальному составу</w:t>
            </w:r>
          </w:p>
        </w:tc>
        <w:tc>
          <w:tcPr>
            <w:tcW w:w="5661" w:type="dxa"/>
            <w:gridSpan w:val="3"/>
            <w:textDirection w:val="lrTb"/>
            <w:vAlign w:val="center"/>
          </w:tcPr>
          <w:p>
            <w:pPr>
              <w:pStyle w:val="Normal"/>
              <w:jc w:val="center"/>
            </w:pPr>
            <w:r>
              <w:rPr>
                <w:sz w:val="22"/>
                <w:szCs w:val="22"/>
              </w:rPr>
              <w:t xml:space="preserve">Неработающие</w:t>
            </w:r>
          </w:p>
          <w:p>
            <w:pPr>
              <w:pStyle w:val="Normal"/>
              <w:jc w:val="center"/>
            </w:pPr>
          </w:p>
        </w:tc>
      </w:tr>
      <w:tr>
        <w:trPr>
          <w:trHeight w:val="70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257" w:type="dxa"/>
            <w:textDirection w:val="lrTb"/>
            <w:vAlign w:val="center"/>
          </w:tcPr>
          <w:p>
            <w:pPr>
              <w:pStyle w:val="Normal"/>
              <w:rPr>
                <w:b/>
                <w:sz w:val="22"/>
                <w:szCs w:val="22"/>
              </w:rPr>
            </w:pPr>
            <w:r>
              <w:rPr>
                <w:b/>
                <w:sz w:val="22"/>
                <w:szCs w:val="22"/>
              </w:rPr>
              <w:t xml:space="preserve">удельный вес смертельных исходов</w:t>
            </w:r>
          </w:p>
        </w:tc>
        <w:tc>
          <w:tcPr>
            <w:tcW w:w="1828" w:type="dxa"/>
            <w:textDirection w:val="lrTb"/>
            <w:vAlign w:val="center"/>
          </w:tcPr>
          <w:p>
            <w:pPr>
              <w:pStyle w:val="Normal"/>
              <w:jc w:val="center"/>
              <w:rPr>
                <w:sz w:val="22"/>
                <w:szCs w:val="22"/>
              </w:rPr>
            </w:pPr>
            <w:r>
              <w:rPr>
                <w:sz w:val="22"/>
                <w:szCs w:val="22"/>
              </w:rPr>
              <w:t xml:space="preserve">3,9</w:t>
            </w:r>
            <w:r>
              <w:rPr>
                <w:sz w:val="22"/>
                <w:szCs w:val="22"/>
              </w:rPr>
              <w:t xml:space="preserve"> %</w:t>
            </w:r>
          </w:p>
        </w:tc>
        <w:tc>
          <w:tcPr>
            <w:tcW w:w="1828" w:type="dxa"/>
            <w:textDirection w:val="lrTb"/>
            <w:vAlign w:val="center"/>
          </w:tcPr>
          <w:p>
            <w:pPr>
              <w:pStyle w:val="Normal"/>
              <w:jc w:val="center"/>
              <w:rPr>
                <w:sz w:val="22"/>
                <w:szCs w:val="22"/>
              </w:rPr>
            </w:pPr>
            <w:r>
              <w:rPr>
                <w:sz w:val="22"/>
                <w:szCs w:val="22"/>
              </w:rPr>
              <w:t xml:space="preserve">68,5</w:t>
            </w:r>
            <w:r>
              <w:rPr>
                <w:sz w:val="22"/>
                <w:szCs w:val="22"/>
              </w:rPr>
              <w:t xml:space="preserve"> %</w:t>
            </w:r>
          </w:p>
        </w:tc>
        <w:tc>
          <w:tcPr>
            <w:tcW w:w="2005" w:type="dxa"/>
            <w:textDirection w:val="lrTb"/>
            <w:vAlign w:val="center"/>
          </w:tcPr>
          <w:p>
            <w:pPr>
              <w:pStyle w:val="Normal"/>
              <w:jc w:val="center"/>
              <w:rPr>
                <w:sz w:val="22"/>
                <w:szCs w:val="22"/>
              </w:rPr>
            </w:pPr>
            <w:r>
              <w:rPr>
                <w:sz w:val="22"/>
                <w:szCs w:val="22"/>
              </w:rPr>
              <w:t xml:space="preserve">69</w:t>
            </w:r>
            <w:r>
              <w:rPr>
                <w:sz w:val="22"/>
                <w:szCs w:val="22"/>
              </w:rPr>
              <w:t xml:space="preserve"> %</w:t>
            </w:r>
          </w:p>
        </w:tc>
      </w:tr>
    </w:tbl>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r>
    </w:p>
    <w:p>
      <w:pPr>
        <w:pStyle w:val="Normal"/>
        <w:jc w:val="center"/>
        <w:rPr>
          <w:b/>
          <w:sz w:val="26"/>
          <w:szCs w:val="26"/>
          <w:u w:val="single"/>
        </w:rPr>
      </w:pPr>
      <w:r>
        <w:rPr>
          <w:b/>
          <w:sz w:val="26"/>
          <w:szCs w:val="26"/>
          <w:u w:val="single"/>
        </w:rPr>
        <w:t xml:space="preserve">Заключение</w:t>
      </w:r>
      <w:r>
        <w:rPr>
          <w:b/>
          <w:sz w:val="26"/>
          <w:szCs w:val="26"/>
          <w:u w:val="single"/>
        </w:rPr>
      </w:r>
    </w:p>
    <w:p>
      <w:pPr>
        <w:pStyle w:val="Normal"/>
        <w:jc w:val="center"/>
        <w:rPr>
          <w:b/>
          <w:sz w:val="26"/>
          <w:szCs w:val="26"/>
          <w:u w:val="single"/>
        </w:rPr>
      </w:pPr>
      <w:r>
        <w:rPr>
          <w:b/>
          <w:sz w:val="26"/>
          <w:szCs w:val="26"/>
          <w:u w:val="single"/>
        </w:rPr>
      </w:r>
    </w:p>
    <w:p>
      <w:pPr>
        <w:pStyle w:val="Normal"/>
        <w:ind w:firstLine="720"/>
        <w:jc w:val="both"/>
        <w:rPr>
          <w:szCs w:val="20"/>
        </w:rPr>
      </w:pPr>
      <w:r>
        <w:t xml:space="preserve">За 1 квартал 2025 г. среди населения г. Перми было зарегистрировано 2</w:t>
      </w:r>
      <w:r>
        <w:rPr>
          <w:szCs w:val="20"/>
        </w:rPr>
        <w:t xml:space="preserve">08</w:t>
      </w:r>
      <w:r>
        <w:rPr>
          <w:szCs w:val="20"/>
        </w:rPr>
        <w:t xml:space="preserve"> случа</w:t>
      </w:r>
      <w:r>
        <w:rPr>
          <w:szCs w:val="20"/>
        </w:rPr>
        <w:t xml:space="preserve">ев отравлений химической этиологии. В сравнении с аналогичным периодом прошлого года п</w:t>
      </w:r>
      <w:r>
        <w:rPr>
          <w:szCs w:val="20"/>
        </w:rPr>
        <w:t xml:space="preserve">оказатель общих отравлений </w:t>
      </w:r>
      <w:r>
        <w:rPr>
          <w:szCs w:val="20"/>
        </w:rPr>
        <w:t xml:space="preserve">не изменился, но остался выше среднекраевого</w:t>
      </w:r>
      <w:r>
        <w:rPr>
          <w:szCs w:val="20"/>
        </w:rPr>
        <w:t xml:space="preserve"> уровн</w:t>
      </w:r>
      <w:r>
        <w:rPr>
          <w:szCs w:val="20"/>
        </w:rPr>
        <w:t xml:space="preserve">я</w:t>
      </w:r>
      <w:r>
        <w:rPr>
          <w:szCs w:val="20"/>
        </w:rPr>
        <w:t xml:space="preserve"> </w:t>
      </w:r>
      <w:r>
        <w:rPr>
          <w:szCs w:val="20"/>
        </w:rPr>
        <w:t xml:space="preserve"> в 1,4 раза.</w:t>
      </w:r>
      <w:r>
        <w:rPr>
          <w:szCs w:val="20"/>
        </w:rPr>
        <w:t xml:space="preserve"> </w:t>
      </w:r>
      <w:r>
        <w:rPr>
          <w:szCs w:val="20"/>
        </w:rPr>
      </w:r>
    </w:p>
    <w:p>
      <w:pPr>
        <w:pStyle w:val="Normal"/>
        <w:ind w:firstLine="720"/>
        <w:jc w:val="both"/>
      </w:pPr>
      <w:r>
        <w:t xml:space="preserve">В</w:t>
      </w:r>
      <w:r>
        <w:t xml:space="preserve"> </w:t>
      </w:r>
      <w:r>
        <w:t xml:space="preserve">структуре </w:t>
      </w:r>
      <w:r>
        <w:t xml:space="preserve">всех отравлений </w:t>
      </w:r>
      <w:r>
        <w:t xml:space="preserve">медикамент</w:t>
      </w:r>
      <w:r>
        <w:t xml:space="preserve">озные</w:t>
      </w:r>
      <w:r>
        <w:t xml:space="preserve"> отравления удерживают лидирующую</w:t>
      </w:r>
      <w:r>
        <w:t xml:space="preserve"> позицию (36,5 %), большинство из которых суицидального характера. На долю отравлений алкоголем и его суррогатами приходится 26,0 %, </w:t>
      </w:r>
      <w:r>
        <w:t xml:space="preserve"> </w:t>
      </w:r>
      <w:r>
        <w:t xml:space="preserve">наркотиками – 13,9 %.</w:t>
      </w:r>
    </w:p>
    <w:p>
      <w:pPr>
        <w:pStyle w:val="Normal"/>
        <w:ind w:firstLine="720"/>
        <w:jc w:val="both"/>
      </w:pPr>
      <w:r>
        <w:rPr>
          <w:szCs w:val="20"/>
        </w:rPr>
        <w:t xml:space="preserve">В сравнении с аналогичным периодом прошлого года п</w:t>
      </w:r>
      <w:r>
        <w:rPr>
          <w:szCs w:val="20"/>
        </w:rPr>
        <w:t xml:space="preserve">оказатель </w:t>
      </w:r>
      <w:r>
        <w:rPr>
          <w:szCs w:val="20"/>
        </w:rPr>
        <w:t xml:space="preserve">смертельных</w:t>
      </w:r>
      <w:r>
        <w:rPr>
          <w:szCs w:val="20"/>
        </w:rPr>
        <w:t xml:space="preserve"> отравлений </w:t>
      </w:r>
      <w:r>
        <w:rPr>
          <w:szCs w:val="20"/>
        </w:rPr>
        <w:t xml:space="preserve">не изменился.</w:t>
      </w:r>
      <w:r>
        <w:t xml:space="preserve"> В структуре причин смертности первое место заняли отравления </w:t>
      </w:r>
      <w:r>
        <w:t xml:space="preserve">алкоголем и его суррогатами</w:t>
      </w:r>
      <w:r>
        <w:t xml:space="preserve"> </w:t>
      </w:r>
      <w:r>
        <w:t xml:space="preserve">(48</w:t>
      </w:r>
      <w:r>
        <w:t xml:space="preserve"> %</w:t>
      </w:r>
      <w:r>
        <w:t xml:space="preserve">)</w:t>
      </w:r>
      <w:r>
        <w:t xml:space="preserve">, второе –</w:t>
      </w:r>
      <w:r>
        <w:t xml:space="preserve"> </w:t>
      </w:r>
      <w:r>
        <w:t xml:space="preserve">наркотиками</w:t>
      </w:r>
      <w:r>
        <w:t xml:space="preserve"> </w:t>
      </w:r>
      <w:r>
        <w:t xml:space="preserve">(26</w:t>
      </w:r>
      <w:r>
        <w:t xml:space="preserve"> %</w:t>
      </w:r>
      <w:r>
        <w:t xml:space="preserve">)</w:t>
      </w:r>
      <w:r>
        <w:t xml:space="preserve">.</w:t>
      </w:r>
    </w:p>
    <w:p>
      <w:pPr>
        <w:pStyle w:val="Normal"/>
        <w:ind w:firstLine="709"/>
        <w:jc w:val="both"/>
      </w:pPr>
      <w:r>
        <w:rPr>
          <w:szCs w:val="20"/>
        </w:rPr>
        <w:t xml:space="preserve">В сравнении с 1 кварталом 2024 г. п</w:t>
      </w:r>
      <w:r>
        <w:rPr>
          <w:szCs w:val="20"/>
        </w:rPr>
        <w:t xml:space="preserve">оказатель суицидальных отравлений </w:t>
      </w:r>
      <w:r>
        <w:rPr>
          <w:szCs w:val="20"/>
        </w:rPr>
        <w:t xml:space="preserve">не изменился, но превысил среднекраевой уровень в 1,9 раза.</w:t>
      </w:r>
    </w:p>
    <w:sectPr>
      <w:type w:val="nextPage"/>
      <w:pgSz w:w="11907" w:h="16840"/>
      <w:pgMar w:top="1418" w:right="1275" w:bottom="1418" w:left="1418" w:header="709" w:footer="851" w:gutter="17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ahoma">
    <w:panose1 w:val="020B0604030504040204"/>
  </w:font>
  <w:font w:name="Calibri">
    <w:panose1 w:val="020F0502020204030204"/>
  </w:font>
  <w:font w:name="Lucida Sans Unicode">
    <w:panose1 w:val="020B0603030804020204"/>
  </w:font>
  <w:font w:name="Arial">
    <w:panose1 w:val="020B0604020202020204"/>
  </w:font>
  <w:font w:name="Times New Roman">
    <w:panose1 w:val="02020603050405020304"/>
  </w:font>
  <w:font w:name="Cambria">
    <w:panose1 w:val="02040803050406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r>
  </w:p>
  <w:p>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sz w:val="16"/>
        <w:szCs w:val="16"/>
      </w:rPr>
      <w:t xml:space="preserve">3</w:t>
    </w:r>
    <w:r>
      <w:rPr>
        <w:rStyle w:val="PageNumber"/>
        <w:sz w:val="16"/>
        <w:szCs w:val="16"/>
      </w:rPr>
      <w:fldChar w:fldCharType="end"/>
    </w:r>
    <w:r>
      <w:rPr>
        <w:rStyle w:val="PageNumber"/>
        <w:sz w:val="16"/>
        <w:szCs w:val="16"/>
      </w:rPr>
    </w:r>
  </w:p>
  <w:p>
    <w:pPr>
      <w:pStyle w:val="Header"/>
      <w:ind w:right="360"/>
      <w:jc w:val="center"/>
      <w:rPr>
        <w:color w:val="808080"/>
        <w:sz w:val="18"/>
        <w:szCs w:val="18"/>
        <w:u w:val="single"/>
      </w:rPr>
    </w:pPr>
    <w:r>
      <w:rPr>
        <w:color w:val="808080"/>
        <w:sz w:val="18"/>
        <w:szCs w:val="18"/>
        <w:u w:val="single"/>
      </w:rPr>
      <w:t xml:space="preserve">Мониторинг наркологических расстройств и отравлений химической этиологии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Header"/>
      <w:framePr w:wrap="around" w:vAnchor="text" w:hAnchor="margin" w:xAlign="right" w:y="1"/>
      <w:rPr>
        <w:rStyle w:val="PageNumber"/>
        <w:sz w:val="16"/>
        <w:szCs w:val="16"/>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sz w:val="16"/>
        <w:szCs w:val="16"/>
      </w:rPr>
      <w:t xml:space="preserve">2</w:t>
    </w:r>
    <w:r>
      <w:rPr>
        <w:rStyle w:val="PageNumber"/>
        <w:sz w:val="16"/>
        <w:szCs w:val="16"/>
      </w:rPr>
      <w:fldChar w:fldCharType="end"/>
    </w:r>
    <w:r>
      <w:rPr>
        <w:rStyle w:val="PageNumber"/>
        <w:sz w:val="16"/>
        <w:szCs w:val="16"/>
      </w:rPr>
    </w:r>
  </w:p>
  <w:p>
    <w:pPr>
      <w:pStyle w:val="Header"/>
      <w:ind w:right="360"/>
      <w:rPr>
        <w:color w:val="808080"/>
        <w:sz w:val="18"/>
        <w:szCs w:val="18"/>
        <w:u w:val="single"/>
      </w:rPr>
    </w:pPr>
    <w:r>
      <w:rPr>
        <w:color w:val="808080"/>
        <w:sz w:val="18"/>
        <w:szCs w:val="18"/>
        <w:u w:val="single"/>
      </w:rPr>
      <w:t xml:space="preserve">Мониторинг наркологических расстройств и отравлений химической этиологии                               </w:t>
    </w:r>
    <w:r>
      <w:rPr>
        <w:color w:val="808080"/>
        <w:sz w:val="18"/>
        <w:szCs w:val="18"/>
        <w:u w:val="single"/>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ind w:left="720" w:hanging="360"/>
      </w:pPr>
      <w:rPr>
        <w:b w:val="0"/>
      </w:r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3">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4">
    <w:multiLevelType w:val="hybridMultilevel"/>
    <w:lvl w:ilvl="0">
      <w:start w:val="1"/>
      <w:numFmt w:val="decimal"/>
      <w:suff w:val="tab"/>
      <w:lvlText w:val="%1."/>
      <w:lvlJc w:val="left"/>
      <w:pPr>
        <w:pStyle w:val="Normal"/>
        <w:tabs>
          <w:tab w:val="num" w:pos="720" w:leader="none"/>
        </w:tabs>
        <w:ind w:left="720" w:hanging="360"/>
      </w:pPr>
      <w:rPr>
        <w:b w:val="0"/>
        <w:color w:val="000000"/>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5">
    <w:multiLevelType w:val="hybridMultilevel"/>
    <w:lvl w:ilvl="0">
      <w:start w:val="1"/>
      <w:numFmt w:val="bullet"/>
      <w:suff w:val="tab"/>
      <w:lvlText w:val=""/>
      <w:lvlJc w:val="left"/>
      <w:pPr>
        <w:pStyle w:val="Normal"/>
        <w:tabs>
          <w:tab w:val="num" w:pos="1429" w:leader="none"/>
        </w:tabs>
        <w:ind w:left="1429" w:hanging="360"/>
      </w:pPr>
      <w:rPr>
        <w:rFonts w:ascii="Symbol" w:hAnsi="Symbol"/>
        <w:sz w:val="20"/>
        <w:szCs w:val="20"/>
      </w:rPr>
    </w:lvl>
    <w:lvl w:ilvl="1">
      <w:start w:val="1"/>
      <w:numFmt w:val="bullet"/>
      <w:suff w:val="tab"/>
      <w:lvlText w:val="o"/>
      <w:lvlJc w:val="left"/>
      <w:pPr>
        <w:pStyle w:val="Normal"/>
        <w:tabs>
          <w:tab w:val="num" w:pos="2149" w:leader="none"/>
        </w:tabs>
        <w:ind w:left="2149" w:hanging="360"/>
      </w:pPr>
      <w:rPr>
        <w:rFonts w:ascii="Courier New" w:hAnsi="Courier New" w:cs="Courier New"/>
      </w:rPr>
    </w:lvl>
    <w:lvl w:ilvl="2">
      <w:start w:val="1"/>
      <w:numFmt w:val="bullet"/>
      <w:suff w:val="tab"/>
      <w:lvlText w:val=""/>
      <w:lvlJc w:val="left"/>
      <w:pPr>
        <w:pStyle w:val="Normal"/>
        <w:tabs>
          <w:tab w:val="num" w:pos="2869" w:leader="none"/>
        </w:tabs>
        <w:ind w:left="2869" w:hanging="360"/>
      </w:pPr>
      <w:rPr>
        <w:rFonts w:ascii="Wingdings" w:hAnsi="Wingdings"/>
      </w:rPr>
    </w:lvl>
    <w:lvl w:ilvl="3">
      <w:start w:val="1"/>
      <w:numFmt w:val="bullet"/>
      <w:suff w:val="tab"/>
      <w:lvlText w:val=""/>
      <w:lvlJc w:val="left"/>
      <w:pPr>
        <w:pStyle w:val="Normal"/>
        <w:tabs>
          <w:tab w:val="num" w:pos="3589" w:leader="none"/>
        </w:tabs>
        <w:ind w:left="3589" w:hanging="360"/>
      </w:pPr>
      <w:rPr>
        <w:rFonts w:ascii="Symbol" w:hAnsi="Symbol"/>
      </w:rPr>
    </w:lvl>
    <w:lvl w:ilvl="4">
      <w:start w:val="1"/>
      <w:numFmt w:val="bullet"/>
      <w:suff w:val="tab"/>
      <w:lvlText w:val="o"/>
      <w:lvlJc w:val="left"/>
      <w:pPr>
        <w:pStyle w:val="Normal"/>
        <w:tabs>
          <w:tab w:val="num" w:pos="4309" w:leader="none"/>
        </w:tabs>
        <w:ind w:left="4309" w:hanging="360"/>
      </w:pPr>
      <w:rPr>
        <w:rFonts w:ascii="Courier New" w:hAnsi="Courier New" w:cs="Courier New"/>
      </w:rPr>
    </w:lvl>
    <w:lvl w:ilvl="5">
      <w:start w:val="1"/>
      <w:numFmt w:val="bullet"/>
      <w:suff w:val="tab"/>
      <w:lvlText w:val=""/>
      <w:lvlJc w:val="left"/>
      <w:pPr>
        <w:pStyle w:val="Normal"/>
        <w:tabs>
          <w:tab w:val="num" w:pos="5029" w:leader="none"/>
        </w:tabs>
        <w:ind w:left="5029" w:hanging="360"/>
      </w:pPr>
      <w:rPr>
        <w:rFonts w:ascii="Wingdings" w:hAnsi="Wingdings"/>
      </w:rPr>
    </w:lvl>
    <w:lvl w:ilvl="6">
      <w:start w:val="1"/>
      <w:numFmt w:val="bullet"/>
      <w:suff w:val="tab"/>
      <w:lvlText w:val=""/>
      <w:lvlJc w:val="left"/>
      <w:pPr>
        <w:pStyle w:val="Normal"/>
        <w:tabs>
          <w:tab w:val="num" w:pos="5749" w:leader="none"/>
        </w:tabs>
        <w:ind w:left="5749" w:hanging="360"/>
      </w:pPr>
      <w:rPr>
        <w:rFonts w:ascii="Symbol" w:hAnsi="Symbol"/>
      </w:rPr>
    </w:lvl>
    <w:lvl w:ilvl="7">
      <w:start w:val="1"/>
      <w:numFmt w:val="bullet"/>
      <w:suff w:val="tab"/>
      <w:lvlText w:val="o"/>
      <w:lvlJc w:val="left"/>
      <w:pPr>
        <w:pStyle w:val="Normal"/>
        <w:tabs>
          <w:tab w:val="num" w:pos="6469" w:leader="none"/>
        </w:tabs>
        <w:ind w:left="6469" w:hanging="360"/>
      </w:pPr>
      <w:rPr>
        <w:rFonts w:ascii="Courier New" w:hAnsi="Courier New" w:cs="Courier New"/>
      </w:rPr>
    </w:lvl>
    <w:lvl w:ilvl="8">
      <w:start w:val="1"/>
      <w:numFmt w:val="bullet"/>
      <w:suff w:val="tab"/>
      <w:lvlText w:val=""/>
      <w:lvlJc w:val="left"/>
      <w:pPr>
        <w:pStyle w:val="Normal"/>
        <w:tabs>
          <w:tab w:val="num" w:pos="7189" w:leader="none"/>
        </w:tabs>
        <w:ind w:left="7189" w:hanging="360"/>
      </w:pPr>
      <w:rPr>
        <w:rFonts w:ascii="Wingdings" w:hAnsi="Wingdings"/>
      </w:rPr>
    </w:lvl>
  </w:abstractNum>
  <w:abstractNum w:abstractNumId="6">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7">
    <w:multiLevelType w:val="hybridMultilevel"/>
    <w:lvl w:ilvl="0">
      <w:start w:val="1"/>
      <w:numFmt w:val="decimal"/>
      <w:suff w:val="tab"/>
      <w:lvlText w:val="%1."/>
      <w:lvlJc w:val="left"/>
      <w:pPr>
        <w:pStyle w:val="Normal"/>
        <w:tabs>
          <w:tab w:val="num" w:pos="360" w:leader="none"/>
        </w:tabs>
        <w:ind w:left="360" w:hanging="360"/>
      </w:pPr>
    </w:lvl>
    <w:lvl w:ilvl="1">
      <w:start w:val="1"/>
      <w:numFmt w:val="bullet"/>
      <w:suff w:val="tab"/>
      <w:lvlText w:val="-"/>
      <w:lvlJc w:val="left"/>
      <w:pPr>
        <w:pStyle w:val="Normal"/>
        <w:tabs>
          <w:tab w:val="num" w:pos="1260" w:leader="none"/>
        </w:tabs>
        <w:ind w:left="126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8">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9">
    <w:multiLevelType w:val="hybridMultilevel"/>
    <w:lvl w:ilvl="0">
      <w:start w:val="1"/>
      <w:numFmt w:val="decimal"/>
      <w:suff w:val="tab"/>
      <w:lvlText w:val="%1."/>
      <w:lvlJc w:val="left"/>
      <w:pPr>
        <w:pStyle w:val="Normal"/>
        <w:tabs>
          <w:tab w:val="num" w:pos="723" w:leader="none"/>
        </w:tabs>
        <w:ind w:left="723" w:hanging="360"/>
      </w:pPr>
      <w:rPr>
        <w:color w:val="000000"/>
      </w:rPr>
    </w:lvl>
    <w:lvl w:ilvl="1">
      <w:start w:val="1"/>
      <w:numFmt w:val="lowerLetter"/>
      <w:suff w:val="tab"/>
      <w:lvlText w:val="%2."/>
      <w:lvlJc w:val="left"/>
      <w:pPr>
        <w:pStyle w:val="Normal"/>
        <w:tabs>
          <w:tab w:val="num" w:pos="1443" w:leader="none"/>
        </w:tabs>
        <w:ind w:left="1443" w:hanging="360"/>
      </w:pPr>
    </w:lvl>
    <w:lvl w:ilvl="2">
      <w:start w:val="1"/>
      <w:numFmt w:val="lowerRoman"/>
      <w:suff w:val="tab"/>
      <w:lvlText w:val="%3."/>
      <w:lvlJc w:val="right"/>
      <w:pPr>
        <w:pStyle w:val="Normal"/>
        <w:tabs>
          <w:tab w:val="num" w:pos="2163" w:leader="none"/>
        </w:tabs>
        <w:ind w:left="2163" w:hanging="180"/>
      </w:pPr>
    </w:lvl>
    <w:lvl w:ilvl="3">
      <w:start w:val="1"/>
      <w:numFmt w:val="decimal"/>
      <w:suff w:val="tab"/>
      <w:lvlText w:val="%4."/>
      <w:lvlJc w:val="left"/>
      <w:pPr>
        <w:pStyle w:val="Normal"/>
        <w:tabs>
          <w:tab w:val="num" w:pos="2883" w:leader="none"/>
        </w:tabs>
        <w:ind w:left="2883" w:hanging="360"/>
      </w:pPr>
      <w:rPr>
        <w:rFonts w:ascii="Times New Roman" w:hAnsi="Times New Roman" w:eastAsia="Times New Roman" w:cs="Times New Roman"/>
      </w:rPr>
    </w:lvl>
    <w:lvl w:ilvl="4">
      <w:start w:val="1"/>
      <w:numFmt w:val="lowerLetter"/>
      <w:suff w:val="tab"/>
      <w:lvlText w:val="%5."/>
      <w:lvlJc w:val="left"/>
      <w:pPr>
        <w:pStyle w:val="Normal"/>
        <w:tabs>
          <w:tab w:val="num" w:pos="3603" w:leader="none"/>
        </w:tabs>
        <w:ind w:left="3603" w:hanging="360"/>
      </w:pPr>
    </w:lvl>
    <w:lvl w:ilvl="5">
      <w:start w:val="1"/>
      <w:numFmt w:val="lowerRoman"/>
      <w:suff w:val="tab"/>
      <w:lvlText w:val="%6."/>
      <w:lvlJc w:val="right"/>
      <w:pPr>
        <w:pStyle w:val="Normal"/>
        <w:tabs>
          <w:tab w:val="num" w:pos="4323" w:leader="none"/>
        </w:tabs>
        <w:ind w:left="4323" w:hanging="180"/>
      </w:pPr>
    </w:lvl>
    <w:lvl w:ilvl="6">
      <w:start w:val="1"/>
      <w:numFmt w:val="decimal"/>
      <w:suff w:val="tab"/>
      <w:lvlText w:val="%7."/>
      <w:lvlJc w:val="left"/>
      <w:pPr>
        <w:pStyle w:val="Normal"/>
        <w:tabs>
          <w:tab w:val="num" w:pos="5043" w:leader="none"/>
        </w:tabs>
        <w:ind w:left="5043" w:hanging="360"/>
      </w:pPr>
    </w:lvl>
    <w:lvl w:ilvl="7">
      <w:start w:val="1"/>
      <w:numFmt w:val="lowerLetter"/>
      <w:suff w:val="tab"/>
      <w:lvlText w:val="%8."/>
      <w:lvlJc w:val="left"/>
      <w:pPr>
        <w:pStyle w:val="Normal"/>
        <w:tabs>
          <w:tab w:val="num" w:pos="5763" w:leader="none"/>
        </w:tabs>
        <w:ind w:left="5763" w:hanging="360"/>
      </w:pPr>
    </w:lvl>
    <w:lvl w:ilvl="8">
      <w:start w:val="1"/>
      <w:numFmt w:val="lowerRoman"/>
      <w:suff w:val="tab"/>
      <w:lvlText w:val="%9."/>
      <w:lvlJc w:val="right"/>
      <w:pPr>
        <w:pStyle w:val="Normal"/>
        <w:tabs>
          <w:tab w:val="num" w:pos="6483" w:leader="none"/>
        </w:tabs>
        <w:ind w:left="6483" w:hanging="180"/>
      </w:pPr>
    </w:lvl>
  </w:abstractNum>
  <w:abstractNum w:abstractNumId="10">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1">
    <w:multiLevelType w:val="hybridMultilevel"/>
    <w:lvl w:ilvl="0">
      <w:start w:val="1"/>
      <w:numFmt w:val="decimal"/>
      <w:suff w:val="tab"/>
      <w:lvlText w:val="%1."/>
      <w:lvlJc w:val="left"/>
      <w:pPr>
        <w:pStyle w:val="Normal"/>
        <w:tabs>
          <w:tab w:val="num" w:pos="720" w:leader="none"/>
        </w:tabs>
        <w:ind w:left="720" w:hanging="360"/>
      </w:pPr>
      <w:rPr>
        <w:b w:val="0"/>
        <w:color w:val="000000"/>
      </w:r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12">
    <w:multiLevelType w:val="hybridMultilevel"/>
    <w:lvl w:ilvl="0">
      <w:start w:val="1"/>
      <w:numFmt w:val="bullet"/>
      <w:suff w:val="tab"/>
      <w:lvlText w:val=""/>
      <w:lvlJc w:val="left"/>
      <w:pPr>
        <w:pStyle w:val="Normal"/>
        <w:tabs>
          <w:tab w:val="num" w:pos="1440" w:leader="none"/>
        </w:tabs>
        <w:ind w:left="1440" w:hanging="360"/>
      </w:pPr>
      <w:rPr>
        <w:rFonts w:ascii="Symbol" w:hAnsi="Symbol"/>
      </w:rPr>
    </w:lvl>
    <w:lvl w:ilvl="1">
      <w:start w:val="1"/>
      <w:numFmt w:val="bullet"/>
      <w:suff w:val="tab"/>
      <w:lvlText w:val="o"/>
      <w:lvlJc w:val="left"/>
      <w:pPr>
        <w:pStyle w:val="Normal"/>
        <w:tabs>
          <w:tab w:val="num" w:pos="2160" w:leader="none"/>
        </w:tabs>
        <w:ind w:left="2160" w:hanging="360"/>
      </w:pPr>
      <w:rPr>
        <w:rFonts w:ascii="Courier New" w:hAnsi="Courier New" w:cs="Courier New"/>
      </w:rPr>
    </w:lvl>
    <w:lvl w:ilvl="2">
      <w:start w:val="1"/>
      <w:numFmt w:val="bullet"/>
      <w:suff w:val="tab"/>
      <w:lvlText w:val=""/>
      <w:lvlJc w:val="left"/>
      <w:pPr>
        <w:pStyle w:val="Normal"/>
        <w:tabs>
          <w:tab w:val="num" w:pos="2880" w:leader="none"/>
        </w:tabs>
        <w:ind w:left="2880" w:hanging="360"/>
      </w:pPr>
      <w:rPr>
        <w:rFonts w:ascii="Wingdings" w:hAnsi="Wingdings"/>
      </w:rPr>
    </w:lvl>
    <w:lvl w:ilvl="3">
      <w:start w:val="1"/>
      <w:numFmt w:val="bullet"/>
      <w:suff w:val="tab"/>
      <w:lvlText w:val=""/>
      <w:lvlJc w:val="left"/>
      <w:pPr>
        <w:pStyle w:val="Normal"/>
        <w:tabs>
          <w:tab w:val="num" w:pos="3600" w:leader="none"/>
        </w:tabs>
        <w:ind w:left="3600" w:hanging="360"/>
      </w:pPr>
      <w:rPr>
        <w:rFonts w:ascii="Symbol" w:hAnsi="Symbol"/>
      </w:rPr>
    </w:lvl>
    <w:lvl w:ilvl="4">
      <w:start w:val="1"/>
      <w:numFmt w:val="bullet"/>
      <w:suff w:val="tab"/>
      <w:lvlText w:val="o"/>
      <w:lvlJc w:val="left"/>
      <w:pPr>
        <w:pStyle w:val="Normal"/>
        <w:tabs>
          <w:tab w:val="num" w:pos="4320" w:leader="none"/>
        </w:tabs>
        <w:ind w:left="4320" w:hanging="360"/>
      </w:pPr>
      <w:rPr>
        <w:rFonts w:ascii="Courier New" w:hAnsi="Courier New" w:cs="Courier New"/>
      </w:rPr>
    </w:lvl>
    <w:lvl w:ilvl="5">
      <w:start w:val="1"/>
      <w:numFmt w:val="bullet"/>
      <w:suff w:val="tab"/>
      <w:lvlText w:val=""/>
      <w:lvlJc w:val="left"/>
      <w:pPr>
        <w:pStyle w:val="Normal"/>
        <w:tabs>
          <w:tab w:val="num" w:pos="5040" w:leader="none"/>
        </w:tabs>
        <w:ind w:left="5040" w:hanging="360"/>
      </w:pPr>
      <w:rPr>
        <w:rFonts w:ascii="Wingdings" w:hAnsi="Wingdings"/>
      </w:rPr>
    </w:lvl>
    <w:lvl w:ilvl="6">
      <w:start w:val="1"/>
      <w:numFmt w:val="bullet"/>
      <w:suff w:val="tab"/>
      <w:lvlText w:val=""/>
      <w:lvlJc w:val="left"/>
      <w:pPr>
        <w:pStyle w:val="Normal"/>
        <w:tabs>
          <w:tab w:val="num" w:pos="5760" w:leader="none"/>
        </w:tabs>
        <w:ind w:left="5760" w:hanging="360"/>
      </w:pPr>
      <w:rPr>
        <w:rFonts w:ascii="Symbol" w:hAnsi="Symbol"/>
      </w:rPr>
    </w:lvl>
    <w:lvl w:ilvl="7">
      <w:start w:val="1"/>
      <w:numFmt w:val="bullet"/>
      <w:suff w:val="tab"/>
      <w:lvlText w:val="o"/>
      <w:lvlJc w:val="left"/>
      <w:pPr>
        <w:pStyle w:val="Normal"/>
        <w:tabs>
          <w:tab w:val="num" w:pos="6480" w:leader="none"/>
        </w:tabs>
        <w:ind w:left="6480" w:hanging="360"/>
      </w:pPr>
      <w:rPr>
        <w:rFonts w:ascii="Courier New" w:hAnsi="Courier New" w:cs="Courier New"/>
      </w:rPr>
    </w:lvl>
    <w:lvl w:ilvl="8">
      <w:start w:val="1"/>
      <w:numFmt w:val="bullet"/>
      <w:suff w:val="tab"/>
      <w:lvlText w:val=""/>
      <w:lvlJc w:val="left"/>
      <w:pPr>
        <w:pStyle w:val="Normal"/>
        <w:tabs>
          <w:tab w:val="num" w:pos="7200" w:leader="none"/>
        </w:tabs>
        <w:ind w:left="7200" w:hanging="360"/>
      </w:pPr>
      <w:rPr>
        <w:rFonts w:ascii="Wingdings" w:hAnsi="Wingdings"/>
      </w:rPr>
    </w:lvl>
  </w:abstractNum>
  <w:abstractNum w:abstractNumId="13">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4">
    <w:multiLevelType w:val="hybridMultilevel"/>
    <w:lvl w:ilvl="0">
      <w:start w:val="1"/>
      <w:numFmt w:val="bullet"/>
      <w:suff w:val="tab"/>
      <w:lvlText w:val=""/>
      <w:lvlJc w:val="left"/>
      <w:pPr>
        <w:pStyle w:val="Normal"/>
        <w:tabs>
          <w:tab w:val="num" w:pos="720" w:leader="none"/>
        </w:tabs>
        <w:ind w:left="720" w:hanging="360"/>
      </w:pPr>
      <w:rPr>
        <w:rFonts w:ascii="Symbol" w:hAnsi="Symbol"/>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abstractNum w:abstractNumId="15">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abstractNum w:abstractNumId="16">
    <w:multiLevelType w:val="hybridMultilevel"/>
    <w:lvl w:ilvl="0">
      <w:start w:val="1"/>
      <w:numFmt w:val="bullet"/>
      <w:suff w:val="tab"/>
      <w:lvlText w:val=""/>
      <w:lvlJc w:val="left"/>
      <w:pPr>
        <w:pStyle w:val="Normal"/>
        <w:ind w:left="1429" w:hanging="360"/>
      </w:pPr>
      <w:rPr>
        <w:rFonts w:ascii="Symbol" w:hAnsi="Symbol"/>
      </w:rPr>
    </w:lvl>
    <w:lvl w:ilvl="1">
      <w:start w:val="1"/>
      <w:numFmt w:val="bullet"/>
      <w:suff w:val="tab"/>
      <w:lvlText w:val="o"/>
      <w:lvlJc w:val="left"/>
      <w:pPr>
        <w:pStyle w:val="Normal"/>
        <w:ind w:left="2149" w:hanging="360"/>
      </w:pPr>
      <w:rPr>
        <w:rFonts w:ascii="Courier New" w:hAnsi="Courier New" w:cs="Courier New"/>
      </w:rPr>
    </w:lvl>
    <w:lvl w:ilvl="2">
      <w:start w:val="1"/>
      <w:numFmt w:val="bullet"/>
      <w:suff w:val="tab"/>
      <w:lvlText w:val=""/>
      <w:lvlJc w:val="left"/>
      <w:pPr>
        <w:pStyle w:val="Normal"/>
        <w:ind w:left="2869" w:hanging="360"/>
      </w:pPr>
      <w:rPr>
        <w:rFonts w:ascii="Wingdings" w:hAnsi="Wingdings"/>
      </w:rPr>
    </w:lvl>
    <w:lvl w:ilvl="3">
      <w:start w:val="1"/>
      <w:numFmt w:val="bullet"/>
      <w:suff w:val="tab"/>
      <w:lvlText w:val=""/>
      <w:lvlJc w:val="left"/>
      <w:pPr>
        <w:pStyle w:val="Normal"/>
        <w:ind w:left="3589" w:hanging="360"/>
      </w:pPr>
      <w:rPr>
        <w:rFonts w:ascii="Symbol" w:hAnsi="Symbol"/>
      </w:rPr>
    </w:lvl>
    <w:lvl w:ilvl="4">
      <w:start w:val="1"/>
      <w:numFmt w:val="bullet"/>
      <w:suff w:val="tab"/>
      <w:lvlText w:val="o"/>
      <w:lvlJc w:val="left"/>
      <w:pPr>
        <w:pStyle w:val="Normal"/>
        <w:ind w:left="4309" w:hanging="360"/>
      </w:pPr>
      <w:rPr>
        <w:rFonts w:ascii="Courier New" w:hAnsi="Courier New" w:cs="Courier New"/>
      </w:rPr>
    </w:lvl>
    <w:lvl w:ilvl="5">
      <w:start w:val="1"/>
      <w:numFmt w:val="bullet"/>
      <w:suff w:val="tab"/>
      <w:lvlText w:val=""/>
      <w:lvlJc w:val="left"/>
      <w:pPr>
        <w:pStyle w:val="Normal"/>
        <w:ind w:left="5029" w:hanging="360"/>
      </w:pPr>
      <w:rPr>
        <w:rFonts w:ascii="Wingdings" w:hAnsi="Wingdings"/>
      </w:rPr>
    </w:lvl>
    <w:lvl w:ilvl="6">
      <w:start w:val="1"/>
      <w:numFmt w:val="bullet"/>
      <w:suff w:val="tab"/>
      <w:lvlText w:val=""/>
      <w:lvlJc w:val="left"/>
      <w:pPr>
        <w:pStyle w:val="Normal"/>
        <w:ind w:left="5749" w:hanging="360"/>
      </w:pPr>
      <w:rPr>
        <w:rFonts w:ascii="Symbol" w:hAnsi="Symbol"/>
      </w:rPr>
    </w:lvl>
    <w:lvl w:ilvl="7">
      <w:start w:val="1"/>
      <w:numFmt w:val="bullet"/>
      <w:suff w:val="tab"/>
      <w:lvlText w:val="o"/>
      <w:lvlJc w:val="left"/>
      <w:pPr>
        <w:pStyle w:val="Normal"/>
        <w:ind w:left="6469" w:hanging="360"/>
      </w:pPr>
      <w:rPr>
        <w:rFonts w:ascii="Courier New" w:hAnsi="Courier New" w:cs="Courier New"/>
      </w:rPr>
    </w:lvl>
    <w:lvl w:ilvl="8">
      <w:start w:val="1"/>
      <w:numFmt w:val="bullet"/>
      <w:suff w:val="tab"/>
      <w:lvlText w:val=""/>
      <w:lvlJc w:val="left"/>
      <w:pPr>
        <w:pStyle w:val="Normal"/>
        <w:ind w:left="7189" w:hanging="360"/>
      </w:pPr>
      <w:rPr>
        <w:rFonts w:ascii="Wingdings" w:hAnsi="Wingdings"/>
      </w:rPr>
    </w:lvl>
  </w:abstractNum>
  <w:abstractNum w:abstractNumId="17">
    <w:multiLevelType w:val="hybridMultilevel"/>
    <w:lvl w:ilvl="0">
      <w:start w:val="1"/>
      <w:numFmt w:val="bullet"/>
      <w:suff w:val="tab"/>
      <w:lvlText w:val=""/>
      <w:lvlJc w:val="left"/>
      <w:pPr>
        <w:pStyle w:val="Normal"/>
        <w:tabs>
          <w:tab w:val="num" w:pos="1418" w:leader="none"/>
        </w:tabs>
        <w:ind w:left="1418" w:hanging="360"/>
      </w:pPr>
      <w:rPr>
        <w:rFonts w:ascii="Symbol" w:hAnsi="Symbol" w:cs="Symbol"/>
        <w:sz w:val="24"/>
        <w:szCs w:val="24"/>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cs="Wingdings"/>
      </w:rPr>
    </w:lvl>
    <w:lvl w:ilvl="3">
      <w:start w:val="1"/>
      <w:numFmt w:val="bullet"/>
      <w:suff w:val="tab"/>
      <w:lvlText w:val=""/>
      <w:lvlJc w:val="left"/>
      <w:pPr>
        <w:pStyle w:val="Normal"/>
        <w:tabs>
          <w:tab w:val="num" w:pos="2880" w:leader="none"/>
        </w:tabs>
        <w:ind w:left="2880" w:hanging="360"/>
      </w:pPr>
      <w:rPr>
        <w:rFonts w:ascii="Symbol" w:hAnsi="Symbol" w:cs="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cs="Wingdings"/>
      </w:rPr>
    </w:lvl>
    <w:lvl w:ilvl="6">
      <w:start w:val="1"/>
      <w:numFmt w:val="bullet"/>
      <w:suff w:val="tab"/>
      <w:lvlText w:val=""/>
      <w:lvlJc w:val="left"/>
      <w:pPr>
        <w:pStyle w:val="Normal"/>
        <w:tabs>
          <w:tab w:val="num" w:pos="5040" w:leader="none"/>
        </w:tabs>
        <w:ind w:left="5040" w:hanging="360"/>
      </w:pPr>
      <w:rPr>
        <w:rFonts w:ascii="Symbol" w:hAnsi="Symbol" w:cs="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cs="Wingdings"/>
      </w:rPr>
    </w:lvl>
  </w:abstractNum>
  <w:abstractNum w:abstractNumId="18">
    <w:multiLevelType w:val="hybridMultilevel"/>
    <w:lvl w:ilvl="0">
      <w:start w:val="1"/>
      <w:numFmt w:val="bullet"/>
      <w:suff w:val="tab"/>
      <w:lvlText w:val=""/>
      <w:lvlJc w:val="left"/>
      <w:pPr>
        <w:pStyle w:val="Normal"/>
        <w:ind w:left="720" w:hanging="360"/>
      </w:pPr>
      <w:rPr>
        <w:rFonts w:ascii="Symbol" w:hAnsi="Symbol"/>
      </w:rPr>
    </w:lvl>
    <w:lvl w:ilvl="1">
      <w:start w:val="1"/>
      <w:numFmt w:val="bullet"/>
      <w:suff w:val="tab"/>
      <w:lvlText w:val="o"/>
      <w:lvlJc w:val="left"/>
      <w:pPr>
        <w:pStyle w:val="Normal"/>
        <w:ind w:left="1440" w:hanging="360"/>
      </w:pPr>
      <w:rPr>
        <w:rFonts w:ascii="Courier New" w:hAnsi="Courier New" w:cs="Courier New"/>
      </w:rPr>
    </w:lvl>
    <w:lvl w:ilvl="2">
      <w:start w:val="1"/>
      <w:numFmt w:val="bullet"/>
      <w:suff w:val="tab"/>
      <w:lvlText w:val=""/>
      <w:lvlJc w:val="left"/>
      <w:pPr>
        <w:pStyle w:val="Normal"/>
        <w:ind w:left="2160" w:hanging="360"/>
      </w:pPr>
      <w:rPr>
        <w:rFonts w:ascii="Wingdings" w:hAnsi="Wingdings"/>
      </w:rPr>
    </w:lvl>
    <w:lvl w:ilvl="3">
      <w:start w:val="1"/>
      <w:numFmt w:val="bullet"/>
      <w:suff w:val="tab"/>
      <w:lvlText w:val=""/>
      <w:lvlJc w:val="left"/>
      <w:pPr>
        <w:pStyle w:val="Normal"/>
        <w:ind w:left="2880" w:hanging="360"/>
      </w:pPr>
      <w:rPr>
        <w:rFonts w:ascii="Symbol" w:hAnsi="Symbol"/>
      </w:rPr>
    </w:lvl>
    <w:lvl w:ilvl="4">
      <w:start w:val="1"/>
      <w:numFmt w:val="bullet"/>
      <w:suff w:val="tab"/>
      <w:lvlText w:val="o"/>
      <w:lvlJc w:val="left"/>
      <w:pPr>
        <w:pStyle w:val="Normal"/>
        <w:ind w:left="3600" w:hanging="360"/>
      </w:pPr>
      <w:rPr>
        <w:rFonts w:ascii="Courier New" w:hAnsi="Courier New" w:cs="Courier New"/>
      </w:rPr>
    </w:lvl>
    <w:lvl w:ilvl="5">
      <w:start w:val="1"/>
      <w:numFmt w:val="bullet"/>
      <w:suff w:val="tab"/>
      <w:lvlText w:val=""/>
      <w:lvlJc w:val="left"/>
      <w:pPr>
        <w:pStyle w:val="Normal"/>
        <w:ind w:left="4320" w:hanging="360"/>
      </w:pPr>
      <w:rPr>
        <w:rFonts w:ascii="Wingdings" w:hAnsi="Wingdings"/>
      </w:rPr>
    </w:lvl>
    <w:lvl w:ilvl="6">
      <w:start w:val="1"/>
      <w:numFmt w:val="bullet"/>
      <w:suff w:val="tab"/>
      <w:lvlText w:val=""/>
      <w:lvlJc w:val="left"/>
      <w:pPr>
        <w:pStyle w:val="Normal"/>
        <w:ind w:left="5040" w:hanging="360"/>
      </w:pPr>
      <w:rPr>
        <w:rFonts w:ascii="Symbol" w:hAnsi="Symbol"/>
      </w:rPr>
    </w:lvl>
    <w:lvl w:ilvl="7">
      <w:start w:val="1"/>
      <w:numFmt w:val="bullet"/>
      <w:suff w:val="tab"/>
      <w:lvlText w:val="o"/>
      <w:lvlJc w:val="left"/>
      <w:pPr>
        <w:pStyle w:val="Normal"/>
        <w:ind w:left="5760" w:hanging="360"/>
      </w:pPr>
      <w:rPr>
        <w:rFonts w:ascii="Courier New" w:hAnsi="Courier New" w:cs="Courier New"/>
      </w:rPr>
    </w:lvl>
    <w:lvl w:ilvl="8">
      <w:start w:val="1"/>
      <w:numFmt w:val="bullet"/>
      <w:suff w:val="tab"/>
      <w:lvlText w:val=""/>
      <w:lvlJc w:val="left"/>
      <w:pPr>
        <w:pStyle w:val="Normal"/>
        <w:ind w:left="6480" w:hanging="360"/>
      </w:pPr>
      <w:rPr>
        <w:rFonts w:ascii="Wingdings" w:hAnsi="Wingdings"/>
      </w:rPr>
    </w:lvl>
  </w:abstractNum>
  <w:abstractNum w:abstractNumId="19">
    <w:multiLevelType w:val="hybridMultilevel"/>
    <w:lvl w:ilvl="0">
      <w:start w:val="1"/>
      <w:numFmt w:val="decimal"/>
      <w:suff w:val="tab"/>
      <w:lvlText w:val="%1."/>
      <w:lvlJc w:val="left"/>
      <w:pPr>
        <w:pStyle w:val="Normal"/>
        <w:ind w:left="720" w:hanging="360"/>
      </w:pPr>
    </w:lvl>
    <w:lvl w:ilvl="1">
      <w:start w:val="1"/>
      <w:numFmt w:val="lowerLetter"/>
      <w:suff w:val="tab"/>
      <w:lvlText w:val="%2."/>
      <w:lvlJc w:val="left"/>
      <w:pPr>
        <w:pStyle w:val="Normal"/>
        <w:ind w:left="1440" w:hanging="360"/>
      </w:pPr>
    </w:lvl>
    <w:lvl w:ilvl="2">
      <w:start w:val="1"/>
      <w:numFmt w:val="lowerRoman"/>
      <w:suff w:val="tab"/>
      <w:lvlText w:val="%3."/>
      <w:lvlJc w:val="right"/>
      <w:pPr>
        <w:pStyle w:val="Normal"/>
        <w:ind w:left="2160" w:hanging="180"/>
      </w:pPr>
    </w:lvl>
    <w:lvl w:ilvl="3">
      <w:start w:val="1"/>
      <w:numFmt w:val="decimal"/>
      <w:suff w:val="tab"/>
      <w:lvlText w:val="%4."/>
      <w:lvlJc w:val="left"/>
      <w:pPr>
        <w:pStyle w:val="Normal"/>
        <w:ind w:left="2880" w:hanging="360"/>
      </w:pPr>
    </w:lvl>
    <w:lvl w:ilvl="4">
      <w:start w:val="1"/>
      <w:numFmt w:val="lowerLetter"/>
      <w:suff w:val="tab"/>
      <w:lvlText w:val="%5."/>
      <w:lvlJc w:val="left"/>
      <w:pPr>
        <w:pStyle w:val="Normal"/>
        <w:ind w:left="3600" w:hanging="360"/>
      </w:pPr>
    </w:lvl>
    <w:lvl w:ilvl="5">
      <w:start w:val="1"/>
      <w:numFmt w:val="lowerRoman"/>
      <w:suff w:val="tab"/>
      <w:lvlText w:val="%6."/>
      <w:lvlJc w:val="right"/>
      <w:pPr>
        <w:pStyle w:val="Normal"/>
        <w:ind w:left="4320" w:hanging="180"/>
      </w:pPr>
    </w:lvl>
    <w:lvl w:ilvl="6">
      <w:start w:val="1"/>
      <w:numFmt w:val="decimal"/>
      <w:suff w:val="tab"/>
      <w:lvlText w:val="%7."/>
      <w:lvlJc w:val="left"/>
      <w:pPr>
        <w:pStyle w:val="Normal"/>
        <w:ind w:left="5040" w:hanging="360"/>
      </w:pPr>
    </w:lvl>
    <w:lvl w:ilvl="7">
      <w:start w:val="1"/>
      <w:numFmt w:val="lowerLetter"/>
      <w:suff w:val="tab"/>
      <w:lvlText w:val="%8."/>
      <w:lvlJc w:val="left"/>
      <w:pPr>
        <w:pStyle w:val="Normal"/>
        <w:ind w:left="5760" w:hanging="360"/>
      </w:pPr>
    </w:lvl>
    <w:lvl w:ilvl="8">
      <w:start w:val="1"/>
      <w:numFmt w:val="lowerRoman"/>
      <w:suff w:val="tab"/>
      <w:lvlText w:val="%9."/>
      <w:lvlJc w:val="right"/>
      <w:pPr>
        <w:pStyle w:val="Normal"/>
        <w:ind w:left="6480" w:hanging="180"/>
      </w:pPr>
    </w:lvl>
  </w:abstractNum>
  <w:num w:numId="1">
    <w:abstractNumId w:val="7"/>
  </w:num>
  <w:num w:numId="2">
    <w:abstractNumId w:val="9"/>
  </w:num>
  <w:num w:numId="3">
    <w:abstractNumId w:val="11"/>
  </w:num>
  <w:num w:numId="4">
    <w:abstractNumId w:val="12"/>
  </w:num>
  <w:num w:numId="5">
    <w:abstractNumId w:val="15"/>
  </w:num>
  <w:num w:numId="6">
    <w:abstractNumId w:val="19"/>
  </w:num>
  <w:num w:numId="7">
    <w:abstractNumId w:val="13"/>
  </w:num>
  <w:num w:numId="8">
    <w:abstractNumId w:val="18"/>
  </w:num>
  <w:num w:numId="9">
    <w:abstractNumId w:val="10"/>
  </w:num>
  <w:num w:numId="10">
    <w:abstractNumId w:val="3"/>
  </w:num>
  <w:num w:numId="11">
    <w:abstractNumId w:val="16"/>
  </w:num>
  <w:num w:numId="12">
    <w:abstractNumId w:val="8"/>
  </w:num>
  <w:num w:numId="13">
    <w:abstractNumId w:val="6"/>
  </w:num>
  <w:num w:numId="14">
    <w:abstractNumId w:val="2"/>
  </w:num>
  <w:num w:numId="15">
    <w:abstractNumId w:val="4"/>
  </w:num>
  <w:num w:numId="16">
    <w:abstractNumId w:val="5"/>
  </w:num>
  <w:num w:numId="17">
    <w:abstractNumId w:val="0"/>
  </w:num>
  <w:num w:numId="18">
    <w:abstractNumId w:val="14"/>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footnoteLayoutLikeWW8 w:val="true"/>
    <w:shapeLayoutLikeWW8 w:val="true"/>
    <w:alignTablesRowByRow w:val="true"/>
    <w:forgetLastTabAlignment w:val="true"/>
    <w:doNotUseHTMLParagraphAutoSpacing w:val="true"/>
    <w:layoutRawTableWidth w:val="true"/>
    <w:layoutTableRowsApart w:val="true"/>
    <w:useWord97LineBreakRules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uiPriority w:val="99"/>
    <w:qFormat/>
    <w:pPr>
      <w:keepNext/>
      <w:jc w:val="center"/>
      <w:outlineLvl w:val="0"/>
    </w:pPr>
    <w:rPr>
      <w:b/>
      <w:bCs/>
      <w:i/>
      <w:iCs/>
      <w:sz w:val="28"/>
      <w:szCs w:val="28"/>
    </w:rPr>
  </w:style>
  <w:style w:type="paragraph" w:styleId="Heading2">
    <w:name w:val="Заголовок 2"/>
    <w:basedOn w:val="Normal"/>
    <w:next w:val="Normal"/>
    <w:link w:val="UserStyle_1"/>
    <w:uiPriority w:val="99"/>
    <w:qFormat/>
    <w:pPr>
      <w:keepNext/>
      <w:spacing w:line="264" w:lineRule="auto"/>
      <w:jc w:val="center"/>
      <w:outlineLvl w:val="1"/>
    </w:pPr>
    <w:rPr>
      <w:rFonts w:ascii="Arial" w:hAnsi="Arial" w:cs="Arial"/>
      <w:b/>
      <w:bCs/>
      <w:color w:val="000080"/>
      <w:sz w:val="18"/>
      <w:szCs w:val="18"/>
    </w:rPr>
  </w:style>
  <w:style w:type="paragraph" w:styleId="Heading3">
    <w:name w:val="Заголовок 3"/>
    <w:basedOn w:val="Normal"/>
    <w:next w:val="Normal"/>
    <w:link w:val="UserStyle_2"/>
    <w:uiPriority w:val="99"/>
    <w:qFormat/>
    <w:pPr>
      <w:keepNext/>
      <w:spacing w:line="264" w:lineRule="auto"/>
      <w:ind w:firstLine="540"/>
      <w:jc w:val="center"/>
      <w:outlineLvl w:val="2"/>
    </w:pPr>
    <w:rPr>
      <w:rFonts w:ascii="Arial" w:hAnsi="Arial" w:cs="Arial"/>
      <w:b/>
      <w:bCs/>
      <w:color w:val="000080"/>
      <w:sz w:val="18"/>
      <w:szCs w:val="18"/>
    </w:rPr>
  </w:style>
  <w:style w:type="paragraph" w:styleId="Heading4">
    <w:name w:val="Заголовок 4"/>
    <w:basedOn w:val="Normal"/>
    <w:next w:val="Normal"/>
    <w:link w:val="UserStyle_3"/>
    <w:uiPriority w:val="99"/>
    <w:qFormat/>
    <w:pPr>
      <w:keepNext/>
      <w:spacing w:line="264" w:lineRule="auto"/>
      <w:ind w:firstLine="708"/>
      <w:jc w:val="center"/>
      <w:outlineLvl w:val="3"/>
    </w:pPr>
    <w:rPr>
      <w:rFonts w:ascii="Arial" w:hAnsi="Arial" w:cs="Arial"/>
      <w:b/>
      <w:bCs/>
      <w:color w:val="000080"/>
      <w:sz w:val="18"/>
      <w:szCs w:val="18"/>
    </w:rPr>
  </w:style>
  <w:style w:type="paragraph" w:styleId="Heading5">
    <w:name w:val="Заголовок 5"/>
    <w:basedOn w:val="Normal"/>
    <w:next w:val="Normal"/>
    <w:link w:val="UserStyle_4"/>
    <w:uiPriority w:val="99"/>
    <w:qFormat/>
    <w:pPr>
      <w:keepNext/>
      <w:spacing w:line="264" w:lineRule="auto"/>
      <w:ind w:firstLine="539"/>
      <w:jc w:val="center"/>
      <w:outlineLvl w:val="4"/>
    </w:pPr>
    <w:rPr>
      <w:rFonts w:ascii="Arial" w:hAnsi="Arial" w:cs="Arial"/>
      <w:b/>
      <w:bCs/>
      <w:color w:val="000080"/>
      <w:sz w:val="18"/>
      <w:szCs w:val="18"/>
    </w:rPr>
  </w:style>
  <w:style w:type="paragraph" w:styleId="Heading6">
    <w:name w:val="Заголовок 6"/>
    <w:basedOn w:val="Normal"/>
    <w:next w:val="Normal"/>
    <w:link w:val="UserStyle_5"/>
    <w:uiPriority w:val="99"/>
    <w:qFormat/>
    <w:pPr>
      <w:keepNext/>
      <w:outlineLvl w:val="5"/>
    </w:pPr>
    <w:rPr>
      <w:rFonts w:ascii="Lucida Sans Unicode" w:hAnsi="Lucida Sans Unicode" w:cs="Lucida Sans Unicode"/>
      <w:b/>
      <w:bCs/>
      <w:i/>
      <w:iCs/>
      <w:color w:val="ffffff"/>
    </w:rPr>
  </w:style>
  <w:style w:type="paragraph" w:styleId="Heading7">
    <w:name w:val="Заголовок 7"/>
    <w:basedOn w:val="Normal"/>
    <w:next w:val="Normal"/>
    <w:link w:val="UserStyle_6"/>
    <w:uiPriority w:val="99"/>
    <w:qFormat/>
    <w:pPr>
      <w:keepNext/>
      <w:jc w:val="center"/>
      <w:outlineLvl w:val="6"/>
    </w:pPr>
    <w:rPr>
      <w:b/>
      <w:bCs/>
      <w:sz w:val="20"/>
      <w:szCs w:val="20"/>
    </w:rPr>
  </w:style>
  <w:style w:type="paragraph" w:styleId="Heading8">
    <w:name w:val="Заголовок 8"/>
    <w:basedOn w:val="Normal"/>
    <w:next w:val="Normal"/>
    <w:link w:val="UserStyle_7"/>
    <w:uiPriority w:val="99"/>
    <w:qFormat/>
    <w:pPr>
      <w:spacing w:before="240" w:after="60"/>
      <w:outlineLvl w:val="7"/>
    </w:pPr>
    <w:rPr>
      <w:i/>
      <w:iCs/>
    </w:rPr>
  </w:style>
  <w:style w:type="paragraph" w:styleId="Heading9">
    <w:name w:val="Заголовок 9"/>
    <w:basedOn w:val="Normal"/>
    <w:next w:val="Normal"/>
    <w:link w:val="UserStyle_8"/>
    <w:uiPriority w:val="99"/>
    <w:qFormat/>
    <w:pPr>
      <w:keepNext/>
      <w:outlineLvl w:val="8"/>
    </w:pPr>
    <w:rPr>
      <w:b/>
      <w:bCs/>
      <w:color w:val="000080"/>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BodyTextIndent">
    <w:name w:val="Основной текст с отступом"/>
    <w:basedOn w:val="Normal"/>
    <w:next w:val="BodyTextIndent"/>
    <w:link w:val="UserStyle_9"/>
    <w:uiPriority w:val="99"/>
    <w:rPr>
      <w:b/>
      <w:bCs/>
      <w:i/>
      <w:iCs/>
      <w:color w:val="ffffff"/>
    </w:rPr>
  </w:style>
  <w:style w:type="paragraph" w:styleId="BodyTextIndent2">
    <w:name w:val="Основной текст с отступом 2"/>
    <w:basedOn w:val="Normal"/>
    <w:next w:val="BodyTextIndent2"/>
    <w:link w:val="UserStyle_10"/>
    <w:uiPriority w:val="99"/>
    <w:pPr>
      <w:ind w:firstLine="708"/>
      <w:jc w:val="both"/>
    </w:pPr>
  </w:style>
  <w:style w:type="paragraph" w:styleId="Header">
    <w:name w:val="Верхний колонтитул"/>
    <w:basedOn w:val="Normal"/>
    <w:next w:val="Header"/>
    <w:link w:val="UserStyle_11"/>
    <w:uiPriority w:val="99"/>
    <w:pPr>
      <w:tabs>
        <w:tab w:val="center" w:pos="4153" w:leader="none"/>
        <w:tab w:val="right" w:pos="8306" w:leader="none"/>
      </w:tabs>
    </w:pPr>
  </w:style>
  <w:style w:type="character" w:styleId="PageNumber">
    <w:name w:val="Номер страницы"/>
    <w:basedOn w:val="NormalCharacter"/>
    <w:next w:val="PageNumber"/>
    <w:link w:val="Normal"/>
    <w:uiPriority w:val="99"/>
  </w:style>
  <w:style w:type="paragraph" w:styleId="BodyTextIndent3">
    <w:name w:val="Основной текст с отступом 3"/>
    <w:basedOn w:val="Normal"/>
    <w:next w:val="BodyTextIndent3"/>
    <w:link w:val="UserStyle_12"/>
    <w:uiPriority w:val="99"/>
    <w:pPr>
      <w:ind w:firstLine="708"/>
    </w:pPr>
  </w:style>
  <w:style w:type="paragraph" w:styleId="Footer">
    <w:name w:val="Нижний колонтитул"/>
    <w:basedOn w:val="Normal"/>
    <w:next w:val="Footer"/>
    <w:link w:val="UserStyle_13"/>
    <w:uiPriority w:val="99"/>
    <w:pPr>
      <w:tabs>
        <w:tab w:val="center" w:pos="4677" w:leader="none"/>
        <w:tab w:val="right" w:pos="9355" w:leader="none"/>
      </w:tabs>
    </w:pPr>
  </w:style>
  <w:style w:type="paragraph" w:styleId="Title">
    <w:name w:val="Название"/>
    <w:basedOn w:val="Normal"/>
    <w:next w:val="Title"/>
    <w:link w:val="UserStyle_14"/>
    <w:uiPriority w:val="99"/>
    <w:qFormat/>
    <w:pPr>
      <w:jc w:val="center"/>
    </w:pPr>
    <w:rPr>
      <w:rFonts w:ascii="Arial" w:hAnsi="Arial" w:cs="Arial"/>
      <w:b/>
      <w:bCs/>
      <w:sz w:val="22"/>
      <w:szCs w:val="22"/>
    </w:rPr>
  </w:style>
  <w:style w:type="paragraph" w:styleId="BodyText">
    <w:name w:val="Основной текст"/>
    <w:basedOn w:val="Normal"/>
    <w:next w:val="BodyText"/>
    <w:link w:val="UserStyle_15"/>
    <w:uiPriority w:val="99"/>
    <w:pPr>
      <w:spacing w:after="120"/>
    </w:pPr>
  </w:style>
  <w:style w:type="paragraph" w:styleId="Caption">
    <w:name w:val="Название объекта"/>
    <w:basedOn w:val="Normal"/>
    <w:next w:val="Normal"/>
    <w:link w:val="Normal"/>
    <w:uiPriority w:val="99"/>
    <w:qFormat/>
    <w:pPr>
      <w:spacing w:line="264" w:lineRule="auto"/>
      <w:jc w:val="center"/>
    </w:pPr>
    <w:rPr>
      <w:rFonts w:ascii="Arial" w:hAnsi="Arial" w:cs="Arial"/>
      <w:b/>
      <w:bCs/>
      <w:color w:val="0000ff"/>
      <w:sz w:val="18"/>
      <w:szCs w:val="18"/>
    </w:rPr>
  </w:style>
  <w:style w:type="paragraph" w:styleId="BodyText3">
    <w:name w:val="Основной текст 3"/>
    <w:basedOn w:val="Normal"/>
    <w:next w:val="BodyText3"/>
    <w:link w:val="UserStyle_16"/>
    <w:uiPriority w:val="99"/>
    <w:pPr>
      <w:jc w:val="center"/>
    </w:pPr>
    <w:rPr>
      <w:rFonts w:ascii="Arial" w:hAnsi="Arial" w:cs="Arial"/>
      <w:b/>
      <w:bCs/>
      <w:color w:val="ffffff"/>
      <w:sz w:val="28"/>
      <w:szCs w:val="28"/>
    </w:rPr>
  </w:style>
  <w:style w:type="paragraph" w:styleId="List2">
    <w:name w:val="Список 2"/>
    <w:basedOn w:val="Normal"/>
    <w:next w:val="List2"/>
    <w:link w:val="Normal"/>
    <w:uiPriority w:val="99"/>
    <w:pPr>
      <w:ind w:left="566" w:hanging="283"/>
    </w:pPr>
  </w:style>
  <w:style w:type="paragraph" w:styleId="BodyText2">
    <w:name w:val="Основной текст 2"/>
    <w:basedOn w:val="Normal"/>
    <w:next w:val="BodyText2"/>
    <w:link w:val="UserStyle_17"/>
    <w:uiPriority w:val="99"/>
    <w:pPr>
      <w:framePr w:hSpace="180" w:vAnchor="text" w:hAnchor="margin" w:xAlign="center" w:y="162"/>
    </w:pPr>
    <w:rPr>
      <w:b/>
      <w:bCs/>
      <w:color w:val="ff0000"/>
      <w:sz w:val="20"/>
      <w:szCs w:val="20"/>
    </w:rPr>
  </w:style>
  <w:style w:type="character" w:styleId="LineNumber">
    <w:name w:val="Номер строки"/>
    <w:basedOn w:val="NormalCharacter"/>
    <w:next w:val="LineNumber"/>
    <w:link w:val="Normal"/>
    <w:uiPriority w:val="99"/>
  </w:style>
  <w:style w:type="table" w:styleId="TableGrid">
    <w:name w:val="Сетка таблицы"/>
    <w:basedOn w:val="TableNormal"/>
    <w:next w:val="TableGrid"/>
    <w:link w:val="Normal"/>
    <w:uiPriority w:val="99"/>
  </w:style>
  <w:style w:type="paragraph" w:styleId="UserStyle_18">
    <w:name w:val="p2"/>
    <w:basedOn w:val="Normal"/>
    <w:next w:val="UserStyle_18"/>
    <w:link w:val="Normal"/>
    <w:uiPriority w:val="99"/>
    <w:pPr>
      <w:spacing w:before="100" w:beforeAutospacing="1" w:after="100" w:afterAutospacing="1"/>
      <w:jc w:val="both"/>
    </w:pPr>
    <w:rPr>
      <w:rFonts w:ascii="Arial" w:hAnsi="Arial" w:cs="Arial"/>
      <w:color w:val="000000"/>
      <w:sz w:val="20"/>
      <w:szCs w:val="20"/>
    </w:rPr>
  </w:style>
  <w:style w:type="paragraph" w:styleId="HtmlNormal">
    <w:name w:val="Обычный (веб)"/>
    <w:basedOn w:val="Normal"/>
    <w:next w:val="HtmlNormal"/>
    <w:link w:val="Normal"/>
    <w:uiPriority w:val="99"/>
    <w:pPr>
      <w:spacing w:before="100" w:beforeAutospacing="1" w:after="100" w:afterAutospacing="1"/>
    </w:pPr>
    <w:rPr>
      <w:color w:val="000000"/>
    </w:rPr>
  </w:style>
  <w:style w:type="paragraph" w:styleId="UserStyle_19">
    <w:name w:val=" Знак Знак1 Знак"/>
    <w:basedOn w:val="Normal"/>
    <w:next w:val="UserStyle_19"/>
    <w:link w:val="Normal"/>
    <w:pPr>
      <w:widowControl w:val="off"/>
      <w:spacing w:after="160" w:line="240" w:lineRule="exact"/>
      <w:jc w:val="right"/>
    </w:pPr>
    <w:rPr>
      <w:sz w:val="20"/>
      <w:szCs w:val="20"/>
      <w:lang w:val="en-GB" w:eastAsia="en-US"/>
    </w:rPr>
  </w:style>
  <w:style w:type="paragraph" w:styleId="UserStyle_20">
    <w:name w:val="Знак Знак1 Знак"/>
    <w:basedOn w:val="Normal"/>
    <w:next w:val="UserStyle_20"/>
    <w:link w:val="NormalCharacter"/>
    <w:uiPriority w:val="99"/>
    <w:pPr>
      <w:widowControl w:val="off"/>
      <w:spacing w:after="160" w:line="240" w:lineRule="exact"/>
      <w:jc w:val="right"/>
    </w:pPr>
    <w:rPr>
      <w:rFonts w:ascii="Calibri" w:hAnsi="Calibri" w:cs="Calibri"/>
      <w:sz w:val="20"/>
      <w:szCs w:val="20"/>
      <w:lang w:val="en-GB" w:eastAsia="en-US"/>
    </w:rPr>
  </w:style>
  <w:style w:type="paragraph" w:styleId="User">
    <w:name w:val="Без интервала"/>
    <w:next w:val="User"/>
    <w:link w:val="Normal"/>
    <w:uiPriority w:val="1"/>
    <w:qFormat/>
    <w:rPr>
      <w:rFonts w:ascii="Calibri" w:hAnsi="Calibri" w:eastAsia="Calibri" w:cs="Calibri"/>
      <w:sz w:val="22"/>
      <w:szCs w:val="22"/>
      <w:lang w:val="ru-RU" w:eastAsia="en-US" w:bidi="ar-SA"/>
    </w:rPr>
  </w:style>
  <w:style w:type="character" w:styleId="UserStyle_0">
    <w:name w:val="Заголовок 1 Знак"/>
    <w:next w:val="UserStyle_0"/>
    <w:link w:val="Heading1"/>
    <w:uiPriority w:val="99"/>
    <w:locked/>
    <w:rPr>
      <w:b/>
      <w:bCs/>
      <w:i/>
      <w:iCs/>
      <w:sz w:val="28"/>
      <w:szCs w:val="28"/>
    </w:rPr>
  </w:style>
  <w:style w:type="character" w:styleId="UserStyle_1">
    <w:name w:val="Заголовок 2 Знак"/>
    <w:next w:val="UserStyle_1"/>
    <w:link w:val="Heading2"/>
    <w:uiPriority w:val="99"/>
    <w:locked/>
    <w:rPr>
      <w:rFonts w:ascii="Arial" w:hAnsi="Arial" w:cs="Arial"/>
      <w:b/>
      <w:bCs/>
      <w:color w:val="000080"/>
      <w:sz w:val="18"/>
      <w:szCs w:val="18"/>
    </w:rPr>
  </w:style>
  <w:style w:type="character" w:styleId="UserStyle_2">
    <w:name w:val="Заголовок 3 Знак"/>
    <w:next w:val="UserStyle_2"/>
    <w:link w:val="Heading3"/>
    <w:uiPriority w:val="99"/>
    <w:locked/>
    <w:rPr>
      <w:rFonts w:ascii="Arial" w:hAnsi="Arial" w:cs="Arial"/>
      <w:b/>
      <w:bCs/>
      <w:color w:val="000080"/>
      <w:sz w:val="18"/>
      <w:szCs w:val="18"/>
    </w:rPr>
  </w:style>
  <w:style w:type="character" w:styleId="UserStyle_3">
    <w:name w:val="Заголовок 4 Знак"/>
    <w:next w:val="UserStyle_3"/>
    <w:link w:val="Heading4"/>
    <w:uiPriority w:val="99"/>
    <w:locked/>
    <w:rPr>
      <w:rFonts w:ascii="Arial" w:hAnsi="Arial" w:cs="Arial"/>
      <w:b/>
      <w:bCs/>
      <w:color w:val="000080"/>
      <w:sz w:val="18"/>
      <w:szCs w:val="18"/>
    </w:rPr>
  </w:style>
  <w:style w:type="character" w:styleId="UserStyle_4">
    <w:name w:val="Заголовок 5 Знак"/>
    <w:next w:val="UserStyle_4"/>
    <w:link w:val="Heading5"/>
    <w:uiPriority w:val="99"/>
    <w:locked/>
    <w:rPr>
      <w:rFonts w:ascii="Arial" w:hAnsi="Arial" w:cs="Arial"/>
      <w:b/>
      <w:bCs/>
      <w:color w:val="000080"/>
      <w:sz w:val="18"/>
      <w:szCs w:val="18"/>
    </w:rPr>
  </w:style>
  <w:style w:type="character" w:styleId="UserStyle_5">
    <w:name w:val="Заголовок 6 Знак"/>
    <w:next w:val="UserStyle_5"/>
    <w:link w:val="Heading6"/>
    <w:uiPriority w:val="99"/>
    <w:locked/>
    <w:rPr>
      <w:rFonts w:ascii="Lucida Sans Unicode" w:hAnsi="Lucida Sans Unicode" w:cs="Lucida Sans Unicode"/>
      <w:b/>
      <w:bCs/>
      <w:i/>
      <w:iCs/>
      <w:color w:val="ffffff"/>
      <w:sz w:val="24"/>
      <w:szCs w:val="24"/>
    </w:rPr>
  </w:style>
  <w:style w:type="character" w:styleId="UserStyle_6">
    <w:name w:val="Заголовок 7 Знак"/>
    <w:next w:val="UserStyle_6"/>
    <w:link w:val="Heading7"/>
    <w:uiPriority w:val="99"/>
    <w:locked/>
    <w:rPr>
      <w:b/>
      <w:bCs/>
    </w:rPr>
  </w:style>
  <w:style w:type="character" w:styleId="UserStyle_7">
    <w:name w:val="Заголовок 8 Знак"/>
    <w:next w:val="UserStyle_7"/>
    <w:link w:val="Heading8"/>
    <w:uiPriority w:val="99"/>
    <w:locked/>
    <w:rPr>
      <w:i/>
      <w:iCs/>
      <w:sz w:val="24"/>
      <w:szCs w:val="24"/>
    </w:rPr>
  </w:style>
  <w:style w:type="character" w:styleId="UserStyle_8">
    <w:name w:val="Заголовок 9 Знак"/>
    <w:next w:val="UserStyle_8"/>
    <w:link w:val="Heading9"/>
    <w:uiPriority w:val="99"/>
    <w:locked/>
    <w:rPr>
      <w:b/>
      <w:bCs/>
      <w:color w:val="000080"/>
      <w:sz w:val="22"/>
      <w:szCs w:val="22"/>
    </w:rPr>
  </w:style>
  <w:style w:type="paragraph" w:styleId="Acetate">
    <w:name w:val="Текст выноски"/>
    <w:basedOn w:val="Normal"/>
    <w:next w:val="Acetate"/>
    <w:link w:val="UserStyle_21"/>
    <w:uiPriority w:val="99"/>
    <w:rPr>
      <w:rFonts w:ascii="Tahoma" w:hAnsi="Tahoma" w:eastAsia="Calibri" w:cs="Tahoma"/>
      <w:sz w:val="16"/>
      <w:szCs w:val="16"/>
    </w:rPr>
  </w:style>
  <w:style w:type="character" w:styleId="UserStyle_21">
    <w:name w:val="Текст выноски Знак"/>
    <w:next w:val="UserStyle_21"/>
    <w:link w:val="Acetate"/>
    <w:uiPriority w:val="99"/>
    <w:rPr>
      <w:rFonts w:ascii="Tahoma" w:hAnsi="Tahoma" w:eastAsia="Calibri" w:cs="Tahoma"/>
      <w:sz w:val="16"/>
      <w:szCs w:val="16"/>
    </w:rPr>
  </w:style>
  <w:style w:type="character" w:styleId="UserStyle_11">
    <w:name w:val="Верхний колонтитул Знак"/>
    <w:next w:val="UserStyle_11"/>
    <w:link w:val="Header"/>
    <w:uiPriority w:val="99"/>
    <w:locked/>
    <w:rPr>
      <w:sz w:val="24"/>
      <w:szCs w:val="24"/>
    </w:rPr>
  </w:style>
  <w:style w:type="character" w:styleId="UserStyle_13">
    <w:name w:val="Нижний колонтитул Знак"/>
    <w:next w:val="UserStyle_13"/>
    <w:link w:val="Footer"/>
    <w:uiPriority w:val="99"/>
    <w:locked/>
    <w:rPr>
      <w:sz w:val="24"/>
      <w:szCs w:val="24"/>
    </w:rPr>
  </w:style>
  <w:style w:type="character" w:styleId="UserStyle_9">
    <w:name w:val="Основной текст с отступом Знак"/>
    <w:next w:val="UserStyle_9"/>
    <w:link w:val="BodyTextIndent"/>
    <w:uiPriority w:val="99"/>
    <w:locked/>
    <w:rPr>
      <w:b/>
      <w:bCs/>
      <w:i/>
      <w:iCs/>
      <w:color w:val="ffffff"/>
      <w:sz w:val="24"/>
      <w:szCs w:val="24"/>
    </w:rPr>
  </w:style>
  <w:style w:type="character" w:styleId="UserStyle_10">
    <w:name w:val="Основной текст с отступом 2 Знак"/>
    <w:next w:val="UserStyle_10"/>
    <w:link w:val="BodyTextIndent2"/>
    <w:uiPriority w:val="99"/>
    <w:locked/>
    <w:rPr>
      <w:sz w:val="24"/>
      <w:szCs w:val="24"/>
    </w:rPr>
  </w:style>
  <w:style w:type="character" w:styleId="UserStyle_12">
    <w:name w:val="Основной текст с отступом 3 Знак"/>
    <w:next w:val="UserStyle_12"/>
    <w:link w:val="BodyTextIndent3"/>
    <w:uiPriority w:val="99"/>
    <w:locked/>
    <w:rPr>
      <w:sz w:val="24"/>
      <w:szCs w:val="24"/>
    </w:rPr>
  </w:style>
  <w:style w:type="character" w:styleId="UserStyle_14">
    <w:name w:val="Название Знак"/>
    <w:next w:val="UserStyle_14"/>
    <w:link w:val="Title"/>
    <w:uiPriority w:val="99"/>
    <w:locked/>
    <w:rPr>
      <w:rFonts w:ascii="Arial" w:hAnsi="Arial" w:cs="Arial"/>
      <w:b/>
      <w:bCs/>
      <w:sz w:val="22"/>
      <w:szCs w:val="22"/>
    </w:rPr>
  </w:style>
  <w:style w:type="character" w:styleId="UserStyle_15">
    <w:name w:val="Основной текст Знак"/>
    <w:next w:val="UserStyle_15"/>
    <w:link w:val="BodyText"/>
    <w:uiPriority w:val="99"/>
    <w:locked/>
    <w:rPr>
      <w:sz w:val="24"/>
      <w:szCs w:val="24"/>
    </w:rPr>
  </w:style>
  <w:style w:type="character" w:styleId="UserStyle_16">
    <w:name w:val="Основной текст 3 Знак"/>
    <w:next w:val="UserStyle_16"/>
    <w:link w:val="BodyText3"/>
    <w:uiPriority w:val="99"/>
    <w:locked/>
    <w:rPr>
      <w:rFonts w:ascii="Arial" w:hAnsi="Arial" w:cs="Arial"/>
      <w:b/>
      <w:bCs/>
      <w:color w:val="ffffff"/>
      <w:sz w:val="28"/>
      <w:szCs w:val="28"/>
    </w:rPr>
  </w:style>
  <w:style w:type="character" w:styleId="UserStyle_17">
    <w:name w:val="Основной текст 2 Знак"/>
    <w:next w:val="UserStyle_17"/>
    <w:link w:val="BodyText2"/>
    <w:uiPriority w:val="99"/>
    <w:locked/>
    <w:rPr>
      <w:b/>
      <w:bCs/>
      <w:color w:val="ff0000"/>
    </w:rPr>
  </w:style>
  <w:style w:type="paragraph" w:styleId="UserStyle_22">
    <w:name w:val="Знак Знак1 Знак1"/>
    <w:basedOn w:val="Normal"/>
    <w:next w:val="UserStyle_22"/>
    <w:link w:val="Normal"/>
    <w:uiPriority w:val="99"/>
    <w:pPr>
      <w:widowControl w:val="off"/>
      <w:spacing w:after="160" w:line="240" w:lineRule="exact"/>
      <w:jc w:val="right"/>
    </w:pPr>
    <w:rPr>
      <w:rFonts w:ascii="Calibri" w:hAnsi="Calibri" w:cs="Calibri"/>
      <w:sz w:val="20"/>
      <w:szCs w:val="20"/>
      <w:lang w:val="en-GB" w:eastAsia="en-US"/>
    </w:rPr>
  </w:style>
  <w:style w:type="paragraph" w:styleId="NavPane">
    <w:name w:val="Схема документа"/>
    <w:basedOn w:val="Normal"/>
    <w:next w:val="NavPane"/>
    <w:link w:val="UserStyle_23"/>
    <w:uiPriority w:val="99"/>
    <w:pPr>
      <w:shd w:val="clear" w:color="auto" w:fill="000080"/>
    </w:pPr>
    <w:rPr>
      <w:rFonts w:ascii="Tahoma" w:hAnsi="Tahoma" w:eastAsia="Calibri" w:cs="Tahoma"/>
      <w:sz w:val="20"/>
      <w:szCs w:val="20"/>
    </w:rPr>
  </w:style>
  <w:style w:type="character" w:styleId="UserStyle_23">
    <w:name w:val="Схема документа Знак"/>
    <w:next w:val="UserStyle_23"/>
    <w:link w:val="NavPane"/>
    <w:uiPriority w:val="99"/>
    <w:rPr>
      <w:rFonts w:ascii="Tahoma" w:hAnsi="Tahoma" w:eastAsia="Calibri" w:cs="Tahoma"/>
      <w:shd w:val="clear" w:color="auto" w:fill="000080"/>
    </w:rPr>
  </w:style>
  <w:style w:type="paragraph" w:styleId="179">
    <w:name w:val="Абзац списка"/>
    <w:basedOn w:val="Normal"/>
    <w:next w:val="179"/>
    <w:link w:val="Normal"/>
    <w:uiPriority w:val="99"/>
    <w:qFormat/>
    <w:pPr>
      <w:spacing w:after="200" w:line="276" w:lineRule="auto"/>
      <w:ind w:left="720"/>
    </w:pPr>
    <w:rPr>
      <w:rFonts w:ascii="Calibri" w:hAnsi="Calibri" w:eastAsia="Calibri" w:cs="Calibri"/>
      <w:sz w:val="22"/>
      <w:szCs w:val="22"/>
      <w:lang w:eastAsia="en-US"/>
    </w:rPr>
  </w:style>
  <w:style w:type="character" w:styleId="262">
    <w:name w:val="Слабая ссылка"/>
    <w:next w:val="262"/>
    <w:link w:val="Normal"/>
    <w:uiPriority w:val="31"/>
    <w:qFormat/>
    <w:rPr>
      <w:smallCaps/>
      <w:color w:val="c0504d"/>
      <w:u w:val="singl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 Id="rId10" Type="http://schemas.openxmlformats.org/officeDocument/2006/relationships/image" Target="media/image1.png"/><Relationship Id="rId11" Type="http://schemas.openxmlformats.org/officeDocument/2006/relationships/image" Target="media/image2.png"/></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Р7-Офис/2024.1.3.422</Application>
  <Characters>21712</Characters>
  <CharactersWithSpaces>25471</CharactersWithSpaces>
  <Company>Home</Company>
  <DocSecurity>0</DocSecurity>
  <HyperlinksChanged>false</HyperlinksChanged>
  <Lines>180</Lines>
  <Pages>14</Pages>
  <Paragraphs>50</Paragraphs>
  <ScaleCrop>false</ScaleCrop>
  <SharedDoc>false</SharedDoc>
  <Template>Normal</Template>
  <Words>3809</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информации полученной в ходе токсикологического мониторинга</dc:title>
  <dc:creator>Vladislav</dc:creator>
  <cp:lastModifiedBy>User</cp:lastModifiedBy>
  <cp:revision>234</cp:revision>
  <dcterms:created xsi:type="dcterms:W3CDTF">2016-07-21T03:54:00Z</dcterms:created>
  <dcterms:modified xsi:type="dcterms:W3CDTF">2025-04-28T08:35:00Z</dcterms:modified>
  <cp:version>917504</cp:version>
</cp:coreProperties>
</file>