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0" w:name="_GoBack"/>
      <w:bookmarkEnd w:id="0"/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 w:val="24"/>
          <w:szCs w:val="24"/>
        </w:rPr>
      </w:pPr>
      <w:bookmarkStart w:id="1" w:name="Par136"/>
      <w:bookmarkEnd w:id="1"/>
      <w:r w:rsidRPr="0099704A">
        <w:rPr>
          <w:rFonts w:cs="Times New Roman"/>
          <w:sz w:val="24"/>
          <w:szCs w:val="24"/>
        </w:rPr>
        <w:t>Приложение 1</w:t>
      </w:r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>к Порядку</w:t>
      </w:r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>составления и утверждения</w:t>
      </w:r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>отчета о результатах</w:t>
      </w:r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 xml:space="preserve">деятельности </w:t>
      </w:r>
      <w:proofErr w:type="gramStart"/>
      <w:r w:rsidRPr="0099704A">
        <w:rPr>
          <w:rFonts w:cs="Times New Roman"/>
          <w:sz w:val="24"/>
          <w:szCs w:val="24"/>
        </w:rPr>
        <w:t>муниципального</w:t>
      </w:r>
      <w:proofErr w:type="gramEnd"/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>учреждения города Перми</w:t>
      </w:r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 xml:space="preserve">и об использовании </w:t>
      </w:r>
      <w:proofErr w:type="gramStart"/>
      <w:r w:rsidRPr="0099704A">
        <w:rPr>
          <w:rFonts w:cs="Times New Roman"/>
          <w:sz w:val="24"/>
          <w:szCs w:val="24"/>
        </w:rPr>
        <w:t>закрепленного</w:t>
      </w:r>
      <w:proofErr w:type="gramEnd"/>
    </w:p>
    <w:p w:rsidR="00C96E0B" w:rsidRPr="0099704A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99704A">
        <w:rPr>
          <w:rFonts w:cs="Times New Roman"/>
          <w:sz w:val="24"/>
          <w:szCs w:val="24"/>
        </w:rPr>
        <w:t>за ним муниципального имущества</w:t>
      </w:r>
    </w:p>
    <w:p w:rsidR="00C96E0B" w:rsidRPr="0099704A" w:rsidRDefault="00C96E0B" w:rsidP="00997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proofErr w:type="gramStart"/>
      <w:r w:rsidRPr="0099704A">
        <w:rPr>
          <w:rFonts w:cs="Times New Roman"/>
          <w:sz w:val="20"/>
          <w:szCs w:val="20"/>
        </w:rPr>
        <w:t>(в ред. Постановлений Администрации г. Перми</w:t>
      </w:r>
      <w:proofErr w:type="gramEnd"/>
    </w:p>
    <w:p w:rsidR="00C96E0B" w:rsidRPr="0099704A" w:rsidRDefault="00C96E0B" w:rsidP="00997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  <w:r w:rsidRPr="0099704A">
        <w:rPr>
          <w:rFonts w:cs="Times New Roman"/>
          <w:sz w:val="20"/>
          <w:szCs w:val="20"/>
        </w:rPr>
        <w:t xml:space="preserve">от 10.10.2012 </w:t>
      </w:r>
      <w:hyperlink r:id="rId6" w:history="1">
        <w:r w:rsidRPr="0099704A">
          <w:rPr>
            <w:rFonts w:cs="Times New Roman"/>
            <w:color w:val="0000FF"/>
            <w:sz w:val="20"/>
            <w:szCs w:val="20"/>
          </w:rPr>
          <w:t>N 607</w:t>
        </w:r>
      </w:hyperlink>
      <w:r w:rsidRPr="0099704A">
        <w:rPr>
          <w:rFonts w:cs="Times New Roman"/>
          <w:sz w:val="20"/>
          <w:szCs w:val="20"/>
        </w:rPr>
        <w:t xml:space="preserve">, от 14.11.2013 </w:t>
      </w:r>
      <w:hyperlink r:id="rId7" w:history="1">
        <w:r w:rsidRPr="0099704A">
          <w:rPr>
            <w:rFonts w:cs="Times New Roman"/>
            <w:color w:val="0000FF"/>
            <w:sz w:val="20"/>
            <w:szCs w:val="20"/>
          </w:rPr>
          <w:t>N 999</w:t>
        </w:r>
      </w:hyperlink>
      <w:r w:rsidRPr="0099704A">
        <w:rPr>
          <w:rFonts w:cs="Times New Roman"/>
          <w:sz w:val="20"/>
          <w:szCs w:val="20"/>
        </w:rPr>
        <w:t>)</w:t>
      </w:r>
    </w:p>
    <w:p w:rsidR="00C96E0B" w:rsidRPr="0099704A" w:rsidRDefault="00C96E0B" w:rsidP="009970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bookmarkStart w:id="2" w:name="Par148"/>
      <w:bookmarkEnd w:id="2"/>
      <w:r>
        <w:t xml:space="preserve">                                      </w:t>
      </w:r>
      <w:r w:rsidRPr="002139C9">
        <w:rPr>
          <w:rFonts w:ascii="Times New Roman" w:hAnsi="Times New Roman" w:cs="Times New Roman"/>
        </w:rPr>
        <w:t>УТВЕРЖДЕН</w:t>
      </w:r>
      <w:r w:rsidR="0099704A" w:rsidRPr="002139C9">
        <w:rPr>
          <w:rFonts w:ascii="Times New Roman" w:hAnsi="Times New Roman" w:cs="Times New Roman"/>
        </w:rPr>
        <w:t>: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                                      </w:t>
      </w:r>
      <w:r w:rsidRPr="002139C9">
        <w:rPr>
          <w:rFonts w:ascii="Times New Roman" w:hAnsi="Times New Roman" w:cs="Times New Roman"/>
          <w:u w:val="single"/>
        </w:rPr>
        <w:t>__</w:t>
      </w:r>
      <w:r w:rsidR="002139C9" w:rsidRPr="002139C9">
        <w:rPr>
          <w:rFonts w:ascii="Times New Roman" w:hAnsi="Times New Roman" w:cs="Times New Roman"/>
          <w:u w:val="single"/>
        </w:rPr>
        <w:t>№2 от 27.01.2014 г.</w:t>
      </w:r>
      <w:r w:rsidRPr="002139C9">
        <w:rPr>
          <w:rFonts w:ascii="Times New Roman" w:hAnsi="Times New Roman" w:cs="Times New Roman"/>
        </w:rPr>
        <w:t>_________________</w:t>
      </w:r>
    </w:p>
    <w:p w:rsidR="00C96E0B" w:rsidRPr="002139C9" w:rsidRDefault="0099704A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C96E0B" w:rsidRPr="002139C9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C96E0B" w:rsidRPr="002139C9" w:rsidRDefault="00C96E0B" w:rsidP="002139C9">
      <w:pPr>
        <w:pStyle w:val="ConsPlusNonformat"/>
        <w:jc w:val="right"/>
        <w:rPr>
          <w:rFonts w:ascii="Times New Roman" w:hAnsi="Times New Roman" w:cs="Times New Roman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Pr="002139C9">
        <w:rPr>
          <w:rFonts w:ascii="Times New Roman" w:hAnsi="Times New Roman" w:cs="Times New Roman"/>
          <w:sz w:val="24"/>
          <w:szCs w:val="24"/>
        </w:rPr>
        <w:t>Отчет</w:t>
      </w:r>
    </w:p>
    <w:p w:rsidR="00B60C5B" w:rsidRPr="002139C9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</w:t>
      </w:r>
    </w:p>
    <w:p w:rsidR="00B60C5B" w:rsidRPr="002139C9" w:rsidRDefault="00B60C5B" w:rsidP="00B60C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 xml:space="preserve">Перми </w:t>
      </w:r>
      <w:r w:rsidRPr="002139C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автономного образовательного учреждения дополнительного образования детей города Перми «Детская музыкальная школа № 4»</w:t>
      </w:r>
      <w:r w:rsidRPr="002139C9">
        <w:rPr>
          <w:rFonts w:ascii="Times New Roman" w:hAnsi="Times New Roman" w:cs="Times New Roman"/>
          <w:sz w:val="24"/>
          <w:szCs w:val="24"/>
        </w:rPr>
        <w:t xml:space="preserve">за период с 01 </w:t>
      </w:r>
      <w:r w:rsidRPr="002139C9">
        <w:rPr>
          <w:rFonts w:ascii="Times New Roman" w:hAnsi="Times New Roman" w:cs="Times New Roman"/>
          <w:sz w:val="24"/>
          <w:szCs w:val="24"/>
          <w:u w:val="single"/>
        </w:rPr>
        <w:t>января 2013 г. по 31 декабря 2013 г.</w:t>
      </w:r>
    </w:p>
    <w:p w:rsidR="00C96E0B" w:rsidRPr="002139C9" w:rsidRDefault="00C96E0B" w:rsidP="00B60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39C9">
        <w:rPr>
          <w:rFonts w:ascii="Times New Roman" w:hAnsi="Times New Roman" w:cs="Times New Roman"/>
          <w:sz w:val="24"/>
          <w:szCs w:val="24"/>
        </w:rPr>
        <w:t xml:space="preserve">          (по состоянию на 1 января года, следующего за </w:t>
      </w:r>
      <w:proofErr w:type="gramStart"/>
      <w:r w:rsidRPr="002139C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139C9">
        <w:rPr>
          <w:rFonts w:ascii="Times New Roman" w:hAnsi="Times New Roman" w:cs="Times New Roman"/>
          <w:sz w:val="24"/>
          <w:szCs w:val="24"/>
        </w:rPr>
        <w:t>)</w:t>
      </w:r>
    </w:p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" w:name="Par165"/>
      <w:bookmarkEnd w:id="3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67"/>
      <w:bookmarkEnd w:id="4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119"/>
      </w:tblGrid>
      <w:tr w:rsidR="00C96E0B" w:rsidTr="00497D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7D27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97D27">
              <w:rPr>
                <w:rFonts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города Перми «Детская музыкальная школа № 4»</w:t>
            </w:r>
          </w:p>
        </w:tc>
      </w:tr>
      <w:tr w:rsidR="00C96E0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7D27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97D27">
              <w:rPr>
                <w:rFonts w:cs="Times New Roman"/>
                <w:sz w:val="24"/>
                <w:szCs w:val="24"/>
              </w:rPr>
              <w:t>МАОУ ДОД «ДМШ № 4»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 xml:space="preserve">614101, г. Пермь, ул. </w:t>
            </w:r>
            <w:proofErr w:type="spellStart"/>
            <w:r w:rsidRPr="00497D27">
              <w:rPr>
                <w:sz w:val="24"/>
                <w:szCs w:val="24"/>
              </w:rPr>
              <w:t>Ласьвинская</w:t>
            </w:r>
            <w:proofErr w:type="spellEnd"/>
            <w:r w:rsidRPr="00497D27">
              <w:rPr>
                <w:sz w:val="24"/>
                <w:szCs w:val="24"/>
              </w:rPr>
              <w:t>, 28А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Он же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2139C9" w:rsidP="00B60C5B">
            <w:pPr>
              <w:pStyle w:val="ConsPlusCell"/>
              <w:widowControl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8(342)</w:t>
            </w:r>
            <w:r w:rsidR="00B60C5B" w:rsidRPr="00497D27">
              <w:rPr>
                <w:sz w:val="24"/>
                <w:szCs w:val="24"/>
              </w:rPr>
              <w:t>283-85-46,</w:t>
            </w:r>
            <w:r>
              <w:rPr>
                <w:sz w:val="24"/>
                <w:szCs w:val="24"/>
              </w:rPr>
              <w:t xml:space="preserve"> 8(342)</w:t>
            </w:r>
            <w:r w:rsidR="00B60C5B" w:rsidRPr="00497D27">
              <w:rPr>
                <w:sz w:val="24"/>
                <w:szCs w:val="24"/>
              </w:rPr>
              <w:t>283-89-09,</w:t>
            </w:r>
            <w:r w:rsidR="00B60C5B" w:rsidRPr="00497D27">
              <w:rPr>
                <w:sz w:val="24"/>
                <w:szCs w:val="24"/>
                <w:lang w:val="en-US"/>
              </w:rPr>
              <w:t xml:space="preserve"> music@perm.ru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 xml:space="preserve">Зубов Александр Владимирович, </w:t>
            </w:r>
            <w:r w:rsidR="002139C9">
              <w:rPr>
                <w:sz w:val="24"/>
                <w:szCs w:val="24"/>
              </w:rPr>
              <w:t>8(342)</w:t>
            </w:r>
            <w:r w:rsidRPr="00497D27">
              <w:rPr>
                <w:sz w:val="24"/>
                <w:szCs w:val="24"/>
              </w:rPr>
              <w:t>283-85-46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Серия 59 №004580123 от 22.10.2012 г.</w:t>
            </w:r>
          </w:p>
        </w:tc>
      </w:tr>
      <w:tr w:rsidR="00B60C5B" w:rsidTr="00497D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Рег. № 1216 от 03.03.2011г. бессрочно.</w:t>
            </w:r>
          </w:p>
        </w:tc>
      </w:tr>
      <w:tr w:rsidR="00B60C5B" w:rsidTr="00497D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139C9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B60C5B" w:rsidRPr="002139C9" w:rsidRDefault="00B6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C5B" w:rsidRPr="00497D27" w:rsidRDefault="00B60C5B" w:rsidP="00B60C5B">
            <w:pPr>
              <w:pStyle w:val="ConsPlusCell"/>
              <w:widowControl/>
              <w:rPr>
                <w:sz w:val="24"/>
                <w:szCs w:val="24"/>
              </w:rPr>
            </w:pPr>
            <w:r w:rsidRPr="00497D27">
              <w:rPr>
                <w:sz w:val="24"/>
                <w:szCs w:val="24"/>
              </w:rPr>
              <w:t>Рег.№ 2584 от 15.01.2008 г. до 16.01.2013г.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97D27" w:rsidRDefault="00497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91"/>
      <w:bookmarkEnd w:id="5"/>
    </w:p>
    <w:p w:rsidR="00497D27" w:rsidRDefault="00497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97D27" w:rsidRDefault="00497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p w:rsidR="009B3B47" w:rsidRDefault="009B3B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217"/>
        <w:gridCol w:w="2629"/>
        <w:gridCol w:w="2653"/>
        <w:gridCol w:w="1417"/>
      </w:tblGrid>
      <w:tr w:rsidR="009B3B47" w:rsidTr="00F670B8">
        <w:tc>
          <w:tcPr>
            <w:tcW w:w="655" w:type="dxa"/>
          </w:tcPr>
          <w:p w:rsidR="009B3B47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29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53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Правовой акт о назначении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членов </w:t>
            </w:r>
            <w:proofErr w:type="gramStart"/>
            <w:r w:rsidRPr="002139C9">
              <w:rPr>
                <w:rFonts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совета (вид, дата, N,       наименование)      </w:t>
            </w:r>
          </w:p>
        </w:tc>
        <w:tc>
          <w:tcPr>
            <w:tcW w:w="1417" w:type="dxa"/>
          </w:tcPr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Срок   </w:t>
            </w:r>
          </w:p>
          <w:p w:rsidR="009B3B47" w:rsidRPr="002139C9" w:rsidRDefault="009B3B47" w:rsidP="000775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F670B8" w:rsidTr="00F670B8">
        <w:tc>
          <w:tcPr>
            <w:tcW w:w="655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F670B8" w:rsidRPr="001C5816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:rsidR="00F670B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670B8" w:rsidRPr="009B3B47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9B3B47" w:rsidTr="00F670B8">
        <w:tc>
          <w:tcPr>
            <w:tcW w:w="655" w:type="dxa"/>
          </w:tcPr>
          <w:p w:rsidR="009B3B47" w:rsidRPr="009B3B47" w:rsidRDefault="009B3B4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9B3B47" w:rsidRPr="007A0BE8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7A0BE8">
              <w:rPr>
                <w:rFonts w:eastAsia="Calibri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2629" w:type="dxa"/>
          </w:tcPr>
          <w:p w:rsidR="009B3B47" w:rsidRPr="009B3B47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1C5816">
              <w:rPr>
                <w:rFonts w:eastAsia="Calibri" w:cs="Times New Roman"/>
                <w:sz w:val="18"/>
                <w:szCs w:val="18"/>
              </w:rPr>
              <w:t xml:space="preserve">Начальник </w:t>
            </w:r>
            <w:r>
              <w:rPr>
                <w:rFonts w:eastAsia="Calibri" w:cs="Times New Roman"/>
                <w:sz w:val="18"/>
                <w:szCs w:val="18"/>
              </w:rPr>
              <w:t>сектора</w:t>
            </w:r>
            <w:r w:rsidRPr="001C5816">
              <w:rPr>
                <w:rFonts w:eastAsia="Calibri" w:cs="Times New Roman"/>
                <w:sz w:val="18"/>
                <w:szCs w:val="18"/>
              </w:rPr>
              <w:t xml:space="preserve"> художественного образования </w:t>
            </w:r>
            <w:r>
              <w:rPr>
                <w:rFonts w:eastAsia="Calibri" w:cs="Times New Roman"/>
                <w:sz w:val="18"/>
                <w:szCs w:val="18"/>
              </w:rPr>
              <w:t>отдела по культуре и дополнительному образованию управления по реализации культурной и молодежной политики</w:t>
            </w:r>
            <w:r w:rsidRPr="001C5816">
              <w:rPr>
                <w:rFonts w:eastAsia="Calibri" w:cs="Times New Roman"/>
                <w:sz w:val="18"/>
                <w:szCs w:val="18"/>
              </w:rPr>
              <w:t xml:space="preserve"> департамента культуры</w:t>
            </w:r>
            <w:r>
              <w:rPr>
                <w:rFonts w:eastAsia="Calibri" w:cs="Times New Roman"/>
                <w:sz w:val="18"/>
                <w:szCs w:val="18"/>
              </w:rPr>
              <w:t xml:space="preserve"> и молодежной политики администрации города Перми</w:t>
            </w:r>
          </w:p>
        </w:tc>
        <w:tc>
          <w:tcPr>
            <w:tcW w:w="2653" w:type="dxa"/>
          </w:tcPr>
          <w:p w:rsidR="009B3B47" w:rsidRPr="009B3B47" w:rsidRDefault="00F670B8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B3B47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17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Белослудцева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2629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Главный специалист</w:t>
            </w:r>
            <w:r w:rsidRPr="001C5816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>отдела по культуре и дополнительному образованию управления по реализации культурной и молодежной политики</w:t>
            </w:r>
            <w:r w:rsidRPr="001C5816">
              <w:rPr>
                <w:rFonts w:eastAsia="Calibri" w:cs="Times New Roman"/>
                <w:sz w:val="18"/>
                <w:szCs w:val="18"/>
              </w:rPr>
              <w:t xml:space="preserve"> департамента культуры</w:t>
            </w:r>
            <w:r>
              <w:rPr>
                <w:rFonts w:eastAsia="Calibri" w:cs="Times New Roman"/>
                <w:sz w:val="18"/>
                <w:szCs w:val="18"/>
              </w:rPr>
              <w:t xml:space="preserve"> и молодежной политики администрации города Перми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17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Антонова Светлана Васильевна</w:t>
            </w:r>
          </w:p>
        </w:tc>
        <w:tc>
          <w:tcPr>
            <w:tcW w:w="2629" w:type="dxa"/>
          </w:tcPr>
          <w:p w:rsidR="0093218B" w:rsidRPr="009B3B47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</w:tcPr>
          <w:p w:rsidR="0093218B" w:rsidRPr="00F670B8" w:rsidRDefault="0093218B" w:rsidP="0007757E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F670B8">
              <w:rPr>
                <w:rFonts w:eastAsia="Times New Roman"/>
                <w:sz w:val="20"/>
                <w:szCs w:val="20"/>
              </w:rPr>
              <w:t>Бурова Марина Германовна</w:t>
            </w:r>
          </w:p>
        </w:tc>
        <w:tc>
          <w:tcPr>
            <w:tcW w:w="2629" w:type="dxa"/>
          </w:tcPr>
          <w:p w:rsidR="0093218B" w:rsidRDefault="0093218B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МАОУ ДОД «ДМШ № 4»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</w:tcPr>
          <w:p w:rsidR="0093218B" w:rsidRPr="00F670B8" w:rsidRDefault="0093218B" w:rsidP="0007757E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Какатунова</w:t>
            </w:r>
            <w:proofErr w:type="spellEnd"/>
            <w:r>
              <w:rPr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2629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</w:tcPr>
          <w:p w:rsidR="0093218B" w:rsidRDefault="0093218B" w:rsidP="00F670B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Юлия Валентиновна</w:t>
            </w:r>
          </w:p>
        </w:tc>
        <w:tc>
          <w:tcPr>
            <w:tcW w:w="2629" w:type="dxa"/>
          </w:tcPr>
          <w:p w:rsidR="0093218B" w:rsidRDefault="0093218B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МАОУ ДОД «ДМШ № 4»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</w:tcPr>
          <w:p w:rsidR="0093218B" w:rsidRDefault="0093218B" w:rsidP="00F670B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 Светлана Александровна</w:t>
            </w:r>
          </w:p>
        </w:tc>
        <w:tc>
          <w:tcPr>
            <w:tcW w:w="2629" w:type="dxa"/>
          </w:tcPr>
          <w:p w:rsidR="0093218B" w:rsidRDefault="0093218B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Преподаватель МАОУ ДОД «ДМШ № 4»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17" w:type="dxa"/>
          </w:tcPr>
          <w:p w:rsidR="0093218B" w:rsidRDefault="0093218B" w:rsidP="00F670B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629" w:type="dxa"/>
          </w:tcPr>
          <w:p w:rsidR="0093218B" w:rsidRDefault="0093218B" w:rsidP="0007757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  <w:tr w:rsidR="0093218B" w:rsidTr="00F670B8">
        <w:tc>
          <w:tcPr>
            <w:tcW w:w="655" w:type="dxa"/>
          </w:tcPr>
          <w:p w:rsidR="0093218B" w:rsidRDefault="0093218B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17" w:type="dxa"/>
          </w:tcPr>
          <w:p w:rsidR="0093218B" w:rsidRDefault="0093218B" w:rsidP="00F670B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Тюрина Ольга Викторовна</w:t>
            </w:r>
          </w:p>
        </w:tc>
        <w:tc>
          <w:tcPr>
            <w:tcW w:w="2629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Представитель родительской общественности (по согласованию)</w:t>
            </w:r>
          </w:p>
        </w:tc>
        <w:tc>
          <w:tcPr>
            <w:tcW w:w="2653" w:type="dxa"/>
          </w:tcPr>
          <w:p w:rsidR="0093218B" w:rsidRPr="009B3B47" w:rsidRDefault="0093218B" w:rsidP="0007757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28.12.2011 г. № СЭД-09-01-18-162 (в ред. От 10.07.2013 г. № СЭД-09-01-06-62)</w:t>
            </w:r>
          </w:p>
        </w:tc>
        <w:tc>
          <w:tcPr>
            <w:tcW w:w="1417" w:type="dxa"/>
          </w:tcPr>
          <w:p w:rsidR="0093218B" w:rsidRDefault="0093218B">
            <w:r w:rsidRPr="001A649C">
              <w:rPr>
                <w:rFonts w:cs="Times New Roman"/>
                <w:sz w:val="20"/>
                <w:szCs w:val="20"/>
              </w:rPr>
              <w:t>Три года</w:t>
            </w:r>
          </w:p>
        </w:tc>
      </w:tr>
    </w:tbl>
    <w:p w:rsidR="000D5C26" w:rsidRDefault="000D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04"/>
      <w:bookmarkEnd w:id="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0D5C26" w:rsidRDefault="000D5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5280"/>
        <w:gridCol w:w="1800"/>
        <w:gridCol w:w="1680"/>
      </w:tblGrid>
      <w:tr w:rsidR="00C96E0B" w:rsidTr="000D5C26">
        <w:trPr>
          <w:trHeight w:val="16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Основание (перечень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на основании которых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номеров, даты выдачи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n-1 </w:t>
            </w:r>
            <w:hyperlink w:anchor="Par225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</w:t>
              </w:r>
              <w:r w:rsidR="007A0BE8" w:rsidRPr="002139C9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&gt;</w:t>
              </w:r>
            </w:hyperlink>
            <w:r w:rsidR="007A0BE8" w:rsidRPr="002139C9">
              <w:rPr>
                <w:rFonts w:cs="Times New Roman"/>
              </w:rPr>
              <w:t xml:space="preserve"> 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 </w:t>
            </w:r>
            <w:hyperlink w:anchor="Par226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</w:t>
              </w:r>
              <w:r w:rsidR="007A0BE8" w:rsidRPr="002139C9">
                <w:rPr>
                  <w:rFonts w:cs="Times New Roman"/>
                  <w:color w:val="0000FF"/>
                  <w:sz w:val="20"/>
                  <w:szCs w:val="20"/>
                </w:rPr>
                <w:t>**</w:t>
              </w:r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&gt;</w:t>
              </w:r>
            </w:hyperlink>
            <w:r w:rsidR="007A0BE8" w:rsidRPr="002139C9">
              <w:rPr>
                <w:rFonts w:cs="Times New Roman"/>
              </w:rPr>
              <w:t xml:space="preserve"> 2013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96E0B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Реализация дополнительных предпрофессиональных общеобразовательных программ в области искусства по направлениям (фортепиано, оркестровые инструменты, духовые, ударные инструменты, народные инструменты, хоровое пение).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32420B">
              <w:rPr>
                <w:rFonts w:eastAsia="Times New Roman"/>
                <w:sz w:val="18"/>
                <w:szCs w:val="18"/>
              </w:rPr>
              <w:t>Свидетельство о гос. Регистрации МАОУ ДОД «ДМШ № 4» от 14.12.2011г. серии 59 №004420168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рег. № 1216 от 03.03.2011 г. серии РО № 016710.- бессрочно.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Пермского края от 03.03.2011 г. № СЭД-54-02-11-120.</w:t>
            </w:r>
          </w:p>
          <w:p w:rsidR="00114ECD" w:rsidRPr="0032420B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МАОУ ДОД «ДМШ № 4».</w:t>
            </w: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Реализация образовательных программ дополнительного образования детей художественно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–э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стетической направленности повышенного уровня по направлениям (фортепиано, оркестровые инструменты, духовые, ударные инструменты, народные инструменты, вокал (академический, народный), эстрадное, джазовое искусство, композиция, импровизация, электронная музыка).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Творческая деятельность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EC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Pr="002139C9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Культурно- просветительская деятельность.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ECD" w:rsidRDefault="00114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5C5D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Pr="002139C9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C5D" w:rsidRDefault="00C65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Платные дополнительные образовательные услуги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32420B">
              <w:rPr>
                <w:rFonts w:eastAsia="Times New Roman"/>
                <w:sz w:val="18"/>
                <w:szCs w:val="18"/>
              </w:rPr>
              <w:t>Свидетельство о гос. Регистрации МАОУ ДОД «ДМШ № 4» от 14.12.2011г. серии 59 №004420168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рег. № 1216 от 03.03.2011 г. серии РО № 016710.- бессрочно.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Пермского края от 03.03.2011 г. № СЭД-54-02-11-120.</w:t>
            </w:r>
          </w:p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МАОУ ДОД «ДМШ № 4».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Изучение профильных дисциплин сверх часов и сверх программы по данной дисциплине, предусмотренных учебным планом.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Репетиторство с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другого образовательного учреждения.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различных групп, факультативов по обучению и приобщению детей и взрослых к знанию мировой культуры, музыки (включая обучению игре на музыкальных инструментах), иностранных языков и т.д.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групп по адаптации детей к условиям школьной жизни (подготовительные группы, дошкольные группы).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D5C26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89615F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Иная приносящая доход деятельность</w:t>
            </w:r>
          </w:p>
        </w:tc>
        <w:tc>
          <w:tcPr>
            <w:tcW w:w="3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Сдача в аренду имущества</w:t>
            </w:r>
          </w:p>
        </w:tc>
        <w:tc>
          <w:tcPr>
            <w:tcW w:w="3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32420B">
              <w:rPr>
                <w:rFonts w:eastAsia="Times New Roman"/>
                <w:sz w:val="18"/>
                <w:szCs w:val="18"/>
              </w:rPr>
              <w:t>Свидетельство о гос. Регистрации МАОУ ДОД «ДМШ № 4» от 14.12.2011г. серии 59 №004420168</w:t>
            </w:r>
            <w:r>
              <w:rPr>
                <w:rFonts w:eastAsia="Times New Roman"/>
                <w:sz w:val="18"/>
                <w:szCs w:val="18"/>
              </w:rPr>
              <w:t>;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Лицензия на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право ведения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образовательной деятельности рег. № 1216 от 03.03.2011 г. серии РО № 016710.- </w:t>
            </w:r>
            <w:r>
              <w:rPr>
                <w:rFonts w:eastAsia="Times New Roman"/>
                <w:sz w:val="18"/>
                <w:szCs w:val="18"/>
              </w:rPr>
              <w:lastRenderedPageBreak/>
              <w:t>бессрочно.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Приложение к лицензии с указанием основных и дополнительных образовательных программ. 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Приказ Гос. Инспекции по надзору и контролю в сфере образования Пермского края от 03.03.2011 г. № СЭД-54-02-11-120.</w:t>
            </w:r>
          </w:p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Устав МАОУ ДОД «ДМШ № 4».</w:t>
            </w:r>
          </w:p>
          <w:p w:rsidR="000D5C26" w:rsidRPr="00717CC0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Законодательство РФ, правовые акты города Перми.</w:t>
            </w: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фестивалей, конкурсов, концертов и иных форм публичного показа результатов творческой деятельности.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Настройка и ремонт музыкальных инструментов, прокат музыкальных инструментов.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2.2.4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Тиражирование и ксерокопирование.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lastRenderedPageBreak/>
              <w:t>2.2.5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 и проведение выставок – продаж, аукционов.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5C26" w:rsidRPr="000D5C26" w:rsidTr="0007757E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2139C9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lastRenderedPageBreak/>
              <w:t>2.2.6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Default="000D5C26" w:rsidP="0007757E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Создание музыкальных аранжировок, «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минусовок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», фильмов, клипов, выполнение записи музыкальных альбомов на различных носителях, проведение презентаций, написание сценариев мероприятий.</w:t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C26" w:rsidRPr="000D5C26" w:rsidRDefault="000D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225"/>
      <w:bookmarkEnd w:id="7"/>
      <w:r>
        <w:rPr>
          <w:rFonts w:cs="Times New Roman"/>
          <w:szCs w:val="28"/>
        </w:rPr>
        <w:t>&lt;*&gt; n-1 - год, предыдущий отчетному году,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226"/>
      <w:bookmarkEnd w:id="8"/>
      <w:r>
        <w:rPr>
          <w:rFonts w:cs="Times New Roman"/>
          <w:szCs w:val="28"/>
        </w:rPr>
        <w:t>&lt;**&gt; n - отчетный год.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228"/>
      <w:bookmarkEnd w:id="9"/>
      <w:r>
        <w:rPr>
          <w:rFonts w:cs="Times New Roman"/>
          <w:szCs w:val="28"/>
        </w:rPr>
        <w:t>1.4.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2139C9" w:rsidTr="00D8666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n-1</w:t>
            </w:r>
            <w:r w:rsidR="00E713CF" w:rsidRPr="002139C9">
              <w:rPr>
                <w:rFonts w:cs="Times New Roman"/>
                <w:sz w:val="20"/>
                <w:szCs w:val="20"/>
              </w:rPr>
              <w:t xml:space="preserve"> 2012</w:t>
            </w:r>
            <w:r w:rsidRPr="002139C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год n  </w:t>
            </w:r>
            <w:r w:rsidR="00E713CF" w:rsidRPr="002139C9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n-1  </w:t>
            </w:r>
            <w:r w:rsidR="00E713CF" w:rsidRPr="002139C9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год n   </w:t>
            </w:r>
            <w:r w:rsidR="00E713CF" w:rsidRPr="002139C9">
              <w:rPr>
                <w:rFonts w:cs="Times New Roman"/>
                <w:sz w:val="20"/>
                <w:szCs w:val="20"/>
              </w:rPr>
              <w:t>2013</w:t>
            </w:r>
            <w:r w:rsidRPr="002139C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62,8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 w:rsidP="00E7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6</w:t>
            </w:r>
            <w:r w:rsidR="00E75F82" w:rsidRPr="002139C9">
              <w:rPr>
                <w:rFonts w:cs="Times New Roman"/>
                <w:sz w:val="24"/>
                <w:szCs w:val="24"/>
              </w:rPr>
              <w:t>4</w:t>
            </w:r>
            <w:r w:rsidRPr="002139C9">
              <w:rPr>
                <w:rFonts w:cs="Times New Roman"/>
                <w:sz w:val="24"/>
                <w:szCs w:val="24"/>
              </w:rPr>
              <w:t>,</w:t>
            </w:r>
            <w:r w:rsidR="00E75F82" w:rsidRPr="002139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69,3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B28BD" w:rsidP="00246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6</w:t>
            </w:r>
            <w:r w:rsidR="002464A6" w:rsidRPr="002139C9">
              <w:rPr>
                <w:rFonts w:cs="Times New Roman"/>
                <w:sz w:val="24"/>
                <w:szCs w:val="24"/>
              </w:rPr>
              <w:t>7</w:t>
            </w:r>
            <w:r w:rsidRPr="002139C9">
              <w:rPr>
                <w:rFonts w:cs="Times New Roman"/>
                <w:sz w:val="24"/>
                <w:szCs w:val="24"/>
              </w:rPr>
              <w:t>,</w:t>
            </w:r>
            <w:r w:rsidR="002464A6" w:rsidRPr="002139C9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2139C9" w:rsidTr="00D866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E7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19,3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23,8</w:t>
            </w:r>
          </w:p>
        </w:tc>
      </w:tr>
    </w:tbl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244"/>
      <w:bookmarkEnd w:id="10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115F8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Год n-1</w:t>
            </w:r>
            <w:r w:rsidR="007A0BE8" w:rsidRPr="002139C9">
              <w:rPr>
                <w:rFonts w:cs="Times New Roman"/>
                <w:sz w:val="20"/>
                <w:szCs w:val="20"/>
              </w:rPr>
              <w:t xml:space="preserve"> 2012г.</w:t>
            </w:r>
            <w:r w:rsidRPr="002139C9">
              <w:rPr>
                <w:rFonts w:cs="Times New Roman"/>
                <w:sz w:val="20"/>
                <w:szCs w:val="20"/>
              </w:rPr>
              <w:t xml:space="preserve">      </w:t>
            </w:r>
            <w:r w:rsidR="007A0BE8" w:rsidRPr="002139C9">
              <w:rPr>
                <w:rFonts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Год n </w:t>
            </w:r>
            <w:r w:rsidR="007A0BE8" w:rsidRPr="002139C9">
              <w:rPr>
                <w:rFonts w:cs="Times New Roman"/>
                <w:sz w:val="20"/>
                <w:szCs w:val="20"/>
              </w:rPr>
              <w:t>2013г.</w:t>
            </w:r>
            <w:r w:rsidRPr="002139C9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</w:tr>
      <w:tr w:rsidR="00C96E0B" w:rsidTr="00115F8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Tr="00115F8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82,0</w:t>
            </w:r>
          </w:p>
        </w:tc>
      </w:tr>
      <w:tr w:rsidR="00C96E0B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7A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2139C9">
              <w:rPr>
                <w:rFonts w:cs="Times New Roman"/>
                <w:sz w:val="20"/>
                <w:szCs w:val="20"/>
              </w:rPr>
              <w:t>5</w:t>
            </w:r>
            <w:r w:rsidR="00E75F82" w:rsidRPr="002139C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Высшее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Среднее </w:t>
            </w:r>
            <w:proofErr w:type="spellStart"/>
            <w:r w:rsidRPr="002139C9">
              <w:rPr>
                <w:rFonts w:cs="Times New Roman"/>
                <w:sz w:val="20"/>
                <w:szCs w:val="20"/>
              </w:rPr>
              <w:t>профессион</w:t>
            </w:r>
            <w:proofErr w:type="spellEnd"/>
            <w:r w:rsidRPr="002139C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Стаж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До 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6-10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11-25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07757E" w:rsidTr="00115F8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07757E" w:rsidP="0007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Св.25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11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57E" w:rsidRPr="002139C9" w:rsidRDefault="00D8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32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265"/>
      <w:bookmarkEnd w:id="11"/>
      <w:r>
        <w:rPr>
          <w:rFonts w:cs="Times New Roman"/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86660" w:rsidRPr="00D86660" w:rsidRDefault="00D86660" w:rsidP="00D8666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660">
        <w:rPr>
          <w:sz w:val="24"/>
          <w:szCs w:val="24"/>
        </w:rPr>
        <w:t xml:space="preserve">Количество штатных единиц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2012 года </w:t>
      </w:r>
      <w:r w:rsidRPr="00D86660">
        <w:rPr>
          <w:sz w:val="24"/>
          <w:szCs w:val="24"/>
        </w:rPr>
        <w:t>уменьшилось на 0,1 единицу в связи с выпуском и новым набором учащихся (на 01.09.2012 г. уменьшилась сетка часов работы основного персонала).</w:t>
      </w:r>
      <w:r>
        <w:rPr>
          <w:sz w:val="24"/>
          <w:szCs w:val="24"/>
        </w:rPr>
        <w:t xml:space="preserve"> </w:t>
      </w:r>
      <w:r w:rsidRPr="00D86660">
        <w:rPr>
          <w:sz w:val="24"/>
          <w:szCs w:val="24"/>
        </w:rPr>
        <w:t xml:space="preserve">Количество штатных единиц </w:t>
      </w: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2013 года </w:t>
      </w:r>
      <w:r w:rsidRPr="00D86660">
        <w:rPr>
          <w:sz w:val="24"/>
          <w:szCs w:val="24"/>
        </w:rPr>
        <w:t>у</w:t>
      </w:r>
      <w:r>
        <w:rPr>
          <w:sz w:val="24"/>
          <w:szCs w:val="24"/>
        </w:rPr>
        <w:t>величилось на 1</w:t>
      </w:r>
      <w:r w:rsidRPr="00D86660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D86660">
        <w:rPr>
          <w:sz w:val="24"/>
          <w:szCs w:val="24"/>
        </w:rPr>
        <w:t xml:space="preserve"> единиц в связи с выпуском и новым набором учащихся (на 01.09.201</w:t>
      </w:r>
      <w:r>
        <w:rPr>
          <w:sz w:val="24"/>
          <w:szCs w:val="24"/>
        </w:rPr>
        <w:t>3</w:t>
      </w:r>
      <w:r w:rsidRPr="00D86660">
        <w:rPr>
          <w:sz w:val="24"/>
          <w:szCs w:val="24"/>
        </w:rPr>
        <w:t xml:space="preserve"> г. у</w:t>
      </w:r>
      <w:r>
        <w:rPr>
          <w:sz w:val="24"/>
          <w:szCs w:val="24"/>
        </w:rPr>
        <w:t>велич</w:t>
      </w:r>
      <w:r w:rsidRPr="00D86660">
        <w:rPr>
          <w:sz w:val="24"/>
          <w:szCs w:val="24"/>
        </w:rPr>
        <w:t>илась сетка часов работы основного персонала).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266"/>
      <w:bookmarkEnd w:id="12"/>
      <w:r>
        <w:rPr>
          <w:rFonts w:cs="Times New Roman"/>
          <w:szCs w:val="28"/>
        </w:rPr>
        <w:t>&lt;**&gt;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268"/>
      <w:bookmarkEnd w:id="13"/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153"/>
        <w:gridCol w:w="1127"/>
        <w:gridCol w:w="999"/>
      </w:tblGrid>
      <w:tr w:rsidR="00C96E0B" w:rsidTr="00CE193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Год n-1</w:t>
            </w:r>
            <w:r w:rsidR="00CE193B" w:rsidRPr="002139C9">
              <w:rPr>
                <w:rFonts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 w:rsidP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Год n</w:t>
            </w:r>
            <w:r w:rsidR="00CE193B" w:rsidRPr="002139C9">
              <w:rPr>
                <w:rFonts w:cs="Times New Roman"/>
                <w:sz w:val="20"/>
                <w:szCs w:val="20"/>
              </w:rPr>
              <w:t xml:space="preserve"> 2013г.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C96E0B" w:rsidTr="00CE19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53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290" w:history="1">
              <w:r w:rsidRPr="002139C9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193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E193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E193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CE193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0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16142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0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19975</w:t>
            </w:r>
          </w:p>
        </w:tc>
      </w:tr>
      <w:tr w:rsidR="00C96E0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E193B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290" w:history="1">
              <w:r w:rsidRPr="002139C9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3B" w:rsidRPr="002139C9" w:rsidRDefault="00CE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C2098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38556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40047</w:t>
            </w:r>
          </w:p>
        </w:tc>
      </w:tr>
      <w:tr w:rsidR="006C2098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Административно- управленческий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19719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24460</w:t>
            </w:r>
          </w:p>
        </w:tc>
      </w:tr>
      <w:tr w:rsidR="006C2098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14512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18175</w:t>
            </w:r>
          </w:p>
        </w:tc>
      </w:tr>
      <w:tr w:rsidR="006C2098" w:rsidTr="00CE19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6C2098" w:rsidP="006C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85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9635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098" w:rsidRPr="002139C9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39C9">
              <w:rPr>
                <w:rFonts w:cs="Times New Roman"/>
                <w:sz w:val="24"/>
                <w:szCs w:val="24"/>
              </w:rPr>
              <w:t>12056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290"/>
      <w:bookmarkEnd w:id="14"/>
      <w:r>
        <w:rPr>
          <w:rFonts w:cs="Times New Roman"/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292"/>
      <w:bookmarkEnd w:id="15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Объем финансового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год n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год n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2139C9">
              <w:rPr>
                <w:rFonts w:cs="Times New Roman"/>
                <w:szCs w:val="2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>
      <w:pPr>
        <w:pStyle w:val="ConsPlusNonformat"/>
      </w:pPr>
      <w:r>
        <w:t xml:space="preserve">   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г.  Перми  от  14.11.2013</w:t>
      </w:r>
    </w:p>
    <w:p w:rsidR="00C96E0B" w:rsidRDefault="00C96E0B">
      <w:pPr>
        <w:pStyle w:val="ConsPlusNonformat"/>
      </w:pPr>
      <w:r>
        <w:t>N 999 с 1 января 2015 года пункт 1.8 будет изложен в новой редакции:</w:t>
      </w:r>
    </w:p>
    <w:p w:rsidR="00C6788A" w:rsidRDefault="00C96E0B">
      <w:pPr>
        <w:pStyle w:val="ConsPlusNonformat"/>
      </w:pPr>
      <w:r>
        <w:t xml:space="preserve">    </w:t>
      </w:r>
    </w:p>
    <w:p w:rsidR="00C96E0B" w:rsidRDefault="00C96E0B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6788A" w:rsidRDefault="00C6788A">
      <w:pPr>
        <w:pStyle w:val="ConsPlusNonformat"/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333"/>
      <w:bookmarkEnd w:id="16"/>
      <w:r>
        <w:rPr>
          <w:rFonts w:cs="Times New Roman"/>
          <w:szCs w:val="28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Наименование программ с указанием </w:t>
            </w:r>
            <w:proofErr w:type="gramStart"/>
            <w:r w:rsidRPr="009E430D">
              <w:rPr>
                <w:rFonts w:cs="Times New Roman"/>
                <w:sz w:val="24"/>
                <w:szCs w:val="24"/>
              </w:rPr>
              <w:t>нормативного</w:t>
            </w:r>
            <w:proofErr w:type="gramEnd"/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правового акта об утверждении программ    </w:t>
            </w:r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(в разрезе каждой программы) </w:t>
            </w:r>
            <w:hyperlink w:anchor="Par349" w:history="1">
              <w:r w:rsidRPr="009E430D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Объем </w:t>
            </w:r>
            <w:proofErr w:type="gramStart"/>
            <w:r w:rsidRPr="009E430D">
              <w:rPr>
                <w:rFonts w:cs="Times New Roman"/>
                <w:sz w:val="24"/>
                <w:szCs w:val="24"/>
              </w:rPr>
              <w:t>финансового</w:t>
            </w:r>
            <w:proofErr w:type="gramEnd"/>
          </w:p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год n-1 </w:t>
            </w:r>
            <w:r w:rsidR="00226B5E" w:rsidRPr="009E430D">
              <w:rPr>
                <w:rFonts w:cs="Times New Roman"/>
                <w:sz w:val="24"/>
                <w:szCs w:val="24"/>
              </w:rPr>
              <w:t>2012 г.</w:t>
            </w:r>
            <w:r w:rsidRPr="009E43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год n </w:t>
            </w:r>
            <w:r w:rsidR="00226B5E" w:rsidRPr="009E430D">
              <w:rPr>
                <w:rFonts w:cs="Times New Roman"/>
                <w:sz w:val="24"/>
                <w:szCs w:val="24"/>
              </w:rPr>
              <w:t xml:space="preserve"> </w:t>
            </w:r>
            <w:r w:rsidR="009E430D">
              <w:rPr>
                <w:rFonts w:cs="Times New Roman"/>
                <w:sz w:val="24"/>
                <w:szCs w:val="24"/>
              </w:rPr>
              <w:t xml:space="preserve">  </w:t>
            </w:r>
            <w:r w:rsidR="00226B5E" w:rsidRPr="009E430D">
              <w:rPr>
                <w:rFonts w:cs="Times New Roman"/>
                <w:sz w:val="24"/>
                <w:szCs w:val="24"/>
              </w:rPr>
              <w:t>2013 г.</w:t>
            </w:r>
            <w:r w:rsidRPr="009E430D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ВЦП «Приведение в нормативное состояние учреждений сферы культуры»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C6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260,70</w:t>
            </w:r>
          </w:p>
        </w:tc>
      </w:tr>
      <w:tr w:rsidR="00226B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Оздоровление работников муниципальных учреждений города Перми согласно Закону Пермского края от 08.12.2006г. № 30-КЗ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21,49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226B5E" w:rsidRPr="009E430D" w:rsidRDefault="00226B5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26,00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22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E430D" w:rsidRDefault="0022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ВЦП «</w:t>
            </w:r>
            <w:proofErr w:type="gramStart"/>
            <w:r w:rsidRPr="009E430D">
              <w:rPr>
                <w:rFonts w:cs="Times New Roman"/>
                <w:sz w:val="24"/>
                <w:szCs w:val="24"/>
              </w:rPr>
              <w:t>Дети-будущее</w:t>
            </w:r>
            <w:proofErr w:type="gramEnd"/>
            <w:r w:rsidRPr="009E430D">
              <w:rPr>
                <w:rFonts w:cs="Times New Roman"/>
                <w:sz w:val="24"/>
                <w:szCs w:val="24"/>
              </w:rPr>
              <w:t xml:space="preserve"> культурной столицы»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B5E" w:rsidRPr="009E430D" w:rsidRDefault="0022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30D">
              <w:rPr>
                <w:rFonts w:cs="Times New Roman"/>
                <w:sz w:val="24"/>
                <w:szCs w:val="24"/>
              </w:rPr>
              <w:t>110,00</w:t>
            </w:r>
          </w:p>
        </w:tc>
      </w:tr>
    </w:tbl>
    <w:p w:rsidR="00C96E0B" w:rsidRDefault="00C96E0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349"/>
      <w:bookmarkEnd w:id="17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51"/>
      <w:bookmarkEnd w:id="18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992"/>
        <w:gridCol w:w="2109"/>
      </w:tblGrid>
      <w:tr w:rsidR="00C96E0B" w:rsidTr="00B5222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n-1</w:t>
            </w:r>
            <w:r w:rsidR="00B52228">
              <w:rPr>
                <w:rFonts w:ascii="Courier New" w:hAnsi="Courier New" w:cs="Courier New"/>
                <w:sz w:val="20"/>
                <w:szCs w:val="20"/>
              </w:rPr>
              <w:t xml:space="preserve"> 2012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n</w:t>
            </w:r>
            <w:r w:rsidR="00B52228">
              <w:rPr>
                <w:rFonts w:ascii="Courier New" w:hAnsi="Courier New" w:cs="Courier New"/>
                <w:sz w:val="20"/>
                <w:szCs w:val="20"/>
              </w:rPr>
              <w:t xml:space="preserve"> 2013г.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B522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>потребителям в соответствии с</w:t>
            </w:r>
          </w:p>
          <w:p w:rsidR="00C96E0B" w:rsidRPr="0041759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B67D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B67D9" w:rsidRPr="00EB67D9" w:rsidRDefault="00EB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B67D9">
              <w:rPr>
                <w:rFonts w:cs="Times New Roman"/>
                <w:sz w:val="22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B67D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EB67D9" w:rsidRPr="00EB67D9" w:rsidRDefault="00EB6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B67D9">
              <w:rPr>
                <w:rFonts w:cs="Times New Roman"/>
                <w:sz w:val="22"/>
              </w:rPr>
              <w:t>456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52228" w:rsidRPr="00417592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52228" w:rsidRPr="00417592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456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140030" w:rsidRDefault="00B52228" w:rsidP="005B79EA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Ребенок в возрасте от 7 до 14 лет или подросток в возрасте от 14 до 18 лет, </w:t>
            </w:r>
            <w:proofErr w:type="gramStart"/>
            <w:r>
              <w:rPr>
                <w:sz w:val="18"/>
                <w:szCs w:val="18"/>
              </w:rPr>
              <w:t>проживающие</w:t>
            </w:r>
            <w:proofErr w:type="gramEnd"/>
            <w:r>
              <w:rPr>
                <w:sz w:val="18"/>
                <w:szCs w:val="18"/>
              </w:rPr>
              <w:t xml:space="preserve"> в г. Перми</w:t>
            </w: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52228" w:rsidRPr="00417592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17592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18"/>
                <w:szCs w:val="18"/>
              </w:rPr>
            </w:pP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эстетического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417592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3 до 7 лет</w:t>
            </w: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обучению игре на аккомпанирующей гитаре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417592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общего музыкального развития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41759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3 до 7 лет</w:t>
            </w:r>
          </w:p>
        </w:tc>
      </w:tr>
      <w:tr w:rsidR="00B52228" w:rsidTr="00B5222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игре на фортепиано, баяне, саксофоне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41759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  <w:tr w:rsidR="00B52228" w:rsidTr="00B522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обучение вокалу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B52228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41759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Pr="00417592" w:rsidRDefault="0041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175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228" w:rsidRDefault="00B52228" w:rsidP="005B79EA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 в возрасте от 7 до 14 лет или подросток в возрасте от 14 до 18 лет.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52228" w:rsidRDefault="00B52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52228" w:rsidRDefault="00B52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E430D" w:rsidRDefault="009E4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52228" w:rsidRDefault="00B522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9" w:name="Par367"/>
      <w:bookmarkEnd w:id="19"/>
      <w:r>
        <w:rPr>
          <w:rFonts w:cs="Times New Roman"/>
          <w:szCs w:val="28"/>
        </w:rPr>
        <w:lastRenderedPageBreak/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369"/>
      <w:bookmarkEnd w:id="20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817"/>
        <w:gridCol w:w="709"/>
        <w:gridCol w:w="850"/>
        <w:gridCol w:w="709"/>
        <w:gridCol w:w="992"/>
        <w:gridCol w:w="851"/>
        <w:gridCol w:w="992"/>
        <w:gridCol w:w="992"/>
      </w:tblGrid>
      <w:tr w:rsidR="00C96E0B" w:rsidRPr="002139C9" w:rsidTr="00295D48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Объем финансового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2139C9" w:rsidTr="00295D48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C96E0B" w:rsidRPr="002139C9" w:rsidTr="00295D48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год </w:t>
            </w:r>
            <w:r w:rsidR="00295D48" w:rsidRPr="002139C9">
              <w:rPr>
                <w:rFonts w:cs="Times New Roman"/>
                <w:sz w:val="18"/>
                <w:szCs w:val="18"/>
              </w:rPr>
              <w:t xml:space="preserve"> </w:t>
            </w:r>
            <w:r w:rsidRPr="002139C9">
              <w:rPr>
                <w:rFonts w:cs="Times New Roman"/>
                <w:sz w:val="18"/>
                <w:szCs w:val="18"/>
              </w:rPr>
              <w:t>n-1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2012г.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2013г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год </w:t>
            </w:r>
            <w:r w:rsidR="00295D48" w:rsidRPr="002139C9">
              <w:rPr>
                <w:rFonts w:cs="Times New Roman"/>
                <w:sz w:val="18"/>
                <w:szCs w:val="18"/>
              </w:rPr>
              <w:t xml:space="preserve"> </w:t>
            </w:r>
            <w:r w:rsidRPr="002139C9">
              <w:rPr>
                <w:rFonts w:cs="Times New Roman"/>
                <w:sz w:val="18"/>
                <w:szCs w:val="18"/>
              </w:rPr>
              <w:t>n-1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2012г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2013г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n-1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2012г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2013г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n-1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2012г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год n</w:t>
            </w:r>
            <w:r w:rsidR="00E42439" w:rsidRPr="002139C9">
              <w:rPr>
                <w:rFonts w:cs="Times New Roman"/>
                <w:sz w:val="18"/>
                <w:szCs w:val="18"/>
              </w:rPr>
              <w:t xml:space="preserve"> 2013г</w:t>
            </w:r>
          </w:p>
        </w:tc>
      </w:tr>
      <w:tr w:rsidR="00C96E0B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E42439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24"/>
                <w:szCs w:val="24"/>
              </w:rPr>
            </w:pPr>
            <w:r w:rsidRPr="002139C9">
              <w:rPr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13356,8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139C9">
              <w:rPr>
                <w:rFonts w:cs="Times New Roman"/>
                <w:sz w:val="16"/>
                <w:szCs w:val="16"/>
              </w:rPr>
              <w:t>13173,0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13343,3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:rsidR="00295D48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13067,7</w:t>
            </w:r>
          </w:p>
        </w:tc>
      </w:tr>
      <w:tr w:rsidR="00E42439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В том числе: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42439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5-летнее обучение Младшие классы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1164,5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1149,1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1346,0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1149,2</w:t>
            </w:r>
          </w:p>
        </w:tc>
      </w:tr>
      <w:tr w:rsidR="00E42439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5-летнее обучение Старшие классы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2002,3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2046,3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1550,9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2046,3</w:t>
            </w:r>
          </w:p>
        </w:tc>
      </w:tr>
      <w:tr w:rsidR="00E42439" w:rsidRPr="002139C9" w:rsidTr="00295D4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7-летнее обучение Младшие классы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5641,4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5552,8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7139,8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5552,8</w:t>
            </w:r>
          </w:p>
        </w:tc>
      </w:tr>
      <w:tr w:rsidR="00E42439" w:rsidRPr="002139C9" w:rsidTr="00295D48">
        <w:trPr>
          <w:trHeight w:val="23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5B79EA">
            <w:pPr>
              <w:pStyle w:val="ConsPlusCell"/>
              <w:widowControl/>
              <w:rPr>
                <w:sz w:val="18"/>
                <w:szCs w:val="18"/>
              </w:rPr>
            </w:pPr>
            <w:r w:rsidRPr="002139C9">
              <w:rPr>
                <w:sz w:val="18"/>
                <w:szCs w:val="18"/>
              </w:rPr>
              <w:t>7-летнее обучение Старшие классы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4548,6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4424,8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E42439" w:rsidP="00E42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3306,6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39" w:rsidRPr="002139C9" w:rsidRDefault="00295D48" w:rsidP="00295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139C9">
              <w:rPr>
                <w:rFonts w:cs="Times New Roman"/>
                <w:sz w:val="18"/>
                <w:szCs w:val="18"/>
              </w:rPr>
              <w:t>4319,5</w:t>
            </w:r>
          </w:p>
        </w:tc>
      </w:tr>
    </w:tbl>
    <w:p w:rsidR="00C96E0B" w:rsidRPr="002139C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384"/>
      <w:bookmarkEnd w:id="21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Tr="003E63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Год n-1 </w:t>
            </w:r>
            <w:r w:rsidR="003E630A" w:rsidRPr="002139C9">
              <w:rPr>
                <w:rFonts w:cs="Times New Roman"/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Год n  </w:t>
            </w:r>
            <w:r w:rsidR="003E630A" w:rsidRPr="002139C9">
              <w:rPr>
                <w:rFonts w:cs="Times New Roman"/>
                <w:sz w:val="20"/>
                <w:szCs w:val="20"/>
              </w:rPr>
              <w:t>2013 год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8C3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583</w:t>
            </w:r>
          </w:p>
        </w:tc>
      </w:tr>
      <w:tr w:rsidR="00C96E0B" w:rsidTr="003E63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8C3F29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</w:t>
            </w:r>
            <w:r w:rsidR="002F4650" w:rsidRPr="002139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8C3F29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</w:t>
            </w:r>
            <w:r w:rsidR="002F4650" w:rsidRPr="002139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C96E0B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8C3F29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</w:t>
            </w:r>
            <w:r w:rsidR="002F4650" w:rsidRPr="002139C9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442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8C3F29" w:rsidP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</w:t>
            </w:r>
            <w:r w:rsidR="002F4650" w:rsidRPr="002139C9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2F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442</w:t>
            </w:r>
          </w:p>
        </w:tc>
      </w:tr>
      <w:tr w:rsidR="00C96E0B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127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обучению игре на аккомпанирующей гитаре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FF3788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1</w:t>
            </w:r>
            <w:r w:rsidR="00FF3788" w:rsidRPr="002139C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1</w:t>
            </w:r>
            <w:r w:rsidR="003E630A" w:rsidRPr="002139C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E630A" w:rsidTr="003E63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3E630A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3E630A">
              <w:rPr>
                <w:sz w:val="20"/>
                <w:szCs w:val="20"/>
              </w:rPr>
              <w:t>Индивидуальное обучение вокалу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FF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</w:tr>
      <w:tr w:rsidR="003E630A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0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30A" w:rsidRPr="002139C9" w:rsidRDefault="003E6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218</w:t>
            </w:r>
          </w:p>
        </w:tc>
      </w:tr>
      <w:tr w:rsidR="009F0EEE" w:rsidTr="003E630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835,71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835,71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0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047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776,40</w:t>
            </w:r>
          </w:p>
        </w:tc>
      </w:tr>
      <w:tr w:rsidR="009F0EEE" w:rsidTr="009F0EEE">
        <w:trPr>
          <w:trHeight w:val="37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раннего эстетического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 w:rsidP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733</w:t>
            </w:r>
          </w:p>
        </w:tc>
      </w:tr>
      <w:tr w:rsidR="009F0EEE" w:rsidTr="009F0EEE">
        <w:trPr>
          <w:trHeight w:val="4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обучению игре на аккомпанирующей гитаре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800</w:t>
            </w:r>
          </w:p>
        </w:tc>
      </w:tr>
      <w:tr w:rsidR="009F0EEE" w:rsidTr="009F0EEE">
        <w:trPr>
          <w:trHeight w:val="41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733</w:t>
            </w:r>
          </w:p>
        </w:tc>
      </w:tr>
      <w:tr w:rsidR="009F0EEE" w:rsidTr="009F0EEE">
        <w:trPr>
          <w:trHeight w:val="54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игре на фортепиано, баяне, саксофоне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1083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1083</w:t>
            </w:r>
          </w:p>
        </w:tc>
      </w:tr>
      <w:tr w:rsidR="009F0EEE" w:rsidTr="009F0EEE">
        <w:trPr>
          <w:trHeight w:val="3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pStyle w:val="ConsPlusCell"/>
              <w:widowControl/>
              <w:rPr>
                <w:sz w:val="20"/>
                <w:szCs w:val="20"/>
              </w:rPr>
            </w:pPr>
            <w:r w:rsidRPr="002139C9">
              <w:rPr>
                <w:sz w:val="20"/>
                <w:szCs w:val="20"/>
              </w:rPr>
              <w:t>Индивидуальное обучение вокалу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9F0EEE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EEE" w:rsidRPr="002139C9" w:rsidRDefault="0041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533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17"/>
      <w:bookmarkEnd w:id="22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134"/>
        <w:gridCol w:w="850"/>
        <w:gridCol w:w="851"/>
        <w:gridCol w:w="992"/>
        <w:gridCol w:w="1073"/>
      </w:tblGrid>
      <w:tr w:rsidR="00C96E0B" w:rsidTr="00ED63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Год n-1</w:t>
            </w:r>
            <w:r w:rsidR="00ED6306">
              <w:rPr>
                <w:rFonts w:cs="Times New Roman"/>
                <w:sz w:val="20"/>
                <w:szCs w:val="20"/>
              </w:rPr>
              <w:t xml:space="preserve">    </w:t>
            </w:r>
            <w:r w:rsidRPr="00ED6306">
              <w:rPr>
                <w:rFonts w:cs="Times New Roman"/>
                <w:sz w:val="20"/>
                <w:szCs w:val="20"/>
              </w:rPr>
              <w:t xml:space="preserve"> </w:t>
            </w:r>
            <w:r w:rsidR="00ED6306" w:rsidRPr="00ED6306">
              <w:rPr>
                <w:rFonts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 w:rsidP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Год n  </w:t>
            </w:r>
            <w:r w:rsidR="00ED6306">
              <w:rPr>
                <w:rFonts w:cs="Times New Roman"/>
                <w:sz w:val="20"/>
                <w:szCs w:val="20"/>
              </w:rPr>
              <w:t xml:space="preserve">     </w:t>
            </w:r>
            <w:r w:rsidR="00ED6306" w:rsidRPr="00ED6306">
              <w:rPr>
                <w:rFonts w:cs="Times New Roman"/>
                <w:b/>
                <w:sz w:val="20"/>
                <w:szCs w:val="20"/>
              </w:rPr>
              <w:t>2013 г.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2E3208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1345,7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1367,8</w:t>
            </w:r>
          </w:p>
        </w:tc>
      </w:tr>
      <w:tr w:rsidR="00C96E0B" w:rsidTr="00ED630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2E3208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859,1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BF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895,1</w:t>
            </w:r>
          </w:p>
        </w:tc>
      </w:tr>
      <w:tr w:rsidR="00ED6306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D6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889,7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2E3208" w:rsidP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859,1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BF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895,1</w:t>
            </w:r>
          </w:p>
        </w:tc>
      </w:tr>
      <w:tr w:rsidR="00ED6306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D6306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383,0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BF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369,1</w:t>
            </w:r>
          </w:p>
        </w:tc>
      </w:tr>
      <w:tr w:rsidR="00ED6306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Дополнительные платные образовательные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D60684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 w:rsidP="005B7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2E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383,0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306" w:rsidRPr="00ED6306" w:rsidRDefault="00BF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369,1</w:t>
            </w:r>
          </w:p>
        </w:tc>
      </w:tr>
      <w:tr w:rsidR="00C96E0B" w:rsidTr="00ED630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конкурсе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Прикамская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весна»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D6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630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E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D6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103,6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6306" w:rsidRDefault="00D60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99704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438"/>
      <w:bookmarkEnd w:id="23"/>
      <w:r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22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5"/>
        <w:gridCol w:w="1358"/>
        <w:gridCol w:w="210"/>
        <w:gridCol w:w="499"/>
        <w:gridCol w:w="564"/>
        <w:gridCol w:w="569"/>
        <w:gridCol w:w="569"/>
        <w:gridCol w:w="566"/>
        <w:gridCol w:w="569"/>
        <w:gridCol w:w="575"/>
        <w:gridCol w:w="566"/>
        <w:gridCol w:w="569"/>
        <w:gridCol w:w="569"/>
        <w:gridCol w:w="566"/>
        <w:gridCol w:w="569"/>
        <w:gridCol w:w="569"/>
        <w:gridCol w:w="566"/>
        <w:gridCol w:w="569"/>
        <w:gridCol w:w="569"/>
        <w:gridCol w:w="566"/>
        <w:gridCol w:w="569"/>
        <w:gridCol w:w="569"/>
        <w:gridCol w:w="566"/>
        <w:gridCol w:w="569"/>
        <w:gridCol w:w="569"/>
        <w:gridCol w:w="566"/>
        <w:gridCol w:w="545"/>
      </w:tblGrid>
      <w:tr w:rsidR="005B79EA" w:rsidRPr="00745BB0" w:rsidTr="005B79EA">
        <w:trPr>
          <w:trHeight w:val="320"/>
          <w:tblCellSpacing w:w="5" w:type="nil"/>
        </w:trPr>
        <w:tc>
          <w:tcPr>
            <w:tcW w:w="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proofErr w:type="spellStart"/>
            <w:r w:rsidRPr="00745BB0">
              <w:rPr>
                <w:b/>
                <w:sz w:val="16"/>
                <w:szCs w:val="16"/>
              </w:rPr>
              <w:t>Наим</w:t>
            </w:r>
            <w:proofErr w:type="gramStart"/>
            <w:r w:rsidRPr="00745BB0">
              <w:rPr>
                <w:b/>
                <w:sz w:val="16"/>
                <w:szCs w:val="16"/>
              </w:rPr>
              <w:t>е</w:t>
            </w:r>
            <w:proofErr w:type="spellEnd"/>
            <w:r w:rsidRPr="00745BB0">
              <w:rPr>
                <w:b/>
                <w:sz w:val="16"/>
                <w:szCs w:val="16"/>
                <w:lang w:val="en-US"/>
              </w:rPr>
              <w:t>-</w:t>
            </w:r>
            <w:proofErr w:type="gramEnd"/>
            <w:r w:rsidRPr="00745BB0">
              <w:rPr>
                <w:b/>
                <w:sz w:val="16"/>
                <w:szCs w:val="16"/>
              </w:rPr>
              <w:br/>
            </w:r>
            <w:proofErr w:type="spellStart"/>
            <w:r w:rsidRPr="00745BB0">
              <w:rPr>
                <w:b/>
                <w:sz w:val="16"/>
                <w:szCs w:val="16"/>
              </w:rPr>
              <w:t>нование</w:t>
            </w:r>
            <w:proofErr w:type="spellEnd"/>
            <w:r w:rsidRPr="00745BB0">
              <w:rPr>
                <w:b/>
                <w:sz w:val="16"/>
                <w:szCs w:val="16"/>
              </w:rPr>
              <w:br/>
              <w:t xml:space="preserve">вида   </w:t>
            </w:r>
            <w:r w:rsidRPr="00745BB0">
              <w:rPr>
                <w:b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Ед. </w:t>
            </w:r>
            <w:r w:rsidRPr="00745BB0">
              <w:rPr>
                <w:b/>
                <w:sz w:val="16"/>
                <w:szCs w:val="16"/>
              </w:rPr>
              <w:br/>
              <w:t>изм.</w:t>
            </w:r>
          </w:p>
        </w:tc>
        <w:tc>
          <w:tcPr>
            <w:tcW w:w="440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5B79EA" w:rsidRPr="00745BB0" w:rsidTr="005B79EA">
        <w:trPr>
          <w:trHeight w:val="320"/>
          <w:tblCellSpacing w:w="5" w:type="nil"/>
        </w:trPr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401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Год n 2012 г.</w:t>
            </w:r>
          </w:p>
        </w:tc>
      </w:tr>
      <w:tr w:rsidR="005B79EA" w:rsidRPr="00745BB0" w:rsidTr="005B79EA">
        <w:trPr>
          <w:trHeight w:val="320"/>
          <w:tblCellSpacing w:w="5" w:type="nil"/>
        </w:trPr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2194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план                                      </w:t>
            </w:r>
          </w:p>
        </w:tc>
        <w:tc>
          <w:tcPr>
            <w:tcW w:w="2207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 xml:space="preserve">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Pr="00745BB0">
              <w:rPr>
                <w:b/>
                <w:sz w:val="16"/>
                <w:szCs w:val="16"/>
              </w:rPr>
              <w:t xml:space="preserve">    факт                                      </w:t>
            </w:r>
          </w:p>
        </w:tc>
      </w:tr>
      <w:tr w:rsidR="005B79EA" w:rsidRPr="00745BB0" w:rsidTr="005B79EA">
        <w:trPr>
          <w:tblCellSpacing w:w="5" w:type="nil"/>
        </w:trPr>
        <w:tc>
          <w:tcPr>
            <w:tcW w:w="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6"/>
                <w:szCs w:val="16"/>
              </w:rPr>
            </w:pPr>
            <w:r w:rsidRPr="00745BB0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апрель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май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июнь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июль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август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сентябрь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октябрь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ноябрь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декабрь</w:t>
            </w:r>
          </w:p>
        </w:tc>
      </w:tr>
      <w:tr w:rsidR="005B79EA" w:rsidRPr="00745BB0" w:rsidTr="005B79EA">
        <w:trPr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2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6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8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11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12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13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14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15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16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17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18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jc w:val="center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>19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r w:rsidRPr="00745BB0">
              <w:rPr>
                <w:sz w:val="16"/>
                <w:szCs w:val="16"/>
              </w:rPr>
              <w:t xml:space="preserve">  27   </w:t>
            </w:r>
          </w:p>
        </w:tc>
      </w:tr>
      <w:tr w:rsidR="005B79EA" w:rsidTr="005B79EA">
        <w:trPr>
          <w:tblCellSpacing w:w="5" w:type="nil"/>
        </w:trPr>
        <w:tc>
          <w:tcPr>
            <w:tcW w:w="89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b/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раннего эстетического развития</w:t>
            </w:r>
          </w:p>
        </w:tc>
        <w:tc>
          <w:tcPr>
            <w:tcW w:w="68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700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 w:rsidRPr="00F549F8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5B79EA" w:rsidRDefault="005B79EA" w:rsidP="005B79EA">
            <w:r>
              <w:rPr>
                <w:sz w:val="18"/>
                <w:szCs w:val="18"/>
              </w:rPr>
              <w:t>8</w:t>
            </w:r>
            <w:r w:rsidRPr="00F549F8">
              <w:rPr>
                <w:sz w:val="18"/>
                <w:szCs w:val="18"/>
              </w:rPr>
              <w:t>00</w:t>
            </w:r>
          </w:p>
        </w:tc>
      </w:tr>
      <w:tr w:rsidR="005B79EA" w:rsidRPr="00745BB0" w:rsidTr="005B79EA">
        <w:trPr>
          <w:trHeight w:val="80"/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</w:p>
        </w:tc>
      </w:tr>
      <w:tr w:rsidR="005B79EA" w:rsidRPr="00745BB0" w:rsidTr="005B79EA">
        <w:trPr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обучению игре на аккомпанирующей гитаре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F48F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ED11D9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800</w:t>
            </w:r>
          </w:p>
        </w:tc>
      </w:tr>
      <w:tr w:rsidR="005B79EA" w:rsidTr="005B79EA">
        <w:trPr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5B79EA" w:rsidRDefault="005B79EA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Группа общего музыкального развития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Pr="00745BB0" w:rsidRDefault="005B79EA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785527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DC3C3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DC3C35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DC3C3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DC3C35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B943E5">
              <w:rPr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3E1F0E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3E1F0E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3E1F0E">
              <w:rPr>
                <w:sz w:val="18"/>
                <w:szCs w:val="18"/>
              </w:rPr>
              <w:t>800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A" w:rsidRDefault="005B79EA">
            <w:r w:rsidRPr="003E1F0E">
              <w:rPr>
                <w:sz w:val="18"/>
                <w:szCs w:val="18"/>
              </w:rPr>
              <w:t>800</w:t>
            </w:r>
          </w:p>
        </w:tc>
      </w:tr>
      <w:tr w:rsidR="004E5054" w:rsidRPr="00745BB0" w:rsidTr="005B79EA">
        <w:trPr>
          <w:trHeight w:val="1624"/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rPr>
                <w:sz w:val="18"/>
                <w:szCs w:val="18"/>
              </w:rPr>
            </w:pPr>
            <w:r w:rsidRPr="005B79EA">
              <w:rPr>
                <w:sz w:val="18"/>
                <w:szCs w:val="18"/>
              </w:rPr>
              <w:t>Индивидуальное обучение игре на фортепиано, баяне, саксофоне 1 час в неделю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DC650B">
              <w:rPr>
                <w:sz w:val="18"/>
                <w:szCs w:val="18"/>
              </w:rPr>
              <w:t>800</w:t>
            </w:r>
          </w:p>
        </w:tc>
      </w:tr>
      <w:tr w:rsidR="004E5054" w:rsidRPr="00745BB0" w:rsidTr="005B79EA">
        <w:trPr>
          <w:trHeight w:val="1170"/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rPr>
                <w:sz w:val="16"/>
                <w:szCs w:val="16"/>
              </w:rPr>
            </w:pPr>
            <w:r w:rsidRPr="005B79EA">
              <w:rPr>
                <w:sz w:val="16"/>
                <w:szCs w:val="16"/>
              </w:rPr>
              <w:t>Индивидуальное обучение игре на фортепиано, баяне, саксофоне 1,5 часа в неделю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0C026F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131178"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</w:tr>
      <w:tr w:rsidR="004E5054" w:rsidRPr="005A73B9" w:rsidTr="005B79EA">
        <w:trPr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>Индивидуальное обучение игре на фортепиано, баяне, саксофоне 2 часа в неделю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7C2AB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>
            <w:r w:rsidRPr="00664A5A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A73B9" w:rsidRDefault="004E5054" w:rsidP="005B79EA">
            <w:pPr>
              <w:pStyle w:val="ConsPlusCell"/>
              <w:rPr>
                <w:sz w:val="16"/>
                <w:szCs w:val="16"/>
              </w:rPr>
            </w:pPr>
            <w:r w:rsidRPr="005A73B9">
              <w:rPr>
                <w:sz w:val="16"/>
                <w:szCs w:val="16"/>
              </w:rPr>
              <w:t>1400</w:t>
            </w:r>
          </w:p>
        </w:tc>
      </w:tr>
      <w:tr w:rsidR="004E5054" w:rsidRPr="00745BB0" w:rsidTr="005B79EA">
        <w:trPr>
          <w:trHeight w:val="859"/>
          <w:tblCellSpacing w:w="5" w:type="nil"/>
        </w:trPr>
        <w:tc>
          <w:tcPr>
            <w:tcW w:w="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5B79EA" w:rsidRDefault="004E5054" w:rsidP="005B79EA">
            <w:pPr>
              <w:pStyle w:val="ConsPlusCell"/>
              <w:rPr>
                <w:sz w:val="20"/>
                <w:szCs w:val="20"/>
              </w:rPr>
            </w:pPr>
            <w:r w:rsidRPr="005B79EA">
              <w:rPr>
                <w:sz w:val="20"/>
                <w:szCs w:val="20"/>
              </w:rPr>
              <w:t>7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8"/>
                <w:szCs w:val="18"/>
              </w:rPr>
            </w:pPr>
            <w:r w:rsidRPr="00745BB0">
              <w:rPr>
                <w:sz w:val="18"/>
                <w:szCs w:val="18"/>
              </w:rPr>
              <w:t xml:space="preserve">Индивидуальное обучение вокалу 0,5 часа в </w:t>
            </w:r>
            <w:proofErr w:type="spellStart"/>
            <w:r w:rsidRPr="00745BB0">
              <w:rPr>
                <w:sz w:val="18"/>
                <w:szCs w:val="18"/>
              </w:rPr>
              <w:t>нед</w:t>
            </w:r>
            <w:proofErr w:type="spellEnd"/>
            <w:r w:rsidRPr="00745BB0">
              <w:rPr>
                <w:sz w:val="18"/>
                <w:szCs w:val="18"/>
              </w:rPr>
              <w:t>.</w:t>
            </w:r>
          </w:p>
        </w:tc>
        <w:tc>
          <w:tcPr>
            <w:tcW w:w="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5B79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Pr="00745BB0" w:rsidRDefault="004E5054" w:rsidP="002139C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54" w:rsidRDefault="004E5054" w:rsidP="002139C9">
            <w:r w:rsidRPr="00DC650B">
              <w:rPr>
                <w:sz w:val="18"/>
                <w:szCs w:val="18"/>
              </w:rPr>
              <w:t>800</w:t>
            </w:r>
          </w:p>
        </w:tc>
      </w:tr>
    </w:tbl>
    <w:p w:rsidR="007E452B" w:rsidRDefault="007E4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7E452B" w:rsidSect="007A39A1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  <w:bookmarkStart w:id="24" w:name="Par456"/>
      <w:bookmarkEnd w:id="24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1851"/>
      </w:tblGrid>
      <w:tr w:rsidR="00C96E0B" w:rsidTr="007E452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год n-1 </w:t>
            </w:r>
            <w:r w:rsidR="004A6F7A" w:rsidRPr="004A6F7A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год n </w:t>
            </w:r>
            <w:r w:rsidR="004A6F7A" w:rsidRPr="004A6F7A">
              <w:rPr>
                <w:rFonts w:cs="Times New Roman"/>
                <w:sz w:val="20"/>
                <w:szCs w:val="20"/>
              </w:rPr>
              <w:t xml:space="preserve"> 2013</w:t>
            </w:r>
          </w:p>
        </w:tc>
        <w:tc>
          <w:tcPr>
            <w:tcW w:w="1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6F7A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139C9">
              <w:rPr>
                <w:rFonts w:cs="Times New Roman"/>
                <w:sz w:val="22"/>
              </w:rPr>
              <w:t>0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A6F7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485"/>
      <w:bookmarkEnd w:id="25"/>
      <w:r>
        <w:rPr>
          <w:rFonts w:cs="Times New Roman"/>
          <w:szCs w:val="28"/>
        </w:rPr>
        <w:t>2.6. Информация об общей сумме прибыли учрежден</w:t>
      </w:r>
      <w:r w:rsidR="007E452B">
        <w:rPr>
          <w:rFonts w:cs="Times New Roman"/>
          <w:szCs w:val="28"/>
        </w:rPr>
        <w:t>ия после налогообложения в отчет</w:t>
      </w:r>
      <w:r>
        <w:rPr>
          <w:rFonts w:cs="Times New Roman"/>
          <w:szCs w:val="28"/>
        </w:rPr>
        <w:t>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Год n-1 </w:t>
            </w:r>
            <w:r w:rsidR="004A6F7A" w:rsidRPr="007E452B">
              <w:rPr>
                <w:rFonts w:cs="Times New Roman"/>
                <w:sz w:val="24"/>
                <w:szCs w:val="24"/>
              </w:rPr>
              <w:t>2012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Год n</w:t>
            </w:r>
            <w:r w:rsidR="004A6F7A" w:rsidRPr="007E452B">
              <w:rPr>
                <w:rFonts w:cs="Times New Roman"/>
                <w:sz w:val="24"/>
                <w:szCs w:val="24"/>
              </w:rPr>
              <w:t xml:space="preserve">  2013 г</w:t>
            </w:r>
            <w:r w:rsidRPr="007E452B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 7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Общая сумма прибыли </w:t>
            </w:r>
            <w:proofErr w:type="gramStart"/>
            <w:r w:rsidRPr="007E452B">
              <w:rPr>
                <w:rFonts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E452B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E452B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7E452B">
              <w:rPr>
                <w:rFonts w:cs="Times New Roman"/>
                <w:sz w:val="24"/>
                <w:szCs w:val="24"/>
              </w:rPr>
              <w:t>образовавшаяся</w:t>
            </w:r>
            <w:proofErr w:type="gramEnd"/>
            <w:r w:rsidRPr="007E452B">
              <w:rPr>
                <w:rFonts w:cs="Times New Roman"/>
                <w:sz w:val="24"/>
                <w:szCs w:val="24"/>
              </w:rPr>
              <w:t xml:space="preserve"> в связи с оказанием  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E452B" w:rsidRDefault="004A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E452B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512"/>
      <w:bookmarkEnd w:id="26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426"/>
        <w:gridCol w:w="2977"/>
      </w:tblGrid>
      <w:tr w:rsidR="00C96E0B" w:rsidTr="002B5A8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Год n-1</w:t>
            </w:r>
            <w:r w:rsidR="002B5A89" w:rsidRPr="00CC5539">
              <w:rPr>
                <w:rFonts w:cs="Times New Roman"/>
                <w:sz w:val="22"/>
              </w:rPr>
              <w:t xml:space="preserve"> 2012 г.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Год n</w:t>
            </w:r>
            <w:r w:rsidR="002B5A89" w:rsidRPr="00CC5539">
              <w:rPr>
                <w:rFonts w:cs="Times New Roman"/>
                <w:sz w:val="22"/>
              </w:rPr>
              <w:t xml:space="preserve">         2013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Tr="002B5A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2B5A89" w:rsidTr="002B5A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Балансовая стоимость</w:t>
            </w:r>
          </w:p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 w:rsidP="002139C9">
            <w:pPr>
              <w:pStyle w:val="ConsPlusCell"/>
              <w:widowControl/>
              <w:rPr>
                <w:sz w:val="22"/>
                <w:szCs w:val="22"/>
              </w:rPr>
            </w:pPr>
            <w:r w:rsidRPr="00CC5539">
              <w:rPr>
                <w:sz w:val="22"/>
                <w:szCs w:val="22"/>
              </w:rPr>
              <w:t>4747,9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5541,6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A41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16,7</w:t>
            </w:r>
          </w:p>
        </w:tc>
      </w:tr>
      <w:tr w:rsidR="002B5A89" w:rsidTr="002B5A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Остаточная стоимость</w:t>
            </w:r>
          </w:p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тыс.  </w:t>
            </w:r>
          </w:p>
          <w:p w:rsidR="002B5A89" w:rsidRPr="00CC5539" w:rsidRDefault="002B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2B5A89" w:rsidP="002139C9">
            <w:pPr>
              <w:pStyle w:val="ConsPlusCell"/>
              <w:widowControl/>
              <w:rPr>
                <w:sz w:val="22"/>
                <w:szCs w:val="22"/>
              </w:rPr>
            </w:pPr>
            <w:r w:rsidRPr="00CC5539">
              <w:rPr>
                <w:sz w:val="22"/>
                <w:szCs w:val="22"/>
              </w:rPr>
              <w:t>761,6</w:t>
            </w: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7B6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1285,1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A89" w:rsidRPr="00CC5539" w:rsidRDefault="00A41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68,7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7" w:name="Par528"/>
      <w:bookmarkEnd w:id="27"/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114"/>
      </w:tblGrid>
      <w:tr w:rsidR="00C96E0B" w:rsidTr="00CC5539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Год n-1</w:t>
            </w:r>
            <w:r w:rsidR="00CC5539" w:rsidRPr="00CC5539">
              <w:rPr>
                <w:rFonts w:cs="Times New Roman"/>
                <w:sz w:val="22"/>
              </w:rPr>
              <w:t xml:space="preserve"> 2012 г.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Год n</w:t>
            </w:r>
            <w:r w:rsidR="00CC5539" w:rsidRPr="00CC5539">
              <w:rPr>
                <w:rFonts w:cs="Times New Roman"/>
                <w:sz w:val="22"/>
              </w:rPr>
              <w:t xml:space="preserve">    2013 г.</w:t>
            </w:r>
            <w:r w:rsidRPr="00CC5539">
              <w:rPr>
                <w:rFonts w:cs="Times New Roman"/>
                <w:sz w:val="22"/>
              </w:rPr>
              <w:t xml:space="preserve"> 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Tr="00CC553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  <w:tr w:rsidR="00C96E0B" w:rsidTr="00CC553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  <w:tc>
          <w:tcPr>
            <w:tcW w:w="1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C5539" w:rsidRDefault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C5539">
              <w:rPr>
                <w:rFonts w:cs="Times New Roman"/>
                <w:sz w:val="22"/>
              </w:rPr>
              <w:t>0</w:t>
            </w:r>
          </w:p>
        </w:tc>
      </w:tr>
    </w:tbl>
    <w:p w:rsidR="00CC5539" w:rsidRDefault="00CC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8" w:name="Par547"/>
      <w:bookmarkEnd w:id="2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985"/>
        <w:gridCol w:w="1843"/>
      </w:tblGrid>
      <w:tr w:rsidR="00C96E0B" w:rsidTr="007E452B">
        <w:trPr>
          <w:trHeight w:val="1558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Ед.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Год n-1</w:t>
            </w:r>
            <w:r w:rsidR="00CC5539" w:rsidRPr="00274BBD">
              <w:rPr>
                <w:rFonts w:cs="Times New Roman"/>
                <w:sz w:val="22"/>
              </w:rPr>
              <w:t xml:space="preserve"> 2012 г.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Год n</w:t>
            </w:r>
            <w:r w:rsidR="00CC5539" w:rsidRPr="00274BBD">
              <w:rPr>
                <w:rFonts w:cs="Times New Roman"/>
                <w:sz w:val="22"/>
              </w:rPr>
              <w:t xml:space="preserve"> 2013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Изменение суммы  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задолженности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274BBD" w:rsidRDefault="00C96E0B" w:rsidP="00501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452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 Причины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образования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просроченной  кредиторской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дебиторской 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задолженности, нереальной </w:t>
            </w:r>
            <w:proofErr w:type="gramStart"/>
            <w:r w:rsidRPr="00767CFD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767CF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67CFD" w:rsidRDefault="00C96E0B" w:rsidP="00C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67CFD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274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7</w:t>
            </w:r>
          </w:p>
        </w:tc>
      </w:tr>
      <w:tr w:rsidR="00DF3954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274BBD">
              <w:rPr>
                <w:rFonts w:cs="Times New Roman"/>
                <w:sz w:val="22"/>
              </w:rPr>
              <w:t>дебиторской</w:t>
            </w:r>
            <w:proofErr w:type="gramEnd"/>
          </w:p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247,1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-97,5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-12,9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-230,3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-12,9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-230,3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237,2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19,0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-92,0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C86498" w:rsidRDefault="00DF3954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коммунальным услугам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-74,7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C86498" w:rsidRDefault="00DF3954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прочим работам, услугам (226)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C86498" w:rsidRDefault="00DF3954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приобретению основных средств(310)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C86498" w:rsidRDefault="00DF3954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C86498">
              <w:rPr>
                <w:rFonts w:eastAsia="Times New Roman"/>
                <w:sz w:val="18"/>
                <w:szCs w:val="18"/>
              </w:rPr>
              <w:t>Расчеты по авансам</w:t>
            </w:r>
            <w:r>
              <w:rPr>
                <w:rFonts w:eastAsia="Times New Roman"/>
                <w:sz w:val="18"/>
                <w:szCs w:val="18"/>
              </w:rPr>
              <w:t xml:space="preserve"> по приобретению материальных запасов (340)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0,5</w:t>
            </w:r>
          </w:p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Нереальная к    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274BBD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7E452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274BBD">
              <w:rPr>
                <w:rFonts w:cs="Times New Roman"/>
                <w:sz w:val="22"/>
              </w:rPr>
              <w:t>кредиторской</w:t>
            </w:r>
            <w:proofErr w:type="gramEnd"/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x       </w:t>
            </w: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      х       </w:t>
            </w:r>
          </w:p>
        </w:tc>
      </w:tr>
      <w:tr w:rsidR="00DF3954" w:rsidTr="007E452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-10,3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850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-8,9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954" w:rsidRPr="00274BBD" w:rsidRDefault="00DF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7E452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Просроченная    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кредиторская         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тыс.</w:t>
            </w:r>
          </w:p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74BBD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67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76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9" w:name="Par587"/>
      <w:bookmarkEnd w:id="29"/>
      <w:r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272"/>
        <w:gridCol w:w="1276"/>
      </w:tblGrid>
      <w:tr w:rsidR="00C96E0B" w:rsidTr="000B7AC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Год  n-1  </w:t>
            </w:r>
            <w:r w:rsidR="000B7AC9">
              <w:rPr>
                <w:rFonts w:cs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 w:rsidP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Год  n   </w:t>
            </w:r>
            <w:r w:rsidR="000B7AC9">
              <w:rPr>
                <w:rFonts w:cs="Times New Roman"/>
                <w:sz w:val="24"/>
                <w:szCs w:val="24"/>
              </w:rPr>
              <w:t xml:space="preserve">  2013 г.</w:t>
            </w:r>
          </w:p>
        </w:tc>
      </w:tr>
      <w:tr w:rsidR="00C96E0B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74BB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 5   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15976,7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19884,6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выполнение муниципального задания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12905,1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13173,0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5365,9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859,1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486,6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15951,4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8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19906,7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выполнение муниципального задания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12905,1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8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13173,0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Субсидии на иные цели КОСГУ 180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8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5365,9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родительская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8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895,1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0B7AC9" w:rsidRDefault="000B7AC9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 w:rsidRPr="000B7AC9">
              <w:rPr>
                <w:rFonts w:eastAsia="Times New Roman"/>
                <w:sz w:val="18"/>
                <w:szCs w:val="18"/>
              </w:rPr>
              <w:t>Доходы от оказания платных услуг КОСГУ 130 дополнительные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84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472,7</w:t>
            </w:r>
          </w:p>
        </w:tc>
      </w:tr>
      <w:tr w:rsidR="000B7AC9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74BBD">
              <w:rPr>
                <w:rFonts w:cs="Times New Roman"/>
                <w:sz w:val="24"/>
                <w:szCs w:val="24"/>
              </w:rPr>
              <w:t>Суммы плановых выплат (с учетом восстановленных</w:t>
            </w:r>
            <w:proofErr w:type="gramEnd"/>
          </w:p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Default="000B7AC9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15989,5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19917,7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10277,2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13093,4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5,7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3089,8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3954,2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81,8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38,3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216,8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276,7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523E25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893,6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566,6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26,0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365610" w:rsidRDefault="00365610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167,7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365610" w:rsidRDefault="00365610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559,2</w:t>
            </w: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365610" w:rsidRDefault="00365610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14B62" w:rsidP="00AD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254,</w:t>
            </w:r>
            <w:r w:rsidR="00AD5A8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65610" w:rsidTr="000B7A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274BBD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proofErr w:type="gramEnd"/>
          </w:p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Default="00365610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15931,1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FE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19812,4</w:t>
            </w:r>
          </w:p>
        </w:tc>
      </w:tr>
      <w:tr w:rsidR="000B7AC9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AC9" w:rsidRPr="00274BBD" w:rsidRDefault="000B7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65610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610" w:rsidRPr="00274BBD" w:rsidRDefault="00365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Заработная плата (211)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10277,2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 w:rsidP="001D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13026,4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выплаты (212)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5,7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Начисления на выплаты по оплате труда (213)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3067,6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3915,9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Услуги связи (221)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81,8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Транспортные услуги (222)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38,3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Коммунальные услуги (223)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276,7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523E2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864,7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893,6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работы, услуги (226)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566,6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Пособия по социальной помощи населению (262)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26,0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365610" w:rsidRDefault="00706F55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расходы (290)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167,7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365610" w:rsidRDefault="00706F55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основных средств (310)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559,2</w:t>
            </w:r>
          </w:p>
        </w:tc>
      </w:tr>
      <w:tr w:rsidR="00706F55" w:rsidTr="000B7A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365610" w:rsidRDefault="00706F55" w:rsidP="001D41D6">
            <w:pPr>
              <w:pStyle w:val="ConsPlusCell"/>
              <w:widowControl/>
              <w:rPr>
                <w:rFonts w:eastAsia="Times New Roman"/>
                <w:sz w:val="20"/>
                <w:szCs w:val="20"/>
              </w:rPr>
            </w:pPr>
            <w:r w:rsidRPr="00365610">
              <w:rPr>
                <w:rFonts w:eastAsia="Times New Roman"/>
                <w:sz w:val="20"/>
                <w:szCs w:val="20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Расходы по приобретению материальных запасов (340)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74BBD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Default="00706F55" w:rsidP="001D41D6">
            <w:pPr>
              <w:pStyle w:val="ConsPlusCell"/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F55" w:rsidRPr="00274BBD" w:rsidRDefault="0070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254,5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0" w:name="Par622"/>
      <w:bookmarkEnd w:id="30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A1B96" w:rsidRDefault="000A1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1" w:name="Par625"/>
      <w:bookmarkEnd w:id="3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Год n-1      </w:t>
            </w:r>
            <w:r w:rsidR="000A1B96" w:rsidRPr="000A1B96">
              <w:rPr>
                <w:rFonts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1B9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Год n       </w:t>
            </w:r>
            <w:r w:rsidR="000A1B96" w:rsidRPr="000A1B96">
              <w:rPr>
                <w:rFonts w:cs="Times New Roman"/>
                <w:b/>
                <w:sz w:val="24"/>
                <w:szCs w:val="24"/>
              </w:rPr>
              <w:t>2013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4747,9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4747,9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5541,6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2071,6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3525,1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3425,4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 w:rsidP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3470,0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778B2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778B2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778B2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778B2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4449,1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2228,6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27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935,0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1285,1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1170,2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114,9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  <w:p w:rsidR="00406B22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684,5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40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BC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2" w:name="Par801"/>
      <w:bookmarkEnd w:id="32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Год n-1      </w:t>
            </w:r>
            <w:r w:rsidR="009F7B04">
              <w:rPr>
                <w:rFonts w:cs="Times New Roman"/>
                <w:b/>
                <w:sz w:val="20"/>
                <w:szCs w:val="20"/>
              </w:rPr>
              <w:t>2012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Год n       </w:t>
            </w:r>
            <w:r w:rsidR="009F7B04">
              <w:rPr>
                <w:rFonts w:cs="Times New Roman"/>
                <w:b/>
                <w:sz w:val="20"/>
                <w:szCs w:val="20"/>
              </w:rPr>
              <w:t>2013 г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F7B04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объектов недвижимого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4F7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9F7B04" w:rsidP="0013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1342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BC3178" w:rsidP="0013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1342D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F7B04" w:rsidRDefault="00BC3178" w:rsidP="00134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1342D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715,4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2139C9" w:rsidRDefault="00174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C96E0B" w:rsidRPr="002139C9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3" w:name="Par876"/>
            <w:bookmarkEnd w:id="33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4" w:name="Par879"/>
            <w:bookmarkEnd w:id="34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2139C9" w:rsidRDefault="00174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C96E0B" w:rsidRPr="002139C9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5" w:name="Par898"/>
            <w:bookmarkEnd w:id="35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2139C9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6" w:name="Par901"/>
            <w:bookmarkEnd w:id="36"/>
            <w:r w:rsidRPr="002139C9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13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139C9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139C9" w:rsidRDefault="009F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7" w:name="Par917"/>
      <w:bookmarkEnd w:id="37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F7B04">
        <w:rPr>
          <w:rFonts w:ascii="Times New Roman" w:hAnsi="Times New Roman" w:cs="Times New Roman"/>
          <w:sz w:val="24"/>
          <w:szCs w:val="24"/>
        </w:rPr>
        <w:t>автономного учреждения       _______________ _______</w:t>
      </w:r>
      <w:r w:rsidR="009F7B04" w:rsidRPr="009F7B04">
        <w:rPr>
          <w:rFonts w:ascii="Times New Roman" w:hAnsi="Times New Roman" w:cs="Times New Roman"/>
          <w:sz w:val="24"/>
          <w:szCs w:val="24"/>
          <w:u w:val="single"/>
        </w:rPr>
        <w:t>Пепеляева Н.Ю.</w:t>
      </w:r>
      <w:r w:rsidRPr="009F7B04">
        <w:rPr>
          <w:rFonts w:ascii="Times New Roman" w:hAnsi="Times New Roman" w:cs="Times New Roman"/>
          <w:sz w:val="24"/>
          <w:szCs w:val="24"/>
        </w:rPr>
        <w:t>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F7B0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>автономного учреждения       _______________ _______</w:t>
      </w:r>
      <w:r w:rsidR="009F7B04">
        <w:rPr>
          <w:rFonts w:ascii="Times New Roman" w:hAnsi="Times New Roman" w:cs="Times New Roman"/>
          <w:sz w:val="24"/>
          <w:szCs w:val="24"/>
          <w:u w:val="single"/>
        </w:rPr>
        <w:t>Зубов А.В.</w:t>
      </w:r>
      <w:r w:rsidRPr="009F7B04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F7B0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 </w:t>
      </w:r>
      <w:r w:rsidRPr="009F7B04">
        <w:rPr>
          <w:rFonts w:ascii="Times New Roman" w:hAnsi="Times New Roman" w:cs="Times New Roman"/>
          <w:sz w:val="24"/>
          <w:szCs w:val="24"/>
        </w:rPr>
        <w:t>_______________ _______</w:t>
      </w:r>
      <w:r w:rsidR="009F7B04">
        <w:rPr>
          <w:rFonts w:ascii="Times New Roman" w:hAnsi="Times New Roman" w:cs="Times New Roman"/>
          <w:sz w:val="24"/>
          <w:szCs w:val="24"/>
          <w:u w:val="single"/>
        </w:rPr>
        <w:t>Пепеляева Н.Ю.</w:t>
      </w:r>
      <w:r w:rsidRPr="009F7B04">
        <w:rPr>
          <w:rFonts w:ascii="Times New Roman" w:hAnsi="Times New Roman" w:cs="Times New Roman"/>
          <w:sz w:val="24"/>
          <w:szCs w:val="24"/>
        </w:rPr>
        <w:t>______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7B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139C9" w:rsidRPr="009F7B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F7B04">
        <w:rPr>
          <w:rFonts w:ascii="Times New Roman" w:hAnsi="Times New Roman" w:cs="Times New Roman"/>
          <w:sz w:val="24"/>
          <w:szCs w:val="24"/>
        </w:rPr>
        <w:t xml:space="preserve"> </w:t>
      </w:r>
      <w:r w:rsidR="009F7B04">
        <w:rPr>
          <w:rFonts w:ascii="Times New Roman" w:hAnsi="Times New Roman" w:cs="Times New Roman"/>
          <w:sz w:val="24"/>
          <w:szCs w:val="24"/>
        </w:rPr>
        <w:t xml:space="preserve">    </w:t>
      </w:r>
      <w:r w:rsidRPr="009F7B0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9F7B0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СОГЛАСОВАН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_____________________________________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(начальник департамента имущественных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Отчет о деятельности муниципального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автономного учреждения города Перми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__________________________за период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(наименование учреждения)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с _____________ по _________________,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опубликованный ранее в печатном средстве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массовой информации "Официальный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бюллетень органов местного самоуправления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муниципального образования город Пермь"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от _______ N ___, на официальном сайте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муниципального образования город Пермь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>в информационно-телекоммуникационной</w:t>
      </w:r>
    </w:p>
    <w:p w:rsidR="00C96E0B" w:rsidRPr="002139C9" w:rsidRDefault="00C96E0B">
      <w:pPr>
        <w:pStyle w:val="ConsPlusNonformat"/>
        <w:rPr>
          <w:rFonts w:ascii="Times New Roman" w:hAnsi="Times New Roman" w:cs="Times New Roman"/>
        </w:rPr>
      </w:pPr>
      <w:r w:rsidRPr="002139C9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2139C9">
          <w:rPr>
            <w:rFonts w:ascii="Times New Roman" w:hAnsi="Times New Roman" w:cs="Times New Roman"/>
            <w:color w:val="0000FF"/>
          </w:rPr>
          <w:t>&lt;*&gt;</w:t>
        </w:r>
      </w:hyperlink>
      <w:r w:rsidRPr="002139C9">
        <w:rPr>
          <w:rFonts w:ascii="Times New Roman" w:hAnsi="Times New Roman" w:cs="Times New Roman"/>
        </w:rPr>
        <w:t>.</w:t>
      </w:r>
    </w:p>
    <w:p w:rsidR="007E452B" w:rsidRDefault="007E452B" w:rsidP="002139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  <w:sectPr w:rsidR="007E452B" w:rsidSect="007E452B">
          <w:pgSz w:w="11905" w:h="16838"/>
          <w:pgMar w:top="1134" w:right="709" w:bottom="1134" w:left="851" w:header="720" w:footer="720" w:gutter="0"/>
          <w:cols w:space="720"/>
          <w:noEndnote/>
        </w:sectPr>
      </w:pPr>
    </w:p>
    <w:p w:rsidR="00C96E0B" w:rsidRDefault="00C96E0B" w:rsidP="002139C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sectPr w:rsidR="00C96E0B" w:rsidSect="007A39A1">
      <w:pgSz w:w="16838" w:h="11905" w:orient="landscape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2E82"/>
    <w:rsid w:val="00037910"/>
    <w:rsid w:val="0004717F"/>
    <w:rsid w:val="0007757E"/>
    <w:rsid w:val="000A1B96"/>
    <w:rsid w:val="000B7AC9"/>
    <w:rsid w:val="000D5C26"/>
    <w:rsid w:val="00114ECD"/>
    <w:rsid w:val="00115F8F"/>
    <w:rsid w:val="00133C11"/>
    <w:rsid w:val="001342DF"/>
    <w:rsid w:val="00174E6E"/>
    <w:rsid w:val="002139C9"/>
    <w:rsid w:val="00226B5E"/>
    <w:rsid w:val="002464A6"/>
    <w:rsid w:val="00260D1E"/>
    <w:rsid w:val="00274BBD"/>
    <w:rsid w:val="002778B2"/>
    <w:rsid w:val="00295D48"/>
    <w:rsid w:val="002B5A89"/>
    <w:rsid w:val="002E3208"/>
    <w:rsid w:val="002F4650"/>
    <w:rsid w:val="00314B62"/>
    <w:rsid w:val="00365610"/>
    <w:rsid w:val="00384FA1"/>
    <w:rsid w:val="003E630A"/>
    <w:rsid w:val="00406B22"/>
    <w:rsid w:val="0041445D"/>
    <w:rsid w:val="00417592"/>
    <w:rsid w:val="00430303"/>
    <w:rsid w:val="00477207"/>
    <w:rsid w:val="00497D27"/>
    <w:rsid w:val="004A6F7A"/>
    <w:rsid w:val="004E5054"/>
    <w:rsid w:val="004F7384"/>
    <w:rsid w:val="0050186E"/>
    <w:rsid w:val="005B79EA"/>
    <w:rsid w:val="00621D5F"/>
    <w:rsid w:val="00672769"/>
    <w:rsid w:val="00695E45"/>
    <w:rsid w:val="006C2098"/>
    <w:rsid w:val="00705D7A"/>
    <w:rsid w:val="00706F55"/>
    <w:rsid w:val="007630ED"/>
    <w:rsid w:val="00767CFD"/>
    <w:rsid w:val="00775324"/>
    <w:rsid w:val="007A0BE8"/>
    <w:rsid w:val="007A39A1"/>
    <w:rsid w:val="007B28BD"/>
    <w:rsid w:val="007B6837"/>
    <w:rsid w:val="007E452B"/>
    <w:rsid w:val="0085092B"/>
    <w:rsid w:val="00856C61"/>
    <w:rsid w:val="008760A2"/>
    <w:rsid w:val="008C3F29"/>
    <w:rsid w:val="0093218B"/>
    <w:rsid w:val="0094698B"/>
    <w:rsid w:val="009823AF"/>
    <w:rsid w:val="0099704A"/>
    <w:rsid w:val="009A1753"/>
    <w:rsid w:val="009B3B47"/>
    <w:rsid w:val="009E430D"/>
    <w:rsid w:val="009F0EEE"/>
    <w:rsid w:val="009F7B04"/>
    <w:rsid w:val="00A41FAD"/>
    <w:rsid w:val="00AC2D3B"/>
    <w:rsid w:val="00AD5A8E"/>
    <w:rsid w:val="00B52228"/>
    <w:rsid w:val="00B60C5B"/>
    <w:rsid w:val="00BC3178"/>
    <w:rsid w:val="00BE462F"/>
    <w:rsid w:val="00BF57F6"/>
    <w:rsid w:val="00C309C2"/>
    <w:rsid w:val="00C65C5D"/>
    <w:rsid w:val="00C6788A"/>
    <w:rsid w:val="00C96E0B"/>
    <w:rsid w:val="00CC5539"/>
    <w:rsid w:val="00CE193B"/>
    <w:rsid w:val="00D07401"/>
    <w:rsid w:val="00D27C7A"/>
    <w:rsid w:val="00D514E3"/>
    <w:rsid w:val="00D60684"/>
    <w:rsid w:val="00D86660"/>
    <w:rsid w:val="00DF3954"/>
    <w:rsid w:val="00E10197"/>
    <w:rsid w:val="00E42439"/>
    <w:rsid w:val="00E713CF"/>
    <w:rsid w:val="00E75F82"/>
    <w:rsid w:val="00EB67D9"/>
    <w:rsid w:val="00EC5A47"/>
    <w:rsid w:val="00ED6306"/>
    <w:rsid w:val="00F41440"/>
    <w:rsid w:val="00F670B8"/>
    <w:rsid w:val="00FE4791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9B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9B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2A045BD7D484074498ADDB2F34746ECDF11E46DC335200D97CAAFBE921EE82CC0DH6T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065FAF0D82BBB3B2BA2A045BD7D484074498ADDB2F34746ECDF11E46DC335200D97CAAFBE921EE82CC09H6T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065FAF0D82BBB3B2BA2A045BD7D484074498ADDA2E307168CDF11E46DC335200D97CAAFBE921EE82CC09H6T2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4CC6-580C-45FC-BF43-892908A5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2</cp:revision>
  <cp:lastPrinted>2014-01-22T04:21:00Z</cp:lastPrinted>
  <dcterms:created xsi:type="dcterms:W3CDTF">2014-03-11T05:29:00Z</dcterms:created>
  <dcterms:modified xsi:type="dcterms:W3CDTF">2014-03-11T05:29:00Z</dcterms:modified>
</cp:coreProperties>
</file>