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Информация о предоставлении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в 202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5 году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pStyle w:val="617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льготы в виде скидки по арендной плате муниципального имущества </w:t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pStyle w:val="617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по состоянию на 01.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07.20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5 г.</w:t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pStyle w:val="61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>
        <w:tblPrEx/>
        <w:trPr/>
        <w:tc>
          <w:tcPr>
            <w:tcW w:w="152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Период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договоров аренды, по которым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предоставлена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льгота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Сумма фактически предоставленной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льготы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, тыс. руб.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</w:tr>
      <w:tr>
        <w:tblPrEx/>
        <w:trPr>
          <w:trHeight w:val="657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5 год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  <w:t xml:space="preserve">47 031,8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</w:rPr>
            </w:r>
          </w:p>
        </w:tc>
      </w:tr>
      <w:tr>
        <w:tblPrEx/>
        <w:trPr>
          <w:trHeight w:val="639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yellow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none"/>
              </w:rPr>
              <w:t xml:space="preserve">42 044,8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yellow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gostyusheva-sa</cp:lastModifiedBy>
  <cp:revision>1</cp:revision>
  <dcterms:modified xsi:type="dcterms:W3CDTF">2025-07-30T07:56:50Z</dcterms:modified>
</cp:coreProperties>
</file>