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97D0FD" wp14:editId="273958B2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EB2CA" wp14:editId="4F8DB750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92EB2CA" wp14:editId="4F8DB750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C75E3" wp14:editId="1F135B69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0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0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68BBC" wp14:editId="444B74CD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0D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0D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A5D17" w:rsidRDefault="004A5D17" w:rsidP="004A5D17">
      <w:pPr>
        <w:snapToGrid w:val="0"/>
        <w:jc w:val="center"/>
        <w:rPr>
          <w:b/>
          <w:sz w:val="28"/>
          <w:szCs w:val="28"/>
        </w:rPr>
      </w:pPr>
    </w:p>
    <w:p w:rsidR="004A5D17" w:rsidRDefault="004A5D17" w:rsidP="004A5D17">
      <w:pPr>
        <w:snapToGrid w:val="0"/>
        <w:jc w:val="center"/>
        <w:rPr>
          <w:b/>
          <w:sz w:val="28"/>
          <w:szCs w:val="28"/>
        </w:rPr>
      </w:pPr>
    </w:p>
    <w:p w:rsidR="004A5D17" w:rsidRPr="004A5D17" w:rsidRDefault="004A5D17" w:rsidP="009B0DFF">
      <w:pPr>
        <w:snapToGrid w:val="0"/>
        <w:spacing w:after="480"/>
        <w:jc w:val="center"/>
        <w:rPr>
          <w:b/>
          <w:sz w:val="28"/>
          <w:szCs w:val="28"/>
        </w:rPr>
      </w:pPr>
      <w:r w:rsidRPr="004A5D17">
        <w:rPr>
          <w:b/>
          <w:sz w:val="28"/>
          <w:szCs w:val="28"/>
        </w:rPr>
        <w:t xml:space="preserve">О </w:t>
      </w:r>
      <w:bookmarkStart w:id="0" w:name="_Hlk378756627"/>
      <w:r w:rsidRPr="004A5D17">
        <w:rPr>
          <w:b/>
          <w:sz w:val="28"/>
          <w:szCs w:val="28"/>
        </w:rPr>
        <w:t>внесении изменений в р</w:t>
      </w:r>
      <w:r w:rsidR="009B0DFF">
        <w:rPr>
          <w:b/>
          <w:sz w:val="28"/>
          <w:szCs w:val="28"/>
        </w:rPr>
        <w:t xml:space="preserve">ешение Пермской городской Думы </w:t>
      </w:r>
      <w:r w:rsidR="009B0DFF">
        <w:br/>
      </w:r>
      <w:r w:rsidRPr="004A5D17">
        <w:rPr>
          <w:b/>
          <w:sz w:val="28"/>
          <w:szCs w:val="28"/>
        </w:rPr>
        <w:t xml:space="preserve">от 16.12.2014 № 266 «Об утверждении Прогнозного плана приватизации </w:t>
      </w:r>
      <w:r w:rsidR="009B0DFF">
        <w:rPr>
          <w:b/>
          <w:sz w:val="28"/>
          <w:szCs w:val="28"/>
        </w:rPr>
        <w:br/>
      </w:r>
      <w:r w:rsidRPr="004A5D17">
        <w:rPr>
          <w:b/>
          <w:sz w:val="28"/>
          <w:szCs w:val="28"/>
        </w:rPr>
        <w:t>муниципального имущ</w:t>
      </w:r>
      <w:r w:rsidR="009B0DFF">
        <w:rPr>
          <w:b/>
          <w:sz w:val="28"/>
          <w:szCs w:val="28"/>
        </w:rPr>
        <w:t xml:space="preserve">ества города Перми на 2015 год </w:t>
      </w:r>
      <w:r w:rsidR="009B0DFF">
        <w:rPr>
          <w:b/>
          <w:sz w:val="28"/>
          <w:szCs w:val="28"/>
        </w:rPr>
        <w:br/>
      </w:r>
      <w:r w:rsidRPr="004A5D17">
        <w:rPr>
          <w:b/>
          <w:sz w:val="28"/>
          <w:szCs w:val="28"/>
        </w:rPr>
        <w:t>и плановый период 2016 и 2017 годов»</w:t>
      </w:r>
      <w:bookmarkEnd w:id="0"/>
    </w:p>
    <w:p w:rsidR="004A5D17" w:rsidRPr="004A5D17" w:rsidRDefault="004A5D17" w:rsidP="009B0DFF">
      <w:pPr>
        <w:tabs>
          <w:tab w:val="left" w:pos="7020"/>
        </w:tabs>
        <w:snapToGrid w:val="0"/>
        <w:spacing w:before="480" w:after="24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В соответствии со статьями 10, 13 Фед</w:t>
      </w:r>
      <w:r w:rsidR="009B0DFF">
        <w:rPr>
          <w:sz w:val="28"/>
          <w:szCs w:val="28"/>
        </w:rPr>
        <w:t>ерального закона от 21.12.2001</w:t>
      </w:r>
      <w:r w:rsidR="009B0DFF">
        <w:rPr>
          <w:sz w:val="28"/>
          <w:szCs w:val="28"/>
        </w:rPr>
        <w:br/>
      </w:r>
      <w:r w:rsidRPr="004A5D17">
        <w:rPr>
          <w:sz w:val="28"/>
          <w:szCs w:val="28"/>
        </w:rPr>
        <w:t xml:space="preserve">№ 178-ФЗ «О приватизации государственного и муниципального имущества», статьей 51 Федерального закона от 06.10.2003 № 131-ФЗ «Об общих принципах организации местного самоуправления в Российской Федерации», Уставом города Перми, решением Пермской городской </w:t>
      </w:r>
      <w:r w:rsidR="009B0DFF">
        <w:rPr>
          <w:sz w:val="28"/>
          <w:szCs w:val="28"/>
        </w:rPr>
        <w:t xml:space="preserve">Думы от 20.11.2012 № 256 </w:t>
      </w:r>
      <w:r w:rsidRPr="004A5D17">
        <w:rPr>
          <w:sz w:val="28"/>
          <w:szCs w:val="28"/>
        </w:rPr>
        <w:t>«Об утвержд</w:t>
      </w:r>
      <w:r w:rsidRPr="004A5D17">
        <w:rPr>
          <w:sz w:val="28"/>
          <w:szCs w:val="28"/>
        </w:rPr>
        <w:t>е</w:t>
      </w:r>
      <w:r w:rsidRPr="004A5D17">
        <w:rPr>
          <w:sz w:val="28"/>
          <w:szCs w:val="28"/>
        </w:rPr>
        <w:t xml:space="preserve">нии Положения о приватизации муниципального имущества города Перми» </w:t>
      </w:r>
    </w:p>
    <w:p w:rsidR="004A5D17" w:rsidRPr="004A5D17" w:rsidRDefault="004A5D17" w:rsidP="009B0DFF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4A5D17">
        <w:rPr>
          <w:sz w:val="28"/>
          <w:szCs w:val="28"/>
        </w:rPr>
        <w:t xml:space="preserve">Пермская городская Дума </w:t>
      </w:r>
      <w:r w:rsidRPr="004A5D17">
        <w:rPr>
          <w:b/>
          <w:spacing w:val="40"/>
          <w:sz w:val="28"/>
          <w:szCs w:val="28"/>
        </w:rPr>
        <w:t>решила</w:t>
      </w:r>
      <w:r w:rsidRPr="004A5D17">
        <w:rPr>
          <w:sz w:val="28"/>
          <w:szCs w:val="28"/>
        </w:rPr>
        <w:t>:</w:t>
      </w:r>
    </w:p>
    <w:p w:rsidR="004A5D17" w:rsidRPr="004A5D17" w:rsidRDefault="004A5D17" w:rsidP="004A5D17">
      <w:pPr>
        <w:snapToGri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1. Внести в решение Пермской горо</w:t>
      </w:r>
      <w:r w:rsidR="009B0DFF">
        <w:rPr>
          <w:sz w:val="28"/>
          <w:szCs w:val="28"/>
        </w:rPr>
        <w:t xml:space="preserve">дской Думы от 16.12.2014 № 266 </w:t>
      </w:r>
      <w:r w:rsidR="009B0DFF">
        <w:rPr>
          <w:sz w:val="28"/>
          <w:szCs w:val="28"/>
        </w:rPr>
        <w:br/>
      </w:r>
      <w:r w:rsidRPr="004A5D17">
        <w:rPr>
          <w:sz w:val="28"/>
          <w:szCs w:val="28"/>
        </w:rPr>
        <w:t>«Об утверждении Прогнозного плана приватизации муниципального имущества города Перми на 2015 год и плановый период 2016 и 2017 годов» изменения:</w:t>
      </w:r>
    </w:p>
    <w:p w:rsidR="004A5D17" w:rsidRPr="004A5D17" w:rsidRDefault="004A5D17" w:rsidP="004A5D17">
      <w:pPr>
        <w:snapToGri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1.1 пункт 3 изложить в редакции: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  <w:r w:rsidR="00C24A52">
        <w:rPr>
          <w:sz w:val="28"/>
          <w:szCs w:val="28"/>
        </w:rPr>
        <w:t>3. </w:t>
      </w:r>
      <w:r w:rsidRPr="004A5D17">
        <w:rPr>
          <w:sz w:val="28"/>
          <w:szCs w:val="28"/>
        </w:rPr>
        <w:t>Приватизацию объектов, указанных в строках 10, 13, 14, 17, 19, 21, 22, 29</w:t>
      </w:r>
      <w:r w:rsidR="00C24A52">
        <w:rPr>
          <w:sz w:val="28"/>
          <w:szCs w:val="28"/>
        </w:rPr>
        <w:t>, 30, 31, 32, 33, 35, 38, 51</w:t>
      </w:r>
      <w:r w:rsidRPr="004A5D17">
        <w:rPr>
          <w:sz w:val="28"/>
          <w:szCs w:val="28"/>
        </w:rPr>
        <w:t xml:space="preserve">, 55, 56, 58, 59, 61, 62, 63, 65, 68, 69, 70, 71, 72, 73, 74, 76 подраздела 2 раздела </w:t>
      </w:r>
      <w:r w:rsidRPr="004A5D17">
        <w:rPr>
          <w:sz w:val="28"/>
          <w:szCs w:val="28"/>
          <w:lang w:val="en-US"/>
        </w:rPr>
        <w:t>II</w:t>
      </w:r>
      <w:r w:rsidRPr="004A5D17">
        <w:rPr>
          <w:sz w:val="28"/>
          <w:szCs w:val="28"/>
        </w:rPr>
        <w:t xml:space="preserve"> Прогнозного плана приватизации, утвержденного пунктом 1 настоящего решения, осуществлять при наличии полученных заключ</w:t>
      </w:r>
      <w:r w:rsidRPr="004A5D17">
        <w:rPr>
          <w:sz w:val="28"/>
          <w:szCs w:val="28"/>
        </w:rPr>
        <w:t>е</w:t>
      </w:r>
      <w:r w:rsidRPr="004A5D17">
        <w:rPr>
          <w:sz w:val="28"/>
          <w:szCs w:val="28"/>
        </w:rPr>
        <w:t>ний специализированных организаций об отсутствии в данных объектах общед</w:t>
      </w:r>
      <w:r w:rsidRPr="004A5D17">
        <w:rPr>
          <w:sz w:val="28"/>
          <w:szCs w:val="28"/>
        </w:rPr>
        <w:t>о</w:t>
      </w:r>
      <w:r w:rsidRPr="004A5D17">
        <w:rPr>
          <w:sz w:val="28"/>
          <w:szCs w:val="28"/>
        </w:rPr>
        <w:t>мового имущества.»;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A5D17">
        <w:rPr>
          <w:sz w:val="28"/>
          <w:szCs w:val="28"/>
        </w:rPr>
        <w:t xml:space="preserve">1.2 в </w:t>
      </w:r>
      <w:r w:rsidRPr="004A5D17">
        <w:rPr>
          <w:rFonts w:cs="Arial"/>
          <w:sz w:val="28"/>
          <w:szCs w:val="28"/>
        </w:rPr>
        <w:t>Прогнозном плане приватизации муниципального имущества города Перми на 2015 год и плановый период 2016 и 2017 годов: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rFonts w:cs="Arial"/>
          <w:sz w:val="28"/>
          <w:szCs w:val="28"/>
        </w:rPr>
        <w:t xml:space="preserve">1.2.1 </w:t>
      </w:r>
      <w:r w:rsidRPr="004A5D17">
        <w:rPr>
          <w:sz w:val="28"/>
          <w:szCs w:val="28"/>
        </w:rPr>
        <w:t>абзац восьмой раздела 1 изложить в редакции: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4A5D17">
        <w:rPr>
          <w:sz w:val="28"/>
          <w:szCs w:val="28"/>
        </w:rPr>
        <w:t>о</w:t>
      </w:r>
      <w:r w:rsidRPr="004A5D17">
        <w:rPr>
          <w:sz w:val="28"/>
          <w:szCs w:val="28"/>
        </w:rPr>
        <w:t>да Перми на 2015 и плановый период 2016 и 2017 годов</w:t>
      </w:r>
      <w:r w:rsidR="00C24A52">
        <w:rPr>
          <w:sz w:val="28"/>
          <w:szCs w:val="28"/>
        </w:rPr>
        <w:t xml:space="preserve">, </w:t>
      </w:r>
      <w:r w:rsidR="00926842">
        <w:rPr>
          <w:sz w:val="28"/>
          <w:szCs w:val="28"/>
        </w:rPr>
        <w:t xml:space="preserve">составляет </w:t>
      </w:r>
      <w:r w:rsidR="00926842">
        <w:rPr>
          <w:sz w:val="28"/>
          <w:szCs w:val="28"/>
        </w:rPr>
        <w:br/>
      </w:r>
      <w:r w:rsidR="00C24A52">
        <w:rPr>
          <w:sz w:val="28"/>
          <w:szCs w:val="28"/>
        </w:rPr>
        <w:t>531558,09</w:t>
      </w:r>
      <w:r w:rsidRPr="004A5D17">
        <w:rPr>
          <w:sz w:val="28"/>
          <w:szCs w:val="28"/>
        </w:rPr>
        <w:t xml:space="preserve"> тыс.руб. без учета НДС.»;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1.2.2 в разделе </w:t>
      </w:r>
      <w:r w:rsidRPr="004A5D17">
        <w:rPr>
          <w:sz w:val="28"/>
          <w:szCs w:val="28"/>
          <w:lang w:val="en-US"/>
        </w:rPr>
        <w:t>II</w:t>
      </w:r>
      <w:r w:rsidRPr="004A5D17">
        <w:rPr>
          <w:sz w:val="28"/>
          <w:szCs w:val="28"/>
        </w:rPr>
        <w:t>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lastRenderedPageBreak/>
        <w:t xml:space="preserve">1.2.2.1 подраздел 1 дополнить </w:t>
      </w:r>
      <w:r w:rsidR="00926842">
        <w:rPr>
          <w:sz w:val="28"/>
          <w:szCs w:val="28"/>
        </w:rPr>
        <w:t xml:space="preserve">строками согласно приложению 1 </w:t>
      </w:r>
      <w:r w:rsidRPr="004A5D17">
        <w:rPr>
          <w:sz w:val="28"/>
          <w:szCs w:val="28"/>
        </w:rPr>
        <w:t>к насто</w:t>
      </w:r>
      <w:r w:rsidRPr="004A5D17">
        <w:rPr>
          <w:sz w:val="28"/>
          <w:szCs w:val="28"/>
        </w:rPr>
        <w:t>я</w:t>
      </w:r>
      <w:r w:rsidRPr="004A5D17">
        <w:rPr>
          <w:sz w:val="28"/>
          <w:szCs w:val="28"/>
        </w:rPr>
        <w:t>щему решению;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1.2.2.2 в подразделе 2: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строки 2, 5, 6, 8, 11, 12, 34</w:t>
      </w:r>
      <w:r w:rsidR="00C24A52">
        <w:rPr>
          <w:sz w:val="28"/>
          <w:szCs w:val="28"/>
        </w:rPr>
        <w:t>, 53</w:t>
      </w:r>
      <w:r w:rsidRPr="004A5D17">
        <w:rPr>
          <w:sz w:val="28"/>
          <w:szCs w:val="28"/>
        </w:rPr>
        <w:t xml:space="preserve"> признать утратившими силу;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строку 58 изложить в редакции: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A5D17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ул.Коминтерна,11</w:t>
            </w:r>
          </w:p>
        </w:tc>
        <w:tc>
          <w:tcPr>
            <w:tcW w:w="4961" w:type="dxa"/>
          </w:tcPr>
          <w:p w:rsidR="004A5D17" w:rsidRPr="004A5D17" w:rsidRDefault="004A5D17" w:rsidP="0092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встроенные нежилые помещения о</w:t>
            </w:r>
            <w:r w:rsidRPr="004A5D17">
              <w:rPr>
                <w:sz w:val="28"/>
                <w:szCs w:val="28"/>
              </w:rPr>
              <w:t>б</w:t>
            </w:r>
            <w:r w:rsidRPr="004A5D17">
              <w:rPr>
                <w:sz w:val="28"/>
                <w:szCs w:val="28"/>
              </w:rPr>
              <w:t xml:space="preserve">щей площадью 349,1 кв.м в подвале </w:t>
            </w:r>
            <w:r w:rsidR="00926842">
              <w:rPr>
                <w:sz w:val="28"/>
                <w:szCs w:val="28"/>
              </w:rPr>
              <w:br/>
            </w:r>
            <w:r w:rsidRPr="004A5D17">
              <w:rPr>
                <w:sz w:val="28"/>
                <w:szCs w:val="28"/>
              </w:rPr>
              <w:t>5-этажного кирпичного многокварти</w:t>
            </w:r>
            <w:r w:rsidRPr="004A5D17">
              <w:rPr>
                <w:sz w:val="28"/>
                <w:szCs w:val="28"/>
              </w:rPr>
              <w:t>р</w:t>
            </w:r>
            <w:r w:rsidRPr="004A5D17">
              <w:rPr>
                <w:sz w:val="28"/>
                <w:szCs w:val="28"/>
              </w:rPr>
              <w:t>ного дома. Год ввода в эксплуатацию – 1975. Помещения находятся в составе имущества муниципальной казны</w:t>
            </w:r>
          </w:p>
        </w:tc>
        <w:tc>
          <w:tcPr>
            <w:tcW w:w="1949" w:type="dxa"/>
          </w:tcPr>
          <w:p w:rsidR="004A5D17" w:rsidRPr="004A5D17" w:rsidRDefault="004A5D17" w:rsidP="0092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отчуждение в рамках Фед</w:t>
            </w:r>
            <w:r w:rsidRPr="004A5D17">
              <w:rPr>
                <w:sz w:val="28"/>
                <w:szCs w:val="28"/>
              </w:rPr>
              <w:t>е</w:t>
            </w:r>
            <w:r w:rsidRPr="004A5D17">
              <w:rPr>
                <w:sz w:val="28"/>
                <w:szCs w:val="28"/>
              </w:rPr>
              <w:t>рального з</w:t>
            </w:r>
            <w:r w:rsidRPr="004A5D17">
              <w:rPr>
                <w:sz w:val="28"/>
                <w:szCs w:val="28"/>
              </w:rPr>
              <w:t>а</w:t>
            </w:r>
            <w:r w:rsidRPr="004A5D17">
              <w:rPr>
                <w:sz w:val="28"/>
                <w:szCs w:val="28"/>
              </w:rPr>
              <w:t xml:space="preserve">кона от 22.07.2008 </w:t>
            </w:r>
          </w:p>
          <w:p w:rsidR="004A5D17" w:rsidRPr="004A5D17" w:rsidRDefault="004A5D17" w:rsidP="009268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№ 159-ФЗ или продажа на аукционе</w:t>
            </w: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D10EA">
        <w:rPr>
          <w:sz w:val="28"/>
          <w:szCs w:val="28"/>
        </w:rPr>
        <w:t xml:space="preserve">   </w:t>
      </w:r>
      <w:r w:rsidRPr="004A5D17">
        <w:rPr>
          <w:sz w:val="28"/>
          <w:szCs w:val="28"/>
        </w:rPr>
        <w:t xml:space="preserve">  »;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дополнить строками согласно приложению 2 к настоящему решению;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1.2.2.3 строку: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делам 1 и 2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  <w:lang w:val="en-US"/>
              </w:rPr>
              <w:t>S</w:t>
            </w:r>
            <w:r w:rsidRPr="004A5D17">
              <w:rPr>
                <w:sz w:val="28"/>
                <w:szCs w:val="28"/>
              </w:rPr>
              <w:t>-17241,70 кв.м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 » изложить в редакции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делам 1 и 2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A5D17">
              <w:rPr>
                <w:sz w:val="28"/>
                <w:szCs w:val="28"/>
                <w:lang w:val="en-US"/>
              </w:rPr>
              <w:t>S</w:t>
            </w:r>
            <w:r w:rsidR="00C24A52">
              <w:rPr>
                <w:sz w:val="28"/>
                <w:szCs w:val="28"/>
              </w:rPr>
              <w:t>-23753,90</w:t>
            </w:r>
            <w:r w:rsidRPr="004A5D17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»;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строку: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делам 1, 2, 5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  <w:lang w:val="en-US"/>
              </w:rPr>
              <w:t>S</w:t>
            </w:r>
            <w:r w:rsidRPr="004A5D17">
              <w:rPr>
                <w:sz w:val="28"/>
                <w:szCs w:val="28"/>
              </w:rPr>
              <w:t>-21938,3 кв.м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 » изложить в редакции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делам 1, 2, 5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4A5D17">
              <w:rPr>
                <w:sz w:val="28"/>
                <w:szCs w:val="28"/>
                <w:lang w:val="en-US"/>
              </w:rPr>
              <w:t>S</w:t>
            </w:r>
            <w:r w:rsidR="00C24A52">
              <w:rPr>
                <w:sz w:val="28"/>
                <w:szCs w:val="28"/>
              </w:rPr>
              <w:t>-28405,50</w:t>
            </w:r>
            <w:r w:rsidRPr="004A5D17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1.2.2.4 в подразделе 6: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дополнить строками согласно приложению 3 к настоящему решению;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строку: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делу 6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 xml:space="preserve">протяженность газопроводов </w:t>
            </w:r>
          </w:p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4724,98 п.м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lastRenderedPageBreak/>
        <w:t>изложить в редакции</w:t>
      </w:r>
    </w:p>
    <w:p w:rsidR="004A5D17" w:rsidRPr="004A5D17" w:rsidRDefault="004A5D17" w:rsidP="004A5D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A5D1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4A5D17" w:rsidRPr="004A5D17" w:rsidTr="00512D0D">
        <w:tc>
          <w:tcPr>
            <w:tcW w:w="675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Итого по подра</w:t>
            </w:r>
            <w:r w:rsidRPr="004A5D17">
              <w:rPr>
                <w:sz w:val="28"/>
                <w:szCs w:val="28"/>
              </w:rPr>
              <w:t>з</w:t>
            </w:r>
            <w:r w:rsidRPr="004A5D17">
              <w:rPr>
                <w:sz w:val="28"/>
                <w:szCs w:val="28"/>
              </w:rPr>
              <w:t>делу 6</w:t>
            </w:r>
          </w:p>
        </w:tc>
        <w:tc>
          <w:tcPr>
            <w:tcW w:w="4961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 xml:space="preserve">протяженность газопроводов </w:t>
            </w:r>
          </w:p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D17">
              <w:rPr>
                <w:sz w:val="28"/>
                <w:szCs w:val="28"/>
              </w:rPr>
              <w:t>6258,84 п.м</w:t>
            </w:r>
          </w:p>
        </w:tc>
        <w:tc>
          <w:tcPr>
            <w:tcW w:w="1949" w:type="dxa"/>
          </w:tcPr>
          <w:p w:rsidR="004A5D17" w:rsidRPr="004A5D17" w:rsidRDefault="004A5D17" w:rsidP="004A5D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A5D17" w:rsidRPr="004A5D17" w:rsidRDefault="004A5D17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D17"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:rsidR="00C24A52" w:rsidRDefault="00C24A52" w:rsidP="00C24A52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администрации города Перми уточнить прогнозируемый объем доходов от реализации имущества, находящегося в муниципальной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и, в случае необходимости</w:t>
      </w:r>
      <w:r w:rsidR="000D10EA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соответствующий проект решения Пермской городской Думы о внесении изменений в решение Пермской городской Думы о бюджете города Перми на 2015 год и на плановый период 2016 и 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дов.</w:t>
      </w:r>
    </w:p>
    <w:p w:rsidR="004A5D17" w:rsidRPr="004A5D17" w:rsidRDefault="00C24A52" w:rsidP="004A5D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F527FD">
        <w:rPr>
          <w:rFonts w:eastAsia="Calibri"/>
          <w:sz w:val="28"/>
          <w:szCs w:val="28"/>
          <w:lang w:eastAsia="en-US"/>
        </w:rPr>
        <w:t xml:space="preserve">Рекомендовать администрации города Перми организовать реализацию пилотного проекта по проведению торгов </w:t>
      </w:r>
      <w:r>
        <w:rPr>
          <w:rFonts w:eastAsia="Calibri"/>
          <w:sz w:val="28"/>
          <w:szCs w:val="28"/>
          <w:lang w:eastAsia="en-US"/>
        </w:rPr>
        <w:t>по продаже</w:t>
      </w:r>
      <w:r w:rsidRPr="00F527FD">
        <w:rPr>
          <w:rFonts w:eastAsia="Calibri"/>
          <w:sz w:val="28"/>
          <w:szCs w:val="28"/>
          <w:lang w:eastAsia="en-US"/>
        </w:rPr>
        <w:t xml:space="preserve"> имущества</w:t>
      </w:r>
      <w:r w:rsidR="00926842">
        <w:rPr>
          <w:rFonts w:eastAsia="Calibri"/>
          <w:sz w:val="28"/>
          <w:szCs w:val="28"/>
          <w:lang w:eastAsia="en-US"/>
        </w:rPr>
        <w:t xml:space="preserve">, находящегося </w:t>
      </w:r>
      <w:r w:rsidR="00926842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муниципальной собственности города Перми, в электронной форме</w:t>
      </w:r>
      <w:r w:rsidRPr="00F527FD">
        <w:rPr>
          <w:rFonts w:eastAsia="Calibri"/>
          <w:sz w:val="28"/>
          <w:szCs w:val="28"/>
          <w:lang w:eastAsia="en-US"/>
        </w:rPr>
        <w:t>.</w:t>
      </w:r>
    </w:p>
    <w:p w:rsidR="004A5D17" w:rsidRPr="004A5D17" w:rsidRDefault="00C24A52" w:rsidP="004A5D1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D17" w:rsidRPr="004A5D17">
        <w:rPr>
          <w:sz w:val="28"/>
          <w:szCs w:val="28"/>
        </w:rPr>
        <w:t xml:space="preserve">. Опубликовать </w:t>
      </w:r>
      <w:r w:rsidR="0016554D">
        <w:rPr>
          <w:sz w:val="28"/>
          <w:szCs w:val="28"/>
        </w:rPr>
        <w:t xml:space="preserve">настоящее </w:t>
      </w:r>
      <w:r w:rsidR="004A5D17" w:rsidRPr="004A5D17">
        <w:rPr>
          <w:sz w:val="28"/>
          <w:szCs w:val="28"/>
        </w:rPr>
        <w:t>решение в печатном средстве массовой инфо</w:t>
      </w:r>
      <w:r w:rsidR="004A5D17" w:rsidRPr="004A5D17">
        <w:rPr>
          <w:sz w:val="28"/>
          <w:szCs w:val="28"/>
        </w:rPr>
        <w:t>р</w:t>
      </w:r>
      <w:r w:rsidR="004A5D17" w:rsidRPr="004A5D1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A5D17" w:rsidRPr="004A5D17">
        <w:rPr>
          <w:sz w:val="28"/>
          <w:szCs w:val="28"/>
        </w:rPr>
        <w:t>ь</w:t>
      </w:r>
      <w:r w:rsidR="004A5D17" w:rsidRPr="004A5D17">
        <w:rPr>
          <w:sz w:val="28"/>
          <w:szCs w:val="28"/>
        </w:rPr>
        <w:t>ного образования город Пермь».</w:t>
      </w:r>
    </w:p>
    <w:p w:rsidR="004A5D17" w:rsidRPr="004A5D17" w:rsidRDefault="00C24A52" w:rsidP="00926842">
      <w:pPr>
        <w:snapToGri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D17" w:rsidRPr="004A5D17">
        <w:rPr>
          <w:sz w:val="28"/>
          <w:szCs w:val="28"/>
        </w:rPr>
        <w:t xml:space="preserve">. Контроль за исполнением </w:t>
      </w:r>
      <w:r w:rsidR="0016554D">
        <w:rPr>
          <w:sz w:val="28"/>
          <w:szCs w:val="28"/>
        </w:rPr>
        <w:t xml:space="preserve">настоящего </w:t>
      </w:r>
      <w:r w:rsidR="004A5D17" w:rsidRPr="004A5D17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4A5D17" w:rsidRPr="004A5D17">
        <w:rPr>
          <w:sz w:val="28"/>
          <w:szCs w:val="28"/>
        </w:rPr>
        <w:t>о</w:t>
      </w:r>
      <w:r w:rsidR="004A5D17" w:rsidRPr="004A5D17">
        <w:rPr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CBD95" wp14:editId="5291C030">
                <wp:simplePos x="0" y="0"/>
                <wp:positionH relativeFrom="column">
                  <wp:posOffset>-73494</wp:posOffset>
                </wp:positionH>
                <wp:positionV relativeFrom="paragraph">
                  <wp:posOffset>104444</wp:posOffset>
                </wp:positionV>
                <wp:extent cx="6372860" cy="413468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13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4A5D17" w:rsidRDefault="004A5D1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8pt;margin-top:8.2pt;width:501.8pt;height:3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" stroked="f">
                <v:textbox inset="0,0,0,0">
                  <w:txbxContent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4A5D17" w:rsidRDefault="004A5D1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56B79" w:rsidRDefault="00156B7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156B79" w:rsidRPr="00156B79" w:rsidRDefault="00156B79" w:rsidP="00156B79"/>
    <w:p w:rsidR="00156B79" w:rsidRPr="00156B79" w:rsidRDefault="00156B79" w:rsidP="00156B79"/>
    <w:p w:rsidR="00156B79" w:rsidRPr="00156B79" w:rsidRDefault="00156B79" w:rsidP="00156B79"/>
    <w:p w:rsidR="00156B79" w:rsidRDefault="00156B79" w:rsidP="00156B79"/>
    <w:p w:rsidR="00156B79" w:rsidRDefault="00156B79" w:rsidP="00156B79">
      <w:pPr>
        <w:tabs>
          <w:tab w:val="left" w:pos="3880"/>
        </w:tabs>
      </w:pPr>
      <w:r>
        <w:tab/>
      </w:r>
    </w:p>
    <w:p w:rsidR="00156B79" w:rsidRDefault="00156B79">
      <w:r>
        <w:br w:type="page"/>
      </w:r>
    </w:p>
    <w:p w:rsidR="00156B79" w:rsidRDefault="00156B79" w:rsidP="00156B79">
      <w:pPr>
        <w:tabs>
          <w:tab w:val="left" w:pos="3880"/>
        </w:tabs>
        <w:sectPr w:rsidR="00156B79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156B79" w:rsidRPr="00156B79" w:rsidRDefault="00156B79" w:rsidP="000D10EA">
      <w:pPr>
        <w:ind w:firstLine="11057"/>
        <w:rPr>
          <w:sz w:val="28"/>
        </w:rPr>
      </w:pPr>
      <w:r w:rsidRPr="00156B79">
        <w:rPr>
          <w:sz w:val="28"/>
        </w:rPr>
        <w:t>ПРИЛОЖЕНИЕ 1</w:t>
      </w:r>
    </w:p>
    <w:p w:rsidR="00156B79" w:rsidRPr="00156B79" w:rsidRDefault="00156B79" w:rsidP="000D10EA">
      <w:pPr>
        <w:ind w:firstLine="11057"/>
        <w:jc w:val="both"/>
        <w:rPr>
          <w:sz w:val="28"/>
        </w:rPr>
      </w:pPr>
      <w:r w:rsidRPr="00156B79">
        <w:rPr>
          <w:sz w:val="28"/>
        </w:rPr>
        <w:t xml:space="preserve">к решению </w:t>
      </w:r>
    </w:p>
    <w:p w:rsidR="00156B79" w:rsidRPr="00156B79" w:rsidRDefault="00156B79" w:rsidP="000D10EA">
      <w:pPr>
        <w:ind w:firstLine="11057"/>
        <w:jc w:val="both"/>
        <w:rPr>
          <w:sz w:val="28"/>
        </w:rPr>
      </w:pPr>
      <w:r w:rsidRPr="00156B79">
        <w:rPr>
          <w:sz w:val="28"/>
        </w:rPr>
        <w:t>Пермской городской Думы</w:t>
      </w:r>
    </w:p>
    <w:p w:rsidR="00156B79" w:rsidRPr="00156B79" w:rsidRDefault="00332FEA" w:rsidP="000D10EA">
      <w:pPr>
        <w:ind w:firstLine="11057"/>
        <w:jc w:val="both"/>
        <w:rPr>
          <w:sz w:val="28"/>
        </w:rPr>
      </w:pPr>
      <w:r>
        <w:rPr>
          <w:sz w:val="28"/>
        </w:rPr>
        <w:t>от 28.04.2015 № 71</w:t>
      </w:r>
    </w:p>
    <w:p w:rsidR="00156B79" w:rsidRPr="00156B79" w:rsidRDefault="00156B79" w:rsidP="00156B79">
      <w:pPr>
        <w:spacing w:line="240" w:lineRule="exact"/>
        <w:ind w:firstLine="11057"/>
        <w:jc w:val="both"/>
        <w:rPr>
          <w:sz w:val="28"/>
        </w:rPr>
      </w:pPr>
    </w:p>
    <w:p w:rsidR="00156B79" w:rsidRPr="00156B79" w:rsidRDefault="00156B79" w:rsidP="00156B79">
      <w:pPr>
        <w:spacing w:line="240" w:lineRule="exact"/>
        <w:jc w:val="right"/>
        <w:rPr>
          <w:sz w:val="28"/>
        </w:rPr>
      </w:pPr>
    </w:p>
    <w:p w:rsidR="00156B79" w:rsidRPr="00156B79" w:rsidRDefault="00156B79" w:rsidP="00156B79">
      <w:pPr>
        <w:spacing w:line="240" w:lineRule="exact"/>
        <w:rPr>
          <w:sz w:val="28"/>
        </w:rPr>
      </w:pP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Строки, дополняющие подраздел 1 раздела </w:t>
      </w:r>
      <w:r w:rsidRPr="00156B79">
        <w:rPr>
          <w:b/>
          <w:bCs/>
          <w:sz w:val="28"/>
          <w:szCs w:val="28"/>
          <w:lang w:val="en-US"/>
        </w:rPr>
        <w:t>II</w:t>
      </w:r>
      <w:r w:rsidRPr="00156B79">
        <w:rPr>
          <w:b/>
          <w:bCs/>
          <w:sz w:val="28"/>
          <w:szCs w:val="28"/>
        </w:rPr>
        <w:t xml:space="preserve"> Прогнозного плана 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приватизации муниципального имущества города Перми 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на 2015 год и плановый период 2016 и 2017 годов,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утвержденного решением Пермской городской Думы от 16.12.2014 № 266</w:t>
      </w:r>
    </w:p>
    <w:p w:rsidR="00156B79" w:rsidRPr="00156B79" w:rsidRDefault="00156B79" w:rsidP="000D10EA">
      <w:pPr>
        <w:rPr>
          <w:sz w:val="28"/>
        </w:rPr>
      </w:pPr>
    </w:p>
    <w:p w:rsidR="00156B79" w:rsidRPr="00156B79" w:rsidRDefault="00156B79" w:rsidP="00156B79">
      <w:pPr>
        <w:rPr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10206"/>
        <w:gridCol w:w="1985"/>
      </w:tblGrid>
      <w:tr w:rsidR="00156B79" w:rsidRPr="00156B79" w:rsidTr="00950092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Адрес объекта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Характеристика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Способ</w:t>
            </w:r>
          </w:p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приватизации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1. Отдельно стоящие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Индустриальный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</w:tr>
      <w:tr w:rsidR="00156B79" w:rsidRPr="00156B79" w:rsidTr="00950092">
        <w:trPr>
          <w:cantSplit/>
          <w:trHeight w:val="86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0.1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ул.Нефтяников,40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отдельно стоящее 2-этажное нежилое здание общей площадью 1207,50 кв.м с з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мельным участком, категория земель: земли населенных пунктов, общей площ</w:t>
            </w:r>
            <w:r w:rsidRPr="00156B79">
              <w:rPr>
                <w:sz w:val="28"/>
              </w:rPr>
              <w:t>а</w:t>
            </w:r>
            <w:r w:rsidRPr="00156B79">
              <w:rPr>
                <w:sz w:val="28"/>
              </w:rPr>
              <w:t>дью 1153,0 кв.м. Год ввода в эксплуатацию – 1955. Здание находится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Кировский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0.2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ул.Кировоградская,</w:t>
            </w:r>
          </w:p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171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комплекс нежилых отдельно стоящих зданий с земельным участком под сущ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ствующие здания, категория земель: земли населенных пунктов, общей площадью 31109</w:t>
            </w:r>
            <w:r w:rsidR="000D10EA">
              <w:rPr>
                <w:sz w:val="28"/>
              </w:rPr>
              <w:t>,94 +/- 35,48 кв.м, в том числе</w:t>
            </w:r>
            <w:r w:rsidRPr="00156B79">
              <w:rPr>
                <w:sz w:val="28"/>
              </w:rPr>
              <w:t xml:space="preserve"> 2-этажный лечебный корпус (лит.А, А1) о</w:t>
            </w:r>
            <w:r w:rsidRPr="00156B79">
              <w:rPr>
                <w:sz w:val="28"/>
              </w:rPr>
              <w:t>б</w:t>
            </w:r>
            <w:r w:rsidRPr="00156B79">
              <w:rPr>
                <w:sz w:val="28"/>
              </w:rPr>
              <w:t>щей площадью 1 013,7 кв.м, год ввода в эксплуатацию – 1975; 1-этажное здание пищеблока (лит.В, В1, В2, В3) общей площадью 189,4 кв.м, год ввода в эксплуат</w:t>
            </w:r>
            <w:r w:rsidRPr="00156B79">
              <w:rPr>
                <w:sz w:val="28"/>
              </w:rPr>
              <w:t>а</w:t>
            </w:r>
            <w:r w:rsidRPr="00156B79">
              <w:rPr>
                <w:sz w:val="28"/>
              </w:rPr>
              <w:t>цию – 1959.</w:t>
            </w:r>
            <w:r w:rsidRPr="00156B79">
              <w:rPr>
                <w:bCs/>
                <w:sz w:val="28"/>
              </w:rPr>
              <w:t xml:space="preserve"> Здания находятся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0.</w:t>
            </w:r>
            <w:r w:rsidR="00063296">
              <w:rPr>
                <w:sz w:val="28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ул.Магистральная, 98б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отдельно стоящее 3-этажное нежилое здание детского сада (лит.А, А1, А2, Г, 1-4, I-II) общей площадью 1111,4 кв.м с земельным участком, категория земель: земли населенных пунктов, общей площадью 5084,0 кв.м. Год ввода в эксплуатацию – 1996. Здание находится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Ленинский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1.1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ул.Пермская,31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332FEA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отдельно стоящее 2-этажное нежилое здание общей площадью 1312,9 кв.м (сост</w:t>
            </w:r>
            <w:r w:rsidRPr="00156B79">
              <w:rPr>
                <w:sz w:val="28"/>
              </w:rPr>
              <w:t>о</w:t>
            </w:r>
            <w:r w:rsidRPr="00156B79">
              <w:rPr>
                <w:sz w:val="28"/>
              </w:rPr>
              <w:t>ящее из двух объектов: часть двухэтажного здания площадью 1025,3 кв.м; неж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лые помещения площадью 287,6 кв.м) с земельным участком, категория земель: земли населенных пунктов, общей площадью 1641,63 кв.м. Год ввода в эксплуат</w:t>
            </w:r>
            <w:r w:rsidRPr="00156B79">
              <w:rPr>
                <w:sz w:val="28"/>
              </w:rPr>
              <w:t>а</w:t>
            </w:r>
            <w:r w:rsidRPr="00156B79">
              <w:rPr>
                <w:sz w:val="28"/>
              </w:rPr>
              <w:t>цию – 1954. Здание находится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  <w:lang w:val="en-US"/>
              </w:rPr>
            </w:pPr>
            <w:r w:rsidRPr="00156B79">
              <w:rPr>
                <w:sz w:val="28"/>
              </w:rPr>
              <w:t>продажа на аукционе</w:t>
            </w:r>
          </w:p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2.1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ул.Торфяная,100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отдельно стоящее нежилое здание детского сада-ясли (здание разрушено, остался фундамент) общей площадью 239,0 кв.м с земельным участком категория земель: земли населенных пунктов, общей площадью 1848,0 кв.м. Здание находится в с</w:t>
            </w:r>
            <w:r w:rsidRPr="00156B79">
              <w:rPr>
                <w:sz w:val="28"/>
              </w:rPr>
              <w:t>о</w:t>
            </w:r>
            <w:r w:rsidRPr="00156B79">
              <w:rPr>
                <w:sz w:val="28"/>
              </w:rPr>
              <w:t>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Мотовилихинский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2.2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ул.Невская,15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комплекс нежилых отдельно стоящих зданий с земельным участком под сущ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ствующие здания, категория земель: земли населенных пунктов, общей пло</w:t>
            </w:r>
            <w:r w:rsidR="000D10EA">
              <w:rPr>
                <w:sz w:val="28"/>
              </w:rPr>
              <w:t>щадью 2748,78 кв.м, в том числе</w:t>
            </w:r>
            <w:r w:rsidRPr="00156B79">
              <w:rPr>
                <w:sz w:val="28"/>
              </w:rPr>
              <w:t xml:space="preserve"> 1-этажный спальный корпус (лит.А,</w:t>
            </w:r>
            <w:r w:rsidR="00950092">
              <w:rPr>
                <w:sz w:val="28"/>
              </w:rPr>
              <w:t xml:space="preserve"> </w:t>
            </w:r>
            <w:r w:rsidRPr="00156B79">
              <w:rPr>
                <w:sz w:val="28"/>
              </w:rPr>
              <w:t>Г-Г6,1-3) общей площадью 229,1 кв.м, год ввода в эксплуатацию – 1954; 1-этажный медицинский пункт (лит. Д) общей площадью 34,4 кв.м, год ввода в эксплуатацию – 1954.</w:t>
            </w:r>
            <w:r w:rsidRPr="00156B79">
              <w:rPr>
                <w:bCs/>
                <w:sz w:val="28"/>
              </w:rPr>
              <w:t xml:space="preserve"> Зд</w:t>
            </w:r>
            <w:r w:rsidRPr="00156B79">
              <w:rPr>
                <w:bCs/>
                <w:sz w:val="28"/>
              </w:rPr>
              <w:t>а</w:t>
            </w:r>
            <w:r w:rsidRPr="00156B79">
              <w:rPr>
                <w:bCs/>
                <w:sz w:val="28"/>
              </w:rPr>
              <w:t>ния находятся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Свердловский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3.1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ул.Краснополянская,21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332FEA" w:rsidRDefault="00156B79" w:rsidP="00332FEA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отдельно стоящее 2-этажное нежилое здание детского сада (лит.А, Г,</w:t>
            </w:r>
            <w:r w:rsidR="00332FEA">
              <w:rPr>
                <w:sz w:val="28"/>
              </w:rPr>
              <w:t xml:space="preserve"> </w:t>
            </w:r>
            <w:r w:rsidRPr="00156B79">
              <w:rPr>
                <w:sz w:val="28"/>
              </w:rPr>
              <w:t>Г1-Г6) о</w:t>
            </w:r>
            <w:r w:rsidRPr="00156B79">
              <w:rPr>
                <w:sz w:val="28"/>
              </w:rPr>
              <w:t>б</w:t>
            </w:r>
            <w:r w:rsidRPr="00156B79">
              <w:rPr>
                <w:sz w:val="28"/>
              </w:rPr>
              <w:t>щей площадью 986,2 кв.м с земельным участком, категория земель: земли нас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 xml:space="preserve">ленных пунктов, общей площадью </w:t>
            </w:r>
            <w:r w:rsidRPr="00156B79">
              <w:rPr>
                <w:rFonts w:eastAsia="Calibri"/>
                <w:sz w:val="28"/>
              </w:rPr>
              <w:t>3912,0 кв.м.</w:t>
            </w:r>
            <w:r w:rsidRPr="00156B79">
              <w:rPr>
                <w:sz w:val="28"/>
              </w:rPr>
              <w:t xml:space="preserve"> Год ввода в эксплуатацию – 1957. Здание находится в составе имущества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</w:tbl>
    <w:p w:rsidR="00156B79" w:rsidRPr="00156B79" w:rsidRDefault="00156B79" w:rsidP="00156B79">
      <w:pPr>
        <w:suppressAutoHyphens/>
        <w:spacing w:line="360" w:lineRule="exact"/>
        <w:ind w:firstLine="720"/>
        <w:jc w:val="both"/>
        <w:rPr>
          <w:sz w:val="28"/>
          <w:lang w:val="en-US"/>
        </w:rPr>
        <w:sectPr w:rsidR="00156B79" w:rsidRPr="00156B79" w:rsidSect="00F23380">
          <w:headerReference w:type="first" r:id="rId15"/>
          <w:pgSz w:w="16838" w:h="11906" w:orient="landscape" w:code="9"/>
          <w:pgMar w:top="1134" w:right="567" w:bottom="1134" w:left="709" w:header="363" w:footer="680" w:gutter="0"/>
          <w:pgNumType w:start="1"/>
          <w:cols w:space="708"/>
          <w:titlePg/>
          <w:docGrid w:linePitch="381"/>
        </w:sectPr>
      </w:pPr>
    </w:p>
    <w:p w:rsidR="00156B79" w:rsidRPr="00156B79" w:rsidRDefault="00156B79" w:rsidP="000D10EA">
      <w:pPr>
        <w:ind w:firstLine="10915"/>
        <w:jc w:val="both"/>
        <w:rPr>
          <w:sz w:val="28"/>
        </w:rPr>
      </w:pPr>
      <w:r w:rsidRPr="00156B79">
        <w:rPr>
          <w:sz w:val="28"/>
        </w:rPr>
        <w:t>ПРИЛОЖЕНИЕ 2</w:t>
      </w:r>
    </w:p>
    <w:p w:rsidR="00156B79" w:rsidRPr="00156B79" w:rsidRDefault="00156B79" w:rsidP="000D10EA">
      <w:pPr>
        <w:ind w:firstLine="10915"/>
        <w:jc w:val="both"/>
        <w:rPr>
          <w:sz w:val="28"/>
        </w:rPr>
      </w:pPr>
      <w:r w:rsidRPr="00156B79">
        <w:rPr>
          <w:sz w:val="28"/>
        </w:rPr>
        <w:t xml:space="preserve">к решению </w:t>
      </w:r>
    </w:p>
    <w:p w:rsidR="00156B79" w:rsidRPr="00156B79" w:rsidRDefault="00156B79" w:rsidP="000D10EA">
      <w:pPr>
        <w:ind w:firstLine="10915"/>
        <w:jc w:val="both"/>
        <w:rPr>
          <w:sz w:val="28"/>
        </w:rPr>
      </w:pPr>
      <w:r w:rsidRPr="00156B79">
        <w:rPr>
          <w:sz w:val="28"/>
        </w:rPr>
        <w:t xml:space="preserve">Пермской городской Думы </w:t>
      </w:r>
    </w:p>
    <w:p w:rsidR="00156B79" w:rsidRPr="00156B79" w:rsidRDefault="00332FEA" w:rsidP="000D10EA">
      <w:pPr>
        <w:ind w:firstLine="10915"/>
        <w:rPr>
          <w:sz w:val="28"/>
        </w:rPr>
      </w:pPr>
      <w:r>
        <w:rPr>
          <w:sz w:val="28"/>
        </w:rPr>
        <w:t>от 28.04.2015 № 71</w:t>
      </w:r>
    </w:p>
    <w:p w:rsidR="00156B79" w:rsidRPr="00156B79" w:rsidRDefault="00156B79" w:rsidP="000D10EA">
      <w:pPr>
        <w:rPr>
          <w:sz w:val="28"/>
        </w:rPr>
      </w:pPr>
    </w:p>
    <w:p w:rsidR="00156B79" w:rsidRPr="00156B79" w:rsidRDefault="00156B79" w:rsidP="000D10EA">
      <w:pPr>
        <w:rPr>
          <w:sz w:val="28"/>
        </w:rPr>
      </w:pP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Строки, дополняющие подраздел 2 раздела </w:t>
      </w:r>
      <w:r w:rsidRPr="00156B79">
        <w:rPr>
          <w:b/>
          <w:bCs/>
          <w:sz w:val="28"/>
          <w:szCs w:val="28"/>
          <w:lang w:val="en-US"/>
        </w:rPr>
        <w:t>II</w:t>
      </w:r>
      <w:r w:rsidRPr="00156B79">
        <w:rPr>
          <w:b/>
          <w:bCs/>
          <w:sz w:val="28"/>
          <w:szCs w:val="28"/>
        </w:rPr>
        <w:t xml:space="preserve"> Прогнозного плана 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приватизации муниципального имущества города Перми 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на 2015 год и плановый период 2016 и 2017 годов,</w:t>
      </w:r>
    </w:p>
    <w:p w:rsidR="00156B79" w:rsidRPr="00156B79" w:rsidRDefault="00156B79" w:rsidP="000D10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утвержденного решением Пермской городской Думы от 16.12.2014 № 266</w:t>
      </w:r>
    </w:p>
    <w:p w:rsidR="00156B79" w:rsidRPr="00156B79" w:rsidRDefault="00156B79" w:rsidP="00156B79">
      <w:pPr>
        <w:rPr>
          <w:sz w:val="28"/>
        </w:rPr>
      </w:pPr>
    </w:p>
    <w:p w:rsidR="00156B79" w:rsidRPr="00156B79" w:rsidRDefault="00156B79" w:rsidP="00156B79">
      <w:pPr>
        <w:rPr>
          <w:sz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742"/>
        <w:gridCol w:w="9639"/>
        <w:gridCol w:w="2552"/>
      </w:tblGrid>
      <w:tr w:rsidR="00156B79" w:rsidRPr="00156B79" w:rsidTr="00950092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Адрес объекта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Характеристика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Способ</w:t>
            </w:r>
          </w:p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приватизации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2. Встроенные нежилые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Индустриальный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10.1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ул.Мира/ ул.Одоевского,53/33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встроенные нежилые помещения общей площадью 54,9 кв.м в цокольном этаже 5-этажного многоквартирного дома. Год ввода в эксплуатацию – 1960. Помещения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13.1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ул.Снайперов,11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158,9 кв.м на 1 этаже </w:t>
            </w:r>
            <w:r w:rsidR="002E7B45">
              <w:rPr>
                <w:sz w:val="28"/>
              </w:rPr>
              <w:br/>
            </w:r>
            <w:r w:rsidRPr="00156B79">
              <w:rPr>
                <w:sz w:val="28"/>
              </w:rPr>
              <w:t>5-этажного многоквартирного дома. Год ввода в эксплуатацию – 1965.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 xml:space="preserve">щения находятся в составе имущества казны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Мотовилихинский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27.1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ул.Звонарева,4а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встроенные нежилые помещения общей площадью 133,6 кв.м на 1 и 2 этажах 2-этажного нежилого здания. Год ввода в эксплуатацию – 1990. Помещения находятся в составе имущества казны.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27.2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ул.Зенкова,6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18,1 кв.м на 1 этаже </w:t>
            </w:r>
            <w:r w:rsidR="002E7B45">
              <w:rPr>
                <w:sz w:val="28"/>
              </w:rPr>
              <w:br/>
            </w:r>
            <w:r w:rsidRPr="00156B79">
              <w:rPr>
                <w:sz w:val="28"/>
              </w:rPr>
              <w:t>9-этажного многоквартирного дома. Год ввода в эксплуатацию – 1988.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33.1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ул.Розалии Земля</w:t>
            </w:r>
            <w:r w:rsidRPr="00156B79">
              <w:rPr>
                <w:sz w:val="28"/>
              </w:rPr>
              <w:t>ч</w:t>
            </w:r>
            <w:r w:rsidRPr="00156B79">
              <w:rPr>
                <w:sz w:val="28"/>
              </w:rPr>
              <w:t>ки,12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14,0 кв.м на 1 этаже </w:t>
            </w:r>
            <w:r w:rsidR="002E7B45">
              <w:rPr>
                <w:sz w:val="28"/>
              </w:rPr>
              <w:br/>
            </w:r>
            <w:r w:rsidRPr="00156B79">
              <w:rPr>
                <w:sz w:val="28"/>
              </w:rPr>
              <w:t>5-этажного многоквартирного дома. Год ввода в эксплуатацию – 1940.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2E7B45" w:rsidRDefault="00156B79" w:rsidP="00156B79">
            <w:pPr>
              <w:rPr>
                <w:sz w:val="28"/>
              </w:rPr>
            </w:pPr>
            <w:r w:rsidRPr="002E7B45">
              <w:rPr>
                <w:sz w:val="28"/>
              </w:rPr>
              <w:t>37.1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ул.Уинская,42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77,2 кв.м на 1 этаже </w:t>
            </w:r>
            <w:r w:rsidR="002E7B45">
              <w:rPr>
                <w:sz w:val="28"/>
              </w:rPr>
              <w:br/>
            </w:r>
            <w:r w:rsidRPr="00156B79">
              <w:rPr>
                <w:sz w:val="28"/>
              </w:rPr>
              <w:t>5-этажного многоквартирного дома. Год ввода в эксплуатацию – 1978.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  <w:trHeight w:val="8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39.1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ул.Юрша,1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34,8 кв.м на 1 этаже </w:t>
            </w:r>
            <w:r w:rsidR="002E7B45">
              <w:rPr>
                <w:sz w:val="28"/>
              </w:rPr>
              <w:br/>
            </w:r>
            <w:r w:rsidRPr="00156B79">
              <w:rPr>
                <w:sz w:val="28"/>
              </w:rPr>
              <w:t>9-этажного многоквартирного дома. Год ввода в эксплуатацию – 1989.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2E7B45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Свердловский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spacing w:line="276" w:lineRule="auto"/>
              <w:rPr>
                <w:sz w:val="28"/>
                <w:lang w:eastAsia="en-US"/>
              </w:rPr>
            </w:pPr>
            <w:r w:rsidRPr="00156B79">
              <w:rPr>
                <w:sz w:val="28"/>
                <w:lang w:eastAsia="en-US"/>
              </w:rPr>
              <w:t>57.1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both"/>
              <w:rPr>
                <w:sz w:val="28"/>
                <w:lang w:eastAsia="en-US"/>
              </w:rPr>
            </w:pPr>
            <w:r w:rsidRPr="00156B79">
              <w:rPr>
                <w:sz w:val="28"/>
                <w:lang w:eastAsia="en-US"/>
              </w:rPr>
              <w:t>ул.Коломенская,3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79" w:rsidRPr="00156B79" w:rsidRDefault="00156B79" w:rsidP="00950092">
            <w:pPr>
              <w:jc w:val="both"/>
              <w:rPr>
                <w:sz w:val="28"/>
                <w:lang w:eastAsia="en-US"/>
              </w:rPr>
            </w:pPr>
            <w:r w:rsidRPr="00156B79">
              <w:rPr>
                <w:sz w:val="28"/>
                <w:lang w:eastAsia="en-US"/>
              </w:rPr>
              <w:t xml:space="preserve">встроенные нежилые помещения общей площадью 78,4 кв.м на 1 этаже </w:t>
            </w:r>
            <w:r w:rsidR="00950092">
              <w:rPr>
                <w:sz w:val="28"/>
                <w:lang w:eastAsia="en-US"/>
              </w:rPr>
              <w:br/>
            </w:r>
            <w:r w:rsidRPr="00156B79">
              <w:rPr>
                <w:sz w:val="28"/>
                <w:lang w:eastAsia="en-US"/>
              </w:rPr>
              <w:t>5-этажного многоквартирного дома. Год ввода в эксплуатацию – 1977. Пом</w:t>
            </w:r>
            <w:r w:rsidRPr="00156B79">
              <w:rPr>
                <w:sz w:val="28"/>
                <w:lang w:eastAsia="en-US"/>
              </w:rPr>
              <w:t>е</w:t>
            </w:r>
            <w:r w:rsidRPr="00156B79">
              <w:rPr>
                <w:sz w:val="28"/>
                <w:lang w:eastAsia="en-US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  <w:tr w:rsidR="00156B79" w:rsidRPr="00156B79" w:rsidTr="00950092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rPr>
                <w:sz w:val="28"/>
              </w:rPr>
            </w:pPr>
            <w:r w:rsidRPr="00156B79">
              <w:rPr>
                <w:sz w:val="28"/>
              </w:rPr>
              <w:t>76.1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Серебрянский пр</w:t>
            </w:r>
            <w:r w:rsidRPr="00156B79">
              <w:rPr>
                <w:sz w:val="28"/>
              </w:rPr>
              <w:t>о</w:t>
            </w:r>
            <w:r w:rsidRPr="00156B79">
              <w:rPr>
                <w:sz w:val="28"/>
              </w:rPr>
              <w:t>езд,5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79" w:rsidRPr="00156B79" w:rsidRDefault="00156B79" w:rsidP="00950092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 xml:space="preserve">встроенные нежилые помещения общей площадью 59,1 кв.м на 1 этаже </w:t>
            </w:r>
            <w:r w:rsidR="00950092">
              <w:rPr>
                <w:sz w:val="28"/>
              </w:rPr>
              <w:br/>
            </w:r>
            <w:r w:rsidRPr="00156B79">
              <w:rPr>
                <w:sz w:val="28"/>
              </w:rPr>
              <w:t>5-этажного многоквартирного дома. Год ввода в эксплуатацию – 1971. Пом</w:t>
            </w:r>
            <w:r w:rsidRPr="00156B79">
              <w:rPr>
                <w:sz w:val="28"/>
              </w:rPr>
              <w:t>е</w:t>
            </w:r>
            <w:r w:rsidRPr="00156B79">
              <w:rPr>
                <w:sz w:val="28"/>
              </w:rPr>
              <w:t>щения находятся в составе имущества казны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</w:t>
            </w:r>
            <w:r w:rsidRPr="00156B79">
              <w:rPr>
                <w:sz w:val="28"/>
              </w:rPr>
              <w:t>и</w:t>
            </w:r>
            <w:r w:rsidRPr="00156B79">
              <w:rPr>
                <w:sz w:val="28"/>
              </w:rPr>
              <w:t>оне</w:t>
            </w:r>
          </w:p>
        </w:tc>
      </w:tr>
    </w:tbl>
    <w:p w:rsidR="00156B79" w:rsidRPr="00950092" w:rsidRDefault="00156B79" w:rsidP="00156B79">
      <w:pPr>
        <w:suppressAutoHyphens/>
        <w:spacing w:line="360" w:lineRule="exact"/>
        <w:ind w:firstLine="720"/>
        <w:jc w:val="both"/>
        <w:rPr>
          <w:sz w:val="28"/>
        </w:rPr>
      </w:pPr>
    </w:p>
    <w:p w:rsidR="00156B79" w:rsidRPr="00156B79" w:rsidRDefault="00156B79" w:rsidP="00156B79">
      <w:pPr>
        <w:rPr>
          <w:sz w:val="28"/>
        </w:rPr>
        <w:sectPr w:rsidR="00156B79" w:rsidRPr="00156B79" w:rsidSect="00F23380">
          <w:pgSz w:w="16838" w:h="11906" w:orient="landscape" w:code="9"/>
          <w:pgMar w:top="1134" w:right="567" w:bottom="1134" w:left="709" w:header="363" w:footer="680" w:gutter="0"/>
          <w:pgNumType w:start="1"/>
          <w:cols w:space="708"/>
          <w:titlePg/>
          <w:docGrid w:linePitch="381"/>
        </w:sectPr>
      </w:pPr>
    </w:p>
    <w:p w:rsidR="00156B79" w:rsidRPr="00156B79" w:rsidRDefault="00156B79" w:rsidP="00D02841">
      <w:pPr>
        <w:ind w:firstLine="11199"/>
        <w:jc w:val="both"/>
        <w:rPr>
          <w:sz w:val="28"/>
        </w:rPr>
      </w:pPr>
      <w:r w:rsidRPr="00156B79">
        <w:rPr>
          <w:sz w:val="28"/>
        </w:rPr>
        <w:t>ПРИЛОЖЕНИЕ 3</w:t>
      </w:r>
    </w:p>
    <w:p w:rsidR="00156B79" w:rsidRPr="00156B79" w:rsidRDefault="00156B79" w:rsidP="00D02841">
      <w:pPr>
        <w:ind w:firstLine="11199"/>
        <w:jc w:val="both"/>
        <w:rPr>
          <w:sz w:val="28"/>
        </w:rPr>
      </w:pPr>
      <w:r w:rsidRPr="00156B79">
        <w:rPr>
          <w:sz w:val="28"/>
        </w:rPr>
        <w:t xml:space="preserve">к решению </w:t>
      </w:r>
    </w:p>
    <w:p w:rsidR="00156B79" w:rsidRPr="00156B79" w:rsidRDefault="00156B79" w:rsidP="00D02841">
      <w:pPr>
        <w:ind w:firstLine="11199"/>
        <w:jc w:val="both"/>
        <w:rPr>
          <w:sz w:val="28"/>
        </w:rPr>
      </w:pPr>
      <w:r w:rsidRPr="00156B79">
        <w:rPr>
          <w:sz w:val="28"/>
        </w:rPr>
        <w:t xml:space="preserve">Пермской городской Думы </w:t>
      </w:r>
    </w:p>
    <w:p w:rsidR="00156B79" w:rsidRPr="00156B79" w:rsidRDefault="00950092" w:rsidP="00D02841">
      <w:pPr>
        <w:ind w:firstLine="11199"/>
        <w:jc w:val="both"/>
        <w:rPr>
          <w:sz w:val="28"/>
        </w:rPr>
      </w:pPr>
      <w:r>
        <w:rPr>
          <w:sz w:val="28"/>
        </w:rPr>
        <w:t>от 28.04.2015 № 71</w:t>
      </w:r>
    </w:p>
    <w:p w:rsidR="00156B79" w:rsidRPr="00156B79" w:rsidRDefault="00156B79" w:rsidP="00D02841">
      <w:pPr>
        <w:jc w:val="both"/>
        <w:rPr>
          <w:sz w:val="28"/>
        </w:rPr>
      </w:pPr>
    </w:p>
    <w:p w:rsidR="00156B79" w:rsidRPr="00156B79" w:rsidRDefault="00156B79" w:rsidP="00D0284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Par65"/>
      <w:bookmarkEnd w:id="1"/>
    </w:p>
    <w:p w:rsidR="00156B79" w:rsidRPr="00156B79" w:rsidRDefault="00156B79" w:rsidP="00D028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Строки, дополняющие подраздел 6 раздела </w:t>
      </w:r>
      <w:r w:rsidRPr="00156B79">
        <w:rPr>
          <w:b/>
          <w:bCs/>
          <w:sz w:val="28"/>
          <w:szCs w:val="28"/>
          <w:lang w:val="en-US"/>
        </w:rPr>
        <w:t>II</w:t>
      </w:r>
      <w:r w:rsidRPr="00156B79">
        <w:rPr>
          <w:b/>
          <w:bCs/>
          <w:sz w:val="28"/>
          <w:szCs w:val="28"/>
        </w:rPr>
        <w:t xml:space="preserve"> Прогнозного плана </w:t>
      </w:r>
    </w:p>
    <w:p w:rsidR="00156B79" w:rsidRPr="00156B79" w:rsidRDefault="00156B79" w:rsidP="00D028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 xml:space="preserve">приватизации муниципального имущества города Перми </w:t>
      </w:r>
    </w:p>
    <w:p w:rsidR="00156B79" w:rsidRPr="00156B79" w:rsidRDefault="00156B79" w:rsidP="00D028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на 2015 год и плановый период 2016 и 2017 годов,</w:t>
      </w:r>
    </w:p>
    <w:p w:rsidR="00156B79" w:rsidRPr="00156B79" w:rsidRDefault="00156B79" w:rsidP="00D028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6B79">
        <w:rPr>
          <w:b/>
          <w:bCs/>
          <w:sz w:val="28"/>
          <w:szCs w:val="28"/>
        </w:rPr>
        <w:t>утвержденного решением Пермской городской Думы от 16.12.2014 № 266</w:t>
      </w:r>
    </w:p>
    <w:p w:rsidR="00156B79" w:rsidRPr="00156B79" w:rsidRDefault="00156B79" w:rsidP="00156B7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156B79" w:rsidRPr="00156B79" w:rsidRDefault="00156B79" w:rsidP="00156B7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3309"/>
        <w:gridCol w:w="8364"/>
        <w:gridCol w:w="2835"/>
      </w:tblGrid>
      <w:tr w:rsidR="00156B79" w:rsidRPr="00156B79" w:rsidTr="00950092">
        <w:trPr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Адрес объекта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Характеристика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Способ</w:t>
            </w:r>
          </w:p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приватизации</w:t>
            </w:r>
          </w:p>
        </w:tc>
      </w:tr>
      <w:tr w:rsidR="00156B79" w:rsidRPr="00156B79" w:rsidTr="00950092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950092" w:rsidP="00950092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156B79" w:rsidRPr="00156B79">
              <w:rPr>
                <w:sz w:val="28"/>
              </w:rPr>
              <w:t>.Пермь, поселок Ка</w:t>
            </w:r>
            <w:r w:rsidR="00156B79" w:rsidRPr="00156B79">
              <w:rPr>
                <w:sz w:val="28"/>
              </w:rPr>
              <w:t>м</w:t>
            </w:r>
            <w:r w:rsidR="00156B79" w:rsidRPr="00156B79">
              <w:rPr>
                <w:sz w:val="28"/>
              </w:rPr>
              <w:t>ский (Орджоникид-зевский район)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газопровод низкого давления протяженностью 1043,0 п.м (лит.С2)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  <w:tr w:rsidR="00156B79" w:rsidRPr="00156B79" w:rsidTr="00950092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  <w:lang w:val="en-US"/>
              </w:rPr>
            </w:pPr>
            <w:r w:rsidRPr="00156B79">
              <w:rPr>
                <w:sz w:val="28"/>
                <w:lang w:val="en-US"/>
              </w:rPr>
              <w:t>4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950092" w:rsidP="00950092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156B79" w:rsidRPr="00156B79">
              <w:rPr>
                <w:sz w:val="28"/>
              </w:rPr>
              <w:t>.Пермь, поселок Ка</w:t>
            </w:r>
            <w:r w:rsidR="00156B79" w:rsidRPr="00156B79">
              <w:rPr>
                <w:sz w:val="28"/>
              </w:rPr>
              <w:t>м</w:t>
            </w:r>
            <w:r w:rsidR="00156B79" w:rsidRPr="00156B79">
              <w:rPr>
                <w:sz w:val="28"/>
              </w:rPr>
              <w:t>ский, ул.Бакинских к</w:t>
            </w:r>
            <w:r w:rsidR="00156B79" w:rsidRPr="00156B79">
              <w:rPr>
                <w:sz w:val="28"/>
              </w:rPr>
              <w:t>о</w:t>
            </w:r>
            <w:r w:rsidR="00156B79" w:rsidRPr="00156B79">
              <w:rPr>
                <w:sz w:val="28"/>
              </w:rPr>
              <w:t>миссаров (Орджо</w:t>
            </w:r>
            <w:r w:rsidR="00232EE6">
              <w:rPr>
                <w:sz w:val="28"/>
              </w:rPr>
              <w:t>ники</w:t>
            </w:r>
            <w:r w:rsidR="00232EE6">
              <w:rPr>
                <w:sz w:val="28"/>
              </w:rPr>
              <w:t>д</w:t>
            </w:r>
            <w:r w:rsidR="00156B79" w:rsidRPr="00156B79">
              <w:rPr>
                <w:sz w:val="28"/>
              </w:rPr>
              <w:t>зевский район)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both"/>
              <w:rPr>
                <w:sz w:val="28"/>
              </w:rPr>
            </w:pPr>
            <w:r w:rsidRPr="00156B79">
              <w:rPr>
                <w:sz w:val="28"/>
              </w:rPr>
              <w:t>газопровод низкого давления протяженностью 490,86 п.м (лит.С</w:t>
            </w:r>
            <w:r w:rsidRPr="00156B79">
              <w:rPr>
                <w:sz w:val="28"/>
                <w:lang w:val="en-US"/>
              </w:rPr>
              <w:t>r</w:t>
            </w:r>
            <w:r w:rsidRPr="00156B79">
              <w:rPr>
                <w:sz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79" w:rsidRPr="00156B79" w:rsidRDefault="00156B79" w:rsidP="00156B79">
            <w:pPr>
              <w:jc w:val="center"/>
              <w:rPr>
                <w:sz w:val="28"/>
              </w:rPr>
            </w:pPr>
            <w:r w:rsidRPr="00156B79">
              <w:rPr>
                <w:sz w:val="28"/>
              </w:rPr>
              <w:t>продажа на аукционе</w:t>
            </w:r>
          </w:p>
        </w:tc>
      </w:tr>
    </w:tbl>
    <w:p w:rsidR="00156B79" w:rsidRPr="00156B79" w:rsidRDefault="00156B79" w:rsidP="00156B79">
      <w:pPr>
        <w:spacing w:line="360" w:lineRule="exact"/>
        <w:ind w:firstLine="720"/>
        <w:jc w:val="both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B79" w:rsidRPr="00FC7F9E" w:rsidRDefault="00156B79" w:rsidP="00156B79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  <w:p w:rsidR="00156B79" w:rsidRPr="00FC7F9E" w:rsidRDefault="00156B79" w:rsidP="00156B79">
                            <w:pPr>
                              <w:pStyle w:val="af4"/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70.9pt;margin-top:774.25pt;width:266.4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" filled="f" stroked="f">
                <v:textbox inset="0,0,0,0">
                  <w:txbxContent>
                    <w:p w:rsidR="00156B79" w:rsidRPr="00FC7F9E" w:rsidRDefault="00156B79" w:rsidP="00156B79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  <w:p w:rsidR="00156B79" w:rsidRPr="00FC7F9E" w:rsidRDefault="00156B79" w:rsidP="00156B79">
                      <w:pPr>
                        <w:pStyle w:val="af4"/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1FC0" w:rsidRPr="00156B79" w:rsidRDefault="009E1FC0" w:rsidP="00156B79">
      <w:pPr>
        <w:tabs>
          <w:tab w:val="left" w:pos="3880"/>
        </w:tabs>
      </w:pPr>
      <w:bookmarkStart w:id="2" w:name="_GoBack"/>
      <w:bookmarkEnd w:id="2"/>
    </w:p>
    <w:sectPr w:rsidR="009E1FC0" w:rsidRPr="00156B79" w:rsidSect="00950092">
      <w:pgSz w:w="16838" w:h="11906" w:orient="landscape" w:code="9"/>
      <w:pgMar w:top="1418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02841">
      <w:rPr>
        <w:noProof/>
        <w:sz w:val="16"/>
        <w:szCs w:val="16"/>
        <w:u w:val="single"/>
      </w:rPr>
      <w:t>30.04.2015 16:32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0284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02841">
      <w:rPr>
        <w:noProof/>
        <w:snapToGrid w:val="0"/>
        <w:sz w:val="16"/>
      </w:rPr>
      <w:t>30.04.2015 16:32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28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79" w:rsidRPr="00BB08EE" w:rsidRDefault="00156B79" w:rsidP="00F23380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+0g3f3Vcqb0D53a9akeErB8kFM=" w:salt="uVZDQAmENi/z5pEUI9h0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3296"/>
    <w:rsid w:val="0008166C"/>
    <w:rsid w:val="00082727"/>
    <w:rsid w:val="000A0643"/>
    <w:rsid w:val="000B3591"/>
    <w:rsid w:val="000B6249"/>
    <w:rsid w:val="000D10EA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6B79"/>
    <w:rsid w:val="001602DD"/>
    <w:rsid w:val="0016554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2EE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7B45"/>
    <w:rsid w:val="002F2B47"/>
    <w:rsid w:val="00311B9D"/>
    <w:rsid w:val="00321755"/>
    <w:rsid w:val="00332FEA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5D17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AB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6842"/>
    <w:rsid w:val="009379BE"/>
    <w:rsid w:val="00947888"/>
    <w:rsid w:val="00950092"/>
    <w:rsid w:val="00957612"/>
    <w:rsid w:val="00990301"/>
    <w:rsid w:val="00996FBA"/>
    <w:rsid w:val="009A7509"/>
    <w:rsid w:val="009B0DFF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4A52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284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156B79"/>
    <w:pPr>
      <w:suppressAutoHyphens/>
      <w:spacing w:line="240" w:lineRule="exact"/>
      <w:ind w:right="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156B79"/>
    <w:pPr>
      <w:suppressAutoHyphens/>
      <w:spacing w:line="240" w:lineRule="exact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492F-0C46-43A3-A83E-969228A4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1361</Words>
  <Characters>9828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2015-04-30T11:32:00Z</cp:lastPrinted>
  <dcterms:created xsi:type="dcterms:W3CDTF">2015-04-24T09:59:00Z</dcterms:created>
  <dcterms:modified xsi:type="dcterms:W3CDTF">2015-04-30T11:33:00Z</dcterms:modified>
</cp:coreProperties>
</file>