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085850"/>
                <wp:effectExtent l="254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Методики</w:t>
                            </w:r>
                            <w:r>
                              <w:rPr>
                                <w:b/>
                              </w:rPr>
                              <w:br/>
                              <w:t>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3.7pt;margin-top:167.25pt;width:229.6pt;height:8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aRrw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" filled="f" stroked="f">
                <v:textbox inset="0,0,0,0">
                  <w:txbxContent>
                    <w:p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Методики</w:t>
                      </w:r>
                      <w:r>
                        <w:rPr>
                          <w:b/>
                        </w:rPr>
                        <w:br/>
                        <w:t>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36.95pt;margin-top:118.25pt;width:135.4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w9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rdLw9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0.9pt;margin-top:118.25pt;width:70.85pt;height:15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kmswIAAK8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>
      <w:pPr>
        <w:pStyle w:val="a9"/>
      </w:pPr>
    </w:p>
    <w:p>
      <w:pPr>
        <w:pStyle w:val="a9"/>
      </w:pPr>
      <w:r>
        <w:rPr>
          <w:noProof/>
        </w:rPr>
        <w:drawing>
          <wp:anchor distT="0" distB="0" distL="114300" distR="114300" simplePos="0" relativeHeight="251654656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a9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36.95pt;margin-top:118.25pt;width:135.4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UD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" filled="f" stroked="f">
                <v:textbox inset="0,0,0,0">
                  <w:txbxContent>
                    <w:p>
                      <w:pPr>
                        <w:pStyle w:val="a7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70.9pt;margin-top:118.25pt;width:70.85pt;height:15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s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N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uBZa7L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7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7" name="Рисунок 7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соответствии с Бюджетным кодексом Российской Федерации, Федеральным </w:t>
      </w:r>
      <w:hyperlink r:id="rId9" w:history="1">
        <w:r>
          <w:t>законом</w:t>
        </w:r>
      </w:hyperlink>
      <w: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history="1">
        <w:r>
          <w:t>Уставом</w:t>
        </w:r>
      </w:hyperlink>
      <w:r>
        <w:t xml:space="preserve"> города Перми, </w:t>
      </w:r>
      <w:hyperlink r:id="rId11" w:history="1">
        <w:r>
          <w:t>решением</w:t>
        </w:r>
      </w:hyperlink>
      <w:r>
        <w:t xml:space="preserve"> Пермской городской Думы от 28 августа 2007 г. № 185 «Об утверждении Положения о бюджете и бюджетном процессе в городе Перми»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>
      <w:pPr>
        <w:pStyle w:val="a7"/>
        <w:ind w:firstLine="709"/>
        <w:jc w:val="both"/>
      </w:pPr>
      <w:r>
        <w:t>1. Утвердить прилагаемую Методику 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Департаменту культуры и молодежной политики администрации города Перми производить расчет согласно Методике 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 ежегодно на очередной финансовый год и плановый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2017 г.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заместителя главы администрации города Перми-начальника управления по вопросам общественного самоуправления и межнациональным отношениям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  <w:t>Перми Грибанова А.А.</w:t>
      </w:r>
    </w:p>
    <w:p>
      <w:pPr>
        <w:pStyle w:val="a9"/>
      </w:pPr>
    </w:p>
    <w:p>
      <w:pPr>
        <w:pStyle w:val="a9"/>
      </w:pPr>
    </w:p>
    <w:p>
      <w:pPr>
        <w:pStyle w:val="a9"/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Перми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Д.И.Самойлов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>
      <w:pPr>
        <w:pStyle w:val="ConsPlusNormal"/>
        <w:spacing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left="4248" w:firstLine="708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нормативных затрат на оказание муниципальной услуги по организации мероприятий, уплату налогов и нормативных 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 на содержание муниципального имущества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numPr>
          <w:ilvl w:val="0"/>
          <w:numId w:val="1"/>
        </w:num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Методика 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 (далее – Методика) разработана в соответствии с Бюджетным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Методика устанавливает механизм формирования расходов бюджета города Перми для определения нормативных затрат на оказание муниципальной услуги по организации мероприятий, уплату налогов и нормативных затрат на содержание муниципального имущества на очередной финансовый год и плановый период.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затраты, рассчитанные в соответствии с настоящей Методикой, не могут приводить к превышению объема бюджетных ассигнований предусмотренных решением о бюджете города Перми на очередной финансовый год и плановый период на финансирование обеспечения муниципального задания.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 определении базового норматива затрат на оказание муниципальной услуги по организации мероприятий применяются нормы, выраженные в натуральных показателях, которые определяются на основе анализа и усреднения показателей деятельности учреждения за отчетный финансовый год,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ведомственном перечне (далее - метод наиболее эффективного учреждения). Под наиболее эффективным учреждением принимается учреждение, оказывающее полноценную муниципальную услугу с минимальными затратами – Муниципальное автономное учреждение «Агентство социокультурных проектов» города Перми.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Основные понятия, используемые в настоящей Методике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Отчетный финансовый год - год, предшествующий текущему финансовому году.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 - год, в котором осуществляется исполнение бюджета города Перми, составление и рассмотрение проекта бюджета города Перми 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- год, следующий за текущим финансовым го</w:t>
      </w:r>
      <w:r>
        <w:rPr>
          <w:rFonts w:ascii="Times New Roman" w:hAnsi="Times New Roman" w:cs="Times New Roman"/>
          <w:sz w:val="28"/>
          <w:szCs w:val="28"/>
        </w:rPr>
        <w:lastRenderedPageBreak/>
        <w:t>дом.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- два финансовых года, следующих за очередным финансовым годом.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Среднегодовой индекс потребительских цен - индекс, применяемый при формировании проекта бюджета города Перми 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муниципальной услуги  – количество проведенных мероприятий.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муниципальной услуги - департамент культуры и молодежной политики администрации города Перми.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муниципальной услуги – юридические, физические лица.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муниципальной услуги - муниципальные учреждения города Перми (далее - учреждение), обеспечивающие исполнение муниципального задания.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платной деятельности - отношение планируемого объема финансового обеспечения выполнения муниципального задания, исходя 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и доходов от платной деятельности, исходя из указанных поступлений, полученных в отчетном финансовом году.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Структура нормативных затрат на выполнение муниципальной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услуги, уплату налогов и нормативных затрат на содержание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3.1.Нормативные затраты на оказание муниципальной услуги определяются исходя из информации о единице показателя, характеризующего объем муниципальной услуги и показателей, отражающих содержание и (или) условия (формы) оказания муниципальной услуги содержащейся в ведомственном перечне  муниципальных услуг (работ), оказываемых (выполняемых) муниципальными учреждениями города Перми, подведомственными департаменту культуры и молодежной политики администрации города Перми, составленном на основе базового (отраслевого) перечня услуг и работ в сфере «Обеспечение предоставления государственных (муниципальных) услуг в бюджетной сфере», утвержденном Министерством финансов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нормативных затрат на оказание муниципальной услуги по организации мероприятий (далее – муниципальная услуга) осуществляются путем определения значения нормативных затрат на организацию мероприятий в учреждениях, осуществляющих выставочную деятельность по месту расположения организации.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муниципальной услуги устанавливаются на основе базового норматива затрат на оказание муниципальной.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Базовый  норматив затрат на выполнение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нужды на выполнение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 базовый норматив затрат, непосредственно связанных с выполнением муниципальной услуги, включаются: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используемого в процессе оказания муниципальной услуги с учетом срока полезного использования (в том числе затраты на арендные платежи).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базовый норматив затрат на общехозяйственные нужды на выполнение муниципальной услуги включаются: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 особо ценного движимого имущества (в том числе затраты на арендные платежи);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Затраты на уплату налогов.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Нормативные затраты на содержание объектов муниципального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Порядок расчета нормативных затрат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выполнение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определении нормативных затрат на выполнение муниципальной услуги по организации мероприятий используются цены (тарифы) действующие на 01.01.2016г.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города Перми на очередной финансовый год нормативные затраты на оказание муниципальной услуги, определяется на основании информации о рыночных ценах (тарифах) на идентичные планируемым к приобретению материальным запасам, объектам особо ценного движимого имущества, работам и услугам, а при их отсутствии -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социально-экономического развития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Базовый норматив затрат на оказание муниципальной услуги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общ </w:t>
      </w:r>
      <w:r>
        <w:rPr>
          <w:rFonts w:ascii="Times New Roman" w:hAnsi="Times New Roman" w:cs="Times New Roman"/>
          <w:sz w:val="28"/>
          <w:szCs w:val="28"/>
        </w:rPr>
        <w:t xml:space="preserve">, где: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 муниципальной услуги, рассчитывается по следующей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r>
        <w:rPr>
          <w:rFonts w:ascii="Times New Roman" w:hAnsi="Times New Roman" w:cs="Times New Roman"/>
          <w:sz w:val="28"/>
          <w:szCs w:val="28"/>
        </w:rPr>
        <w:t xml:space="preserve"> = 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+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МЗОЦ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с учетом срока полезного использования (в том числе затраты на арендные платежи);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Затраты на оплату труда с начислениями на выплаты по оплате труда работников, непосредственно связанных с оказанием муниципальной услуги (N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/ К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- количество ставок по должностям персонала исходя из штатного расписания;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- размер годового фонда оплаты труда (с учетом оплаты труда подолжностным окладам и выплат компенсационного и стимулирующего характера) с начислениями на выплаты по оплате труда  работника, непосредственно связанного с оказанием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 и начисления на выплаты по оплате труда определяются исходя из потребности в количестве персонала по категориям, принимающего непосредственное участие в оказании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) с учетом срока полезного использования (в том числе затраты на арендные платежи), определяются согласно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sz w:val="28"/>
          <w:szCs w:val="28"/>
        </w:rPr>
        <w:t>1.3 настоящей Методики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МЗОЦ </w:t>
      </w:r>
      <w:r>
        <w:rPr>
          <w:rFonts w:ascii="Times New Roman" w:hAnsi="Times New Roman" w:cs="Times New Roman"/>
          <w:sz w:val="28"/>
          <w:szCs w:val="28"/>
        </w:rPr>
        <w:t>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МЗОЦ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материальных запасов/особо ценного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 - стоимость вида материального запаса/особо ценного движимого имущества, непосредственно используемого в процессе оказания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МЗОЦ</w:t>
      </w:r>
      <w:r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вида материального запаса/особо ценного движимого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вида материального запаса/особо ценного движимого имущества, непосредственно используемого в процессе оказания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>пункта 4.</w:t>
        </w:r>
      </w:hyperlink>
      <w:r>
        <w:rPr>
          <w:rFonts w:ascii="Times New Roman" w:hAnsi="Times New Roman" w:cs="Times New Roman"/>
          <w:sz w:val="28"/>
          <w:szCs w:val="28"/>
        </w:rPr>
        <w:t>1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Базовый норматив затрат на общехозяйственные нужды на оказание  муниципальной услуги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УС 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ОТ2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ПНЗ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на оказание 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 особо ценного движимого имущества, необходимого для оказания муниципальной услуги (в том числе затраты на арендные платежи);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на оказание 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на оказание 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ОТ2 </w:t>
      </w:r>
      <w:r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ПНЗ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Нормативные затраты на оказание муниципальной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части оплаты коммунальных 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КУ</w:t>
      </w:r>
      <w:r>
        <w:rPr>
          <w:rFonts w:ascii="Times New Roman" w:hAnsi="Times New Roman" w:cs="Times New Roman"/>
          <w:sz w:val="28"/>
          <w:szCs w:val="28"/>
        </w:rPr>
        <w:t>) определяются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тепло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 </w:t>
      </w:r>
      <w:r>
        <w:rPr>
          <w:rFonts w:ascii="Times New Roman" w:hAnsi="Times New Roman" w:cs="Times New Roman"/>
          <w:sz w:val="28"/>
          <w:szCs w:val="28"/>
        </w:rPr>
        <w:t>- затраты на оплату электрической энергии;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тепло </w:t>
      </w:r>
      <w:r>
        <w:rPr>
          <w:rFonts w:ascii="Times New Roman" w:hAnsi="Times New Roman" w:cs="Times New Roman"/>
          <w:sz w:val="28"/>
          <w:szCs w:val="28"/>
        </w:rPr>
        <w:t>- затраты на оплату тепловой энергии;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- затраты на оплату водоснабжения и водоотведения.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услуги, необходимые  для оказания муниципальной услуги состоят из затрат на оплату электрической энергии в размере </w:t>
      </w:r>
      <w:r>
        <w:rPr>
          <w:rFonts w:ascii="Times New Roman" w:hAnsi="Times New Roman" w:cs="Times New Roman"/>
          <w:sz w:val="28"/>
          <w:szCs w:val="28"/>
        </w:rPr>
        <w:lastRenderedPageBreak/>
        <w:t>90% от общего объема затрат, тепловой энергии в размере 50% от общего объема затрат, водоснабжения и водоотведения, включая аренду от сдачи недвижимого и особо ценного движимого имущества и рассчитываются по следующим формулам: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х 90%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эл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- объем фактически потребленной электрической энергии в год;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>
        <w:rPr>
          <w:rFonts w:ascii="Times New Roman" w:hAnsi="Times New Roman" w:cs="Times New Roman"/>
          <w:sz w:val="28"/>
          <w:szCs w:val="28"/>
        </w:rPr>
        <w:t xml:space="preserve"> - тариф на электрическую энергию.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тепло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х 50%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тепло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 - объем фактически потребленной тепловой энергии в год;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тепло</w:t>
      </w:r>
      <w:r>
        <w:rPr>
          <w:rFonts w:ascii="Times New Roman" w:hAnsi="Times New Roman" w:cs="Times New Roman"/>
          <w:sz w:val="28"/>
          <w:szCs w:val="28"/>
        </w:rPr>
        <w:t xml:space="preserve"> - тариф на тепловую энергию.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вода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- фактически потребленный объем водоснабжения / водоотведения в год;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- тариф на водоснабжение / водоотведение.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коммунальной услуги, учитываемой при расчете базового норматива затрат на общехозяйственные нужды на оказание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коммунальных услуг рассчитываются исходя из объемов потребления топливно-энергетических ресурсов в натуральном выражении в соответствии с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.3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Затраты на содержание объектов недвижимого и особо ценного движимого имущества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>
        <w:rPr>
          <w:rFonts w:ascii="Times New Roman" w:hAnsi="Times New Roman" w:cs="Times New Roman"/>
          <w:sz w:val="28"/>
          <w:szCs w:val="28"/>
        </w:rPr>
        <w:t>), необходимого для выполнения муниципальной услуги (в том числе затраты на арендные платежи) определяются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СИ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дог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заключенных договоров;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 - цена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(цена, тариф) вида работ/услуг по содержанию объектов недви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жимого и особо ценного движимого имущества, учитываемого при расчете базового норматива затрат на общехозяйственные нужды на оказание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4.1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 особо ценного движимого имущества, необходимого для выполнения муниципального задания (в том числе затраты на арендные платежи), учитываются следующие работы/услуги по содержанию объектов недвижимого и особо ценного движимого имущества, которые определяются согласно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>пункту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1.3 настоящей Методики: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твердых бытовых отходов;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слуги по дератизации;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помещения;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систем охранной и пожарной сигнализации;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регламентно-профилактический ремонт электрооборудования, административного здания (помещения);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Затраты на приобретение услуг связи на оказание  муниципальной услуги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</w:t>
      </w:r>
      <w:r>
        <w:rPr>
          <w:rFonts w:ascii="Times New Roman" w:hAnsi="Times New Roman" w:cs="Times New Roman"/>
          <w:sz w:val="28"/>
          <w:szCs w:val="28"/>
        </w:rPr>
        <w:t>) определяются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УС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аб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инт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аб </w:t>
      </w:r>
      <w:r>
        <w:rPr>
          <w:rFonts w:ascii="Times New Roman" w:hAnsi="Times New Roman" w:cs="Times New Roman"/>
          <w:sz w:val="28"/>
          <w:szCs w:val="28"/>
        </w:rPr>
        <w:t>- затраты на услуги стационарной / сотовой связи;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инт </w:t>
      </w:r>
      <w:r>
        <w:rPr>
          <w:rFonts w:ascii="Times New Roman" w:hAnsi="Times New Roman" w:cs="Times New Roman"/>
          <w:sz w:val="28"/>
          <w:szCs w:val="28"/>
        </w:rPr>
        <w:t>- затраты на услуги подключения к информационно-телекоммуникационной сети Интернет.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услуги стационарной / сотовой связи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аб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 xml:space="preserve"> - стоимость абонентской платы за один телефонный номер в год.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услуги подключения к информационно-телекоммуникационной сети Интернет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инт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подключения;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r>
        <w:rPr>
          <w:rFonts w:ascii="Times New Roman" w:hAnsi="Times New Roman" w:cs="Times New Roman"/>
          <w:sz w:val="28"/>
          <w:szCs w:val="28"/>
        </w:rPr>
        <w:t xml:space="preserve"> - стоимость абонентской платы за одну единицу подключения в год.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услуги связи, учитываемой при расчете базового норматива затрат на общехозяйственные нужды на оказание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4.1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затраты на приобретение услуг связи для муниципальной услуги определяются согласно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>пункту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1.3 настоящей Методики: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Затраты на приобретение транспортных услуг для муниципальной услуги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>
        <w:rPr>
          <w:rFonts w:ascii="Times New Roman" w:hAnsi="Times New Roman" w:cs="Times New Roman"/>
          <w:sz w:val="28"/>
          <w:szCs w:val="28"/>
        </w:rPr>
        <w:t>) определяются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часов оказания транспортных услуг в год;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 - стоимость одного часа транспортной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транспортной услуги, учитываемой при расчете базового норматива затрат на общехозяйственные нужды на оказание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>пункта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4.1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 для муниципальной услуги определяются в соответствии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>1.3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услуги, (N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/ К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- количество ставок по должностям персонала исходя из штатного расписания;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- размер годового фонда оплаты труда (с учетом оплаты труда подолжностным окладам и выплат компенсационного и стимулирующего характера) с начислениями на выплаты по оплате труда  работника, который не принимает непосредственного участия в оказании муниципальной услуги.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Затраты на прочие общехозяйственные нужды на оказание муниципальной услуги.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ПНЗ</w:t>
      </w:r>
      <w:r>
        <w:rPr>
          <w:rFonts w:ascii="Times New Roman" w:hAnsi="Times New Roman" w:cs="Times New Roman"/>
          <w:sz w:val="28"/>
          <w:szCs w:val="28"/>
        </w:rPr>
        <w:t xml:space="preserve">) определяются согласно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sz w:val="28"/>
          <w:szCs w:val="28"/>
        </w:rPr>
        <w:t>1.3 настоящей Методики с учетом коэффициента платной деятельности  и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ПНЗ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прочих работ/услуг на оказание муниципальной услуги;</w:t>
      </w: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увеличение стоимости основных средств;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МЗ </w:t>
      </w:r>
      <w:r>
        <w:rPr>
          <w:rFonts w:ascii="Times New Roman" w:hAnsi="Times New Roman" w:cs="Times New Roman"/>
          <w:sz w:val="28"/>
          <w:szCs w:val="28"/>
        </w:rPr>
        <w:t>- затраты на увеличение стоимости материальных запасов.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прочих работ/услуг, основных средств и материальных запасов, необходимых для оказания муниципальной услуги,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>
        <w:rPr>
          <w:rFonts w:ascii="Times New Roman" w:hAnsi="Times New Roman" w:cs="Times New Roman"/>
          <w:sz w:val="28"/>
          <w:szCs w:val="28"/>
        </w:rPr>
        <w:t>4.1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затрат на приобретение прочих работ/услуг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ПР</w:t>
      </w:r>
      <w:r>
        <w:rPr>
          <w:rFonts w:ascii="Times New Roman" w:hAnsi="Times New Roman" w:cs="Times New Roman"/>
          <w:sz w:val="28"/>
          <w:szCs w:val="28"/>
        </w:rPr>
        <w:t>) учитываются следующие работы/услуги: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охраны;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демонтаж выставочных экспозиций;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информационному обслуживанию и программному обеспечению;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полиграфической продукции.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услуги охраны / монтаж демонтаж выставочных экспозиции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ох/мд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ох/мд </w:t>
      </w:r>
      <w:r>
        <w:rPr>
          <w:rFonts w:ascii="Times New Roman" w:hAnsi="Times New Roman" w:cs="Times New Roman"/>
          <w:sz w:val="28"/>
          <w:szCs w:val="28"/>
        </w:rPr>
        <w:t>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ох/мд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час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часов оказания услуг в год;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ох/мд</w:t>
      </w:r>
      <w:r>
        <w:rPr>
          <w:rFonts w:ascii="Times New Roman" w:hAnsi="Times New Roman" w:cs="Times New Roman"/>
          <w:sz w:val="28"/>
          <w:szCs w:val="28"/>
        </w:rPr>
        <w:t xml:space="preserve"> - стоимость одного часа оказания услуг охраны  / монтажа демонтажа выставочных экспозиции.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услуги по информационному обслуживанию, программному обеспечению и изготовлению полиграфической продукции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дог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заключенных договоров;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- цена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увеличение стоимости основных средств (N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ОС </w:t>
      </w:r>
      <w:r>
        <w:rPr>
          <w:rFonts w:ascii="Times New Roman" w:hAnsi="Times New Roman" w:cs="Times New Roman"/>
          <w:sz w:val="28"/>
          <w:szCs w:val="28"/>
        </w:rPr>
        <w:t>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х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ОС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ОС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основного средства;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стоимость основного средства;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основного средства.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увеличение стоимости материальных запасов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) рассчитываются по следующей формуле: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 xml:space="preserve"> = 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/ К х 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дог 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заключенных договоров;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- среднее количество проведенных мероприятий;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%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пд</w:t>
      </w:r>
      <w:r>
        <w:rPr>
          <w:rFonts w:ascii="Times New Roman" w:hAnsi="Times New Roman" w:cs="Times New Roman"/>
          <w:sz w:val="28"/>
          <w:szCs w:val="28"/>
        </w:rPr>
        <w:t xml:space="preserve"> - коэффициент платной деятельности;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 - цена договора.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Порядок расчета затрат на уплату налогов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уплату налогов, рассчитываются в соответствии с законодательством о налогах и сборах в Российской Федерации.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Затраты на уплату налогов включают затраты на оплату налога на имущество и земельного налога.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5"/>
      <w:bookmarkEnd w:id="1"/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расчета нормативных затрат на содержание объектов 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нормативные затраты на содержание объектов муниципального имущества включаются затраты на оплату коммунальных услуг: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электрической энергии в размере 10% от общего объема затрат на оплату указанного вида коммунальных платежей, в том числе на содержание недвижимого имущества;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тепловой энергии в размере 50% от общего объема затрат на оплату указанного вида коммунальных платежей, в том числе на содержание недвижимого имущества.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(цена, тариф) коммунальной услуги определяется в соответствии с положениями </w:t>
      </w:r>
      <w:hyperlink w:anchor="P250" w:history="1">
        <w:r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Затраты на оплату коммунальных услуг рассчитываются исходя из объемов потребления топливно-энергетических ресурсов в натуральном выражении в соответствии с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>
        <w:rPr>
          <w:rFonts w:ascii="Times New Roman" w:hAnsi="Times New Roman" w:cs="Times New Roman"/>
          <w:sz w:val="28"/>
          <w:szCs w:val="28"/>
        </w:rPr>
        <w:t>.3 настоящей Методики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>
      <w:pPr>
        <w:sectPr>
          <w:headerReference w:type="default" r:id="rId15"/>
          <w:footerReference w:type="default" r:id="rId16"/>
          <w:pgSz w:w="11906" w:h="16838" w:code="9"/>
          <w:pgMar w:top="1134" w:right="1134" w:bottom="567" w:left="1134" w:header="363" w:footer="680" w:gutter="0"/>
          <w:pgNumType w:start="7"/>
          <w:cols w:space="708"/>
          <w:titlePg/>
          <w:docGrid w:linePitch="381"/>
        </w:sectPr>
      </w:pPr>
    </w:p>
    <w:p>
      <w:pPr>
        <w:jc w:val="right"/>
      </w:pPr>
      <w:r>
        <w:lastRenderedPageBreak/>
        <w:t>Приложение 1</w:t>
      </w:r>
    </w:p>
    <w:p>
      <w:pPr>
        <w:jc w:val="right"/>
      </w:pPr>
      <w:r>
        <w:t xml:space="preserve">к Методике определения нормативных затрат </w:t>
      </w:r>
    </w:p>
    <w:p>
      <w:pPr>
        <w:jc w:val="right"/>
      </w:pPr>
      <w:r>
        <w:t>на выполнение муниципальной услуги</w:t>
      </w:r>
    </w:p>
    <w:p>
      <w:pPr>
        <w:jc w:val="right"/>
      </w:pPr>
      <w:r>
        <w:t xml:space="preserve">по организации мероприятий , </w:t>
      </w:r>
    </w:p>
    <w:p>
      <w:pPr>
        <w:jc w:val="right"/>
      </w:pPr>
      <w:r>
        <w:t xml:space="preserve">уплату налогов и нормативных затрат </w:t>
      </w:r>
    </w:p>
    <w:p>
      <w:pPr>
        <w:jc w:val="right"/>
      </w:pPr>
      <w:r>
        <w:t>на содержание муниципального имущества</w:t>
      </w:r>
    </w:p>
    <w:p/>
    <w:p>
      <w:pPr>
        <w:jc w:val="center"/>
      </w:pPr>
      <w:r>
        <w:t>Значения натуральных норм,</w:t>
      </w:r>
    </w:p>
    <w:p>
      <w:pPr>
        <w:jc w:val="center"/>
      </w:pPr>
      <w:r>
        <w:t>необходимых для определения базовых нормативов затрат на оказание муниципальной услуги</w:t>
      </w:r>
    </w:p>
    <w:p>
      <w:pPr>
        <w:jc w:val="center"/>
        <w:rPr>
          <w:szCs w:val="28"/>
        </w:rPr>
      </w:pPr>
      <w:r>
        <w:t xml:space="preserve">по </w:t>
      </w:r>
      <w:r>
        <w:rPr>
          <w:rFonts w:eastAsia="Calibri"/>
        </w:rPr>
        <w:t>организации мероприятий в учреждениях,</w:t>
      </w:r>
      <w:r>
        <w:t xml:space="preserve"> </w:t>
      </w:r>
      <w:r>
        <w:rPr>
          <w:szCs w:val="28"/>
        </w:rPr>
        <w:t>осуществляющих выставочную деятельность</w:t>
      </w:r>
    </w:p>
    <w:p>
      <w:pPr>
        <w:jc w:val="center"/>
      </w:pPr>
      <w:r>
        <w:t>по месту расположения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3655"/>
        <w:gridCol w:w="3194"/>
        <w:gridCol w:w="1963"/>
        <w:gridCol w:w="1890"/>
        <w:gridCol w:w="2126"/>
      </w:tblGrid>
      <w:tr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муниципальной услуги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Уникальный номер реестровой записи</w:t>
            </w: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 натуральной нормы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Единица измерения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Значение натуральной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Организация мероприятий</w:t>
            </w:r>
          </w:p>
        </w:tc>
        <w:tc>
          <w:tcPr>
            <w:tcW w:w="12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14009000200100000008101</w:t>
            </w: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1. Натуральные нормы, непосредственно связанные с оказанием государственной услуги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1.1. Оплата труда работников, непосредственно связанных с оказанием услуги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Специалист по организации культурно-досуговых мероприятий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Специалист экспозиционного и выставочного отдела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Специалист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0,166667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Звукорежиссер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 xml:space="preserve">фонд оплаты </w:t>
            </w:r>
            <w:r>
              <w:rPr>
                <w:rFonts w:eastAsia="Calibri"/>
              </w:rPr>
              <w:lastRenderedPageBreak/>
              <w:t>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lastRenderedPageBreak/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</w:t>
            </w:r>
            <w:r>
              <w:rPr>
                <w:rFonts w:eastAsia="Calibri"/>
              </w:rPr>
              <w:lastRenderedPageBreak/>
              <w:t>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Художник по свету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Режиссер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Культорганизатор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1.2. Материальные запасы/основные средства, потребляемые в процессе оказания государственной услуги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Звуковое оборудование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 Натуральные нормы на общехозяйственные нужды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2.1. Коммунальные услуги 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Электроэнергия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кВт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1025,19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Теплоэнергия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Гкал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6,002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Водоснабжение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куб.м.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</w:t>
            </w:r>
            <w:r>
              <w:rPr>
                <w:rFonts w:eastAsia="Calibri"/>
              </w:rPr>
              <w:lastRenderedPageBreak/>
              <w:t>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Водоотведение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куб.м.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2.2. Содержание объектов недвижимого имущества</w:t>
            </w:r>
          </w:p>
        </w:tc>
      </w:tr>
      <w:tr>
        <w:trPr>
          <w:trHeight w:val="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Вывоз ТБО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rPr>
          <w:trHeight w:val="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Дератизация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Уборка помещения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Техническое обслуживание пожарной и охранной сигнализации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Техническое обслуживание систем центрального отопления, водоснабжения, канализации и водостоков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t>Техническое обслуживание электросетей и элек</w:t>
            </w:r>
            <w:r>
              <w:lastRenderedPageBreak/>
              <w:t>трооборудования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эффективного </w:t>
            </w:r>
            <w:r>
              <w:rPr>
                <w:rFonts w:eastAsia="Calibri"/>
              </w:rPr>
              <w:lastRenderedPageBreak/>
              <w:t>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Опрессовка системы центрального отопления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2.4. Услуги связи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Оплата услуг стационарной связи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номеров, ед.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Оплата услуг сотовой связи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номеров, ед.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Интернет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количество, ед.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2.5. Транспортные услуги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Грузоперевозка экспонатов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часов, ед.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2.6. Оплата труда работников, </w:t>
            </w:r>
            <w:r>
              <w:t>которые не принимают непосредственного участия в оказании муниципальной услуги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Заместители директора по экономической деятель</w:t>
            </w:r>
            <w:r>
              <w:rPr>
                <w:rFonts w:eastAsia="Calibri"/>
              </w:rPr>
              <w:lastRenderedPageBreak/>
              <w:t>ности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эффективного </w:t>
            </w:r>
            <w:r>
              <w:rPr>
                <w:rFonts w:eastAsia="Calibri"/>
              </w:rPr>
              <w:lastRenderedPageBreak/>
              <w:t>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Главный бухгалтер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Бухгалтер-экономист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Юрисконсульт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Инженер-проектировщик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Заведующий хозяйством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Секретарь руководителя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Уборщик территории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Специалист по управлению и содержанию имущества учреждения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0,055556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Администратор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фонд оплаты труда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0,111111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2.7. Прочие общехозяйственные нужды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Услуги охраны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333,6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Монтаж и демонтаж выставочных экспозиций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количество часов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14,75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Администрирование информационно-вычислительного комплекса 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Настройка программного обеспечения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Сопровождение информационных систем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2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Изготовление полиграфической продукции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обслуживание в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эффективного </w:t>
            </w:r>
            <w:r>
              <w:rPr>
                <w:rFonts w:eastAsia="Calibri"/>
              </w:rPr>
              <w:lastRenderedPageBreak/>
              <w:t>учреждения</w:t>
            </w:r>
          </w:p>
        </w:tc>
      </w:tr>
      <w:tr>
        <w:tc>
          <w:tcPr>
            <w:tcW w:w="1976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2.8. Основные средства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Кулер для воды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Лестница трехсекционная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Тепловая пушка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Перфоратор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Дрель-шуруповерт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Принтер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>Компьютер в комплекте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  <w:tr>
        <w:tc>
          <w:tcPr>
            <w:tcW w:w="1976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r>
              <w:t xml:space="preserve">Многофункциональное устройство 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r>
              <w:rPr>
                <w:rFonts w:eastAsia="Calibri"/>
              </w:rPr>
              <w:t>шт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Метод наиболее эффективного </w:t>
            </w:r>
            <w:r>
              <w:rPr>
                <w:rFonts w:eastAsia="Calibri"/>
              </w:rPr>
              <w:lastRenderedPageBreak/>
              <w:t>учреждения</w:t>
            </w:r>
          </w:p>
        </w:tc>
      </w:tr>
      <w:tr>
        <w:tc>
          <w:tcPr>
            <w:tcW w:w="1976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302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2.9. Материальные запасы</w:t>
            </w:r>
          </w:p>
        </w:tc>
      </w:tr>
      <w:tr>
        <w:tc>
          <w:tcPr>
            <w:tcW w:w="1976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</w:p>
          <w:p>
            <w:pPr>
              <w:rPr>
                <w:rFonts w:eastAsia="Calibri"/>
              </w:rPr>
            </w:pPr>
          </w:p>
        </w:tc>
        <w:tc>
          <w:tcPr>
            <w:tcW w:w="105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Канцелярские и хозяйственные запасы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Цена  договора год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Метод наиболее эффективного учреждения</w:t>
            </w:r>
          </w:p>
        </w:tc>
      </w:tr>
    </w:tbl>
    <w:p>
      <w:pPr>
        <w:rPr>
          <w:szCs w:val="28"/>
        </w:rPr>
      </w:pP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 w:code="9"/>
      <w:pgMar w:top="1134" w:right="567" w:bottom="1134" w:left="1134" w:header="363" w:footer="680" w:gutter="0"/>
      <w:pgNumType w:start="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a3"/>
      <w:jc w:val="both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 w:val="28"/>
        <w:szCs w:val="28"/>
      </w:rPr>
    </w:pPr>
  </w:p>
  <w:p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  <w:rPr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2A3"/>
    <w:multiLevelType w:val="hybridMultilevel"/>
    <w:tmpl w:val="6EC28BF0"/>
    <w:lvl w:ilvl="0" w:tplc="B33E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1427F18" w:tentative="1">
      <w:start w:val="1"/>
      <w:numFmt w:val="lowerLetter"/>
      <w:lvlText w:val="%2."/>
      <w:lvlJc w:val="left"/>
      <w:pPr>
        <w:ind w:left="1440" w:hanging="360"/>
      </w:pPr>
    </w:lvl>
    <w:lvl w:ilvl="2" w:tplc="427CF7EA" w:tentative="1">
      <w:start w:val="1"/>
      <w:numFmt w:val="lowerRoman"/>
      <w:lvlText w:val="%3."/>
      <w:lvlJc w:val="right"/>
      <w:pPr>
        <w:ind w:left="2160" w:hanging="180"/>
      </w:pPr>
    </w:lvl>
    <w:lvl w:ilvl="3" w:tplc="70E68BEA" w:tentative="1">
      <w:start w:val="1"/>
      <w:numFmt w:val="decimal"/>
      <w:lvlText w:val="%4."/>
      <w:lvlJc w:val="left"/>
      <w:pPr>
        <w:ind w:left="2880" w:hanging="360"/>
      </w:pPr>
    </w:lvl>
    <w:lvl w:ilvl="4" w:tplc="07F252C4" w:tentative="1">
      <w:start w:val="1"/>
      <w:numFmt w:val="lowerLetter"/>
      <w:lvlText w:val="%5."/>
      <w:lvlJc w:val="left"/>
      <w:pPr>
        <w:ind w:left="3600" w:hanging="360"/>
      </w:pPr>
    </w:lvl>
    <w:lvl w:ilvl="5" w:tplc="AE08EAAE" w:tentative="1">
      <w:start w:val="1"/>
      <w:numFmt w:val="lowerRoman"/>
      <w:lvlText w:val="%6."/>
      <w:lvlJc w:val="right"/>
      <w:pPr>
        <w:ind w:left="4320" w:hanging="180"/>
      </w:pPr>
    </w:lvl>
    <w:lvl w:ilvl="6" w:tplc="92B6D428" w:tentative="1">
      <w:start w:val="1"/>
      <w:numFmt w:val="decimal"/>
      <w:lvlText w:val="%7."/>
      <w:lvlJc w:val="left"/>
      <w:pPr>
        <w:ind w:left="5040" w:hanging="360"/>
      </w:pPr>
    </w:lvl>
    <w:lvl w:ilvl="7" w:tplc="B472ECC0" w:tentative="1">
      <w:start w:val="1"/>
      <w:numFmt w:val="lowerLetter"/>
      <w:lvlText w:val="%8."/>
      <w:lvlJc w:val="left"/>
      <w:pPr>
        <w:ind w:left="5760" w:hanging="360"/>
      </w:pPr>
    </w:lvl>
    <w:lvl w:ilvl="8" w:tplc="40E85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E3896"/>
    <w:multiLevelType w:val="hybridMultilevel"/>
    <w:tmpl w:val="9BC2F25A"/>
    <w:lvl w:ilvl="0" w:tplc="FFFFFFFF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B12DF"/>
    <w:multiLevelType w:val="hybridMultilevel"/>
    <w:tmpl w:val="30E41F1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6A433A"/>
    <w:multiLevelType w:val="hybridMultilevel"/>
    <w:tmpl w:val="6EC28BF0"/>
    <w:lvl w:ilvl="0" w:tplc="26ACE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530DD62" w:tentative="1">
      <w:start w:val="1"/>
      <w:numFmt w:val="lowerLetter"/>
      <w:lvlText w:val="%2."/>
      <w:lvlJc w:val="left"/>
      <w:pPr>
        <w:ind w:left="1440" w:hanging="360"/>
      </w:pPr>
    </w:lvl>
    <w:lvl w:ilvl="2" w:tplc="A1388E6E" w:tentative="1">
      <w:start w:val="1"/>
      <w:numFmt w:val="lowerRoman"/>
      <w:lvlText w:val="%3."/>
      <w:lvlJc w:val="right"/>
      <w:pPr>
        <w:ind w:left="2160" w:hanging="180"/>
      </w:pPr>
    </w:lvl>
    <w:lvl w:ilvl="3" w:tplc="AB928038" w:tentative="1">
      <w:start w:val="1"/>
      <w:numFmt w:val="decimal"/>
      <w:lvlText w:val="%4."/>
      <w:lvlJc w:val="left"/>
      <w:pPr>
        <w:ind w:left="2880" w:hanging="360"/>
      </w:pPr>
    </w:lvl>
    <w:lvl w:ilvl="4" w:tplc="6C742AF6" w:tentative="1">
      <w:start w:val="1"/>
      <w:numFmt w:val="lowerLetter"/>
      <w:lvlText w:val="%5."/>
      <w:lvlJc w:val="left"/>
      <w:pPr>
        <w:ind w:left="3600" w:hanging="360"/>
      </w:pPr>
    </w:lvl>
    <w:lvl w:ilvl="5" w:tplc="9018580C" w:tentative="1">
      <w:start w:val="1"/>
      <w:numFmt w:val="lowerRoman"/>
      <w:lvlText w:val="%6."/>
      <w:lvlJc w:val="right"/>
      <w:pPr>
        <w:ind w:left="4320" w:hanging="180"/>
      </w:pPr>
    </w:lvl>
    <w:lvl w:ilvl="6" w:tplc="4D702454" w:tentative="1">
      <w:start w:val="1"/>
      <w:numFmt w:val="decimal"/>
      <w:lvlText w:val="%7."/>
      <w:lvlJc w:val="left"/>
      <w:pPr>
        <w:ind w:left="5040" w:hanging="360"/>
      </w:pPr>
    </w:lvl>
    <w:lvl w:ilvl="7" w:tplc="EF289858" w:tentative="1">
      <w:start w:val="1"/>
      <w:numFmt w:val="lowerLetter"/>
      <w:lvlText w:val="%8."/>
      <w:lvlJc w:val="left"/>
      <w:pPr>
        <w:ind w:left="5760" w:hanging="360"/>
      </w:pPr>
    </w:lvl>
    <w:lvl w:ilvl="8" w:tplc="09DEFF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4116140-2755-4F78-8AF8-FE285BF9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pPr>
      <w:tabs>
        <w:tab w:val="left" w:pos="5103"/>
        <w:tab w:val="right" w:pos="9639"/>
      </w:tabs>
      <w:suppressAutoHyphens/>
      <w:spacing w:before="480" w:line="240" w:lineRule="exact"/>
    </w:pPr>
    <w:rPr>
      <w:szCs w:val="20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numbering" w:customStyle="1" w:styleId="1">
    <w:name w:val="Нет списка1"/>
    <w:next w:val="a2"/>
    <w:semiHidden/>
  </w:style>
  <w:style w:type="paragraph" w:customStyle="1" w:styleId="af0">
    <w:name w:val="Регистр"/>
    <w:rPr>
      <w:sz w:val="28"/>
    </w:rPr>
  </w:style>
  <w:style w:type="paragraph" w:customStyle="1" w:styleId="af1">
    <w:name w:val="Исполнитель"/>
    <w:basedOn w:val="a9"/>
    <w:pPr>
      <w:widowControl w:val="0"/>
      <w:suppressAutoHyphens/>
      <w:autoSpaceDE w:val="0"/>
      <w:autoSpaceDN w:val="0"/>
      <w:adjustRightInd w:val="0"/>
      <w:spacing w:line="240" w:lineRule="exact"/>
      <w:ind w:firstLine="709"/>
      <w:jc w:val="center"/>
      <w:outlineLvl w:val="3"/>
    </w:pPr>
    <w:rPr>
      <w:szCs w:val="20"/>
    </w:rPr>
  </w:style>
  <w:style w:type="paragraph" w:customStyle="1" w:styleId="af2">
    <w:name w:val="Заголовок к тексту"/>
    <w:basedOn w:val="a"/>
    <w:next w:val="a9"/>
    <w:pPr>
      <w:widowControl w:val="0"/>
      <w:suppressAutoHyphens/>
      <w:autoSpaceDE w:val="0"/>
      <w:autoSpaceDN w:val="0"/>
      <w:adjustRightInd w:val="0"/>
      <w:spacing w:after="480" w:line="240" w:lineRule="exact"/>
      <w:outlineLvl w:val="3"/>
    </w:pPr>
    <w:rPr>
      <w:rFonts w:eastAsia="Calibri"/>
      <w:b/>
      <w:szCs w:val="20"/>
      <w:lang w:eastAsia="en-US"/>
    </w:rPr>
  </w:style>
  <w:style w:type="paragraph" w:customStyle="1" w:styleId="af3">
    <w:name w:val="Адресат"/>
    <w:basedOn w:val="a"/>
    <w:pPr>
      <w:widowControl w:val="0"/>
      <w:suppressAutoHyphens/>
      <w:autoSpaceDE w:val="0"/>
      <w:autoSpaceDN w:val="0"/>
      <w:adjustRightInd w:val="0"/>
      <w:spacing w:line="240" w:lineRule="exact"/>
      <w:outlineLvl w:val="3"/>
    </w:pPr>
    <w:rPr>
      <w:rFonts w:eastAsia="Calibri"/>
      <w:szCs w:val="20"/>
      <w:lang w:eastAsia="en-US"/>
    </w:rPr>
  </w:style>
  <w:style w:type="numbering" w:customStyle="1" w:styleId="11">
    <w:name w:val="Нет списка11"/>
    <w:next w:val="a2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pPr>
      <w:widowControl w:val="0"/>
      <w:autoSpaceDE w:val="0"/>
      <w:autoSpaceDN w:val="0"/>
      <w:adjustRightInd w:val="0"/>
      <w:jc w:val="center"/>
      <w:outlineLvl w:val="3"/>
    </w:pPr>
    <w:rPr>
      <w:rFonts w:eastAsia="Calibri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BC08DC1CD798540BB4D61040E378CFA903661BD36C39E23A9473F6375z8v1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F07B240F17E62275F3E97F39264231F9860DA4F351FF5D0116A103774937A8Z6u0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CF07B240F17E62275F3E97F39264231F9860DA4FC55F95E0216A103774937A8Z6u0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F07B240F17E62275F3F7722F4A1F3AF08A54ABFE5AF30D5E49FA5E20Z4u0I" TargetMode="External"/><Relationship Id="rId14" Type="http://schemas.openxmlformats.org/officeDocument/2006/relationships/hyperlink" Target="consultantplus://offline/ref=3BC08DC1CD798540BB4D61040E378CFA903661BB30C89E23A9473F6375810BB9A387577D4EA145DDz4vEF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83631-BC15-455D-8D8C-AD8DB766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28845</CharactersWithSpaces>
  <SharedDoc>false</SharedDoc>
  <HLinks>
    <vt:vector size="276" baseType="variant">
      <vt:variant>
        <vt:i4>983106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589890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852033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P914</vt:lpwstr>
      </vt:variant>
      <vt:variant>
        <vt:i4>786496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983106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589890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852033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P914</vt:lpwstr>
      </vt:variant>
      <vt:variant>
        <vt:i4>786496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983106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589890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852033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P914</vt:lpwstr>
      </vt:variant>
      <vt:variant>
        <vt:i4>786496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983106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589890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852033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P914</vt:lpwstr>
      </vt:variant>
      <vt:variant>
        <vt:i4>786496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983106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P926</vt:lpwstr>
      </vt:variant>
      <vt:variant>
        <vt:i4>589890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P920</vt:lpwstr>
      </vt:variant>
      <vt:variant>
        <vt:i4>917569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P917</vt:lpwstr>
      </vt:variant>
      <vt:variant>
        <vt:i4>65600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P908</vt:lpwstr>
      </vt:variant>
      <vt:variant>
        <vt:i4>786496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P905</vt:lpwstr>
      </vt:variant>
      <vt:variant>
        <vt:i4>852040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P885</vt:lpwstr>
      </vt:variant>
      <vt:variant>
        <vt:i4>65607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P879</vt:lpwstr>
      </vt:variant>
      <vt:variant>
        <vt:i4>917575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P876</vt:lpwstr>
      </vt:variant>
      <vt:variant>
        <vt:i4>983110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P867</vt:lpwstr>
      </vt:variant>
      <vt:variant>
        <vt:i4>786502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P864</vt:lpwstr>
      </vt:variant>
      <vt:variant>
        <vt:i4>131141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131141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131141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131141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131141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131141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P250</vt:lpwstr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2490465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consultantplus://offline/ref=3BC08DC1CD798540BB4D61040E378CFA903661BB30C89E23A9473F6375810BB9A387577D4EA145DDz4vEF</vt:lpwstr>
      </vt:variant>
      <vt:variant>
        <vt:lpwstr/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consultantplus://offline/ref=3BC08DC1CD798540BB4D61040E378CFA903661BD36C39E23A9473F6375z8v1F</vt:lpwstr>
      </vt:variant>
      <vt:variant>
        <vt:lpwstr/>
      </vt:variant>
      <vt:variant>
        <vt:i4>7864377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consultantplus://offline/ref=DCF07B240F17E62275F3E97F39264231F9860DA4F351FF5D0116A103774937A8Z6u0I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consultantplus://offline/ref=DCF07B240F17E62275F3E97F39264231F9860DA4FC55F95E0216A103774937A8Z6u0I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consultantplus://offline/ref=DCF07B240F17E62275F3F7722F4A1F3AF08A54ABFE5AF30D5E49FA5E20Z4u0I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2016-04-27T11:44:00Z</cp:lastPrinted>
  <dcterms:created xsi:type="dcterms:W3CDTF">2016-04-29T07:19:00Z</dcterms:created>
  <dcterms:modified xsi:type="dcterms:W3CDTF">2016-04-29T07:19:00Z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Методики определения и Размера расчетных показателей по обеспечению
досуга населения в сфере город-ских культурно-зрелищных мероприятий, обеспечению досуга населения в сфере культурно-зрелищных мероприятий по месту жительства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09000001931e682a</vt:lpwstr>
  </property>
  <property fmtid="{D5CDD505-2E9C-101B-9397-08002B2CF9AE}" pid="6" name="r_version_label">
    <vt:lpwstr>1.16</vt:lpwstr>
  </property>
  <property fmtid="{D5CDD505-2E9C-101B-9397-08002B2CF9AE}" pid="7" name="sign_flag">
    <vt:lpwstr>Подписан ЭЦП</vt:lpwstr>
  </property>
</Properties>
</file>