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______________2016 г. № ____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 В ПОСТАНОВЛЕНИЕ АДМИНИСТРАЦИИ ГОРОДА</w:t>
      </w:r>
    </w:p>
    <w:p>
      <w:pPr>
        <w:pStyle w:val="ConsPlusTitle"/>
        <w:jc w:val="center"/>
      </w:pPr>
      <w:r>
        <w:t>ПЕРМИ ОТ 23.11.2015 г. N 969 «ОБ УТВЕРЖДЕНИИ МЕТОДИКИ ОПРЕДЕЛЕНИЯ И РАЗМЕРОВ РАСЧЕТНЫХ ПОКАЗАТЕЛЕЙ ПО ОБЕСПЕЧЕНИЮ ДОСУГА НАСЕЛЕНИЯ В СФЕРЕ ГОРОДСКИХ КУЛЬТУРНО-ЗРЕЛИЩНЫХ МЕРОПРИЯТИЙ, ОБЕСПЕЧЕНИЮ ДОСУГА НАСЕЛЕНИЯ В СФЕРЕ КУЛЬТУРНО-ЗРЕЛИЩНЫХ МЕРОПРИЯТИЙ ПО МЕСТУ ЖИТЕЛЬСТВА»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>
          <w:t>Уставом</w:t>
        </w:r>
      </w:hyperlink>
      <w:r>
        <w:t xml:space="preserve"> города Перми, </w:t>
      </w:r>
      <w:hyperlink r:id="rId6" w:history="1">
        <w: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 администрация города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900"/>
        <w:jc w:val="both"/>
      </w:pPr>
      <w:r>
        <w:t xml:space="preserve">1. Внести изменения в Постановление администрации города Перми от 23 ноября 2015 г. </w:t>
      </w:r>
      <w:r>
        <w:rPr>
          <w:lang w:val="en-US"/>
        </w:rPr>
        <w:t>N</w:t>
      </w:r>
      <w:r>
        <w:t xml:space="preserve"> 969 «Об утверждении Методики определения и размеров расчетных показателей по обеспечению досуга населения в сфере городских культурно-зрелищных мероприятий, обеспечению досуга населения в сфере культурно-зрелищных мероприятий по месту жительства», заменив в </w:t>
      </w:r>
      <w:hyperlink r:id="rId7" w:history="1">
        <w:r>
          <w:t>пункте 1.2</w:t>
        </w:r>
      </w:hyperlink>
      <w:r>
        <w:t xml:space="preserve"> слова "на 2016 год и плановый период 2017-2018 годов" словами "на 2017 год и плановый период 2018-2019 годов";</w:t>
      </w:r>
    </w:p>
    <w:p>
      <w:pPr>
        <w:pStyle w:val="ConsPlusNormal"/>
        <w:ind w:firstLine="900"/>
        <w:jc w:val="both"/>
      </w:pPr>
      <w:r>
        <w:t xml:space="preserve">2. Внести изменения в </w:t>
      </w:r>
      <w:hyperlink r:id="rId8" w:history="1">
        <w:r>
          <w:t>размер</w:t>
        </w:r>
      </w:hyperlink>
      <w:r>
        <w:t xml:space="preserve"> расчетных показателей по обеспечению досуга населения в сфере городских культурно-зрелищных мероприятий на 2016 год и плановый период 2017-2018 годов, утвержденный Постановлением администрации города Перми от 23 ноября 2015 г. N 969 «Об утверждении Методики определения и размеров расчетных показателей по обеспечению досуга населения в сфере городских культурно-зрелищных мероприятий, обеспечению досуга населения в сфере культурно-зрелищных мероприятий по месту жительства», изложив в редакции согласно </w:t>
      </w:r>
      <w:hyperlink w:anchor="P32" w:history="1">
        <w:r>
          <w:t>приложению</w:t>
        </w:r>
      </w:hyperlink>
      <w:r>
        <w:t xml:space="preserve"> к настоящему Постановлению;</w:t>
      </w:r>
    </w:p>
    <w:p>
      <w:pPr>
        <w:pStyle w:val="ConsPlusNormal"/>
        <w:ind w:firstLine="900"/>
        <w:jc w:val="both"/>
      </w:pPr>
      <w:r>
        <w:t xml:space="preserve">3. Внести изменения в размер расчетных показателей по обеспечению досуга населения в сфере культурно-зрелищных мероприятий по месту жительства на 2016 год и плановый период 2017-2018 годов утвержденный Постановлением администрации города Перми от 23 ноября 2015 г. </w:t>
      </w:r>
      <w:r>
        <w:rPr>
          <w:lang w:val="en-US"/>
        </w:rPr>
        <w:t>N</w:t>
      </w:r>
      <w:r>
        <w:t xml:space="preserve"> 969 «Об утверждении Методики определения и размеров расчетных показателей по обеспечению досуга населения в сфере городских культурно-зрелищных мероприятий, обеспечению досуга населения в сфере культурно-зрелищных мероприятий по месту жительства», изложив в редакции согласно </w:t>
      </w:r>
      <w:hyperlink w:anchor="P32" w:history="1">
        <w:r>
          <w:t>приложению</w:t>
        </w:r>
      </w:hyperlink>
      <w:r>
        <w:t xml:space="preserve"> к настоящему Постановлению;</w:t>
      </w:r>
    </w:p>
    <w:p>
      <w:pPr>
        <w:pStyle w:val="ConsPlusNormal"/>
        <w:ind w:firstLine="900"/>
        <w:jc w:val="both"/>
      </w:pPr>
      <w:r>
        <w:t>4. Настоящее Постановление вступает в силу с 1 января 2017 г.;</w:t>
      </w:r>
    </w:p>
    <w:p>
      <w:pPr>
        <w:pStyle w:val="ConsPlusNormal"/>
        <w:ind w:firstLine="90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Пермь";</w:t>
      </w:r>
    </w:p>
    <w:p>
      <w:pPr>
        <w:pStyle w:val="ConsPlusNormal"/>
        <w:ind w:firstLine="900"/>
        <w:jc w:val="both"/>
      </w:pPr>
      <w:r>
        <w:t>6. Контроль за исполнением постановления возложить на заместителя главы администрации города Перми - начальника департамента образования администрации города Перми Гаджиеву Л.А.;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</w:pPr>
      <w:r>
        <w:t>Временно исполняющий полномочия</w:t>
      </w:r>
    </w:p>
    <w:p>
      <w:pPr>
        <w:pStyle w:val="ConsPlusNormal"/>
        <w:jc w:val="right"/>
      </w:pPr>
      <w:r>
        <w:t>главы администрации города Перми</w:t>
      </w:r>
    </w:p>
    <w:p>
      <w:pPr>
        <w:pStyle w:val="ConsPlusNormal"/>
        <w:jc w:val="right"/>
      </w:pPr>
      <w:r>
        <w:t>Д.И.САМОЙЛОВ</w:t>
      </w: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</w:p>
    <w:p>
      <w:pPr>
        <w:pStyle w:val="ConsPlusNormal"/>
        <w:jc w:val="right"/>
        <w:outlineLvl w:val="0"/>
      </w:pPr>
      <w:r>
        <w:lastRenderedPageBreak/>
        <w:t>Приложение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администрации города Перми</w:t>
      </w:r>
    </w:p>
    <w:p>
      <w:pPr>
        <w:pStyle w:val="ConsPlusNormal"/>
        <w:jc w:val="right"/>
      </w:pPr>
      <w:r>
        <w:t>от ____________________ 2016 N ___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РАЗМЕР</w:t>
      </w:r>
    </w:p>
    <w:p>
      <w:pPr>
        <w:pStyle w:val="ConsPlusTitle"/>
        <w:jc w:val="center"/>
      </w:pPr>
      <w:r>
        <w:t>РАСЧЕТНЫХ ПОКАЗАТЕЛЕЙ ПО ОБЕСПЕЧЕНИЮ ДОСУГА НАСЕЛЕНИЯ</w:t>
      </w:r>
    </w:p>
    <w:p>
      <w:pPr>
        <w:pStyle w:val="ConsPlusTitle"/>
        <w:jc w:val="center"/>
      </w:pPr>
      <w:r>
        <w:t>В СФЕРЕ ГОРОДСКИХ КУЛЬТУРНО-ЗРЕЛИЩНЫХ МЕРОПРИЯТИЙ</w:t>
      </w:r>
    </w:p>
    <w:p>
      <w:pPr>
        <w:pStyle w:val="ConsPlusTitle"/>
        <w:jc w:val="center"/>
      </w:pPr>
      <w:r>
        <w:t>НА 2017 ГОД И ПЛАНОВЫЙ ПЕРИОД 2018-2019 ГОДОВ</w:t>
      </w:r>
    </w:p>
    <w:p>
      <w:pPr>
        <w:pStyle w:val="ConsPlusNormal"/>
        <w:jc w:val="both"/>
        <w:outlineLvl w:val="2"/>
      </w:pPr>
    </w:p>
    <w:tbl>
      <w:tblPr>
        <w:tblW w:w="103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2473"/>
        <w:gridCol w:w="2473"/>
        <w:gridCol w:w="2473"/>
      </w:tblGrid>
      <w:tr>
        <w:trPr>
          <w:trHeight w:val="950"/>
        </w:trPr>
        <w:tc>
          <w:tcPr>
            <w:tcW w:w="2943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7419" w:type="dxa"/>
            <w:gridSpan w:val="3"/>
          </w:tcPr>
          <w:p>
            <w:pPr>
              <w:pStyle w:val="ConsPlusNormal"/>
              <w:jc w:val="center"/>
            </w:pPr>
            <w:r>
              <w:t>Расчетные показатели по обеспечению досуга населения в сфере городских культурно-зрелищных мероприятий, руб. на 1 посетителя городского мероприятия</w:t>
            </w:r>
          </w:p>
        </w:tc>
      </w:tr>
      <w:tr>
        <w:trPr>
          <w:trHeight w:val="147"/>
        </w:trPr>
        <w:tc>
          <w:tcPr>
            <w:tcW w:w="2943" w:type="dxa"/>
            <w:vMerge/>
          </w:tcPr>
          <w:p/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2019 год</w:t>
            </w:r>
          </w:p>
        </w:tc>
      </w:tr>
      <w:tr>
        <w:trPr>
          <w:trHeight w:val="276"/>
        </w:trPr>
        <w:tc>
          <w:tcPr>
            <w:tcW w:w="2943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rPr>
          <w:trHeight w:val="567"/>
        </w:trPr>
        <w:tc>
          <w:tcPr>
            <w:tcW w:w="2943" w:type="dxa"/>
          </w:tcPr>
          <w:p>
            <w:pPr>
              <w:pStyle w:val="ConsPlusNormal"/>
            </w:pPr>
            <w:r>
              <w:t>Прочие работы, услуги, руб.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72,30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72,30</w:t>
            </w:r>
          </w:p>
        </w:tc>
      </w:tr>
      <w:tr>
        <w:trPr>
          <w:trHeight w:val="2545"/>
        </w:trPr>
        <w:tc>
          <w:tcPr>
            <w:tcW w:w="2943" w:type="dxa"/>
          </w:tcPr>
          <w:p>
            <w:pPr>
              <w:pStyle w:val="ConsPlusNormal"/>
            </w:pPr>
            <w:r>
              <w:t>Процент снижения от общей суммы бюджетных ассигнований, применяемый при формировании бюджета города Перми на 2017 год и плановый период 2018-2019 годов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</w:tr>
      <w:tr>
        <w:trPr>
          <w:trHeight w:val="2545"/>
        </w:trPr>
        <w:tc>
          <w:tcPr>
            <w:tcW w:w="2943" w:type="dxa"/>
          </w:tcPr>
          <w:p>
            <w:pPr>
              <w:pStyle w:val="ConsPlusNormal"/>
            </w:pPr>
            <w:r>
              <w:t>Размер утвержденных расчетных показателей по обеспечению досуга населения в сфере городских культурно-зрелищных мероприятий на 2017 год и плановый период 2018-2019 годов, руб.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66,52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66,52</w:t>
            </w:r>
          </w:p>
        </w:tc>
        <w:tc>
          <w:tcPr>
            <w:tcW w:w="2473" w:type="dxa"/>
          </w:tcPr>
          <w:p>
            <w:pPr>
              <w:pStyle w:val="ConsPlusNormal"/>
              <w:jc w:val="center"/>
            </w:pPr>
            <w:r>
              <w:t>66,52</w:t>
            </w:r>
          </w:p>
        </w:tc>
      </w:tr>
    </w:tbl>
    <w:p>
      <w:pPr>
        <w:pStyle w:val="ConsPlusNormal"/>
        <w:jc w:val="both"/>
        <w:outlineLvl w:val="2"/>
      </w:pPr>
    </w:p>
    <w:p>
      <w:pPr>
        <w:pStyle w:val="ConsPlusNormal"/>
        <w:jc w:val="both"/>
      </w:pPr>
    </w:p>
    <w:p>
      <w:pPr>
        <w:pStyle w:val="ConsPlusNormal"/>
        <w:jc w:val="both"/>
      </w:pPr>
      <w:bookmarkStart w:id="1" w:name="P32"/>
      <w:bookmarkEnd w:id="1"/>
    </w:p>
    <w:p/>
    <w:p/>
    <w:p/>
    <w:p/>
    <w:p>
      <w:pPr>
        <w:pStyle w:val="ConsPlusTitle"/>
        <w:jc w:val="center"/>
      </w:pPr>
      <w:bookmarkStart w:id="2" w:name="P281"/>
      <w:bookmarkEnd w:id="2"/>
      <w:r>
        <w:lastRenderedPageBreak/>
        <w:t>РАЗМЕР</w:t>
      </w:r>
    </w:p>
    <w:p>
      <w:pPr>
        <w:pStyle w:val="ConsPlusTitle"/>
        <w:jc w:val="center"/>
      </w:pPr>
      <w:r>
        <w:t>РАСЧЕТНЫХ ПОКАЗАТЕЛЕЙ ПО ОБЕСПЕЧЕНИЮ ДОСУГА НАСЕЛЕНИЯ</w:t>
      </w:r>
    </w:p>
    <w:p>
      <w:pPr>
        <w:pStyle w:val="ConsPlusTitle"/>
        <w:jc w:val="center"/>
      </w:pPr>
      <w:r>
        <w:t>В СФЕРЕ КУЛЬТУРНО-ЗРЕЛИЩНЫХ МЕРОПРИЯТИЙ ПО МЕСТУ ЖИТЕЛЬСТВА</w:t>
      </w:r>
    </w:p>
    <w:p>
      <w:pPr>
        <w:pStyle w:val="ConsPlusTitle"/>
        <w:jc w:val="center"/>
      </w:pPr>
      <w:r>
        <w:t>НА 2017 ГОД И ПЛАНОВЫЙ ПЕРИОД 2018-2019 ГОДОВ</w:t>
      </w:r>
    </w:p>
    <w:p>
      <w:pPr>
        <w:pStyle w:val="ConsPlusTitle"/>
        <w:jc w:val="center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1721"/>
        <w:gridCol w:w="1664"/>
        <w:gridCol w:w="2033"/>
        <w:gridCol w:w="863"/>
        <w:gridCol w:w="863"/>
        <w:gridCol w:w="863"/>
      </w:tblGrid>
      <w:tr>
        <w:trPr>
          <w:trHeight w:val="3290"/>
        </w:trPr>
        <w:tc>
          <w:tcPr>
            <w:tcW w:w="1890" w:type="dxa"/>
            <w:vMerge w:val="restart"/>
          </w:tcPr>
          <w:p>
            <w:pPr>
              <w:pStyle w:val="ConsPlusNormal"/>
              <w:ind w:left="208" w:hanging="208"/>
              <w:jc w:val="center"/>
            </w:pPr>
            <w:r>
              <w:t>Наименование района города Перми</w:t>
            </w:r>
          </w:p>
        </w:tc>
        <w:tc>
          <w:tcPr>
            <w:tcW w:w="1721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64" w:type="dxa"/>
            <w:vMerge w:val="restart"/>
          </w:tcPr>
          <w:p>
            <w:pPr>
              <w:pStyle w:val="ConsPlusNormal"/>
              <w:jc w:val="center"/>
            </w:pPr>
            <w:r>
              <w:t>Расчетные показатели на 1 посетителя мероприятия, руб.</w:t>
            </w:r>
          </w:p>
        </w:tc>
        <w:tc>
          <w:tcPr>
            <w:tcW w:w="2033" w:type="dxa"/>
            <w:vMerge w:val="restart"/>
          </w:tcPr>
          <w:p>
            <w:pPr>
              <w:pStyle w:val="ConsPlusNormal"/>
              <w:jc w:val="center"/>
            </w:pPr>
            <w:r>
              <w:t>Процент снижения от общей суммы бюджетных ассигнований, применяемый при формировании бюджета города Перми на 2017 год и плановый период 2018-2019 годов</w:t>
            </w:r>
          </w:p>
        </w:tc>
        <w:tc>
          <w:tcPr>
            <w:tcW w:w="2589" w:type="dxa"/>
            <w:gridSpan w:val="3"/>
          </w:tcPr>
          <w:p>
            <w:pPr>
              <w:pStyle w:val="ConsPlusNormal"/>
              <w:jc w:val="center"/>
            </w:pPr>
            <w:r>
              <w:t>Размер утвержденных расчетных показателей по обеспечению досуга населения в сфере культурно-зрелищных мероприятий по месту жительства на 2017 год и плановый период 2018-2019 годов, руб. на 1 посетителя городского мероприятия</w:t>
            </w:r>
          </w:p>
        </w:tc>
      </w:tr>
      <w:tr>
        <w:trPr>
          <w:trHeight w:val="144"/>
        </w:trPr>
        <w:tc>
          <w:tcPr>
            <w:tcW w:w="1890" w:type="dxa"/>
            <w:vMerge/>
          </w:tcPr>
          <w:p/>
        </w:tc>
        <w:tc>
          <w:tcPr>
            <w:tcW w:w="1721" w:type="dxa"/>
            <w:vMerge/>
          </w:tcPr>
          <w:p/>
        </w:tc>
        <w:tc>
          <w:tcPr>
            <w:tcW w:w="1664" w:type="dxa"/>
            <w:vMerge/>
          </w:tcPr>
          <w:p/>
        </w:tc>
        <w:tc>
          <w:tcPr>
            <w:tcW w:w="2033" w:type="dxa"/>
            <w:vMerge/>
          </w:tcPr>
          <w:p/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2019</w:t>
            </w:r>
          </w:p>
          <w:p>
            <w:pPr>
              <w:pStyle w:val="ConsPlusNormal"/>
              <w:jc w:val="center"/>
            </w:pPr>
            <w:r>
              <w:t>год</w:t>
            </w:r>
          </w:p>
        </w:tc>
      </w:tr>
      <w:tr>
        <w:trPr>
          <w:trHeight w:val="285"/>
        </w:trPr>
        <w:tc>
          <w:tcPr>
            <w:tcW w:w="189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</w:tr>
      <w:tr>
        <w:trPr>
          <w:trHeight w:val="826"/>
        </w:trPr>
        <w:tc>
          <w:tcPr>
            <w:tcW w:w="1890" w:type="dxa"/>
          </w:tcPr>
          <w:p>
            <w:pPr>
              <w:pStyle w:val="ConsPlusNormal"/>
            </w:pPr>
            <w:r>
              <w:t>Ленинский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55,94</w:t>
            </w:r>
          </w:p>
        </w:tc>
      </w:tr>
      <w:tr>
        <w:trPr>
          <w:trHeight w:val="841"/>
        </w:trPr>
        <w:tc>
          <w:tcPr>
            <w:tcW w:w="1890" w:type="dxa"/>
          </w:tcPr>
          <w:p>
            <w:pPr>
              <w:pStyle w:val="ConsPlusNormal"/>
            </w:pPr>
            <w:r>
              <w:t>Свердловский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64,58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64,58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64,58</w:t>
            </w:r>
          </w:p>
        </w:tc>
      </w:tr>
      <w:tr>
        <w:trPr>
          <w:trHeight w:val="826"/>
        </w:trPr>
        <w:tc>
          <w:tcPr>
            <w:tcW w:w="1890" w:type="dxa"/>
          </w:tcPr>
          <w:p>
            <w:pPr>
              <w:pStyle w:val="ConsPlusNormal"/>
            </w:pPr>
            <w:r>
              <w:t>Мотовилихинский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61,55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61,55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61,55</w:t>
            </w:r>
          </w:p>
        </w:tc>
      </w:tr>
      <w:tr>
        <w:trPr>
          <w:trHeight w:val="841"/>
        </w:trPr>
        <w:tc>
          <w:tcPr>
            <w:tcW w:w="1890" w:type="dxa"/>
          </w:tcPr>
          <w:p>
            <w:pPr>
              <w:pStyle w:val="ConsPlusNormal"/>
            </w:pPr>
            <w:r>
              <w:t>Дзержинский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65,2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59,98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59,98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59,98</w:t>
            </w:r>
          </w:p>
        </w:tc>
      </w:tr>
      <w:tr>
        <w:trPr>
          <w:trHeight w:val="826"/>
        </w:trPr>
        <w:tc>
          <w:tcPr>
            <w:tcW w:w="1890" w:type="dxa"/>
          </w:tcPr>
          <w:p>
            <w:pPr>
              <w:pStyle w:val="ConsPlusNormal"/>
            </w:pPr>
            <w:r>
              <w:t>Индустриальный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55,94</w:t>
            </w:r>
          </w:p>
        </w:tc>
      </w:tr>
      <w:tr>
        <w:trPr>
          <w:trHeight w:val="841"/>
        </w:trPr>
        <w:tc>
          <w:tcPr>
            <w:tcW w:w="1890" w:type="dxa"/>
          </w:tcPr>
          <w:p>
            <w:pPr>
              <w:pStyle w:val="ConsPlusNormal"/>
            </w:pPr>
            <w:r>
              <w:t>Кировский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62,93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62,93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62,93</w:t>
            </w:r>
          </w:p>
        </w:tc>
      </w:tr>
      <w:tr>
        <w:trPr>
          <w:trHeight w:val="540"/>
        </w:trPr>
        <w:tc>
          <w:tcPr>
            <w:tcW w:w="1890" w:type="dxa"/>
          </w:tcPr>
          <w:p>
            <w:pPr>
              <w:pStyle w:val="ConsPlusNormal"/>
            </w:pPr>
            <w:r>
              <w:t>Орджоникидзевский</w:t>
            </w:r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97,8</w:t>
            </w:r>
          </w:p>
        </w:tc>
      </w:tr>
      <w:tr>
        <w:trPr>
          <w:trHeight w:val="144"/>
        </w:trPr>
        <w:tc>
          <w:tcPr>
            <w:tcW w:w="1890" w:type="dxa"/>
          </w:tcPr>
          <w:p>
            <w:pPr>
              <w:pStyle w:val="ConsPlusNormal"/>
            </w:pPr>
            <w:r>
              <w:t xml:space="preserve">Поселок Новые </w:t>
            </w:r>
            <w:proofErr w:type="spellStart"/>
            <w:r>
              <w:t>Ляды</w:t>
            </w:r>
            <w:proofErr w:type="spellEnd"/>
          </w:p>
        </w:tc>
        <w:tc>
          <w:tcPr>
            <w:tcW w:w="1721" w:type="dxa"/>
          </w:tcPr>
          <w:p>
            <w:pPr>
              <w:pStyle w:val="ConsPlusNormal"/>
              <w:jc w:val="center"/>
            </w:pPr>
            <w:r>
              <w:t>прочие работы, услуги</w:t>
            </w:r>
          </w:p>
        </w:tc>
        <w:tc>
          <w:tcPr>
            <w:tcW w:w="1664" w:type="dxa"/>
          </w:tcPr>
          <w:p>
            <w:pPr>
              <w:pStyle w:val="ConsPlusNormal"/>
              <w:jc w:val="center"/>
            </w:pPr>
            <w:r>
              <w:t>117,5</w:t>
            </w:r>
          </w:p>
        </w:tc>
        <w:tc>
          <w:tcPr>
            <w:tcW w:w="2033" w:type="dxa"/>
          </w:tcPr>
          <w:p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863" w:type="dxa"/>
          </w:tcPr>
          <w:p>
            <w:pPr>
              <w:pStyle w:val="ConsPlusNormal"/>
              <w:jc w:val="center"/>
            </w:pPr>
            <w:r>
              <w:t>108,1</w:t>
            </w:r>
          </w:p>
        </w:tc>
      </w:tr>
    </w:tbl>
    <w:p/>
    <w:sectPr>
      <w:pgSz w:w="11906" w:h="16838"/>
      <w:pgMar w:top="1134" w:right="900" w:bottom="81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FCEB-B056-4E08-A547-B63C588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B1C2AB4620E0473C18AD05979EB2F440CE2C2858FBA376B0AACFFF3A449055806D5F9379AF828ACA388r3W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B1C2AB4620E0473C18AD05979EB2F440CE2C2858FBA376B0AACFFF3A449055806D5F9379AF828ACA18Cr3W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B1C2AB4620E0473C18AD05979EB2F440CE2C2848ABA30680AACFFF3A44905r5W8M" TargetMode="External"/><Relationship Id="rId5" Type="http://schemas.openxmlformats.org/officeDocument/2006/relationships/hyperlink" Target="consultantplus://offline/ref=9BDB1C2AB4620E0473C18AD05979EB2F440CE2C2858FB030680AACFFF3A449055806D5F9379AF828ACA18Er3W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DB1C2AB4620E0473C194DD4F15B6244E07BCC78F8CB8663455F7A2A4rAWD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Стампель Наталья Николаевна</cp:lastModifiedBy>
  <cp:revision>2</cp:revision>
  <dcterms:created xsi:type="dcterms:W3CDTF">2016-10-28T11:31:00Z</dcterms:created>
  <dcterms:modified xsi:type="dcterms:W3CDTF">2016-10-28T11:31:00Z</dcterms:modified>
</cp:coreProperties>
</file>