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95D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95D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95D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  <w:p w:rsidR="00295D72" w:rsidRDefault="00295D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95D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  <w:p w:rsidR="00295D72" w:rsidRDefault="00295D72"/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C31A2" w:rsidRDefault="0019647A" w:rsidP="007C31A2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О признании утратившим силу решения Пермской городской Думы </w:t>
      </w:r>
    </w:p>
    <w:p w:rsidR="0019647A" w:rsidRDefault="0019647A" w:rsidP="007C31A2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от 23.12.2003 № 169 «Об утверждении «Положения о порядке расчета размеров платы за услуги по обучению в муниципальных образовательных учреждениях дополнительного образования детей: музыкальных, хоровых, художественных школах и школах искусств»</w:t>
      </w:r>
    </w:p>
    <w:p w:rsidR="0019647A" w:rsidRDefault="0019647A" w:rsidP="0019647A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19647A" w:rsidRDefault="0019647A" w:rsidP="0019647A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5A626E">
        <w:rPr>
          <w:b/>
          <w:spacing w:val="20"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19647A" w:rsidRDefault="0019647A" w:rsidP="00196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Пермской городской Думы от</w:t>
      </w:r>
      <w:r w:rsidR="007C31A2">
        <w:rPr>
          <w:sz w:val="28"/>
          <w:szCs w:val="28"/>
        </w:rPr>
        <w:t> </w:t>
      </w:r>
      <w:r>
        <w:rPr>
          <w:sz w:val="28"/>
          <w:szCs w:val="28"/>
        </w:rPr>
        <w:t>23.12.2003 № 169 «Об утверждении «Положения о порядке расчета размеров платы за услуги по обучению в муниципальных образовательных учреждениях дополнительного образования детей: музыкальных, хоровых, художественных школах и школах искусств».</w:t>
      </w:r>
    </w:p>
    <w:p w:rsidR="0019647A" w:rsidRDefault="0019647A" w:rsidP="00196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01.01.2017.</w:t>
      </w:r>
    </w:p>
    <w:p w:rsidR="0019647A" w:rsidRDefault="0019647A" w:rsidP="00196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9647A" w:rsidRDefault="0019647A" w:rsidP="00196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7C31A2" w:rsidRDefault="007C31A2" w:rsidP="00295D72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C31A2" w:rsidRDefault="007C31A2" w:rsidP="007C31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7C31A2" w:rsidRPr="004C572B" w:rsidRDefault="007C31A2" w:rsidP="00295D72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4C572B">
        <w:rPr>
          <w:sz w:val="28"/>
          <w:szCs w:val="28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19647A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28F9" wp14:editId="56C494B3">
                <wp:simplePos x="0" y="0"/>
                <wp:positionH relativeFrom="column">
                  <wp:posOffset>24765</wp:posOffset>
                </wp:positionH>
                <wp:positionV relativeFrom="paragraph">
                  <wp:posOffset>10160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28F9" id="Text Box 1025" o:spid="_x0000_s1029" type="#_x0000_t202" style="position:absolute;left:0;text-align:left;margin-left:1.95pt;margin-top:.8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ngrA1t0AAAAIAQAADwAAAAAAAAAAAAAAAADhBAAAZHJzL2Rvd25yZXYueG1sUEsFBgAAAAAE&#10;AAQA8wAAAOsFAAAAAA=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95D72">
      <w:rPr>
        <w:noProof/>
        <w:snapToGrid w:val="0"/>
        <w:sz w:val="16"/>
      </w:rPr>
      <w:t>24.11.2016 17:34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95D72">
      <w:rPr>
        <w:noProof/>
        <w:snapToGrid w:val="0"/>
        <w:sz w:val="16"/>
      </w:rPr>
      <w:t>Решение 242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mX60yTpCbATk4VXbGUHbA4mQ456FmT5kJ6nEWpvswLxdzvUhdwXYaAXdh3Syqie1WMI3MixLPq5hvj8jtxEEg==" w:salt="C1uFNy/EVfE8B+UmDaj0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647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5D7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31A2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57DF37F-DC7A-42A5-8681-3A959E04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2016-11-24T12:34:00Z</cp:lastPrinted>
  <dcterms:created xsi:type="dcterms:W3CDTF">2016-10-11T10:32:00Z</dcterms:created>
  <dcterms:modified xsi:type="dcterms:W3CDTF">2016-11-24T12:35:00Z</dcterms:modified>
</cp:coreProperties>
</file>