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theme/themeOverride1.xml" ContentType="application/vnd.openxmlformats-officedocument.themeOverride+xml"/>
  <Override PartName="/word/charts/chart9.xml" ContentType="application/vnd.openxmlformats-officedocument.drawingml.chart+xml"/>
  <Override PartName="/word/theme/themeOverride2.xml" ContentType="application/vnd.openxmlformats-officedocument.themeOverride+xml"/>
  <Override PartName="/word/charts/chart10.xml" ContentType="application/vnd.openxmlformats-officedocument.drawingml.chart+xml"/>
  <Override PartName="/word/theme/themeOverride3.xml" ContentType="application/vnd.openxmlformats-officedocument.themeOverride+xml"/>
  <Override PartName="/word/charts/chart11.xml" ContentType="application/vnd.openxmlformats-officedocument.drawingml.chart+xml"/>
  <Override PartName="/word/theme/themeOverride4.xml" ContentType="application/vnd.openxmlformats-officedocument.themeOverride+xml"/>
  <Override PartName="/word/charts/chart12.xml" ContentType="application/vnd.openxmlformats-officedocument.drawingml.chart+xml"/>
  <Override PartName="/word/theme/themeOverride5.xml" ContentType="application/vnd.openxmlformats-officedocument.themeOverride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FD6" w:rsidRPr="00607405" w:rsidRDefault="00D25FD6" w:rsidP="00D25FD6">
      <w:pPr>
        <w:pStyle w:val="20"/>
        <w:spacing w:before="0" w:line="240" w:lineRule="auto"/>
        <w:ind w:left="6096"/>
        <w:rPr>
          <w:bCs/>
          <w:sz w:val="28"/>
          <w:szCs w:val="28"/>
        </w:rPr>
      </w:pPr>
      <w:bookmarkStart w:id="0" w:name="_GoBack"/>
      <w:bookmarkEnd w:id="0"/>
      <w:r w:rsidRPr="00607405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РИЛОЖЕНИЕ</w:t>
      </w:r>
    </w:p>
    <w:p w:rsidR="00D25FD6" w:rsidRPr="00607405" w:rsidRDefault="00D25FD6" w:rsidP="00D25FD6">
      <w:pPr>
        <w:pStyle w:val="20"/>
        <w:spacing w:before="0" w:line="240" w:lineRule="auto"/>
        <w:ind w:left="6096"/>
        <w:rPr>
          <w:bCs/>
          <w:sz w:val="28"/>
          <w:szCs w:val="28"/>
        </w:rPr>
      </w:pPr>
      <w:r w:rsidRPr="00607405">
        <w:rPr>
          <w:bCs/>
          <w:sz w:val="28"/>
          <w:szCs w:val="28"/>
        </w:rPr>
        <w:t xml:space="preserve">к Стратегии социально-экономического развития </w:t>
      </w:r>
      <w:r>
        <w:rPr>
          <w:bCs/>
          <w:sz w:val="28"/>
          <w:szCs w:val="28"/>
        </w:rPr>
        <w:br/>
      </w:r>
      <w:r w:rsidRPr="00607405">
        <w:rPr>
          <w:bCs/>
          <w:sz w:val="28"/>
          <w:szCs w:val="28"/>
        </w:rPr>
        <w:t>м</w:t>
      </w:r>
      <w:r w:rsidR="00FB05A7">
        <w:rPr>
          <w:bCs/>
          <w:sz w:val="28"/>
          <w:szCs w:val="28"/>
        </w:rPr>
        <w:t>униципального образования город</w:t>
      </w:r>
      <w:r w:rsidRPr="00607405">
        <w:rPr>
          <w:bCs/>
          <w:sz w:val="28"/>
          <w:szCs w:val="28"/>
        </w:rPr>
        <w:t xml:space="preserve"> Перм</w:t>
      </w:r>
      <w:r w:rsidR="00FB05A7">
        <w:rPr>
          <w:bCs/>
          <w:sz w:val="28"/>
          <w:szCs w:val="28"/>
        </w:rPr>
        <w:t>ь</w:t>
      </w:r>
      <w:r w:rsidRPr="00607405">
        <w:rPr>
          <w:bCs/>
          <w:sz w:val="28"/>
          <w:szCs w:val="28"/>
        </w:rPr>
        <w:t xml:space="preserve"> до 2030 года</w:t>
      </w:r>
    </w:p>
    <w:p w:rsidR="00D25FD6" w:rsidRDefault="00D25FD6" w:rsidP="00717BAC">
      <w:pPr>
        <w:pStyle w:val="20"/>
        <w:spacing w:before="0" w:line="240" w:lineRule="auto"/>
        <w:jc w:val="center"/>
        <w:rPr>
          <w:sz w:val="28"/>
          <w:szCs w:val="28"/>
        </w:rPr>
      </w:pPr>
    </w:p>
    <w:p w:rsidR="00D25FD6" w:rsidRDefault="00D25FD6" w:rsidP="00717BAC">
      <w:pPr>
        <w:pStyle w:val="20"/>
        <w:spacing w:before="0" w:line="240" w:lineRule="auto"/>
        <w:jc w:val="center"/>
        <w:rPr>
          <w:sz w:val="28"/>
          <w:szCs w:val="28"/>
        </w:rPr>
      </w:pPr>
    </w:p>
    <w:p w:rsidR="00D25FD6" w:rsidRPr="00D25FD6" w:rsidRDefault="00FB05A7" w:rsidP="00FB05A7">
      <w:pPr>
        <w:pStyle w:val="20"/>
        <w:spacing w:before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</w:t>
      </w:r>
      <w:r w:rsidR="00D25FD6" w:rsidRPr="00D25FD6">
        <w:rPr>
          <w:b/>
          <w:sz w:val="28"/>
          <w:szCs w:val="28"/>
        </w:rPr>
        <w:t xml:space="preserve"> </w:t>
      </w:r>
      <w:r w:rsidRPr="0079521C">
        <w:rPr>
          <w:b/>
          <w:sz w:val="28"/>
          <w:szCs w:val="28"/>
        </w:rPr>
        <w:t xml:space="preserve">социально-экономического развития </w:t>
      </w:r>
      <w:r>
        <w:rPr>
          <w:b/>
          <w:sz w:val="28"/>
          <w:szCs w:val="28"/>
        </w:rPr>
        <w:t>города Перми</w:t>
      </w:r>
      <w:r w:rsidRPr="007952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="00D25FD6" w:rsidRPr="00D25FD6">
        <w:rPr>
          <w:b/>
          <w:sz w:val="28"/>
          <w:szCs w:val="28"/>
        </w:rPr>
        <w:t>за период с 2008 по 2012 годы</w:t>
      </w:r>
    </w:p>
    <w:p w:rsidR="00D25FD6" w:rsidRPr="00607405" w:rsidRDefault="00D25FD6" w:rsidP="00717BAC">
      <w:pPr>
        <w:pStyle w:val="20"/>
        <w:spacing w:before="0" w:line="240" w:lineRule="auto"/>
        <w:jc w:val="center"/>
        <w:rPr>
          <w:b/>
          <w:bCs/>
          <w:sz w:val="28"/>
          <w:szCs w:val="28"/>
        </w:rPr>
      </w:pPr>
    </w:p>
    <w:p w:rsidR="0035518D" w:rsidRDefault="0035518D" w:rsidP="00FB05A7">
      <w:pPr>
        <w:pStyle w:val="1"/>
        <w:numPr>
          <w:ilvl w:val="0"/>
          <w:numId w:val="0"/>
        </w:numPr>
        <w:spacing w:before="0" w:after="0"/>
        <w:jc w:val="center"/>
        <w:rPr>
          <w:rStyle w:val="ae"/>
          <w:noProof/>
          <w:color w:val="auto"/>
          <w:u w:val="none"/>
        </w:rPr>
      </w:pPr>
      <w:bookmarkStart w:id="1" w:name="_Toc275268312"/>
      <w:r w:rsidRPr="0035518D">
        <w:rPr>
          <w:rStyle w:val="ae"/>
          <w:noProof/>
          <w:color w:val="auto"/>
          <w:u w:val="none"/>
        </w:rPr>
        <w:t>1</w:t>
      </w:r>
      <w:r w:rsidR="00ED5EF0">
        <w:rPr>
          <w:rStyle w:val="ae"/>
          <w:noProof/>
          <w:color w:val="auto"/>
          <w:u w:val="none"/>
        </w:rPr>
        <w:t>.</w:t>
      </w:r>
      <w:r w:rsidRPr="0035518D">
        <w:rPr>
          <w:rStyle w:val="ae"/>
          <w:noProof/>
          <w:color w:val="auto"/>
          <w:u w:val="none"/>
        </w:rPr>
        <w:t xml:space="preserve"> Основные социально-экономические характеристики </w:t>
      </w:r>
      <w:r w:rsidR="00ED5EF0">
        <w:rPr>
          <w:rStyle w:val="ae"/>
          <w:noProof/>
          <w:color w:val="auto"/>
          <w:u w:val="none"/>
        </w:rPr>
        <w:t>город</w:t>
      </w:r>
      <w:r w:rsidR="00717BAC">
        <w:rPr>
          <w:rStyle w:val="ae"/>
          <w:noProof/>
          <w:color w:val="auto"/>
          <w:u w:val="none"/>
        </w:rPr>
        <w:t>а</w:t>
      </w:r>
      <w:r w:rsidR="00ED5EF0">
        <w:rPr>
          <w:rStyle w:val="ae"/>
          <w:noProof/>
          <w:color w:val="auto"/>
          <w:u w:val="none"/>
        </w:rPr>
        <w:t xml:space="preserve"> Перм</w:t>
      </w:r>
      <w:r w:rsidR="00717BAC">
        <w:rPr>
          <w:rStyle w:val="ae"/>
          <w:noProof/>
          <w:color w:val="auto"/>
          <w:u w:val="none"/>
        </w:rPr>
        <w:t>и</w:t>
      </w:r>
    </w:p>
    <w:p w:rsidR="00D25FD6" w:rsidRPr="00D25FD6" w:rsidRDefault="00D25FD6" w:rsidP="00D25FD6"/>
    <w:bookmarkEnd w:id="1"/>
    <w:p w:rsidR="0035518D" w:rsidRPr="0035518D" w:rsidRDefault="0035518D" w:rsidP="00717BAC">
      <w:pPr>
        <w:pStyle w:val="standardtext"/>
        <w:spacing w:after="0"/>
        <w:rPr>
          <w:b/>
        </w:rPr>
      </w:pPr>
      <w:r w:rsidRPr="0035518D">
        <w:rPr>
          <w:rStyle w:val="ae"/>
          <w:b/>
          <w:noProof/>
          <w:color w:val="auto"/>
          <w:u w:val="none"/>
        </w:rPr>
        <w:t xml:space="preserve">1.1. </w:t>
      </w:r>
      <w:r w:rsidR="00ED5EF0">
        <w:rPr>
          <w:rStyle w:val="ae"/>
          <w:b/>
          <w:noProof/>
          <w:color w:val="auto"/>
          <w:u w:val="none"/>
        </w:rPr>
        <w:t>Териитория города Перми</w:t>
      </w:r>
    </w:p>
    <w:p w:rsidR="00253DFB" w:rsidRDefault="00ED5EF0" w:rsidP="00717BAC">
      <w:pPr>
        <w:pStyle w:val="standardtext"/>
        <w:spacing w:after="0"/>
      </w:pPr>
      <w:r>
        <w:t xml:space="preserve">Город Пермь </w:t>
      </w:r>
      <w:r w:rsidR="00253DFB" w:rsidRPr="004E740D">
        <w:t xml:space="preserve">образован </w:t>
      </w:r>
      <w:r>
        <w:t>в</w:t>
      </w:r>
      <w:r w:rsidR="00253DFB" w:rsidRPr="004E740D">
        <w:t xml:space="preserve"> </w:t>
      </w:r>
      <w:r>
        <w:t>1723</w:t>
      </w:r>
      <w:r w:rsidR="00253DFB" w:rsidRPr="004E740D">
        <w:t xml:space="preserve"> год</w:t>
      </w:r>
      <w:r>
        <w:t>у</w:t>
      </w:r>
      <w:r w:rsidR="00717BAC">
        <w:t xml:space="preserve"> и является административным центром Пермского края</w:t>
      </w:r>
      <w:r>
        <w:t>. Площа</w:t>
      </w:r>
      <w:r w:rsidR="00D25FD6">
        <w:t xml:space="preserve">дь города составляет 799,68 </w:t>
      </w:r>
      <w:proofErr w:type="spellStart"/>
      <w:r w:rsidR="00D25FD6">
        <w:t>кв</w:t>
      </w:r>
      <w:proofErr w:type="gramStart"/>
      <w:r w:rsidR="00D25FD6">
        <w:t>.</w:t>
      </w:r>
      <w:r>
        <w:t>к</w:t>
      </w:r>
      <w:proofErr w:type="gramEnd"/>
      <w:r>
        <w:t>м</w:t>
      </w:r>
      <w:proofErr w:type="spellEnd"/>
      <w:r>
        <w:t xml:space="preserve"> или 79 968 га</w:t>
      </w:r>
      <w:r w:rsidR="00253DFB">
        <w:t>.</w:t>
      </w:r>
      <w:r>
        <w:t xml:space="preserve"> Наибольшую площадь города занимают леса – 43,7%.</w:t>
      </w:r>
    </w:p>
    <w:p w:rsidR="00534F66" w:rsidRPr="00225C9A" w:rsidRDefault="00534F66" w:rsidP="00717BAC">
      <w:pPr>
        <w:pStyle w:val="standardtext"/>
        <w:spacing w:after="0"/>
      </w:pPr>
      <w:r>
        <w:t xml:space="preserve">Население города Перми на </w:t>
      </w:r>
      <w:r w:rsidR="00AD7621">
        <w:t>0</w:t>
      </w:r>
      <w:r>
        <w:t xml:space="preserve">1 января </w:t>
      </w:r>
      <w:r w:rsidR="00D25FD6">
        <w:t>2013 года составило 1 013,9 тыс.</w:t>
      </w:r>
      <w:r>
        <w:t xml:space="preserve"> ч</w:t>
      </w:r>
      <w:r>
        <w:t>е</w:t>
      </w:r>
      <w:r>
        <w:t>ловек, это 38,5% населения Пермского края.</w:t>
      </w:r>
    </w:p>
    <w:p w:rsidR="00ED5EF0" w:rsidRDefault="00ED5EF0" w:rsidP="00717BAC">
      <w:pPr>
        <w:pStyle w:val="standardtext"/>
        <w:spacing w:after="0"/>
      </w:pPr>
      <w:r>
        <w:t xml:space="preserve">Территория города Перми разделена на 7 административных районов. </w:t>
      </w:r>
    </w:p>
    <w:p w:rsidR="00AD7621" w:rsidRDefault="00AD7621" w:rsidP="00717BAC">
      <w:pPr>
        <w:pStyle w:val="standardtext"/>
        <w:spacing w:after="0"/>
      </w:pPr>
    </w:p>
    <w:p w:rsidR="00253DFB" w:rsidRPr="00FC1818" w:rsidRDefault="00253DFB" w:rsidP="003A45E7">
      <w:pPr>
        <w:pStyle w:val="ac"/>
        <w:keepNext/>
        <w:spacing w:line="240" w:lineRule="auto"/>
        <w:ind w:firstLine="709"/>
        <w:rPr>
          <w:i/>
          <w:sz w:val="24"/>
          <w:szCs w:val="24"/>
        </w:rPr>
      </w:pPr>
      <w:r w:rsidRPr="00FC1818">
        <w:rPr>
          <w:i/>
          <w:sz w:val="24"/>
          <w:szCs w:val="24"/>
        </w:rPr>
        <w:t xml:space="preserve">Таблица </w:t>
      </w:r>
      <w:r w:rsidR="00493328" w:rsidRPr="00FC1818">
        <w:rPr>
          <w:i/>
          <w:sz w:val="24"/>
          <w:szCs w:val="24"/>
        </w:rPr>
        <w:fldChar w:fldCharType="begin"/>
      </w:r>
      <w:r w:rsidRPr="00FC1818">
        <w:rPr>
          <w:i/>
          <w:sz w:val="24"/>
          <w:szCs w:val="24"/>
        </w:rPr>
        <w:instrText xml:space="preserve"> SEQ Таблица \* ARABIC </w:instrText>
      </w:r>
      <w:r w:rsidR="00493328" w:rsidRPr="00FC1818">
        <w:rPr>
          <w:i/>
          <w:sz w:val="24"/>
          <w:szCs w:val="24"/>
        </w:rPr>
        <w:fldChar w:fldCharType="separate"/>
      </w:r>
      <w:r w:rsidR="0072366E">
        <w:rPr>
          <w:i/>
          <w:noProof/>
          <w:sz w:val="24"/>
          <w:szCs w:val="24"/>
        </w:rPr>
        <w:t>1</w:t>
      </w:r>
      <w:r w:rsidR="00493328" w:rsidRPr="00FC1818">
        <w:rPr>
          <w:i/>
          <w:sz w:val="24"/>
          <w:szCs w:val="24"/>
        </w:rPr>
        <w:fldChar w:fldCharType="end"/>
      </w:r>
      <w:r w:rsidRPr="00FC1818">
        <w:rPr>
          <w:i/>
          <w:sz w:val="24"/>
          <w:szCs w:val="24"/>
        </w:rPr>
        <w:t>.</w:t>
      </w:r>
      <w:r w:rsidR="00AD7621">
        <w:rPr>
          <w:i/>
          <w:sz w:val="24"/>
          <w:szCs w:val="24"/>
        </w:rPr>
        <w:t>1.</w:t>
      </w:r>
      <w:r w:rsidRPr="00FC1818">
        <w:rPr>
          <w:i/>
          <w:sz w:val="24"/>
          <w:szCs w:val="24"/>
        </w:rPr>
        <w:t xml:space="preserve"> Структура </w:t>
      </w:r>
      <w:r w:rsidR="00040BF1" w:rsidRPr="00FC1818">
        <w:rPr>
          <w:i/>
          <w:sz w:val="24"/>
          <w:szCs w:val="24"/>
        </w:rPr>
        <w:t>территориального деления</w:t>
      </w:r>
      <w:r w:rsidRPr="00FC1818">
        <w:rPr>
          <w:i/>
          <w:sz w:val="24"/>
          <w:szCs w:val="24"/>
        </w:rPr>
        <w:t xml:space="preserve"> </w:t>
      </w:r>
      <w:r w:rsidR="00040BF1" w:rsidRPr="00FC1818">
        <w:rPr>
          <w:i/>
          <w:sz w:val="24"/>
          <w:szCs w:val="24"/>
        </w:rPr>
        <w:t>города Перми</w:t>
      </w:r>
      <w:r w:rsidRPr="00FC1818">
        <w:rPr>
          <w:i/>
          <w:sz w:val="24"/>
          <w:szCs w:val="24"/>
        </w:rPr>
        <w:t xml:space="preserve"> (</w:t>
      </w:r>
      <w:r w:rsidR="00040BF1" w:rsidRPr="00FC1818">
        <w:rPr>
          <w:i/>
          <w:sz w:val="24"/>
          <w:szCs w:val="24"/>
        </w:rPr>
        <w:t>на 01.01.2013</w:t>
      </w:r>
      <w:r w:rsidR="00AD7621">
        <w:rPr>
          <w:i/>
          <w:sz w:val="24"/>
          <w:szCs w:val="24"/>
        </w:rPr>
        <w:t>)</w:t>
      </w:r>
    </w:p>
    <w:tbl>
      <w:tblPr>
        <w:tblW w:w="9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6"/>
        <w:gridCol w:w="1692"/>
        <w:gridCol w:w="1964"/>
        <w:gridCol w:w="2230"/>
        <w:gridCol w:w="1552"/>
      </w:tblGrid>
      <w:tr w:rsidR="00737953" w:rsidRPr="00BE59BD" w:rsidTr="00390DA0">
        <w:tc>
          <w:tcPr>
            <w:tcW w:w="2336" w:type="dxa"/>
            <w:shd w:val="clear" w:color="auto" w:fill="auto"/>
            <w:vAlign w:val="center"/>
          </w:tcPr>
          <w:p w:rsidR="00737953" w:rsidRPr="00390DA0" w:rsidRDefault="00737953" w:rsidP="00717BA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390DA0">
              <w:rPr>
                <w:rFonts w:ascii="Times New Roman" w:hAnsi="Times New Roman"/>
                <w:sz w:val="24"/>
                <w:szCs w:val="24"/>
              </w:rPr>
              <w:br/>
            </w:r>
            <w:r w:rsidRPr="00390DA0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737953" w:rsidRPr="00390DA0" w:rsidRDefault="00737953" w:rsidP="00AC1B7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r w:rsidR="00390DA0">
              <w:rPr>
                <w:rFonts w:ascii="Times New Roman" w:hAnsi="Times New Roman"/>
                <w:sz w:val="24"/>
                <w:szCs w:val="24"/>
              </w:rPr>
              <w:br/>
            </w:r>
            <w:r w:rsidRPr="00390DA0">
              <w:rPr>
                <w:rFonts w:ascii="Times New Roman" w:hAnsi="Times New Roman"/>
                <w:sz w:val="24"/>
                <w:szCs w:val="24"/>
              </w:rPr>
              <w:t xml:space="preserve">территории, </w:t>
            </w:r>
            <w:proofErr w:type="spellStart"/>
            <w:r w:rsidR="00AC1B7A" w:rsidRPr="00390DA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AC1B7A" w:rsidRPr="00390DA0">
              <w:rPr>
                <w:rFonts w:ascii="Times New Roman" w:hAnsi="Times New Roman"/>
                <w:sz w:val="24"/>
                <w:szCs w:val="24"/>
              </w:rPr>
              <w:t>.</w:t>
            </w:r>
            <w:r w:rsidRPr="00390DA0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390DA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1964" w:type="dxa"/>
            <w:shd w:val="clear" w:color="auto" w:fill="auto"/>
            <w:vAlign w:val="center"/>
          </w:tcPr>
          <w:p w:rsidR="00737953" w:rsidRPr="00390DA0" w:rsidRDefault="00737953" w:rsidP="00AC1B7A">
            <w:pPr>
              <w:spacing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 xml:space="preserve">Доля в общей территории </w:t>
            </w:r>
            <w:r w:rsidR="00390DA0">
              <w:rPr>
                <w:rFonts w:ascii="Times New Roman" w:hAnsi="Times New Roman"/>
                <w:sz w:val="24"/>
                <w:szCs w:val="24"/>
              </w:rPr>
              <w:br/>
            </w:r>
            <w:r w:rsidRPr="00390DA0">
              <w:rPr>
                <w:rFonts w:ascii="Times New Roman" w:hAnsi="Times New Roman"/>
                <w:sz w:val="24"/>
                <w:szCs w:val="24"/>
              </w:rPr>
              <w:t>города Перми, %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737953" w:rsidRPr="00390DA0" w:rsidRDefault="00737953" w:rsidP="00AC1B7A">
            <w:pPr>
              <w:spacing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Численност</w:t>
            </w:r>
            <w:r w:rsidR="00AC1B7A" w:rsidRPr="00390DA0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="00390DA0">
              <w:rPr>
                <w:rFonts w:ascii="Times New Roman" w:hAnsi="Times New Roman"/>
                <w:sz w:val="24"/>
                <w:szCs w:val="24"/>
              </w:rPr>
              <w:br/>
            </w:r>
            <w:r w:rsidR="00AC1B7A" w:rsidRPr="00390DA0">
              <w:rPr>
                <w:rFonts w:ascii="Times New Roman" w:hAnsi="Times New Roman"/>
                <w:sz w:val="24"/>
                <w:szCs w:val="24"/>
              </w:rPr>
              <w:t xml:space="preserve">населения </w:t>
            </w:r>
            <w:r w:rsidR="00390DA0">
              <w:rPr>
                <w:rFonts w:ascii="Times New Roman" w:hAnsi="Times New Roman"/>
                <w:sz w:val="24"/>
                <w:szCs w:val="24"/>
              </w:rPr>
              <w:br/>
            </w:r>
            <w:r w:rsidR="00AC1B7A" w:rsidRPr="00390DA0">
              <w:rPr>
                <w:rFonts w:ascii="Times New Roman" w:hAnsi="Times New Roman"/>
                <w:sz w:val="24"/>
                <w:szCs w:val="24"/>
              </w:rPr>
              <w:t xml:space="preserve">на 01.01.2013, </w:t>
            </w:r>
            <w:proofErr w:type="spellStart"/>
            <w:r w:rsidR="00AC1B7A" w:rsidRPr="00390DA0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="00AC1B7A" w:rsidRPr="00390DA0">
              <w:rPr>
                <w:rFonts w:ascii="Times New Roman" w:hAnsi="Times New Roman"/>
                <w:sz w:val="24"/>
                <w:szCs w:val="24"/>
              </w:rPr>
              <w:t>.</w:t>
            </w:r>
            <w:r w:rsidRPr="00390DA0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390DA0">
              <w:rPr>
                <w:rFonts w:ascii="Times New Roman" w:hAnsi="Times New Roman"/>
                <w:sz w:val="24"/>
                <w:szCs w:val="24"/>
              </w:rPr>
              <w:t>ел</w:t>
            </w:r>
            <w:proofErr w:type="spellEnd"/>
            <w:r w:rsidRPr="00390D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2" w:type="dxa"/>
            <w:shd w:val="clear" w:color="auto" w:fill="auto"/>
            <w:vAlign w:val="center"/>
          </w:tcPr>
          <w:p w:rsidR="00737953" w:rsidRPr="00390DA0" w:rsidRDefault="00390DA0" w:rsidP="00AC1B7A">
            <w:pPr>
              <w:spacing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Плотность, чел./</w:t>
            </w:r>
            <w:proofErr w:type="spellStart"/>
            <w:r w:rsidR="00AC1B7A" w:rsidRPr="00390DA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AC1B7A" w:rsidRPr="00390DA0">
              <w:rPr>
                <w:rFonts w:ascii="Times New Roman" w:hAnsi="Times New Roman"/>
                <w:sz w:val="24"/>
                <w:szCs w:val="24"/>
              </w:rPr>
              <w:t>.</w:t>
            </w:r>
            <w:r w:rsidR="00737953" w:rsidRPr="00390DA0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737953" w:rsidRPr="00390DA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</w:p>
        </w:tc>
      </w:tr>
      <w:tr w:rsidR="00737953" w:rsidRPr="00BE59BD" w:rsidTr="00390DA0">
        <w:tc>
          <w:tcPr>
            <w:tcW w:w="2336" w:type="dxa"/>
          </w:tcPr>
          <w:p w:rsidR="00737953" w:rsidRPr="00390DA0" w:rsidRDefault="00737953" w:rsidP="00717BA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90DA0">
              <w:rPr>
                <w:rFonts w:ascii="Times New Roman" w:hAnsi="Times New Roman"/>
                <w:b/>
                <w:sz w:val="24"/>
                <w:szCs w:val="24"/>
              </w:rPr>
              <w:t>Пермь - всего</w:t>
            </w:r>
          </w:p>
        </w:tc>
        <w:tc>
          <w:tcPr>
            <w:tcW w:w="1692" w:type="dxa"/>
          </w:tcPr>
          <w:p w:rsidR="00737953" w:rsidRPr="00390DA0" w:rsidRDefault="00737953" w:rsidP="00717BAC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90DA0">
              <w:rPr>
                <w:rFonts w:ascii="Times New Roman" w:hAnsi="Times New Roman"/>
                <w:b/>
                <w:sz w:val="24"/>
                <w:szCs w:val="24"/>
              </w:rPr>
              <w:t>799,68</w:t>
            </w:r>
          </w:p>
        </w:tc>
        <w:tc>
          <w:tcPr>
            <w:tcW w:w="1964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90DA0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2230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90DA0">
              <w:rPr>
                <w:rFonts w:ascii="Times New Roman" w:hAnsi="Times New Roman"/>
                <w:b/>
                <w:sz w:val="24"/>
                <w:szCs w:val="24"/>
              </w:rPr>
              <w:t>1 013,9</w:t>
            </w:r>
          </w:p>
        </w:tc>
        <w:tc>
          <w:tcPr>
            <w:tcW w:w="1552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90DA0">
              <w:rPr>
                <w:rFonts w:ascii="Times New Roman" w:hAnsi="Times New Roman"/>
                <w:b/>
                <w:sz w:val="24"/>
                <w:szCs w:val="24"/>
              </w:rPr>
              <w:t>1 268</w:t>
            </w:r>
          </w:p>
        </w:tc>
      </w:tr>
      <w:tr w:rsidR="00737953" w:rsidRPr="00BE59BD" w:rsidTr="00390DA0">
        <w:tc>
          <w:tcPr>
            <w:tcW w:w="2336" w:type="dxa"/>
          </w:tcPr>
          <w:p w:rsidR="00737953" w:rsidRPr="00390DA0" w:rsidRDefault="00737953" w:rsidP="00717B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Дзержинский</w:t>
            </w:r>
          </w:p>
        </w:tc>
        <w:tc>
          <w:tcPr>
            <w:tcW w:w="1692" w:type="dxa"/>
          </w:tcPr>
          <w:p w:rsidR="00737953" w:rsidRPr="00390DA0" w:rsidRDefault="00737953" w:rsidP="00717BAC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63,24</w:t>
            </w:r>
          </w:p>
        </w:tc>
        <w:tc>
          <w:tcPr>
            <w:tcW w:w="1964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2230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159,8</w:t>
            </w:r>
          </w:p>
        </w:tc>
        <w:tc>
          <w:tcPr>
            <w:tcW w:w="1552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2 527</w:t>
            </w:r>
          </w:p>
        </w:tc>
      </w:tr>
      <w:tr w:rsidR="00737953" w:rsidRPr="00BE59BD" w:rsidTr="00390DA0">
        <w:tc>
          <w:tcPr>
            <w:tcW w:w="2336" w:type="dxa"/>
          </w:tcPr>
          <w:p w:rsidR="00737953" w:rsidRPr="00390DA0" w:rsidRDefault="00737953" w:rsidP="00717B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Индустриальный</w:t>
            </w:r>
          </w:p>
        </w:tc>
        <w:tc>
          <w:tcPr>
            <w:tcW w:w="1692" w:type="dxa"/>
          </w:tcPr>
          <w:p w:rsidR="00737953" w:rsidRPr="00390DA0" w:rsidRDefault="00737953" w:rsidP="00717BAC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61,88</w:t>
            </w:r>
          </w:p>
        </w:tc>
        <w:tc>
          <w:tcPr>
            <w:tcW w:w="1964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2230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163,0</w:t>
            </w:r>
          </w:p>
        </w:tc>
        <w:tc>
          <w:tcPr>
            <w:tcW w:w="1552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2 634</w:t>
            </w:r>
          </w:p>
        </w:tc>
      </w:tr>
      <w:tr w:rsidR="00737953" w:rsidRPr="00BE59BD" w:rsidTr="00390DA0">
        <w:tc>
          <w:tcPr>
            <w:tcW w:w="2336" w:type="dxa"/>
          </w:tcPr>
          <w:p w:rsidR="00737953" w:rsidRPr="00390DA0" w:rsidRDefault="00737953" w:rsidP="00717B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Кировский</w:t>
            </w:r>
          </w:p>
        </w:tc>
        <w:tc>
          <w:tcPr>
            <w:tcW w:w="1692" w:type="dxa"/>
          </w:tcPr>
          <w:p w:rsidR="00737953" w:rsidRPr="00390DA0" w:rsidRDefault="00737953" w:rsidP="00717BAC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157,13</w:t>
            </w:r>
          </w:p>
        </w:tc>
        <w:tc>
          <w:tcPr>
            <w:tcW w:w="1964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2230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  <w:tc>
          <w:tcPr>
            <w:tcW w:w="1552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819</w:t>
            </w:r>
          </w:p>
        </w:tc>
      </w:tr>
      <w:tr w:rsidR="00737953" w:rsidRPr="00BE59BD" w:rsidTr="00390DA0">
        <w:tc>
          <w:tcPr>
            <w:tcW w:w="2336" w:type="dxa"/>
          </w:tcPr>
          <w:p w:rsidR="00737953" w:rsidRPr="00390DA0" w:rsidRDefault="00737953" w:rsidP="00717B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Ленинский</w:t>
            </w:r>
          </w:p>
        </w:tc>
        <w:tc>
          <w:tcPr>
            <w:tcW w:w="1692" w:type="dxa"/>
          </w:tcPr>
          <w:p w:rsidR="00737953" w:rsidRPr="00390DA0" w:rsidRDefault="00737953" w:rsidP="00717BAC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45,09</w:t>
            </w:r>
          </w:p>
        </w:tc>
        <w:tc>
          <w:tcPr>
            <w:tcW w:w="1964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2230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51,9</w:t>
            </w:r>
          </w:p>
        </w:tc>
        <w:tc>
          <w:tcPr>
            <w:tcW w:w="1552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1 152</w:t>
            </w:r>
          </w:p>
        </w:tc>
      </w:tr>
      <w:tr w:rsidR="00737953" w:rsidRPr="00BE59BD" w:rsidTr="00390DA0">
        <w:tc>
          <w:tcPr>
            <w:tcW w:w="2336" w:type="dxa"/>
          </w:tcPr>
          <w:p w:rsidR="00737953" w:rsidRPr="00390DA0" w:rsidRDefault="00737953" w:rsidP="00717B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Мотовилихинский</w:t>
            </w:r>
          </w:p>
        </w:tc>
        <w:tc>
          <w:tcPr>
            <w:tcW w:w="1692" w:type="dxa"/>
          </w:tcPr>
          <w:p w:rsidR="00737953" w:rsidRPr="00390DA0" w:rsidRDefault="00737953" w:rsidP="00717BAC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169,58</w:t>
            </w:r>
          </w:p>
        </w:tc>
        <w:tc>
          <w:tcPr>
            <w:tcW w:w="1964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  <w:tc>
          <w:tcPr>
            <w:tcW w:w="2230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184,6</w:t>
            </w:r>
          </w:p>
        </w:tc>
        <w:tc>
          <w:tcPr>
            <w:tcW w:w="1552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1 089</w:t>
            </w:r>
          </w:p>
        </w:tc>
      </w:tr>
      <w:tr w:rsidR="00737953" w:rsidRPr="00BE59BD" w:rsidTr="00390DA0">
        <w:tc>
          <w:tcPr>
            <w:tcW w:w="2336" w:type="dxa"/>
          </w:tcPr>
          <w:p w:rsidR="00737953" w:rsidRPr="00390DA0" w:rsidRDefault="00737953" w:rsidP="00717B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Орджоникидзевский</w:t>
            </w:r>
          </w:p>
        </w:tc>
        <w:tc>
          <w:tcPr>
            <w:tcW w:w="1692" w:type="dxa"/>
          </w:tcPr>
          <w:p w:rsidR="00737953" w:rsidRPr="00390DA0" w:rsidRDefault="00737953" w:rsidP="00717BAC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178,58</w:t>
            </w:r>
          </w:p>
        </w:tc>
        <w:tc>
          <w:tcPr>
            <w:tcW w:w="1964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2230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1552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627</w:t>
            </w:r>
          </w:p>
        </w:tc>
      </w:tr>
      <w:tr w:rsidR="00737953" w:rsidRPr="00BE59BD" w:rsidTr="00390DA0">
        <w:tc>
          <w:tcPr>
            <w:tcW w:w="2336" w:type="dxa"/>
          </w:tcPr>
          <w:p w:rsidR="00737953" w:rsidRPr="00390DA0" w:rsidRDefault="00737953" w:rsidP="00717BA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Свердловский</w:t>
            </w:r>
          </w:p>
        </w:tc>
        <w:tc>
          <w:tcPr>
            <w:tcW w:w="1692" w:type="dxa"/>
          </w:tcPr>
          <w:p w:rsidR="00737953" w:rsidRPr="00390DA0" w:rsidRDefault="00737953" w:rsidP="00717BAC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124,19</w:t>
            </w:r>
          </w:p>
        </w:tc>
        <w:tc>
          <w:tcPr>
            <w:tcW w:w="1964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2230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214,0</w:t>
            </w:r>
          </w:p>
        </w:tc>
        <w:tc>
          <w:tcPr>
            <w:tcW w:w="1552" w:type="dxa"/>
          </w:tcPr>
          <w:p w:rsidR="00737953" w:rsidRPr="00390DA0" w:rsidRDefault="00737953" w:rsidP="00717BAC">
            <w:pPr>
              <w:spacing w:line="240" w:lineRule="auto"/>
              <w:ind w:hang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0DA0">
              <w:rPr>
                <w:rFonts w:ascii="Times New Roman" w:hAnsi="Times New Roman"/>
                <w:sz w:val="24"/>
                <w:szCs w:val="24"/>
              </w:rPr>
              <w:t>1 723</w:t>
            </w:r>
          </w:p>
        </w:tc>
      </w:tr>
    </w:tbl>
    <w:p w:rsidR="00737953" w:rsidRPr="00737953" w:rsidRDefault="00737953" w:rsidP="00717BAC">
      <w:pPr>
        <w:spacing w:line="240" w:lineRule="auto"/>
      </w:pPr>
    </w:p>
    <w:p w:rsidR="0035518D" w:rsidRDefault="0035518D" w:rsidP="00717BAC">
      <w:pPr>
        <w:spacing w:line="240" w:lineRule="auto"/>
        <w:ind w:firstLine="709"/>
        <w:rPr>
          <w:b/>
          <w:szCs w:val="28"/>
        </w:rPr>
      </w:pPr>
      <w:r w:rsidRPr="0035518D">
        <w:rPr>
          <w:rStyle w:val="ae"/>
          <w:b/>
          <w:noProof/>
          <w:color w:val="auto"/>
          <w:u w:val="none"/>
        </w:rPr>
        <w:t>1.2. Динамика основных социально-экономических показателей</w:t>
      </w:r>
      <w:r w:rsidRPr="0035518D">
        <w:rPr>
          <w:b/>
          <w:szCs w:val="28"/>
        </w:rPr>
        <w:t xml:space="preserve"> </w:t>
      </w:r>
    </w:p>
    <w:p w:rsidR="00C87B26" w:rsidRDefault="00C87B26" w:rsidP="00717BAC">
      <w:pPr>
        <w:spacing w:line="240" w:lineRule="auto"/>
        <w:ind w:firstLine="709"/>
        <w:rPr>
          <w:iCs/>
          <w:szCs w:val="28"/>
        </w:rPr>
      </w:pPr>
      <w:r w:rsidRPr="00C87B26">
        <w:rPr>
          <w:iCs/>
          <w:szCs w:val="28"/>
        </w:rPr>
        <w:t xml:space="preserve">Итоги </w:t>
      </w:r>
      <w:r>
        <w:rPr>
          <w:iCs/>
          <w:szCs w:val="28"/>
        </w:rPr>
        <w:t>социально-</w:t>
      </w:r>
      <w:r w:rsidRPr="00C87B26">
        <w:rPr>
          <w:iCs/>
          <w:szCs w:val="28"/>
        </w:rPr>
        <w:t>экономического развития города Перми в 2008-2012 г</w:t>
      </w:r>
      <w:r w:rsidRPr="00C87B26">
        <w:rPr>
          <w:iCs/>
          <w:szCs w:val="28"/>
        </w:rPr>
        <w:t>о</w:t>
      </w:r>
      <w:r w:rsidRPr="00C87B26">
        <w:rPr>
          <w:iCs/>
          <w:szCs w:val="28"/>
        </w:rPr>
        <w:t>дах</w:t>
      </w:r>
      <w:r>
        <w:rPr>
          <w:iCs/>
          <w:szCs w:val="28"/>
        </w:rPr>
        <w:t xml:space="preserve"> характеризуются следующей динамикой развития:</w:t>
      </w:r>
    </w:p>
    <w:p w:rsidR="00C87B26" w:rsidRDefault="00C87B26" w:rsidP="00717BAC">
      <w:pPr>
        <w:spacing w:line="240" w:lineRule="auto"/>
        <w:ind w:firstLine="709"/>
        <w:rPr>
          <w:iCs/>
          <w:szCs w:val="28"/>
        </w:rPr>
      </w:pPr>
      <w:r>
        <w:rPr>
          <w:iCs/>
          <w:szCs w:val="28"/>
        </w:rPr>
        <w:t>оборот крупных и средних предприятий и организаций в 2012 году по о</w:t>
      </w:r>
      <w:r>
        <w:rPr>
          <w:iCs/>
          <w:szCs w:val="28"/>
        </w:rPr>
        <w:t>т</w:t>
      </w:r>
      <w:r>
        <w:rPr>
          <w:iCs/>
          <w:szCs w:val="28"/>
        </w:rPr>
        <w:t>ношен</w:t>
      </w:r>
      <w:r w:rsidR="00D25FD6">
        <w:rPr>
          <w:iCs/>
          <w:szCs w:val="28"/>
        </w:rPr>
        <w:t>ию к 2008 году вырос в 1,6 раза,</w:t>
      </w:r>
    </w:p>
    <w:p w:rsidR="00C87B26" w:rsidRDefault="00C87B26" w:rsidP="00717BAC">
      <w:pPr>
        <w:spacing w:line="240" w:lineRule="auto"/>
        <w:ind w:firstLine="709"/>
        <w:rPr>
          <w:iCs/>
          <w:szCs w:val="28"/>
        </w:rPr>
      </w:pPr>
      <w:r>
        <w:rPr>
          <w:iCs/>
          <w:szCs w:val="28"/>
        </w:rPr>
        <w:t xml:space="preserve">рост объема отгруженной продукции собственного производства </w:t>
      </w:r>
      <w:r w:rsidR="00390DA0">
        <w:rPr>
          <w:iCs/>
          <w:szCs w:val="28"/>
        </w:rPr>
        <w:t xml:space="preserve">– </w:t>
      </w:r>
      <w:r w:rsidR="00390DA0">
        <w:rPr>
          <w:iCs/>
          <w:szCs w:val="28"/>
        </w:rPr>
        <w:br/>
      </w:r>
      <w:r>
        <w:rPr>
          <w:iCs/>
          <w:szCs w:val="28"/>
        </w:rPr>
        <w:t>в 1,5 ра</w:t>
      </w:r>
      <w:r w:rsidR="00D25FD6">
        <w:rPr>
          <w:iCs/>
          <w:szCs w:val="28"/>
        </w:rPr>
        <w:t>за,</w:t>
      </w:r>
    </w:p>
    <w:p w:rsidR="00E75A0E" w:rsidRDefault="00E75A0E" w:rsidP="00717BAC">
      <w:pPr>
        <w:spacing w:line="240" w:lineRule="auto"/>
        <w:ind w:firstLine="709"/>
        <w:rPr>
          <w:iCs/>
          <w:szCs w:val="28"/>
        </w:rPr>
      </w:pPr>
      <w:r>
        <w:rPr>
          <w:iCs/>
          <w:szCs w:val="28"/>
        </w:rPr>
        <w:t>рост результативности финансовой деятельности предприятий и организ</w:t>
      </w:r>
      <w:r>
        <w:rPr>
          <w:iCs/>
          <w:szCs w:val="28"/>
        </w:rPr>
        <w:t>а</w:t>
      </w:r>
      <w:r>
        <w:rPr>
          <w:iCs/>
          <w:szCs w:val="28"/>
        </w:rPr>
        <w:t>ций – в 1,</w:t>
      </w:r>
      <w:r w:rsidR="00201FF8">
        <w:rPr>
          <w:iCs/>
          <w:szCs w:val="28"/>
        </w:rPr>
        <w:t>5</w:t>
      </w:r>
      <w:r w:rsidR="00D25FD6">
        <w:rPr>
          <w:iCs/>
          <w:szCs w:val="28"/>
        </w:rPr>
        <w:t xml:space="preserve"> раза,</w:t>
      </w:r>
    </w:p>
    <w:p w:rsidR="00E75A0E" w:rsidRDefault="00E75A0E" w:rsidP="00717BAC">
      <w:pPr>
        <w:spacing w:line="240" w:lineRule="auto"/>
        <w:ind w:firstLine="709"/>
        <w:rPr>
          <w:iCs/>
          <w:szCs w:val="28"/>
        </w:rPr>
      </w:pPr>
      <w:r>
        <w:rPr>
          <w:iCs/>
          <w:szCs w:val="28"/>
        </w:rPr>
        <w:t xml:space="preserve">увеличение объема инвестиций в </w:t>
      </w:r>
      <w:r w:rsidR="00D25FD6">
        <w:rPr>
          <w:iCs/>
          <w:szCs w:val="28"/>
        </w:rPr>
        <w:t>основной капитал – в 1,3 раза,</w:t>
      </w:r>
    </w:p>
    <w:p w:rsidR="00C87B26" w:rsidRDefault="00C87B26" w:rsidP="00717BAC">
      <w:pPr>
        <w:spacing w:line="240" w:lineRule="auto"/>
        <w:ind w:firstLine="709"/>
        <w:rPr>
          <w:iCs/>
          <w:szCs w:val="28"/>
        </w:rPr>
      </w:pPr>
      <w:r>
        <w:rPr>
          <w:iCs/>
          <w:szCs w:val="28"/>
        </w:rPr>
        <w:t>увеличение розничного товарооборота</w:t>
      </w:r>
      <w:r w:rsidR="00AD7621">
        <w:rPr>
          <w:iCs/>
          <w:szCs w:val="28"/>
        </w:rPr>
        <w:t xml:space="preserve"> </w:t>
      </w:r>
      <w:r w:rsidR="00AC1B7A">
        <w:rPr>
          <w:iCs/>
          <w:szCs w:val="28"/>
        </w:rPr>
        <w:t>–</w:t>
      </w:r>
      <w:r>
        <w:rPr>
          <w:iCs/>
          <w:szCs w:val="28"/>
        </w:rPr>
        <w:t xml:space="preserve"> на 35</w:t>
      </w:r>
      <w:r w:rsidR="00500C24">
        <w:rPr>
          <w:iCs/>
          <w:szCs w:val="28"/>
        </w:rPr>
        <w:t>,0</w:t>
      </w:r>
      <w:r>
        <w:rPr>
          <w:iCs/>
          <w:szCs w:val="28"/>
        </w:rPr>
        <w:t>%</w:t>
      </w:r>
      <w:r w:rsidR="00E75A0E">
        <w:rPr>
          <w:iCs/>
          <w:szCs w:val="28"/>
        </w:rPr>
        <w:t>, оборота общественного питания – на 30</w:t>
      </w:r>
      <w:r w:rsidR="00500C24">
        <w:rPr>
          <w:iCs/>
          <w:szCs w:val="28"/>
        </w:rPr>
        <w:t>,0</w:t>
      </w:r>
      <w:r w:rsidR="00E75A0E">
        <w:rPr>
          <w:iCs/>
          <w:szCs w:val="28"/>
        </w:rPr>
        <w:t>%</w:t>
      </w:r>
      <w:r w:rsidR="00D25FD6">
        <w:rPr>
          <w:iCs/>
          <w:szCs w:val="28"/>
        </w:rPr>
        <w:t>,</w:t>
      </w:r>
    </w:p>
    <w:p w:rsidR="00C87B26" w:rsidRDefault="00C87B26" w:rsidP="00D25FD6">
      <w:pPr>
        <w:widowControl w:val="0"/>
        <w:spacing w:line="240" w:lineRule="auto"/>
        <w:ind w:firstLine="709"/>
        <w:rPr>
          <w:iCs/>
          <w:szCs w:val="28"/>
        </w:rPr>
      </w:pPr>
      <w:r>
        <w:rPr>
          <w:iCs/>
          <w:szCs w:val="28"/>
        </w:rPr>
        <w:lastRenderedPageBreak/>
        <w:t>рост объема ввода жилья – на 7,9</w:t>
      </w:r>
      <w:r w:rsidR="00D25FD6">
        <w:rPr>
          <w:iCs/>
          <w:szCs w:val="28"/>
        </w:rPr>
        <w:t>%,</w:t>
      </w:r>
    </w:p>
    <w:p w:rsidR="00C87B26" w:rsidRDefault="00E75A0E" w:rsidP="00717BAC">
      <w:pPr>
        <w:spacing w:line="240" w:lineRule="auto"/>
        <w:ind w:firstLine="709"/>
        <w:rPr>
          <w:iCs/>
          <w:szCs w:val="28"/>
        </w:rPr>
      </w:pPr>
      <w:r>
        <w:rPr>
          <w:iCs/>
          <w:szCs w:val="28"/>
        </w:rPr>
        <w:t>сокращение среднесписочной численности работников – на 8,1%.</w:t>
      </w:r>
    </w:p>
    <w:p w:rsidR="00746946" w:rsidRDefault="005C422D" w:rsidP="00D25FD6">
      <w:pPr>
        <w:widowControl w:val="0"/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рассматриваемый период несколько изменилась структура экономики</w:t>
      </w:r>
      <w:r w:rsidR="00746946">
        <w:rPr>
          <w:rFonts w:ascii="Times New Roman" w:hAnsi="Times New Roman"/>
          <w:szCs w:val="28"/>
        </w:rPr>
        <w:t>: повысилась доля услуг, в которых преобладает бюджетный сектор</w:t>
      </w:r>
      <w:r w:rsidR="00390DA0">
        <w:rPr>
          <w:rFonts w:ascii="Times New Roman" w:hAnsi="Times New Roman"/>
          <w:szCs w:val="28"/>
        </w:rPr>
        <w:t>,</w:t>
      </w:r>
      <w:r w:rsidR="00746946">
        <w:rPr>
          <w:rFonts w:ascii="Times New Roman" w:hAnsi="Times New Roman"/>
          <w:szCs w:val="28"/>
        </w:rPr>
        <w:t xml:space="preserve"> за счет сн</w:t>
      </w:r>
      <w:r w:rsidR="00746946">
        <w:rPr>
          <w:rFonts w:ascii="Times New Roman" w:hAnsi="Times New Roman"/>
          <w:szCs w:val="28"/>
        </w:rPr>
        <w:t>и</w:t>
      </w:r>
      <w:r w:rsidR="00746946">
        <w:rPr>
          <w:rFonts w:ascii="Times New Roman" w:hAnsi="Times New Roman"/>
          <w:szCs w:val="28"/>
        </w:rPr>
        <w:t>жения доли обрабатывающих производств, а также торговли.</w:t>
      </w:r>
      <w:r>
        <w:rPr>
          <w:rFonts w:ascii="Times New Roman" w:hAnsi="Times New Roman"/>
          <w:szCs w:val="28"/>
        </w:rPr>
        <w:t xml:space="preserve">  </w:t>
      </w:r>
    </w:p>
    <w:p w:rsidR="005C422D" w:rsidRDefault="005C422D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2011 году практически все макроэкономические показатели продемо</w:t>
      </w:r>
      <w:r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>стрировали рост и превысили предкризисные значения.</w:t>
      </w:r>
    </w:p>
    <w:p w:rsidR="005C422D" w:rsidRDefault="005C422D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 мере </w:t>
      </w:r>
      <w:r w:rsidR="00500C24">
        <w:rPr>
          <w:rFonts w:ascii="Times New Roman" w:hAnsi="Times New Roman"/>
          <w:szCs w:val="28"/>
        </w:rPr>
        <w:t>замедле</w:t>
      </w:r>
      <w:r>
        <w:rPr>
          <w:rFonts w:ascii="Times New Roman" w:hAnsi="Times New Roman"/>
          <w:szCs w:val="28"/>
        </w:rPr>
        <w:t>ния восстановительного роста в 2012 году экономика г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рода Перми, аналогично общей ситуации по России и Пермскому краю, перешла к новой фазе, характеризующейся замедлением инвестиционного</w:t>
      </w:r>
      <w:r w:rsidR="00AD7621">
        <w:rPr>
          <w:rFonts w:ascii="Times New Roman" w:hAnsi="Times New Roman"/>
          <w:szCs w:val="28"/>
        </w:rPr>
        <w:t xml:space="preserve"> и</w:t>
      </w:r>
      <w:r>
        <w:rPr>
          <w:rFonts w:ascii="Times New Roman" w:hAnsi="Times New Roman"/>
          <w:szCs w:val="28"/>
        </w:rPr>
        <w:t xml:space="preserve"> потребител</w:t>
      </w:r>
      <w:r>
        <w:rPr>
          <w:rFonts w:ascii="Times New Roman" w:hAnsi="Times New Roman"/>
          <w:szCs w:val="28"/>
        </w:rPr>
        <w:t>ь</w:t>
      </w:r>
      <w:r>
        <w:rPr>
          <w:rFonts w:ascii="Times New Roman" w:hAnsi="Times New Roman"/>
          <w:szCs w:val="28"/>
        </w:rPr>
        <w:t>ского спроса.</w:t>
      </w:r>
    </w:p>
    <w:p w:rsidR="005C422D" w:rsidRPr="00C87B26" w:rsidRDefault="005C422D" w:rsidP="00717BAC">
      <w:pPr>
        <w:spacing w:line="240" w:lineRule="auto"/>
        <w:ind w:firstLine="709"/>
        <w:rPr>
          <w:szCs w:val="28"/>
        </w:rPr>
      </w:pPr>
    </w:p>
    <w:p w:rsidR="00B26416" w:rsidRPr="00CB32B6" w:rsidRDefault="00B26416" w:rsidP="003A45E7">
      <w:pPr>
        <w:pStyle w:val="ac"/>
        <w:keepNext/>
        <w:spacing w:line="240" w:lineRule="auto"/>
        <w:ind w:firstLine="709"/>
        <w:rPr>
          <w:i/>
          <w:sz w:val="24"/>
          <w:szCs w:val="24"/>
        </w:rPr>
      </w:pPr>
      <w:r w:rsidRPr="00CB32B6">
        <w:rPr>
          <w:i/>
          <w:sz w:val="24"/>
          <w:szCs w:val="24"/>
        </w:rPr>
        <w:t>Таблица 1.</w:t>
      </w:r>
      <w:r w:rsidR="0025574E">
        <w:rPr>
          <w:i/>
          <w:sz w:val="24"/>
          <w:szCs w:val="24"/>
        </w:rPr>
        <w:t>2.1.</w:t>
      </w:r>
      <w:r w:rsidRPr="00CB32B6">
        <w:rPr>
          <w:i/>
          <w:sz w:val="24"/>
          <w:szCs w:val="24"/>
        </w:rPr>
        <w:t xml:space="preserve"> Динамика основных показателей социально-экономического разв</w:t>
      </w:r>
      <w:r w:rsidRPr="00CB32B6">
        <w:rPr>
          <w:i/>
          <w:sz w:val="24"/>
          <w:szCs w:val="24"/>
        </w:rPr>
        <w:t>и</w:t>
      </w:r>
      <w:r w:rsidRPr="00CB32B6">
        <w:rPr>
          <w:i/>
          <w:sz w:val="24"/>
          <w:szCs w:val="24"/>
        </w:rPr>
        <w:t xml:space="preserve">тия </w:t>
      </w:r>
      <w:r>
        <w:rPr>
          <w:i/>
          <w:sz w:val="24"/>
          <w:szCs w:val="24"/>
        </w:rPr>
        <w:t>города Перми</w:t>
      </w:r>
      <w:r w:rsidRPr="00CB32B6">
        <w:rPr>
          <w:i/>
          <w:sz w:val="24"/>
          <w:szCs w:val="24"/>
        </w:rPr>
        <w:t xml:space="preserve"> (</w:t>
      </w:r>
      <w:proofErr w:type="gramStart"/>
      <w:r w:rsidRPr="00CB32B6">
        <w:rPr>
          <w:i/>
          <w:sz w:val="24"/>
          <w:szCs w:val="24"/>
        </w:rPr>
        <w:t>в</w:t>
      </w:r>
      <w:proofErr w:type="gramEnd"/>
      <w:r w:rsidRPr="00CB32B6">
        <w:rPr>
          <w:i/>
          <w:sz w:val="24"/>
          <w:szCs w:val="24"/>
        </w:rPr>
        <w:t xml:space="preserve"> % к соответствующему периоду предыдущего года)</w:t>
      </w:r>
    </w:p>
    <w:tbl>
      <w:tblPr>
        <w:tblW w:w="48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6"/>
        <w:gridCol w:w="1207"/>
        <w:gridCol w:w="1190"/>
        <w:gridCol w:w="1816"/>
      </w:tblGrid>
      <w:tr w:rsidR="00B26416" w:rsidRPr="00CB32B6" w:rsidTr="005771FE">
        <w:trPr>
          <w:tblHeader/>
          <w:jc w:val="center"/>
        </w:trPr>
        <w:tc>
          <w:tcPr>
            <w:tcW w:w="5871" w:type="dxa"/>
            <w:vAlign w:val="center"/>
          </w:tcPr>
          <w:p w:rsidR="00B26416" w:rsidRPr="00CB32B6" w:rsidRDefault="00B26416" w:rsidP="00717BAC">
            <w:pPr>
              <w:pStyle w:val="tabletext"/>
              <w:jc w:val="center"/>
              <w:rPr>
                <w:sz w:val="24"/>
                <w:szCs w:val="24"/>
              </w:rPr>
            </w:pPr>
            <w:r w:rsidRPr="00CB32B6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44" w:type="dxa"/>
            <w:vAlign w:val="center"/>
          </w:tcPr>
          <w:p w:rsidR="00B26416" w:rsidRPr="00CB32B6" w:rsidRDefault="00B26416" w:rsidP="00500C24">
            <w:pPr>
              <w:pStyle w:val="tabletext"/>
              <w:jc w:val="center"/>
              <w:rPr>
                <w:sz w:val="24"/>
                <w:szCs w:val="24"/>
              </w:rPr>
            </w:pPr>
            <w:r w:rsidRPr="00CB32B6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8</w:t>
            </w:r>
            <w:r w:rsidRPr="00CB32B6">
              <w:rPr>
                <w:sz w:val="24"/>
                <w:szCs w:val="24"/>
              </w:rPr>
              <w:t xml:space="preserve"> г</w:t>
            </w:r>
            <w:r w:rsidR="00500C24">
              <w:rPr>
                <w:sz w:val="24"/>
                <w:szCs w:val="24"/>
              </w:rPr>
              <w:t>од</w:t>
            </w:r>
          </w:p>
        </w:tc>
        <w:tc>
          <w:tcPr>
            <w:tcW w:w="1225" w:type="dxa"/>
            <w:vAlign w:val="center"/>
          </w:tcPr>
          <w:p w:rsidR="00B26416" w:rsidRPr="00CB32B6" w:rsidRDefault="00B26416" w:rsidP="00500C24">
            <w:pPr>
              <w:pStyle w:val="tabletext"/>
              <w:jc w:val="center"/>
              <w:rPr>
                <w:sz w:val="24"/>
                <w:szCs w:val="24"/>
              </w:rPr>
            </w:pPr>
            <w:r w:rsidRPr="00CB32B6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12</w:t>
            </w:r>
            <w:r w:rsidRPr="00CB32B6">
              <w:rPr>
                <w:sz w:val="24"/>
                <w:szCs w:val="24"/>
              </w:rPr>
              <w:t xml:space="preserve"> г</w:t>
            </w:r>
            <w:r w:rsidR="00500C24">
              <w:rPr>
                <w:sz w:val="24"/>
                <w:szCs w:val="24"/>
              </w:rPr>
              <w:t>од</w:t>
            </w:r>
          </w:p>
        </w:tc>
        <w:tc>
          <w:tcPr>
            <w:tcW w:w="1863" w:type="dxa"/>
            <w:vAlign w:val="center"/>
          </w:tcPr>
          <w:p w:rsidR="00B26416" w:rsidRPr="00CB32B6" w:rsidRDefault="00B26416" w:rsidP="00717BAC">
            <w:pPr>
              <w:pStyle w:val="tabletext"/>
              <w:jc w:val="center"/>
              <w:rPr>
                <w:sz w:val="24"/>
                <w:szCs w:val="24"/>
              </w:rPr>
            </w:pPr>
            <w:r w:rsidRPr="00CB32B6">
              <w:rPr>
                <w:sz w:val="24"/>
                <w:szCs w:val="24"/>
              </w:rPr>
              <w:t>Динамика за 200</w:t>
            </w:r>
            <w:r>
              <w:rPr>
                <w:sz w:val="24"/>
                <w:szCs w:val="24"/>
              </w:rPr>
              <w:t>8</w:t>
            </w:r>
            <w:r w:rsidRPr="00CB32B6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12</w:t>
            </w:r>
            <w:r w:rsidRPr="00CB32B6">
              <w:rPr>
                <w:sz w:val="24"/>
                <w:szCs w:val="24"/>
              </w:rPr>
              <w:t xml:space="preserve"> гг.</w:t>
            </w:r>
          </w:p>
        </w:tc>
      </w:tr>
      <w:tr w:rsidR="00B26416" w:rsidRPr="00CB32B6" w:rsidTr="00293DB5">
        <w:trPr>
          <w:tblHeader/>
          <w:jc w:val="center"/>
        </w:trPr>
        <w:tc>
          <w:tcPr>
            <w:tcW w:w="5871" w:type="dxa"/>
          </w:tcPr>
          <w:p w:rsidR="00B26416" w:rsidRPr="00B26416" w:rsidRDefault="00B26416" w:rsidP="00717BAC">
            <w:pPr>
              <w:pStyle w:val="tabletext"/>
              <w:rPr>
                <w:sz w:val="24"/>
                <w:szCs w:val="24"/>
              </w:rPr>
            </w:pPr>
            <w:r w:rsidRPr="00B26416">
              <w:rPr>
                <w:sz w:val="24"/>
                <w:szCs w:val="24"/>
              </w:rPr>
              <w:t>Оборот организаций, %</w:t>
            </w:r>
          </w:p>
        </w:tc>
        <w:tc>
          <w:tcPr>
            <w:tcW w:w="1244" w:type="dxa"/>
          </w:tcPr>
          <w:p w:rsidR="00B26416" w:rsidRPr="00293DB5" w:rsidRDefault="00B26416" w:rsidP="00717BAC">
            <w:pPr>
              <w:pStyle w:val="tabletext"/>
              <w:jc w:val="right"/>
              <w:rPr>
                <w:sz w:val="24"/>
                <w:szCs w:val="24"/>
              </w:rPr>
            </w:pPr>
            <w:r w:rsidRPr="00293DB5">
              <w:rPr>
                <w:sz w:val="24"/>
                <w:szCs w:val="24"/>
              </w:rPr>
              <w:t>121,4</w:t>
            </w:r>
          </w:p>
        </w:tc>
        <w:tc>
          <w:tcPr>
            <w:tcW w:w="1225" w:type="dxa"/>
          </w:tcPr>
          <w:p w:rsidR="00B26416" w:rsidRPr="00293DB5" w:rsidRDefault="00293DB5" w:rsidP="00717BAC">
            <w:pPr>
              <w:pStyle w:val="tabletext"/>
              <w:jc w:val="right"/>
              <w:rPr>
                <w:sz w:val="24"/>
                <w:szCs w:val="24"/>
              </w:rPr>
            </w:pPr>
            <w:r w:rsidRPr="00293DB5">
              <w:rPr>
                <w:sz w:val="24"/>
                <w:szCs w:val="24"/>
              </w:rPr>
              <w:t>107,2</w:t>
            </w:r>
          </w:p>
        </w:tc>
        <w:tc>
          <w:tcPr>
            <w:tcW w:w="1863" w:type="dxa"/>
          </w:tcPr>
          <w:p w:rsidR="00B26416" w:rsidRPr="00293DB5" w:rsidRDefault="00293DB5" w:rsidP="00717BAC">
            <w:pPr>
              <w:pStyle w:val="tabletext"/>
              <w:jc w:val="right"/>
              <w:rPr>
                <w:sz w:val="24"/>
                <w:szCs w:val="24"/>
              </w:rPr>
            </w:pPr>
            <w:r w:rsidRPr="00293DB5">
              <w:rPr>
                <w:sz w:val="24"/>
                <w:szCs w:val="24"/>
              </w:rPr>
              <w:t>160,8</w:t>
            </w:r>
          </w:p>
        </w:tc>
      </w:tr>
      <w:tr w:rsidR="00B26416" w:rsidRPr="00CB32B6" w:rsidTr="00293DB5">
        <w:trPr>
          <w:tblHeader/>
          <w:jc w:val="center"/>
        </w:trPr>
        <w:tc>
          <w:tcPr>
            <w:tcW w:w="5871" w:type="dxa"/>
          </w:tcPr>
          <w:p w:rsidR="00B26416" w:rsidRPr="00B26416" w:rsidRDefault="00B26416" w:rsidP="00717BAC">
            <w:pPr>
              <w:pStyle w:val="tabletext"/>
              <w:rPr>
                <w:sz w:val="24"/>
                <w:szCs w:val="24"/>
              </w:rPr>
            </w:pPr>
            <w:r w:rsidRPr="00B26416">
              <w:rPr>
                <w:sz w:val="24"/>
                <w:szCs w:val="24"/>
              </w:rPr>
              <w:t>Объем отгруженных товаров собственного прои</w:t>
            </w:r>
            <w:r w:rsidRPr="00B26416">
              <w:rPr>
                <w:sz w:val="24"/>
                <w:szCs w:val="24"/>
              </w:rPr>
              <w:t>з</w:t>
            </w:r>
            <w:r w:rsidRPr="00B26416">
              <w:rPr>
                <w:sz w:val="24"/>
                <w:szCs w:val="24"/>
              </w:rPr>
              <w:t>водства, %</w:t>
            </w:r>
          </w:p>
        </w:tc>
        <w:tc>
          <w:tcPr>
            <w:tcW w:w="1244" w:type="dxa"/>
          </w:tcPr>
          <w:p w:rsidR="00B26416" w:rsidRPr="00293DB5" w:rsidRDefault="00B26416" w:rsidP="00717BAC">
            <w:pPr>
              <w:pStyle w:val="tabletext"/>
              <w:jc w:val="right"/>
              <w:rPr>
                <w:sz w:val="24"/>
                <w:szCs w:val="24"/>
              </w:rPr>
            </w:pPr>
            <w:r w:rsidRPr="00293DB5">
              <w:rPr>
                <w:sz w:val="24"/>
                <w:szCs w:val="24"/>
              </w:rPr>
              <w:t>121,1</w:t>
            </w:r>
          </w:p>
        </w:tc>
        <w:tc>
          <w:tcPr>
            <w:tcW w:w="1225" w:type="dxa"/>
          </w:tcPr>
          <w:p w:rsidR="00B26416" w:rsidRPr="00293DB5" w:rsidRDefault="00293DB5" w:rsidP="00717BAC">
            <w:pPr>
              <w:pStyle w:val="tabletext"/>
              <w:jc w:val="right"/>
              <w:rPr>
                <w:sz w:val="24"/>
                <w:szCs w:val="24"/>
              </w:rPr>
            </w:pPr>
            <w:r w:rsidRPr="00293DB5">
              <w:rPr>
                <w:sz w:val="24"/>
                <w:szCs w:val="24"/>
              </w:rPr>
              <w:t>105,1</w:t>
            </w:r>
          </w:p>
        </w:tc>
        <w:tc>
          <w:tcPr>
            <w:tcW w:w="1863" w:type="dxa"/>
          </w:tcPr>
          <w:p w:rsidR="00B26416" w:rsidRPr="00293DB5" w:rsidRDefault="00293DB5" w:rsidP="00717BAC">
            <w:pPr>
              <w:pStyle w:val="tabletext"/>
              <w:jc w:val="right"/>
              <w:rPr>
                <w:sz w:val="24"/>
                <w:szCs w:val="24"/>
              </w:rPr>
            </w:pPr>
            <w:r w:rsidRPr="00293DB5">
              <w:rPr>
                <w:sz w:val="24"/>
                <w:szCs w:val="24"/>
              </w:rPr>
              <w:t>151,2</w:t>
            </w:r>
          </w:p>
        </w:tc>
      </w:tr>
      <w:tr w:rsidR="00B26416" w:rsidRPr="00CB32B6" w:rsidTr="00293DB5">
        <w:trPr>
          <w:jc w:val="center"/>
        </w:trPr>
        <w:tc>
          <w:tcPr>
            <w:tcW w:w="5871" w:type="dxa"/>
          </w:tcPr>
          <w:p w:rsidR="00B26416" w:rsidRPr="00B26416" w:rsidRDefault="00B26416" w:rsidP="00717BAC">
            <w:pPr>
              <w:pStyle w:val="a5"/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B26416">
              <w:rPr>
                <w:sz w:val="24"/>
                <w:szCs w:val="24"/>
              </w:rPr>
              <w:t>Сальдированный финансовый результат, %</w:t>
            </w:r>
          </w:p>
        </w:tc>
        <w:tc>
          <w:tcPr>
            <w:tcW w:w="1244" w:type="dxa"/>
          </w:tcPr>
          <w:p w:rsidR="00B26416" w:rsidRPr="00B26416" w:rsidRDefault="00293DB5" w:rsidP="00717BAC">
            <w:pPr>
              <w:pStyle w:val="tabletex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</w:t>
            </w:r>
          </w:p>
        </w:tc>
        <w:tc>
          <w:tcPr>
            <w:tcW w:w="1225" w:type="dxa"/>
          </w:tcPr>
          <w:p w:rsidR="00B26416" w:rsidRPr="00293DB5" w:rsidRDefault="00293DB5" w:rsidP="00717BAC">
            <w:pPr>
              <w:pStyle w:val="tabletext"/>
              <w:jc w:val="right"/>
              <w:rPr>
                <w:sz w:val="24"/>
                <w:szCs w:val="24"/>
              </w:rPr>
            </w:pPr>
            <w:r w:rsidRPr="00293DB5">
              <w:rPr>
                <w:sz w:val="24"/>
                <w:szCs w:val="24"/>
              </w:rPr>
              <w:t>117,4</w:t>
            </w:r>
          </w:p>
        </w:tc>
        <w:tc>
          <w:tcPr>
            <w:tcW w:w="1863" w:type="dxa"/>
          </w:tcPr>
          <w:p w:rsidR="00B26416" w:rsidRPr="00293DB5" w:rsidRDefault="00293DB5" w:rsidP="00717BAC">
            <w:pPr>
              <w:pStyle w:val="tabletex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151,3</w:t>
            </w:r>
          </w:p>
        </w:tc>
      </w:tr>
    </w:tbl>
    <w:p w:rsidR="00FC1818" w:rsidRDefault="00FC1818" w:rsidP="00717BAC">
      <w:pPr>
        <w:pStyle w:val="standardtext"/>
        <w:spacing w:after="0"/>
        <w:rPr>
          <w:szCs w:val="28"/>
        </w:rPr>
      </w:pPr>
    </w:p>
    <w:p w:rsidR="00EB2663" w:rsidRDefault="003F6ECC" w:rsidP="00550ED0">
      <w:pPr>
        <w:pStyle w:val="standardtext"/>
        <w:spacing w:after="0"/>
        <w:ind w:firstLine="284"/>
        <w:rPr>
          <w:b/>
          <w:i/>
          <w:sz w:val="24"/>
          <w:szCs w:val="24"/>
        </w:rPr>
      </w:pPr>
      <w:r>
        <w:rPr>
          <w:b/>
          <w:i/>
          <w:noProof/>
          <w:sz w:val="24"/>
          <w:szCs w:val="24"/>
        </w:rPr>
        <w:drawing>
          <wp:inline distT="0" distB="0" distL="0" distR="0" wp14:anchorId="754218B0" wp14:editId="03BA1A18">
            <wp:extent cx="5890260" cy="4215765"/>
            <wp:effectExtent l="0" t="0" r="0" b="0"/>
            <wp:docPr id="1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C1818" w:rsidRPr="00FC1818" w:rsidRDefault="00FC1818" w:rsidP="00717BAC">
      <w:pPr>
        <w:pStyle w:val="standardtext"/>
        <w:spacing w:after="0"/>
        <w:rPr>
          <w:b/>
          <w:i/>
          <w:sz w:val="24"/>
          <w:szCs w:val="24"/>
        </w:rPr>
      </w:pPr>
      <w:r w:rsidRPr="00FC1818">
        <w:rPr>
          <w:b/>
          <w:i/>
          <w:sz w:val="24"/>
          <w:szCs w:val="24"/>
        </w:rPr>
        <w:t>Рис.</w:t>
      </w:r>
      <w:r w:rsidR="00AD7621">
        <w:rPr>
          <w:b/>
          <w:i/>
          <w:sz w:val="24"/>
          <w:szCs w:val="24"/>
        </w:rPr>
        <w:t xml:space="preserve"> </w:t>
      </w:r>
      <w:r w:rsidRPr="00FC1818">
        <w:rPr>
          <w:b/>
          <w:i/>
          <w:sz w:val="24"/>
          <w:szCs w:val="24"/>
        </w:rPr>
        <w:t>1</w:t>
      </w:r>
      <w:r w:rsidR="0025574E">
        <w:rPr>
          <w:b/>
          <w:i/>
          <w:sz w:val="24"/>
          <w:szCs w:val="24"/>
        </w:rPr>
        <w:t>.2.1.</w:t>
      </w:r>
      <w:r w:rsidRPr="00FC1818">
        <w:rPr>
          <w:b/>
          <w:i/>
          <w:sz w:val="24"/>
          <w:szCs w:val="24"/>
        </w:rPr>
        <w:t xml:space="preserve"> </w:t>
      </w:r>
      <w:proofErr w:type="gramStart"/>
      <w:r w:rsidRPr="00FC1818">
        <w:rPr>
          <w:b/>
          <w:i/>
          <w:sz w:val="24"/>
          <w:szCs w:val="24"/>
        </w:rPr>
        <w:t>Сравнение основных показателей развития города Перми в 2008-2012 г</w:t>
      </w:r>
      <w:r w:rsidRPr="00FC1818">
        <w:rPr>
          <w:b/>
          <w:i/>
          <w:sz w:val="24"/>
          <w:szCs w:val="24"/>
        </w:rPr>
        <w:t>о</w:t>
      </w:r>
      <w:r w:rsidRPr="00FC1818">
        <w:rPr>
          <w:b/>
          <w:i/>
          <w:sz w:val="24"/>
          <w:szCs w:val="24"/>
        </w:rPr>
        <w:t>дах, темпы роста в %, в сопоставимых ценах</w:t>
      </w:r>
      <w:proofErr w:type="gramEnd"/>
    </w:p>
    <w:p w:rsidR="00AD7621" w:rsidRDefault="00AD7621" w:rsidP="00717BAC">
      <w:pPr>
        <w:pStyle w:val="standardtext"/>
        <w:spacing w:after="0"/>
        <w:rPr>
          <w:szCs w:val="28"/>
        </w:rPr>
      </w:pPr>
    </w:p>
    <w:p w:rsidR="00253DFB" w:rsidRPr="008C3C53" w:rsidRDefault="00253DFB" w:rsidP="00390DA0">
      <w:pPr>
        <w:pStyle w:val="standardtext"/>
        <w:widowControl w:val="0"/>
        <w:spacing w:after="0"/>
        <w:rPr>
          <w:szCs w:val="28"/>
        </w:rPr>
      </w:pPr>
      <w:r w:rsidRPr="00A055B2">
        <w:rPr>
          <w:szCs w:val="28"/>
        </w:rPr>
        <w:t xml:space="preserve">Производительность труда в экономике </w:t>
      </w:r>
      <w:r w:rsidR="005771FE">
        <w:rPr>
          <w:szCs w:val="28"/>
        </w:rPr>
        <w:t>города Перми</w:t>
      </w:r>
      <w:r w:rsidRPr="00A055B2">
        <w:rPr>
          <w:szCs w:val="28"/>
        </w:rPr>
        <w:t xml:space="preserve"> по итогам 20</w:t>
      </w:r>
      <w:r w:rsidR="00E75A0E" w:rsidRPr="00A055B2">
        <w:rPr>
          <w:szCs w:val="28"/>
        </w:rPr>
        <w:t>12</w:t>
      </w:r>
      <w:r w:rsidRPr="00A055B2">
        <w:rPr>
          <w:szCs w:val="28"/>
        </w:rPr>
        <w:t xml:space="preserve"> г</w:t>
      </w:r>
      <w:r w:rsidR="005771FE">
        <w:rPr>
          <w:szCs w:val="28"/>
        </w:rPr>
        <w:t>ода</w:t>
      </w:r>
      <w:r w:rsidRPr="00A055B2">
        <w:rPr>
          <w:szCs w:val="28"/>
        </w:rPr>
        <w:t xml:space="preserve"> составила </w:t>
      </w:r>
      <w:r w:rsidR="00E75A0E" w:rsidRPr="00A055B2">
        <w:rPr>
          <w:szCs w:val="28"/>
        </w:rPr>
        <w:t>3 098</w:t>
      </w:r>
      <w:r w:rsidRPr="00A055B2">
        <w:rPr>
          <w:szCs w:val="28"/>
        </w:rPr>
        <w:t>,</w:t>
      </w:r>
      <w:r w:rsidR="00A055B2" w:rsidRPr="00A055B2">
        <w:rPr>
          <w:szCs w:val="28"/>
        </w:rPr>
        <w:t>1</w:t>
      </w:r>
      <w:r w:rsidRPr="00A055B2">
        <w:rPr>
          <w:szCs w:val="28"/>
        </w:rPr>
        <w:t xml:space="preserve"> </w:t>
      </w:r>
      <w:proofErr w:type="spellStart"/>
      <w:r w:rsidRPr="00A055B2">
        <w:rPr>
          <w:szCs w:val="28"/>
        </w:rPr>
        <w:t>тыс</w:t>
      </w:r>
      <w:proofErr w:type="gramStart"/>
      <w:r w:rsidRPr="00A055B2">
        <w:rPr>
          <w:szCs w:val="28"/>
        </w:rPr>
        <w:t>.р</w:t>
      </w:r>
      <w:proofErr w:type="gramEnd"/>
      <w:r w:rsidRPr="00A055B2">
        <w:rPr>
          <w:szCs w:val="28"/>
        </w:rPr>
        <w:t>уб</w:t>
      </w:r>
      <w:proofErr w:type="spellEnd"/>
      <w:r w:rsidRPr="00A055B2">
        <w:rPr>
          <w:szCs w:val="28"/>
        </w:rPr>
        <w:t>. на одного занятого</w:t>
      </w:r>
      <w:r w:rsidRPr="008C3C53">
        <w:rPr>
          <w:szCs w:val="28"/>
        </w:rPr>
        <w:t>, что выше аналогичного показат</w:t>
      </w:r>
      <w:r w:rsidRPr="008C3C53">
        <w:rPr>
          <w:szCs w:val="28"/>
        </w:rPr>
        <w:t>е</w:t>
      </w:r>
      <w:r w:rsidRPr="008C3C53">
        <w:rPr>
          <w:szCs w:val="28"/>
        </w:rPr>
        <w:t xml:space="preserve">ля по </w:t>
      </w:r>
      <w:r w:rsidR="00A055B2" w:rsidRPr="008C3C53">
        <w:rPr>
          <w:szCs w:val="28"/>
        </w:rPr>
        <w:t>Пермскому краю</w:t>
      </w:r>
      <w:r w:rsidRPr="008C3C53">
        <w:rPr>
          <w:szCs w:val="28"/>
        </w:rPr>
        <w:t xml:space="preserve"> (</w:t>
      </w:r>
      <w:r w:rsidR="00A055B2" w:rsidRPr="008C3C53">
        <w:rPr>
          <w:szCs w:val="28"/>
        </w:rPr>
        <w:t>1 821,5</w:t>
      </w:r>
      <w:r w:rsidRPr="008C3C53">
        <w:rPr>
          <w:szCs w:val="28"/>
        </w:rPr>
        <w:t xml:space="preserve"> </w:t>
      </w:r>
      <w:proofErr w:type="spellStart"/>
      <w:r w:rsidRPr="008C3C53">
        <w:rPr>
          <w:szCs w:val="28"/>
        </w:rPr>
        <w:t>тыс.руб</w:t>
      </w:r>
      <w:proofErr w:type="spellEnd"/>
      <w:r w:rsidRPr="008C3C53">
        <w:rPr>
          <w:szCs w:val="28"/>
        </w:rPr>
        <w:t xml:space="preserve">./занятых в экономике) </w:t>
      </w:r>
      <w:r w:rsidR="008C3C53" w:rsidRPr="008C3C53">
        <w:rPr>
          <w:szCs w:val="28"/>
        </w:rPr>
        <w:t>и по Российской Федерации</w:t>
      </w:r>
      <w:r w:rsidRPr="008C3C53">
        <w:rPr>
          <w:szCs w:val="28"/>
        </w:rPr>
        <w:t xml:space="preserve"> (</w:t>
      </w:r>
      <w:r w:rsidR="008C3C53" w:rsidRPr="008C3C53">
        <w:rPr>
          <w:szCs w:val="28"/>
        </w:rPr>
        <w:t>1 997,7</w:t>
      </w:r>
      <w:r w:rsidRPr="008C3C53">
        <w:rPr>
          <w:szCs w:val="28"/>
        </w:rPr>
        <w:t xml:space="preserve"> </w:t>
      </w:r>
      <w:proofErr w:type="spellStart"/>
      <w:r w:rsidRPr="008C3C53">
        <w:rPr>
          <w:szCs w:val="28"/>
        </w:rPr>
        <w:t>тыс.</w:t>
      </w:r>
      <w:r w:rsidR="00D25FD6">
        <w:rPr>
          <w:szCs w:val="28"/>
        </w:rPr>
        <w:t>руб</w:t>
      </w:r>
      <w:proofErr w:type="spellEnd"/>
      <w:r w:rsidR="00D25FD6">
        <w:rPr>
          <w:szCs w:val="28"/>
        </w:rPr>
        <w:t>./</w:t>
      </w:r>
      <w:r w:rsidRPr="008C3C53">
        <w:rPr>
          <w:szCs w:val="28"/>
        </w:rPr>
        <w:t xml:space="preserve">занятых в экономике). </w:t>
      </w:r>
    </w:p>
    <w:p w:rsidR="00253DFB" w:rsidRPr="00A67B9F" w:rsidRDefault="00253DFB" w:rsidP="00717BAC">
      <w:pPr>
        <w:pStyle w:val="standardtext"/>
        <w:spacing w:after="0"/>
        <w:rPr>
          <w:szCs w:val="28"/>
        </w:rPr>
      </w:pPr>
      <w:r w:rsidRPr="008C3C53">
        <w:t>В сфере промышленного производства в 20</w:t>
      </w:r>
      <w:r w:rsidR="00370043" w:rsidRPr="008C3C53">
        <w:t>12</w:t>
      </w:r>
      <w:r w:rsidRPr="008C3C53">
        <w:t xml:space="preserve"> г</w:t>
      </w:r>
      <w:r w:rsidR="005771FE">
        <w:t>оду</w:t>
      </w:r>
      <w:r w:rsidRPr="00370043">
        <w:t xml:space="preserve"> объем отгруженных т</w:t>
      </w:r>
      <w:r w:rsidRPr="00370043">
        <w:t>о</w:t>
      </w:r>
      <w:r w:rsidRPr="00370043">
        <w:t>варов к</w:t>
      </w:r>
      <w:r w:rsidR="00180345">
        <w:t xml:space="preserve"> </w:t>
      </w:r>
      <w:r w:rsidR="00EA6FE4">
        <w:t>уровню</w:t>
      </w:r>
      <w:r w:rsidR="00180345">
        <w:t xml:space="preserve"> </w:t>
      </w:r>
      <w:r w:rsidRPr="00370043">
        <w:t>200</w:t>
      </w:r>
      <w:r w:rsidR="00370043" w:rsidRPr="00370043">
        <w:t>8</w:t>
      </w:r>
      <w:r w:rsidR="00180345">
        <w:t xml:space="preserve"> </w:t>
      </w:r>
      <w:r w:rsidRPr="00370043">
        <w:t>г</w:t>
      </w:r>
      <w:r w:rsidR="005771FE">
        <w:t>ода</w:t>
      </w:r>
      <w:r w:rsidR="00180345">
        <w:t xml:space="preserve"> </w:t>
      </w:r>
      <w:r w:rsidR="00EA6FE4">
        <w:t>вырос</w:t>
      </w:r>
      <w:r w:rsidR="00180345">
        <w:t xml:space="preserve"> </w:t>
      </w:r>
      <w:r w:rsidRPr="00370043">
        <w:t>в</w:t>
      </w:r>
      <w:r w:rsidR="00180345">
        <w:t xml:space="preserve"> </w:t>
      </w:r>
      <w:r w:rsidRPr="00370043">
        <w:t>1,</w:t>
      </w:r>
      <w:r w:rsidR="00370043" w:rsidRPr="00370043">
        <w:t>5</w:t>
      </w:r>
      <w:r w:rsidR="00180345">
        <w:t xml:space="preserve">1 </w:t>
      </w:r>
      <w:r w:rsidR="00EA6FE4">
        <w:t>раза</w:t>
      </w:r>
      <w:r w:rsidR="00180345">
        <w:t xml:space="preserve"> </w:t>
      </w:r>
      <w:r w:rsidRPr="00370043">
        <w:t xml:space="preserve">(рост по России </w:t>
      </w:r>
      <w:r w:rsidRPr="00C540FF">
        <w:t xml:space="preserve">составил </w:t>
      </w:r>
      <w:r w:rsidR="00500C24">
        <w:t>–</w:t>
      </w:r>
      <w:r w:rsidRPr="00C540FF">
        <w:t xml:space="preserve"> 1,5</w:t>
      </w:r>
      <w:r w:rsidR="00C540FF" w:rsidRPr="00C540FF">
        <w:t>7</w:t>
      </w:r>
      <w:r w:rsidRPr="00C540FF">
        <w:t xml:space="preserve"> раза, </w:t>
      </w:r>
      <w:r w:rsidR="00370043" w:rsidRPr="00C540FF">
        <w:t>по</w:t>
      </w:r>
      <w:r w:rsidR="00370043" w:rsidRPr="00370043">
        <w:t xml:space="preserve"> Пермскому краю</w:t>
      </w:r>
      <w:r w:rsidRPr="00370043">
        <w:t xml:space="preserve"> </w:t>
      </w:r>
      <w:r w:rsidR="00500C24">
        <w:t>–</w:t>
      </w:r>
      <w:r w:rsidRPr="00370043">
        <w:t xml:space="preserve"> 1,4</w:t>
      </w:r>
      <w:r w:rsidR="00370043" w:rsidRPr="00370043">
        <w:t>3</w:t>
      </w:r>
      <w:r w:rsidRPr="00370043">
        <w:t xml:space="preserve"> раза) и составил в 20</w:t>
      </w:r>
      <w:r w:rsidR="00370043" w:rsidRPr="00370043">
        <w:t>12</w:t>
      </w:r>
      <w:r w:rsidRPr="00370043">
        <w:t xml:space="preserve"> г</w:t>
      </w:r>
      <w:r w:rsidR="00180345">
        <w:t>оду</w:t>
      </w:r>
      <w:r w:rsidRPr="00370043">
        <w:t xml:space="preserve"> </w:t>
      </w:r>
      <w:r w:rsidR="00370043" w:rsidRPr="00370043">
        <w:t>652,4</w:t>
      </w:r>
      <w:r w:rsidRPr="00370043">
        <w:t xml:space="preserve"> </w:t>
      </w:r>
      <w:proofErr w:type="spellStart"/>
      <w:r w:rsidRPr="00370043">
        <w:t>млрд</w:t>
      </w:r>
      <w:proofErr w:type="gramStart"/>
      <w:r w:rsidRPr="00370043">
        <w:t>.р</w:t>
      </w:r>
      <w:proofErr w:type="gramEnd"/>
      <w:r w:rsidRPr="00370043">
        <w:t>уб</w:t>
      </w:r>
      <w:proofErr w:type="spellEnd"/>
      <w:r w:rsidRPr="00370043">
        <w:t xml:space="preserve">. </w:t>
      </w:r>
      <w:r w:rsidR="00500C24">
        <w:br/>
      </w:r>
      <w:r w:rsidRPr="00370043">
        <w:t xml:space="preserve">или </w:t>
      </w:r>
      <w:r w:rsidR="00370043" w:rsidRPr="00370043">
        <w:t>52,6</w:t>
      </w:r>
      <w:r w:rsidRPr="00370043">
        <w:t xml:space="preserve">% от </w:t>
      </w:r>
      <w:proofErr w:type="spellStart"/>
      <w:r w:rsidRPr="00370043">
        <w:t>обще</w:t>
      </w:r>
      <w:r w:rsidR="00370043" w:rsidRPr="00370043">
        <w:t>краевого</w:t>
      </w:r>
      <w:proofErr w:type="spellEnd"/>
      <w:r w:rsidRPr="00370043">
        <w:t xml:space="preserve"> объема. По данному </w:t>
      </w:r>
      <w:r w:rsidRPr="00A67B9F">
        <w:t xml:space="preserve">показателю </w:t>
      </w:r>
      <w:r w:rsidR="00370043" w:rsidRPr="00A67B9F">
        <w:t xml:space="preserve">Пермь занимала </w:t>
      </w:r>
      <w:r w:rsidR="00EA6FE4">
        <w:br/>
      </w:r>
      <w:r w:rsidR="00370043" w:rsidRPr="00A67B9F">
        <w:t>по итогам 2012 года</w:t>
      </w:r>
      <w:r w:rsidRPr="00A67B9F">
        <w:t xml:space="preserve"> 1</w:t>
      </w:r>
      <w:r w:rsidR="00500C24">
        <w:t>-е</w:t>
      </w:r>
      <w:r w:rsidRPr="00A67B9F">
        <w:t xml:space="preserve"> место </w:t>
      </w:r>
      <w:r w:rsidR="00370043" w:rsidRPr="00A67B9F">
        <w:t>среди городов-аналогов</w:t>
      </w:r>
      <w:r w:rsidR="00A67B9F" w:rsidRPr="005B6765">
        <w:rPr>
          <w:rStyle w:val="a9"/>
        </w:rPr>
        <w:footnoteReference w:id="1"/>
      </w:r>
      <w:r w:rsidRPr="00A67B9F">
        <w:t>.</w:t>
      </w:r>
    </w:p>
    <w:p w:rsidR="00253DFB" w:rsidRDefault="00253DFB" w:rsidP="00717BAC">
      <w:pPr>
        <w:pStyle w:val="standardtext"/>
        <w:spacing w:after="0"/>
        <w:rPr>
          <w:szCs w:val="28"/>
        </w:rPr>
      </w:pPr>
      <w:r w:rsidRPr="00370043">
        <w:rPr>
          <w:szCs w:val="28"/>
        </w:rPr>
        <w:t>По объему отгруженных промышленных товаров собственного произво</w:t>
      </w:r>
      <w:r w:rsidRPr="00370043">
        <w:rPr>
          <w:szCs w:val="28"/>
        </w:rPr>
        <w:t>д</w:t>
      </w:r>
      <w:r w:rsidRPr="00370043">
        <w:rPr>
          <w:szCs w:val="28"/>
        </w:rPr>
        <w:t>ства на душу населения в 20</w:t>
      </w:r>
      <w:r w:rsidR="00370043" w:rsidRPr="00370043">
        <w:rPr>
          <w:szCs w:val="28"/>
        </w:rPr>
        <w:t>12</w:t>
      </w:r>
      <w:r w:rsidRPr="00370043">
        <w:rPr>
          <w:szCs w:val="28"/>
        </w:rPr>
        <w:t xml:space="preserve"> г</w:t>
      </w:r>
      <w:r w:rsidR="00F75975">
        <w:rPr>
          <w:szCs w:val="28"/>
        </w:rPr>
        <w:t>оду</w:t>
      </w:r>
      <w:r w:rsidRPr="00370043">
        <w:rPr>
          <w:szCs w:val="28"/>
        </w:rPr>
        <w:t xml:space="preserve"> </w:t>
      </w:r>
      <w:r w:rsidR="00370043" w:rsidRPr="00C540FF">
        <w:rPr>
          <w:szCs w:val="28"/>
        </w:rPr>
        <w:t>Пермь</w:t>
      </w:r>
      <w:r w:rsidRPr="00C540FF">
        <w:rPr>
          <w:szCs w:val="28"/>
        </w:rPr>
        <w:t xml:space="preserve"> </w:t>
      </w:r>
      <w:r w:rsidR="00F75975" w:rsidRPr="00C540FF">
        <w:rPr>
          <w:szCs w:val="28"/>
        </w:rPr>
        <w:t xml:space="preserve">также </w:t>
      </w:r>
      <w:r w:rsidRPr="00C540FF">
        <w:rPr>
          <w:szCs w:val="28"/>
        </w:rPr>
        <w:t>занял</w:t>
      </w:r>
      <w:r w:rsidR="00F75975">
        <w:rPr>
          <w:szCs w:val="28"/>
        </w:rPr>
        <w:t>а</w:t>
      </w:r>
      <w:r w:rsidR="00C540FF" w:rsidRPr="00C540FF">
        <w:rPr>
          <w:szCs w:val="28"/>
        </w:rPr>
        <w:t xml:space="preserve"> </w:t>
      </w:r>
      <w:r w:rsidRPr="00C540FF">
        <w:rPr>
          <w:szCs w:val="28"/>
        </w:rPr>
        <w:t>1</w:t>
      </w:r>
      <w:r w:rsidR="00500C24">
        <w:rPr>
          <w:szCs w:val="28"/>
        </w:rPr>
        <w:t>-е</w:t>
      </w:r>
      <w:r w:rsidRPr="00C540FF">
        <w:rPr>
          <w:szCs w:val="28"/>
        </w:rPr>
        <w:t xml:space="preserve"> место </w:t>
      </w:r>
      <w:r w:rsidR="00C540FF" w:rsidRPr="00C540FF">
        <w:rPr>
          <w:szCs w:val="28"/>
        </w:rPr>
        <w:t>среди гор</w:t>
      </w:r>
      <w:r w:rsidR="00C540FF" w:rsidRPr="00C540FF">
        <w:rPr>
          <w:szCs w:val="28"/>
        </w:rPr>
        <w:t>о</w:t>
      </w:r>
      <w:r w:rsidR="00C540FF" w:rsidRPr="00C540FF">
        <w:rPr>
          <w:szCs w:val="28"/>
        </w:rPr>
        <w:t>дов-аналогов</w:t>
      </w:r>
      <w:r w:rsidRPr="00C540FF">
        <w:rPr>
          <w:szCs w:val="28"/>
        </w:rPr>
        <w:t xml:space="preserve"> (</w:t>
      </w:r>
      <w:r w:rsidR="00C540FF" w:rsidRPr="00C540FF">
        <w:rPr>
          <w:szCs w:val="28"/>
        </w:rPr>
        <w:t>532,1</w:t>
      </w:r>
      <w:r w:rsidRPr="00C540FF">
        <w:rPr>
          <w:szCs w:val="28"/>
        </w:rPr>
        <w:t xml:space="preserve"> </w:t>
      </w:r>
      <w:proofErr w:type="spellStart"/>
      <w:r w:rsidRPr="00C540FF">
        <w:rPr>
          <w:szCs w:val="28"/>
        </w:rPr>
        <w:t>тыс</w:t>
      </w:r>
      <w:proofErr w:type="gramStart"/>
      <w:r w:rsidRPr="00C540FF">
        <w:rPr>
          <w:szCs w:val="28"/>
        </w:rPr>
        <w:t>.р</w:t>
      </w:r>
      <w:proofErr w:type="gramEnd"/>
      <w:r w:rsidRPr="00C540FF">
        <w:rPr>
          <w:szCs w:val="28"/>
        </w:rPr>
        <w:t>уб</w:t>
      </w:r>
      <w:proofErr w:type="spellEnd"/>
      <w:r w:rsidRPr="00C540FF">
        <w:rPr>
          <w:szCs w:val="28"/>
        </w:rPr>
        <w:t>. на душу населения).</w:t>
      </w:r>
    </w:p>
    <w:p w:rsidR="00CB32B6" w:rsidRPr="00AF0CD3" w:rsidRDefault="00CB32B6" w:rsidP="00717BA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4996">
        <w:rPr>
          <w:sz w:val="28"/>
          <w:szCs w:val="28"/>
        </w:rPr>
        <w:t xml:space="preserve">В 2012 году </w:t>
      </w:r>
      <w:r w:rsidRPr="005764AA">
        <w:rPr>
          <w:sz w:val="28"/>
          <w:szCs w:val="28"/>
        </w:rPr>
        <w:t xml:space="preserve">наблюдалась негативная динамика роста объемов </w:t>
      </w:r>
      <w:r w:rsidRPr="00CB32B6">
        <w:rPr>
          <w:sz w:val="28"/>
          <w:szCs w:val="28"/>
        </w:rPr>
        <w:t>промы</w:t>
      </w:r>
      <w:r w:rsidRPr="00CB32B6">
        <w:rPr>
          <w:sz w:val="28"/>
          <w:szCs w:val="28"/>
        </w:rPr>
        <w:t>ш</w:t>
      </w:r>
      <w:r w:rsidRPr="00CB32B6">
        <w:rPr>
          <w:sz w:val="28"/>
          <w:szCs w:val="28"/>
        </w:rPr>
        <w:t>ленного производства</w:t>
      </w:r>
      <w:r w:rsidRPr="00AF0CD3">
        <w:rPr>
          <w:sz w:val="28"/>
          <w:szCs w:val="28"/>
        </w:rPr>
        <w:t xml:space="preserve"> по отношению к выпуску 2011 года, что соответств</w:t>
      </w:r>
      <w:r>
        <w:rPr>
          <w:sz w:val="28"/>
          <w:szCs w:val="28"/>
        </w:rPr>
        <w:t>овало</w:t>
      </w:r>
      <w:r w:rsidRPr="00AF0CD3">
        <w:rPr>
          <w:sz w:val="28"/>
          <w:szCs w:val="28"/>
        </w:rPr>
        <w:t xml:space="preserve"> </w:t>
      </w:r>
      <w:proofErr w:type="spellStart"/>
      <w:r w:rsidRPr="00AF0CD3">
        <w:rPr>
          <w:sz w:val="28"/>
          <w:szCs w:val="28"/>
        </w:rPr>
        <w:t>общекраевой</w:t>
      </w:r>
      <w:proofErr w:type="spellEnd"/>
      <w:r w:rsidRPr="00AF0CD3">
        <w:rPr>
          <w:sz w:val="28"/>
          <w:szCs w:val="28"/>
        </w:rPr>
        <w:t xml:space="preserve"> динамике. В сравнении с Пермским краем темпы сокращения об</w:t>
      </w:r>
      <w:r w:rsidRPr="00AF0CD3">
        <w:rPr>
          <w:sz w:val="28"/>
          <w:szCs w:val="28"/>
        </w:rPr>
        <w:t>ъ</w:t>
      </w:r>
      <w:r w:rsidRPr="00AF0CD3">
        <w:rPr>
          <w:sz w:val="28"/>
          <w:szCs w:val="28"/>
        </w:rPr>
        <w:t>емов промышленности города несколько выше: индекс промышленного прои</w:t>
      </w:r>
      <w:r w:rsidRPr="00AF0CD3">
        <w:rPr>
          <w:sz w:val="28"/>
          <w:szCs w:val="28"/>
        </w:rPr>
        <w:t>з</w:t>
      </w:r>
      <w:r w:rsidRPr="00AF0CD3">
        <w:rPr>
          <w:sz w:val="28"/>
          <w:szCs w:val="28"/>
        </w:rPr>
        <w:t>водства по городу Перми</w:t>
      </w:r>
      <w:r>
        <w:rPr>
          <w:sz w:val="28"/>
          <w:szCs w:val="28"/>
        </w:rPr>
        <w:t xml:space="preserve"> в 2012 году</w:t>
      </w:r>
      <w:r w:rsidRPr="00AF0CD3">
        <w:rPr>
          <w:sz w:val="28"/>
          <w:szCs w:val="28"/>
        </w:rPr>
        <w:t xml:space="preserve"> составил 97,8%, по Пермскому краю – </w:t>
      </w:r>
      <w:r w:rsidR="00EA6FE4">
        <w:rPr>
          <w:sz w:val="28"/>
          <w:szCs w:val="28"/>
        </w:rPr>
        <w:br/>
      </w:r>
      <w:r w:rsidRPr="00AF0CD3">
        <w:rPr>
          <w:sz w:val="28"/>
          <w:szCs w:val="28"/>
        </w:rPr>
        <w:t>98,9%.</w:t>
      </w:r>
    </w:p>
    <w:p w:rsidR="00B26416" w:rsidRPr="00AF0CD3" w:rsidRDefault="00CB32B6" w:rsidP="00717BAC">
      <w:pPr>
        <w:pStyle w:val="standardtext"/>
        <w:spacing w:after="0"/>
        <w:rPr>
          <w:szCs w:val="28"/>
        </w:rPr>
      </w:pPr>
      <w:r w:rsidRPr="00AF0CD3">
        <w:rPr>
          <w:szCs w:val="28"/>
        </w:rPr>
        <w:t xml:space="preserve">Спад промышленного производства в 2012 году способствовал снижению темпов прироста </w:t>
      </w:r>
      <w:r w:rsidRPr="00CB32B6">
        <w:rPr>
          <w:szCs w:val="28"/>
        </w:rPr>
        <w:t>сальдированного финансового результата</w:t>
      </w:r>
      <w:r w:rsidRPr="00AF0CD3">
        <w:rPr>
          <w:szCs w:val="28"/>
        </w:rPr>
        <w:t xml:space="preserve"> (прибыль минус уб</w:t>
      </w:r>
      <w:r w:rsidRPr="00AF0CD3">
        <w:rPr>
          <w:szCs w:val="28"/>
        </w:rPr>
        <w:t>ы</w:t>
      </w:r>
      <w:r w:rsidRPr="00AF0CD3">
        <w:rPr>
          <w:szCs w:val="28"/>
        </w:rPr>
        <w:t>ток</w:t>
      </w:r>
      <w:r w:rsidR="00EA6FE4">
        <w:rPr>
          <w:szCs w:val="28"/>
        </w:rPr>
        <w:t xml:space="preserve">), который составил 122,9 </w:t>
      </w:r>
      <w:proofErr w:type="spellStart"/>
      <w:r w:rsidR="00EA6FE4">
        <w:rPr>
          <w:szCs w:val="28"/>
        </w:rPr>
        <w:t>млрд</w:t>
      </w:r>
      <w:proofErr w:type="gramStart"/>
      <w:r w:rsidR="00EA6FE4">
        <w:rPr>
          <w:szCs w:val="28"/>
        </w:rPr>
        <w:t>.</w:t>
      </w:r>
      <w:r w:rsidRPr="00AF0CD3">
        <w:rPr>
          <w:szCs w:val="28"/>
        </w:rPr>
        <w:t>р</w:t>
      </w:r>
      <w:proofErr w:type="gramEnd"/>
      <w:r w:rsidRPr="00AF0CD3">
        <w:rPr>
          <w:szCs w:val="28"/>
        </w:rPr>
        <w:t>уб</w:t>
      </w:r>
      <w:proofErr w:type="spellEnd"/>
      <w:r w:rsidR="00180345">
        <w:rPr>
          <w:szCs w:val="28"/>
        </w:rPr>
        <w:t>.</w:t>
      </w:r>
      <w:r w:rsidRPr="00AF0CD3">
        <w:rPr>
          <w:szCs w:val="28"/>
        </w:rPr>
        <w:t xml:space="preserve"> (по крупным и средним предприятиям) или 117,4% к уровню 2011 года. </w:t>
      </w:r>
      <w:r w:rsidR="00B26416" w:rsidRPr="00AF0CD3">
        <w:rPr>
          <w:szCs w:val="28"/>
        </w:rPr>
        <w:t xml:space="preserve">На замедление роста финансового результата </w:t>
      </w:r>
      <w:r w:rsidR="00500C24">
        <w:rPr>
          <w:szCs w:val="28"/>
        </w:rPr>
        <w:br/>
      </w:r>
      <w:r w:rsidR="00B26416" w:rsidRPr="00AF0CD3">
        <w:rPr>
          <w:szCs w:val="28"/>
        </w:rPr>
        <w:t>в большей степени повли</w:t>
      </w:r>
      <w:r w:rsidR="00EA6FE4">
        <w:rPr>
          <w:szCs w:val="28"/>
        </w:rPr>
        <w:t>яли обрабатывающие производства</w:t>
      </w:r>
      <w:r w:rsidR="00180345">
        <w:rPr>
          <w:szCs w:val="28"/>
        </w:rPr>
        <w:t xml:space="preserve"> </w:t>
      </w:r>
      <w:r w:rsidR="00B26416" w:rsidRPr="00AF0CD3">
        <w:rPr>
          <w:szCs w:val="28"/>
        </w:rPr>
        <w:t>(сальдированный финансовый</w:t>
      </w:r>
      <w:r w:rsidR="00180345">
        <w:rPr>
          <w:szCs w:val="28"/>
        </w:rPr>
        <w:t xml:space="preserve"> </w:t>
      </w:r>
      <w:r w:rsidR="00EA6FE4">
        <w:rPr>
          <w:szCs w:val="28"/>
        </w:rPr>
        <w:t>результат</w:t>
      </w:r>
      <w:r w:rsidR="00180345">
        <w:rPr>
          <w:szCs w:val="28"/>
        </w:rPr>
        <w:t xml:space="preserve"> </w:t>
      </w:r>
      <w:r w:rsidR="00EA6FE4">
        <w:rPr>
          <w:szCs w:val="28"/>
        </w:rPr>
        <w:t>сократился</w:t>
      </w:r>
      <w:r w:rsidR="00180345">
        <w:rPr>
          <w:szCs w:val="28"/>
        </w:rPr>
        <w:t xml:space="preserve"> </w:t>
      </w:r>
      <w:r w:rsidR="00B26416" w:rsidRPr="00AF0CD3">
        <w:rPr>
          <w:szCs w:val="28"/>
        </w:rPr>
        <w:t>на 5,9% к уровню 2011 года), в частности м</w:t>
      </w:r>
      <w:r w:rsidR="00B26416" w:rsidRPr="00AF0CD3">
        <w:rPr>
          <w:szCs w:val="28"/>
        </w:rPr>
        <w:t>а</w:t>
      </w:r>
      <w:r w:rsidR="00B26416" w:rsidRPr="00AF0CD3">
        <w:rPr>
          <w:szCs w:val="28"/>
        </w:rPr>
        <w:t xml:space="preserve">шиностроение, химическое производство и металлургия. </w:t>
      </w:r>
    </w:p>
    <w:p w:rsidR="00B26416" w:rsidRDefault="00B26416" w:rsidP="00717BAC">
      <w:pPr>
        <w:pStyle w:val="standardtext"/>
        <w:spacing w:after="0"/>
        <w:rPr>
          <w:szCs w:val="28"/>
        </w:rPr>
      </w:pPr>
      <w:r>
        <w:rPr>
          <w:szCs w:val="28"/>
        </w:rPr>
        <w:t>По сравнению с 2008 годом сальдированный финансовый результат орг</w:t>
      </w:r>
      <w:r>
        <w:rPr>
          <w:szCs w:val="28"/>
        </w:rPr>
        <w:t>а</w:t>
      </w:r>
      <w:r>
        <w:rPr>
          <w:szCs w:val="28"/>
        </w:rPr>
        <w:t xml:space="preserve">низаций города Перми вырос в 2012 году на </w:t>
      </w:r>
      <w:r w:rsidR="00293DB5">
        <w:rPr>
          <w:szCs w:val="28"/>
        </w:rPr>
        <w:t>51,3</w:t>
      </w:r>
      <w:r>
        <w:rPr>
          <w:szCs w:val="28"/>
        </w:rPr>
        <w:t xml:space="preserve">% (по Пермскому краю </w:t>
      </w:r>
      <w:r w:rsidR="00EA6FE4">
        <w:rPr>
          <w:szCs w:val="28"/>
        </w:rPr>
        <w:t>–</w:t>
      </w:r>
      <w:r>
        <w:rPr>
          <w:szCs w:val="28"/>
        </w:rPr>
        <w:t xml:space="preserve"> </w:t>
      </w:r>
      <w:r w:rsidR="00EA6FE4">
        <w:rPr>
          <w:szCs w:val="28"/>
        </w:rPr>
        <w:br/>
      </w:r>
      <w:r>
        <w:rPr>
          <w:szCs w:val="28"/>
        </w:rPr>
        <w:t xml:space="preserve">на </w:t>
      </w:r>
      <w:r w:rsidR="00293DB5">
        <w:rPr>
          <w:szCs w:val="28"/>
        </w:rPr>
        <w:t>17,1</w:t>
      </w:r>
      <w:r>
        <w:rPr>
          <w:szCs w:val="28"/>
        </w:rPr>
        <w:t>%).</w:t>
      </w:r>
    </w:p>
    <w:p w:rsidR="00201FF8" w:rsidRPr="00201FF8" w:rsidRDefault="00201FF8" w:rsidP="00717BAC">
      <w:pPr>
        <w:pStyle w:val="standardtext"/>
        <w:spacing w:after="0"/>
      </w:pPr>
      <w:r>
        <w:rPr>
          <w:szCs w:val="28"/>
        </w:rPr>
        <w:t>В течение 2008-2012 годов финансовые показатели деятельности предпр</w:t>
      </w:r>
      <w:r>
        <w:rPr>
          <w:szCs w:val="28"/>
        </w:rPr>
        <w:t>и</w:t>
      </w:r>
      <w:r>
        <w:rPr>
          <w:szCs w:val="28"/>
        </w:rPr>
        <w:t xml:space="preserve">ятий города Перми отличались значительными </w:t>
      </w:r>
      <w:r w:rsidRPr="00201FF8">
        <w:rPr>
          <w:szCs w:val="28"/>
        </w:rPr>
        <w:t xml:space="preserve">колебаниями: резкий рост </w:t>
      </w:r>
      <w:r w:rsidR="00EA6FE4">
        <w:rPr>
          <w:szCs w:val="28"/>
        </w:rPr>
        <w:br/>
      </w:r>
      <w:r w:rsidRPr="00201FF8">
        <w:rPr>
          <w:szCs w:val="28"/>
        </w:rPr>
        <w:t>в 2008</w:t>
      </w:r>
      <w:r w:rsidR="00F75975">
        <w:rPr>
          <w:szCs w:val="28"/>
        </w:rPr>
        <w:t xml:space="preserve"> </w:t>
      </w:r>
      <w:r w:rsidRPr="00201FF8">
        <w:rPr>
          <w:szCs w:val="28"/>
        </w:rPr>
        <w:t xml:space="preserve">году </w:t>
      </w:r>
      <w:r w:rsidRPr="00201FF8">
        <w:t>с последующим таким</w:t>
      </w:r>
      <w:r>
        <w:t xml:space="preserve"> же резким падением в 2009 году, что вызвано</w:t>
      </w:r>
      <w:r w:rsidRPr="00201FF8">
        <w:t xml:space="preserve"> </w:t>
      </w:r>
      <w:proofErr w:type="gramStart"/>
      <w:r>
        <w:t>колебаниями</w:t>
      </w:r>
      <w:proofErr w:type="gramEnd"/>
      <w:r>
        <w:t xml:space="preserve"> </w:t>
      </w:r>
      <w:r w:rsidRPr="00201FF8">
        <w:t>как физических объемов производства, так и конъюнктуры осно</w:t>
      </w:r>
      <w:r w:rsidRPr="00201FF8">
        <w:t>в</w:t>
      </w:r>
      <w:r w:rsidRPr="00201FF8">
        <w:t>ных товарных рынков.</w:t>
      </w:r>
    </w:p>
    <w:p w:rsidR="00B26416" w:rsidRPr="00AF0CD3" w:rsidRDefault="00F75975" w:rsidP="00717BAC">
      <w:pPr>
        <w:pStyle w:val="standardtext"/>
        <w:spacing w:after="0"/>
        <w:rPr>
          <w:szCs w:val="28"/>
        </w:rPr>
      </w:pPr>
      <w:r>
        <w:rPr>
          <w:szCs w:val="28"/>
        </w:rPr>
        <w:t>В 2012 году п</w:t>
      </w:r>
      <w:r w:rsidR="00B26416" w:rsidRPr="00AF0CD3">
        <w:rPr>
          <w:szCs w:val="28"/>
        </w:rPr>
        <w:t xml:space="preserve">рибыль прибыльных предприятий города Перми </w:t>
      </w:r>
      <w:r w:rsidR="00B26416">
        <w:rPr>
          <w:szCs w:val="28"/>
        </w:rPr>
        <w:t>с</w:t>
      </w:r>
      <w:r w:rsidR="00EA6FE4">
        <w:rPr>
          <w:szCs w:val="28"/>
        </w:rPr>
        <w:t xml:space="preserve">оставила 135,3 </w:t>
      </w:r>
      <w:proofErr w:type="spellStart"/>
      <w:r w:rsidR="00EA6FE4">
        <w:rPr>
          <w:szCs w:val="28"/>
        </w:rPr>
        <w:t>млрд</w:t>
      </w:r>
      <w:proofErr w:type="gramStart"/>
      <w:r w:rsidR="00EA6FE4">
        <w:rPr>
          <w:szCs w:val="28"/>
        </w:rPr>
        <w:t>.</w:t>
      </w:r>
      <w:r w:rsidR="00B26416" w:rsidRPr="00AF0CD3">
        <w:rPr>
          <w:szCs w:val="28"/>
        </w:rPr>
        <w:t>р</w:t>
      </w:r>
      <w:proofErr w:type="gramEnd"/>
      <w:r w:rsidR="00B26416" w:rsidRPr="00AF0CD3">
        <w:rPr>
          <w:szCs w:val="28"/>
        </w:rPr>
        <w:t>уб</w:t>
      </w:r>
      <w:proofErr w:type="spellEnd"/>
      <w:r w:rsidR="0029396F">
        <w:rPr>
          <w:szCs w:val="28"/>
        </w:rPr>
        <w:t>.</w:t>
      </w:r>
      <w:r w:rsidR="00B26416" w:rsidRPr="00AF0CD3">
        <w:rPr>
          <w:szCs w:val="28"/>
        </w:rPr>
        <w:t xml:space="preserve">, увеличившись на 12,1% по сравнению с 2011 годом. </w:t>
      </w:r>
    </w:p>
    <w:p w:rsidR="00B26416" w:rsidRPr="00AF0CD3" w:rsidRDefault="00B26416" w:rsidP="00717BAC">
      <w:pPr>
        <w:pStyle w:val="standardtext"/>
        <w:spacing w:after="0"/>
      </w:pPr>
      <w:r w:rsidRPr="00AF0CD3">
        <w:rPr>
          <w:szCs w:val="28"/>
        </w:rPr>
        <w:t>Число убыточных предприятий в городе Перми в 2012 году, напротив, с</w:t>
      </w:r>
      <w:r w:rsidRPr="00AF0CD3">
        <w:rPr>
          <w:szCs w:val="28"/>
        </w:rPr>
        <w:t>о</w:t>
      </w:r>
      <w:r w:rsidR="00500C24">
        <w:rPr>
          <w:szCs w:val="28"/>
        </w:rPr>
        <w:t>кратилось –</w:t>
      </w:r>
      <w:r w:rsidRPr="00AF0CD3">
        <w:rPr>
          <w:szCs w:val="28"/>
        </w:rPr>
        <w:t xml:space="preserve"> с </w:t>
      </w:r>
      <w:r w:rsidR="00201FF8">
        <w:rPr>
          <w:szCs w:val="28"/>
        </w:rPr>
        <w:t>23,5</w:t>
      </w:r>
      <w:r w:rsidRPr="00AF0CD3">
        <w:rPr>
          <w:szCs w:val="28"/>
        </w:rPr>
        <w:t xml:space="preserve">% </w:t>
      </w:r>
      <w:r w:rsidR="00EA6FE4">
        <w:rPr>
          <w:szCs w:val="28"/>
        </w:rPr>
        <w:t>от</w:t>
      </w:r>
      <w:r w:rsidR="0029396F">
        <w:rPr>
          <w:szCs w:val="28"/>
        </w:rPr>
        <w:t xml:space="preserve"> </w:t>
      </w:r>
      <w:r w:rsidR="00EA6FE4">
        <w:rPr>
          <w:szCs w:val="28"/>
        </w:rPr>
        <w:t>общего</w:t>
      </w:r>
      <w:r w:rsidR="0029396F">
        <w:rPr>
          <w:szCs w:val="28"/>
        </w:rPr>
        <w:t xml:space="preserve"> </w:t>
      </w:r>
      <w:r w:rsidRPr="00AF0CD3">
        <w:rPr>
          <w:szCs w:val="28"/>
        </w:rPr>
        <w:t>числа</w:t>
      </w:r>
      <w:r w:rsidR="00EA6FE4">
        <w:rPr>
          <w:szCs w:val="28"/>
        </w:rPr>
        <w:t xml:space="preserve"> организаций</w:t>
      </w:r>
      <w:r w:rsidR="0029396F">
        <w:rPr>
          <w:szCs w:val="28"/>
        </w:rPr>
        <w:t xml:space="preserve"> </w:t>
      </w:r>
      <w:r w:rsidR="00EA6FE4">
        <w:rPr>
          <w:szCs w:val="28"/>
        </w:rPr>
        <w:t>города</w:t>
      </w:r>
      <w:r w:rsidR="0029396F">
        <w:rPr>
          <w:szCs w:val="28"/>
        </w:rPr>
        <w:t xml:space="preserve"> </w:t>
      </w:r>
      <w:r w:rsidR="00EA6FE4">
        <w:rPr>
          <w:szCs w:val="28"/>
        </w:rPr>
        <w:t>в</w:t>
      </w:r>
      <w:r w:rsidR="0029396F">
        <w:rPr>
          <w:szCs w:val="28"/>
        </w:rPr>
        <w:t xml:space="preserve"> </w:t>
      </w:r>
      <w:r w:rsidRPr="00AF0CD3">
        <w:rPr>
          <w:szCs w:val="28"/>
        </w:rPr>
        <w:t>20</w:t>
      </w:r>
      <w:r w:rsidR="00201FF8">
        <w:rPr>
          <w:szCs w:val="28"/>
        </w:rPr>
        <w:t>08</w:t>
      </w:r>
      <w:r w:rsidR="0029396F">
        <w:rPr>
          <w:szCs w:val="28"/>
        </w:rPr>
        <w:t xml:space="preserve"> </w:t>
      </w:r>
      <w:r w:rsidRPr="00AF0CD3">
        <w:rPr>
          <w:szCs w:val="28"/>
        </w:rPr>
        <w:t>г</w:t>
      </w:r>
      <w:r w:rsidR="00EA6FE4">
        <w:rPr>
          <w:szCs w:val="28"/>
        </w:rPr>
        <w:t>оду до</w:t>
      </w:r>
      <w:r w:rsidR="0029396F">
        <w:rPr>
          <w:szCs w:val="28"/>
        </w:rPr>
        <w:t xml:space="preserve"> </w:t>
      </w:r>
      <w:r w:rsidRPr="00AF0CD3">
        <w:rPr>
          <w:szCs w:val="28"/>
        </w:rPr>
        <w:t>20,2</w:t>
      </w:r>
      <w:r w:rsidR="00EA6FE4">
        <w:rPr>
          <w:szCs w:val="28"/>
        </w:rPr>
        <w:t>%</w:t>
      </w:r>
      <w:r w:rsidR="0029396F">
        <w:rPr>
          <w:szCs w:val="28"/>
        </w:rPr>
        <w:t xml:space="preserve"> </w:t>
      </w:r>
      <w:r w:rsidR="00EA6FE4">
        <w:rPr>
          <w:szCs w:val="28"/>
        </w:rPr>
        <w:br/>
        <w:t>в 2012</w:t>
      </w:r>
      <w:r w:rsidR="0029396F">
        <w:rPr>
          <w:szCs w:val="28"/>
        </w:rPr>
        <w:t xml:space="preserve"> </w:t>
      </w:r>
      <w:r w:rsidRPr="00AF0CD3">
        <w:rPr>
          <w:szCs w:val="28"/>
        </w:rPr>
        <w:t xml:space="preserve">году. </w:t>
      </w:r>
      <w:r w:rsidR="00EA6FE4">
        <w:rPr>
          <w:szCs w:val="28"/>
        </w:rPr>
        <w:t>Убыток</w:t>
      </w:r>
      <w:r w:rsidR="0029396F">
        <w:rPr>
          <w:szCs w:val="28"/>
        </w:rPr>
        <w:t xml:space="preserve"> </w:t>
      </w:r>
      <w:r w:rsidR="00EA6FE4">
        <w:rPr>
          <w:szCs w:val="28"/>
        </w:rPr>
        <w:t>вырос</w:t>
      </w:r>
      <w:r w:rsidR="0029396F">
        <w:rPr>
          <w:szCs w:val="28"/>
        </w:rPr>
        <w:t xml:space="preserve"> </w:t>
      </w:r>
      <w:r w:rsidRPr="00AF0CD3">
        <w:rPr>
          <w:szCs w:val="28"/>
        </w:rPr>
        <w:t xml:space="preserve">на </w:t>
      </w:r>
      <w:r w:rsidR="00EA6FE4">
        <w:rPr>
          <w:szCs w:val="28"/>
        </w:rPr>
        <w:t>5,6</w:t>
      </w:r>
      <w:r w:rsidR="0029396F">
        <w:rPr>
          <w:szCs w:val="28"/>
        </w:rPr>
        <w:t xml:space="preserve"> </w:t>
      </w:r>
      <w:proofErr w:type="spellStart"/>
      <w:r w:rsidR="00EA6FE4">
        <w:rPr>
          <w:szCs w:val="28"/>
        </w:rPr>
        <w:t>млрд</w:t>
      </w:r>
      <w:proofErr w:type="gramStart"/>
      <w:r w:rsidR="00EA6FE4">
        <w:rPr>
          <w:szCs w:val="28"/>
        </w:rPr>
        <w:t>.</w:t>
      </w:r>
      <w:r w:rsidRPr="00AF0CD3">
        <w:rPr>
          <w:szCs w:val="28"/>
        </w:rPr>
        <w:t>р</w:t>
      </w:r>
      <w:proofErr w:type="gramEnd"/>
      <w:r w:rsidRPr="00AF0CD3">
        <w:rPr>
          <w:szCs w:val="28"/>
        </w:rPr>
        <w:t>уб</w:t>
      </w:r>
      <w:proofErr w:type="spellEnd"/>
      <w:r w:rsidR="0029396F">
        <w:rPr>
          <w:szCs w:val="28"/>
        </w:rPr>
        <w:t xml:space="preserve">. </w:t>
      </w:r>
      <w:r w:rsidRPr="00AF0CD3">
        <w:rPr>
          <w:szCs w:val="28"/>
        </w:rPr>
        <w:t>по сравнению с предыдущим го</w:t>
      </w:r>
      <w:r w:rsidR="00EA6FE4">
        <w:rPr>
          <w:szCs w:val="28"/>
        </w:rPr>
        <w:t xml:space="preserve">дом и составил 12,3 </w:t>
      </w:r>
      <w:proofErr w:type="spellStart"/>
      <w:r w:rsidR="00EA6FE4">
        <w:rPr>
          <w:szCs w:val="28"/>
        </w:rPr>
        <w:t>млрд.</w:t>
      </w:r>
      <w:r w:rsidRPr="00AF0CD3">
        <w:rPr>
          <w:szCs w:val="28"/>
        </w:rPr>
        <w:t>руб</w:t>
      </w:r>
      <w:proofErr w:type="spellEnd"/>
      <w:r w:rsidRPr="00AF0CD3">
        <w:rPr>
          <w:szCs w:val="28"/>
        </w:rPr>
        <w:t>.</w:t>
      </w:r>
    </w:p>
    <w:p w:rsidR="0029396F" w:rsidRDefault="0029396F" w:rsidP="00717BAC">
      <w:pPr>
        <w:pStyle w:val="ac"/>
        <w:keepNext/>
        <w:spacing w:line="240" w:lineRule="auto"/>
        <w:ind w:firstLine="720"/>
      </w:pPr>
      <w:bookmarkStart w:id="2" w:name="_Toc275268314"/>
    </w:p>
    <w:p w:rsidR="00390DA0" w:rsidRDefault="00390DA0" w:rsidP="00390DA0"/>
    <w:p w:rsidR="00390DA0" w:rsidRDefault="00390DA0" w:rsidP="00390DA0"/>
    <w:p w:rsidR="00390DA0" w:rsidRPr="00390DA0" w:rsidRDefault="00390DA0" w:rsidP="00390DA0"/>
    <w:p w:rsidR="00C519BC" w:rsidRDefault="00C519BC" w:rsidP="00667AA9">
      <w:pPr>
        <w:pStyle w:val="standardtext"/>
        <w:spacing w:after="0"/>
        <w:jc w:val="center"/>
        <w:rPr>
          <w:rStyle w:val="ae"/>
          <w:b/>
          <w:noProof/>
          <w:color w:val="auto"/>
          <w:u w:val="none"/>
        </w:rPr>
      </w:pPr>
      <w:bookmarkStart w:id="3" w:name="_Toc176329940"/>
      <w:bookmarkEnd w:id="2"/>
      <w:r>
        <w:rPr>
          <w:rStyle w:val="ae"/>
          <w:b/>
          <w:color w:val="auto"/>
          <w:u w:val="none"/>
        </w:rPr>
        <w:t>2</w:t>
      </w:r>
      <w:r w:rsidR="009B4F07">
        <w:rPr>
          <w:rStyle w:val="ae"/>
          <w:b/>
          <w:color w:val="auto"/>
          <w:u w:val="none"/>
        </w:rPr>
        <w:t>.</w:t>
      </w:r>
      <w:r w:rsidRPr="00E245A7">
        <w:rPr>
          <w:rStyle w:val="ae"/>
          <w:b/>
          <w:noProof/>
          <w:color w:val="auto"/>
          <w:u w:val="none"/>
        </w:rPr>
        <w:t xml:space="preserve"> Реальный сектор экономики</w:t>
      </w:r>
    </w:p>
    <w:p w:rsidR="00F527C7" w:rsidRDefault="00F527C7" w:rsidP="00717BAC">
      <w:pPr>
        <w:pStyle w:val="standardtext"/>
        <w:spacing w:after="0"/>
        <w:rPr>
          <w:rStyle w:val="ae"/>
          <w:b/>
          <w:noProof/>
          <w:color w:val="auto"/>
          <w:u w:val="none"/>
        </w:rPr>
      </w:pPr>
    </w:p>
    <w:p w:rsidR="00C519BC" w:rsidRPr="009B4F07" w:rsidRDefault="00C519BC" w:rsidP="00717BAC">
      <w:pPr>
        <w:spacing w:line="240" w:lineRule="auto"/>
        <w:ind w:firstLine="709"/>
        <w:rPr>
          <w:rStyle w:val="ae"/>
          <w:b/>
          <w:noProof/>
          <w:color w:val="auto"/>
          <w:szCs w:val="28"/>
          <w:u w:val="none"/>
        </w:rPr>
      </w:pPr>
      <w:r w:rsidRPr="009B4F07">
        <w:rPr>
          <w:rStyle w:val="ae"/>
          <w:b/>
          <w:color w:val="auto"/>
          <w:szCs w:val="28"/>
          <w:u w:val="none"/>
        </w:rPr>
        <w:t>2</w:t>
      </w:r>
      <w:r w:rsidRPr="009B4F07">
        <w:rPr>
          <w:rStyle w:val="ae"/>
          <w:b/>
          <w:noProof/>
          <w:color w:val="auto"/>
          <w:szCs w:val="28"/>
          <w:u w:val="none"/>
        </w:rPr>
        <w:t>.1. Динамика и структура производства по видам экономической деятельности</w:t>
      </w:r>
    </w:p>
    <w:p w:rsidR="00D4559A" w:rsidRPr="00D4559A" w:rsidRDefault="00D4559A" w:rsidP="00717BAC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559A">
        <w:rPr>
          <w:rFonts w:ascii="Times New Roman" w:hAnsi="Times New Roman"/>
          <w:sz w:val="28"/>
          <w:szCs w:val="28"/>
        </w:rPr>
        <w:t>В 2012 году большую долю в структуре объема оборота предприятий и о</w:t>
      </w:r>
      <w:r w:rsidRPr="00D4559A">
        <w:rPr>
          <w:rFonts w:ascii="Times New Roman" w:hAnsi="Times New Roman"/>
          <w:sz w:val="28"/>
          <w:szCs w:val="28"/>
        </w:rPr>
        <w:t>р</w:t>
      </w:r>
      <w:r w:rsidRPr="00D4559A">
        <w:rPr>
          <w:rFonts w:ascii="Times New Roman" w:hAnsi="Times New Roman"/>
          <w:sz w:val="28"/>
          <w:szCs w:val="28"/>
        </w:rPr>
        <w:t>ганизаций города</w:t>
      </w:r>
      <w:r w:rsidR="00EA6FE4">
        <w:rPr>
          <w:rFonts w:ascii="Times New Roman" w:hAnsi="Times New Roman"/>
          <w:sz w:val="28"/>
          <w:szCs w:val="28"/>
        </w:rPr>
        <w:t xml:space="preserve"> </w:t>
      </w:r>
      <w:r w:rsidRPr="00D4559A">
        <w:rPr>
          <w:rFonts w:ascii="Times New Roman" w:hAnsi="Times New Roman"/>
          <w:sz w:val="28"/>
          <w:szCs w:val="28"/>
        </w:rPr>
        <w:t>занимало</w:t>
      </w:r>
      <w:r w:rsidR="00EA6FE4">
        <w:rPr>
          <w:rFonts w:ascii="Times New Roman" w:hAnsi="Times New Roman"/>
          <w:sz w:val="28"/>
          <w:szCs w:val="28"/>
        </w:rPr>
        <w:t xml:space="preserve"> </w:t>
      </w:r>
      <w:r w:rsidRPr="00D4559A">
        <w:rPr>
          <w:rFonts w:ascii="Times New Roman" w:hAnsi="Times New Roman"/>
          <w:sz w:val="28"/>
          <w:szCs w:val="28"/>
        </w:rPr>
        <w:t>обрабатывающее производство</w:t>
      </w:r>
      <w:r w:rsidR="00C85A1B">
        <w:rPr>
          <w:rFonts w:ascii="Times New Roman" w:hAnsi="Times New Roman"/>
          <w:sz w:val="28"/>
          <w:szCs w:val="28"/>
        </w:rPr>
        <w:t xml:space="preserve"> </w:t>
      </w:r>
      <w:r w:rsidR="0091297F">
        <w:rPr>
          <w:rFonts w:ascii="Times New Roman" w:hAnsi="Times New Roman"/>
          <w:sz w:val="28"/>
          <w:szCs w:val="28"/>
        </w:rPr>
        <w:t>–</w:t>
      </w:r>
      <w:r w:rsidR="00C85A1B">
        <w:rPr>
          <w:rFonts w:ascii="Times New Roman" w:hAnsi="Times New Roman"/>
          <w:sz w:val="28"/>
          <w:szCs w:val="28"/>
        </w:rPr>
        <w:t xml:space="preserve"> </w:t>
      </w:r>
      <w:r w:rsidRPr="00D4559A">
        <w:rPr>
          <w:rFonts w:ascii="Times New Roman" w:hAnsi="Times New Roman"/>
          <w:sz w:val="28"/>
          <w:szCs w:val="28"/>
        </w:rPr>
        <w:t>52,0% от общего объема оборота. На втором месте находилась сфера оптовой и розничной то</w:t>
      </w:r>
      <w:r w:rsidRPr="00D4559A">
        <w:rPr>
          <w:rFonts w:ascii="Times New Roman" w:hAnsi="Times New Roman"/>
          <w:sz w:val="28"/>
          <w:szCs w:val="28"/>
        </w:rPr>
        <w:t>р</w:t>
      </w:r>
      <w:r w:rsidRPr="00D4559A">
        <w:rPr>
          <w:rFonts w:ascii="Times New Roman" w:hAnsi="Times New Roman"/>
          <w:sz w:val="28"/>
          <w:szCs w:val="28"/>
        </w:rPr>
        <w:t>говли – 25,0%. Производство и распределение электроэнергии, газа и воды с</w:t>
      </w:r>
      <w:r w:rsidRPr="00D4559A">
        <w:rPr>
          <w:rFonts w:ascii="Times New Roman" w:hAnsi="Times New Roman"/>
          <w:sz w:val="28"/>
          <w:szCs w:val="28"/>
        </w:rPr>
        <w:t>о</w:t>
      </w:r>
      <w:r w:rsidRPr="00D4559A">
        <w:rPr>
          <w:rFonts w:ascii="Times New Roman" w:hAnsi="Times New Roman"/>
          <w:sz w:val="28"/>
          <w:szCs w:val="28"/>
        </w:rPr>
        <w:t>ставляло порядка 11,0%. Остальные виды деятельности оборота организаций г</w:t>
      </w:r>
      <w:r w:rsidRPr="00D4559A">
        <w:rPr>
          <w:rFonts w:ascii="Times New Roman" w:hAnsi="Times New Roman"/>
          <w:sz w:val="28"/>
          <w:szCs w:val="28"/>
        </w:rPr>
        <w:t>о</w:t>
      </w:r>
      <w:r w:rsidRPr="00D4559A">
        <w:rPr>
          <w:rFonts w:ascii="Times New Roman" w:hAnsi="Times New Roman"/>
          <w:sz w:val="28"/>
          <w:szCs w:val="28"/>
        </w:rPr>
        <w:t>рода составляли менее 10</w:t>
      </w:r>
      <w:r w:rsidR="0091297F">
        <w:rPr>
          <w:rFonts w:ascii="Times New Roman" w:hAnsi="Times New Roman"/>
          <w:sz w:val="28"/>
          <w:szCs w:val="28"/>
        </w:rPr>
        <w:t>,0</w:t>
      </w:r>
      <w:r w:rsidRPr="00D4559A">
        <w:rPr>
          <w:rFonts w:ascii="Times New Roman" w:hAnsi="Times New Roman"/>
          <w:sz w:val="28"/>
          <w:szCs w:val="28"/>
        </w:rPr>
        <w:t xml:space="preserve">% в общем объеме. </w:t>
      </w:r>
      <w:r w:rsidR="0091297F">
        <w:rPr>
          <w:rFonts w:ascii="Times New Roman" w:hAnsi="Times New Roman"/>
          <w:sz w:val="28"/>
          <w:szCs w:val="28"/>
        </w:rPr>
        <w:t>На</w:t>
      </w:r>
      <w:r w:rsidRPr="00D4559A">
        <w:rPr>
          <w:rFonts w:ascii="Times New Roman" w:hAnsi="Times New Roman"/>
          <w:sz w:val="28"/>
          <w:szCs w:val="28"/>
        </w:rPr>
        <w:t xml:space="preserve"> прочие виды деятельности </w:t>
      </w:r>
      <w:r w:rsidR="0091297F">
        <w:rPr>
          <w:rFonts w:ascii="Times New Roman" w:hAnsi="Times New Roman"/>
          <w:sz w:val="28"/>
          <w:szCs w:val="28"/>
        </w:rPr>
        <w:t>приход</w:t>
      </w:r>
      <w:r w:rsidR="00390DA0">
        <w:rPr>
          <w:rFonts w:ascii="Times New Roman" w:hAnsi="Times New Roman"/>
          <w:sz w:val="28"/>
          <w:szCs w:val="28"/>
        </w:rPr>
        <w:t>и</w:t>
      </w:r>
      <w:r w:rsidR="0091297F">
        <w:rPr>
          <w:rFonts w:ascii="Times New Roman" w:hAnsi="Times New Roman"/>
          <w:sz w:val="28"/>
          <w:szCs w:val="28"/>
        </w:rPr>
        <w:t>тся</w:t>
      </w:r>
      <w:r w:rsidRPr="00D4559A">
        <w:rPr>
          <w:rFonts w:ascii="Times New Roman" w:hAnsi="Times New Roman"/>
          <w:sz w:val="28"/>
          <w:szCs w:val="28"/>
        </w:rPr>
        <w:t xml:space="preserve"> не более 1</w:t>
      </w:r>
      <w:r w:rsidR="0091297F">
        <w:rPr>
          <w:rFonts w:ascii="Times New Roman" w:hAnsi="Times New Roman"/>
          <w:sz w:val="28"/>
          <w:szCs w:val="28"/>
        </w:rPr>
        <w:t>,0</w:t>
      </w:r>
      <w:r w:rsidRPr="00D4559A">
        <w:rPr>
          <w:rFonts w:ascii="Times New Roman" w:hAnsi="Times New Roman"/>
          <w:sz w:val="28"/>
          <w:szCs w:val="28"/>
        </w:rPr>
        <w:t>%</w:t>
      </w:r>
      <w:r w:rsidR="00390DA0">
        <w:rPr>
          <w:rFonts w:ascii="Times New Roman" w:hAnsi="Times New Roman"/>
          <w:sz w:val="28"/>
          <w:szCs w:val="28"/>
        </w:rPr>
        <w:t>,</w:t>
      </w:r>
      <w:r w:rsidRPr="00D4559A">
        <w:rPr>
          <w:rFonts w:ascii="Times New Roman" w:hAnsi="Times New Roman"/>
          <w:sz w:val="28"/>
          <w:szCs w:val="28"/>
        </w:rPr>
        <w:t xml:space="preserve"> </w:t>
      </w:r>
      <w:r w:rsidR="0091297F">
        <w:rPr>
          <w:rFonts w:ascii="Times New Roman" w:hAnsi="Times New Roman"/>
          <w:sz w:val="28"/>
          <w:szCs w:val="28"/>
        </w:rPr>
        <w:t xml:space="preserve">в том числе </w:t>
      </w:r>
      <w:r w:rsidR="00E9539C">
        <w:rPr>
          <w:rFonts w:ascii="Times New Roman" w:hAnsi="Times New Roman"/>
          <w:sz w:val="28"/>
          <w:szCs w:val="28"/>
        </w:rPr>
        <w:t>такие как:</w:t>
      </w:r>
      <w:r w:rsidRPr="00D4559A">
        <w:rPr>
          <w:rFonts w:ascii="Times New Roman" w:hAnsi="Times New Roman"/>
          <w:sz w:val="28"/>
          <w:szCs w:val="28"/>
        </w:rPr>
        <w:t xml:space="preserve"> гостиницы и рестораны, гос</w:t>
      </w:r>
      <w:r w:rsidRPr="00D4559A">
        <w:rPr>
          <w:rFonts w:ascii="Times New Roman" w:hAnsi="Times New Roman"/>
          <w:sz w:val="28"/>
          <w:szCs w:val="28"/>
        </w:rPr>
        <w:t>у</w:t>
      </w:r>
      <w:r w:rsidRPr="00D4559A">
        <w:rPr>
          <w:rFonts w:ascii="Times New Roman" w:hAnsi="Times New Roman"/>
          <w:sz w:val="28"/>
          <w:szCs w:val="28"/>
        </w:rPr>
        <w:t>дарственное управление и обеспечение военной безопасности, образование, здравоохранение, предоставление коммунальных и социальных услуг.</w:t>
      </w:r>
    </w:p>
    <w:p w:rsidR="00D4559A" w:rsidRDefault="00D4559A" w:rsidP="00717BAC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559A">
        <w:rPr>
          <w:rFonts w:ascii="Times New Roman" w:hAnsi="Times New Roman"/>
          <w:sz w:val="28"/>
          <w:szCs w:val="28"/>
        </w:rPr>
        <w:t>Таким образом, экономик</w:t>
      </w:r>
      <w:r w:rsidR="00C85A1B">
        <w:rPr>
          <w:rFonts w:ascii="Times New Roman" w:hAnsi="Times New Roman"/>
          <w:sz w:val="28"/>
          <w:szCs w:val="28"/>
        </w:rPr>
        <w:t>а</w:t>
      </w:r>
      <w:r w:rsidRPr="00D4559A">
        <w:rPr>
          <w:rFonts w:ascii="Times New Roman" w:hAnsi="Times New Roman"/>
          <w:sz w:val="28"/>
          <w:szCs w:val="28"/>
        </w:rPr>
        <w:t xml:space="preserve"> города имеет </w:t>
      </w:r>
      <w:r w:rsidR="00C85A1B">
        <w:rPr>
          <w:rFonts w:ascii="Times New Roman" w:hAnsi="Times New Roman"/>
          <w:sz w:val="28"/>
          <w:szCs w:val="28"/>
        </w:rPr>
        <w:t xml:space="preserve">ярко выраженный </w:t>
      </w:r>
      <w:r w:rsidRPr="00D4559A">
        <w:rPr>
          <w:rFonts w:ascii="Times New Roman" w:hAnsi="Times New Roman"/>
          <w:sz w:val="28"/>
          <w:szCs w:val="28"/>
        </w:rPr>
        <w:t>промышленный характер, где половину объемов производства занимает обрабатывающая пр</w:t>
      </w:r>
      <w:r w:rsidRPr="00D4559A">
        <w:rPr>
          <w:rFonts w:ascii="Times New Roman" w:hAnsi="Times New Roman"/>
          <w:sz w:val="28"/>
          <w:szCs w:val="28"/>
        </w:rPr>
        <w:t>о</w:t>
      </w:r>
      <w:r w:rsidRPr="00D4559A">
        <w:rPr>
          <w:rFonts w:ascii="Times New Roman" w:hAnsi="Times New Roman"/>
          <w:sz w:val="28"/>
          <w:szCs w:val="28"/>
        </w:rPr>
        <w:t xml:space="preserve">мышленность. </w:t>
      </w:r>
      <w:r w:rsidR="00C85A1B">
        <w:rPr>
          <w:rFonts w:ascii="Times New Roman" w:hAnsi="Times New Roman"/>
          <w:sz w:val="28"/>
          <w:szCs w:val="28"/>
        </w:rPr>
        <w:t>На с</w:t>
      </w:r>
      <w:r w:rsidRPr="00D4559A">
        <w:rPr>
          <w:rFonts w:ascii="Times New Roman" w:hAnsi="Times New Roman"/>
          <w:sz w:val="28"/>
          <w:szCs w:val="28"/>
        </w:rPr>
        <w:t>фер</w:t>
      </w:r>
      <w:r w:rsidR="00C85A1B">
        <w:rPr>
          <w:rFonts w:ascii="Times New Roman" w:hAnsi="Times New Roman"/>
          <w:sz w:val="28"/>
          <w:szCs w:val="28"/>
        </w:rPr>
        <w:t>у</w:t>
      </w:r>
      <w:r w:rsidRPr="00D4559A">
        <w:rPr>
          <w:rFonts w:ascii="Times New Roman" w:hAnsi="Times New Roman"/>
          <w:sz w:val="28"/>
          <w:szCs w:val="28"/>
        </w:rPr>
        <w:t xml:space="preserve"> торговли также </w:t>
      </w:r>
      <w:r w:rsidR="00C85A1B">
        <w:rPr>
          <w:rFonts w:ascii="Times New Roman" w:hAnsi="Times New Roman"/>
          <w:sz w:val="28"/>
          <w:szCs w:val="28"/>
        </w:rPr>
        <w:t>приходится значительная доля, которая по</w:t>
      </w:r>
      <w:r w:rsidRPr="00D4559A">
        <w:rPr>
          <w:rFonts w:ascii="Times New Roman" w:hAnsi="Times New Roman"/>
          <w:sz w:val="28"/>
          <w:szCs w:val="28"/>
        </w:rPr>
        <w:t xml:space="preserve"> итогам года </w:t>
      </w:r>
      <w:r w:rsidR="00C85A1B">
        <w:rPr>
          <w:rFonts w:ascii="Times New Roman" w:hAnsi="Times New Roman"/>
          <w:sz w:val="28"/>
          <w:szCs w:val="28"/>
        </w:rPr>
        <w:t xml:space="preserve">составила </w:t>
      </w:r>
      <w:r w:rsidRPr="00D4559A">
        <w:rPr>
          <w:rFonts w:ascii="Times New Roman" w:hAnsi="Times New Roman"/>
          <w:sz w:val="28"/>
          <w:szCs w:val="28"/>
        </w:rPr>
        <w:t xml:space="preserve">четверть объемов производства города. </w:t>
      </w:r>
    </w:p>
    <w:p w:rsidR="00070EA6" w:rsidRPr="00D4559A" w:rsidRDefault="00070EA6" w:rsidP="00717BAC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D4559A" w:rsidRPr="00C05F5D" w:rsidRDefault="006B1EC7" w:rsidP="00717BAC">
      <w:pPr>
        <w:spacing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925E36D" wp14:editId="0D929030">
            <wp:extent cx="5565913" cy="3506525"/>
            <wp:effectExtent l="19050" t="19050" r="0" b="0"/>
            <wp:docPr id="2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269" cy="3504859"/>
                    </a:xfrm>
                    <a:prstGeom prst="rect">
                      <a:avLst/>
                    </a:prstGeom>
                    <a:noFill/>
                    <a:ln w="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</w:p>
    <w:p w:rsidR="00D4559A" w:rsidRPr="00D4559A" w:rsidRDefault="00D4559A" w:rsidP="003A45E7">
      <w:pPr>
        <w:pStyle w:val="ac"/>
        <w:spacing w:line="240" w:lineRule="auto"/>
        <w:ind w:firstLine="709"/>
        <w:rPr>
          <w:i/>
          <w:color w:val="000000"/>
          <w:sz w:val="24"/>
          <w:szCs w:val="24"/>
        </w:rPr>
      </w:pPr>
      <w:r w:rsidRPr="00D4559A">
        <w:rPr>
          <w:i/>
          <w:color w:val="000000"/>
          <w:sz w:val="24"/>
          <w:szCs w:val="24"/>
        </w:rPr>
        <w:t>Рис. 2</w:t>
      </w:r>
      <w:r>
        <w:rPr>
          <w:i/>
          <w:color w:val="000000"/>
          <w:sz w:val="24"/>
          <w:szCs w:val="24"/>
        </w:rPr>
        <w:t>.1.</w:t>
      </w:r>
      <w:r w:rsidR="008E483F" w:rsidRPr="00BE59BD">
        <w:rPr>
          <w:i/>
          <w:color w:val="000000"/>
          <w:sz w:val="24"/>
          <w:szCs w:val="24"/>
        </w:rPr>
        <w:t>1</w:t>
      </w:r>
      <w:r>
        <w:rPr>
          <w:i/>
          <w:color w:val="000000"/>
          <w:sz w:val="24"/>
          <w:szCs w:val="24"/>
        </w:rPr>
        <w:t xml:space="preserve">. </w:t>
      </w:r>
      <w:r w:rsidRPr="00D4559A">
        <w:rPr>
          <w:i/>
          <w:color w:val="000000"/>
          <w:sz w:val="24"/>
          <w:szCs w:val="24"/>
        </w:rPr>
        <w:t>Оборот организаций по видам экономическо</w:t>
      </w:r>
      <w:r>
        <w:rPr>
          <w:i/>
          <w:color w:val="000000"/>
          <w:sz w:val="24"/>
          <w:szCs w:val="24"/>
        </w:rPr>
        <w:t xml:space="preserve">й деятельности </w:t>
      </w:r>
      <w:r w:rsidR="00C85A1B">
        <w:rPr>
          <w:i/>
          <w:color w:val="000000"/>
          <w:sz w:val="24"/>
          <w:szCs w:val="24"/>
        </w:rPr>
        <w:t xml:space="preserve">в </w:t>
      </w:r>
      <w:r>
        <w:rPr>
          <w:i/>
          <w:color w:val="000000"/>
          <w:sz w:val="24"/>
          <w:szCs w:val="24"/>
        </w:rPr>
        <w:t>г</w:t>
      </w:r>
      <w:r w:rsidR="006B1EC7">
        <w:rPr>
          <w:i/>
          <w:color w:val="000000"/>
          <w:sz w:val="24"/>
          <w:szCs w:val="24"/>
        </w:rPr>
        <w:t>ороде</w:t>
      </w:r>
      <w:r>
        <w:rPr>
          <w:i/>
          <w:color w:val="000000"/>
          <w:sz w:val="24"/>
          <w:szCs w:val="24"/>
        </w:rPr>
        <w:t xml:space="preserve"> Пер</w:t>
      </w:r>
      <w:r w:rsidR="00EA6FE4">
        <w:rPr>
          <w:i/>
          <w:color w:val="000000"/>
          <w:sz w:val="24"/>
          <w:szCs w:val="24"/>
        </w:rPr>
        <w:t>ми в</w:t>
      </w:r>
      <w:r>
        <w:rPr>
          <w:i/>
          <w:color w:val="000000"/>
          <w:sz w:val="24"/>
          <w:szCs w:val="24"/>
        </w:rPr>
        <w:t xml:space="preserve"> 2012</w:t>
      </w:r>
      <w:r w:rsidR="006B1EC7">
        <w:rPr>
          <w:i/>
          <w:color w:val="000000"/>
          <w:sz w:val="24"/>
          <w:szCs w:val="24"/>
        </w:rPr>
        <w:t xml:space="preserve"> </w:t>
      </w:r>
      <w:r w:rsidRPr="00D4559A">
        <w:rPr>
          <w:i/>
          <w:color w:val="000000"/>
          <w:sz w:val="24"/>
          <w:szCs w:val="24"/>
        </w:rPr>
        <w:t>г</w:t>
      </w:r>
      <w:r w:rsidR="006B1EC7">
        <w:rPr>
          <w:i/>
          <w:color w:val="000000"/>
          <w:sz w:val="24"/>
          <w:szCs w:val="24"/>
        </w:rPr>
        <w:t>оду</w:t>
      </w:r>
      <w:r w:rsidRPr="00D4559A">
        <w:rPr>
          <w:i/>
          <w:color w:val="000000"/>
          <w:sz w:val="24"/>
          <w:szCs w:val="24"/>
        </w:rPr>
        <w:t xml:space="preserve"> (</w:t>
      </w:r>
      <w:proofErr w:type="spellStart"/>
      <w:r w:rsidRPr="00D4559A">
        <w:rPr>
          <w:i/>
          <w:color w:val="000000"/>
          <w:sz w:val="24"/>
          <w:szCs w:val="24"/>
        </w:rPr>
        <w:t>млн</w:t>
      </w:r>
      <w:proofErr w:type="gramStart"/>
      <w:r w:rsidRPr="00D4559A">
        <w:rPr>
          <w:i/>
          <w:color w:val="000000"/>
          <w:sz w:val="24"/>
          <w:szCs w:val="24"/>
        </w:rPr>
        <w:t>.р</w:t>
      </w:r>
      <w:proofErr w:type="gramEnd"/>
      <w:r w:rsidRPr="00D4559A">
        <w:rPr>
          <w:i/>
          <w:color w:val="000000"/>
          <w:sz w:val="24"/>
          <w:szCs w:val="24"/>
        </w:rPr>
        <w:t>уб</w:t>
      </w:r>
      <w:proofErr w:type="spellEnd"/>
      <w:r w:rsidRPr="00D4559A">
        <w:rPr>
          <w:i/>
          <w:color w:val="000000"/>
          <w:sz w:val="24"/>
          <w:szCs w:val="24"/>
        </w:rPr>
        <w:t>.,</w:t>
      </w:r>
      <w:r w:rsidR="006B1EC7">
        <w:rPr>
          <w:i/>
          <w:color w:val="000000"/>
          <w:sz w:val="24"/>
          <w:szCs w:val="24"/>
        </w:rPr>
        <w:t xml:space="preserve"> </w:t>
      </w:r>
      <w:r w:rsidRPr="00D4559A">
        <w:rPr>
          <w:i/>
          <w:color w:val="000000"/>
          <w:sz w:val="24"/>
          <w:szCs w:val="24"/>
        </w:rPr>
        <w:t xml:space="preserve">%) </w:t>
      </w:r>
    </w:p>
    <w:p w:rsidR="00D4559A" w:rsidRPr="00D4559A" w:rsidRDefault="00D4559A" w:rsidP="00717BAC">
      <w:pPr>
        <w:keepNext/>
        <w:spacing w:line="240" w:lineRule="auto"/>
        <w:ind w:firstLine="709"/>
        <w:rPr>
          <w:rFonts w:ascii="Times New Roman" w:hAnsi="Times New Roman"/>
          <w:szCs w:val="28"/>
        </w:rPr>
      </w:pPr>
    </w:p>
    <w:p w:rsidR="00D4559A" w:rsidRDefault="00D4559A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D4559A">
        <w:rPr>
          <w:rFonts w:ascii="Times New Roman" w:hAnsi="Times New Roman"/>
          <w:szCs w:val="28"/>
        </w:rPr>
        <w:t xml:space="preserve">За период 2008-2012 </w:t>
      </w:r>
      <w:r w:rsidR="006B1EC7">
        <w:rPr>
          <w:rFonts w:ascii="Times New Roman" w:hAnsi="Times New Roman"/>
          <w:szCs w:val="28"/>
        </w:rPr>
        <w:t>годов</w:t>
      </w:r>
      <w:r w:rsidRPr="00D4559A">
        <w:rPr>
          <w:rFonts w:ascii="Times New Roman" w:hAnsi="Times New Roman"/>
          <w:szCs w:val="28"/>
        </w:rPr>
        <w:t xml:space="preserve"> по ряду видов деятельности значительно изм</w:t>
      </w:r>
      <w:r w:rsidRPr="00D4559A">
        <w:rPr>
          <w:rFonts w:ascii="Times New Roman" w:hAnsi="Times New Roman"/>
          <w:szCs w:val="28"/>
        </w:rPr>
        <w:t>е</w:t>
      </w:r>
      <w:r w:rsidRPr="00D4559A">
        <w:rPr>
          <w:rFonts w:ascii="Times New Roman" w:hAnsi="Times New Roman"/>
          <w:szCs w:val="28"/>
        </w:rPr>
        <w:t>нилась</w:t>
      </w:r>
      <w:r w:rsidR="00FE1EE3">
        <w:rPr>
          <w:rFonts w:ascii="Times New Roman" w:hAnsi="Times New Roman"/>
          <w:szCs w:val="28"/>
        </w:rPr>
        <w:t xml:space="preserve"> </w:t>
      </w:r>
      <w:r w:rsidRPr="00D4559A">
        <w:rPr>
          <w:rFonts w:ascii="Times New Roman" w:hAnsi="Times New Roman"/>
          <w:szCs w:val="28"/>
        </w:rPr>
        <w:t>динамик</w:t>
      </w:r>
      <w:r w:rsidR="0091297F">
        <w:rPr>
          <w:rFonts w:ascii="Times New Roman" w:hAnsi="Times New Roman"/>
          <w:szCs w:val="28"/>
        </w:rPr>
        <w:t>а</w:t>
      </w:r>
      <w:r w:rsidR="00FE1EE3">
        <w:rPr>
          <w:rFonts w:ascii="Times New Roman" w:hAnsi="Times New Roman"/>
          <w:szCs w:val="28"/>
        </w:rPr>
        <w:t xml:space="preserve"> </w:t>
      </w:r>
      <w:r w:rsidR="00EA6FE4">
        <w:rPr>
          <w:rFonts w:ascii="Times New Roman" w:hAnsi="Times New Roman"/>
          <w:szCs w:val="28"/>
        </w:rPr>
        <w:t>объема</w:t>
      </w:r>
      <w:r w:rsidR="00FE1EE3">
        <w:rPr>
          <w:rFonts w:ascii="Times New Roman" w:hAnsi="Times New Roman"/>
          <w:szCs w:val="28"/>
        </w:rPr>
        <w:t xml:space="preserve"> </w:t>
      </w:r>
      <w:r w:rsidR="00EA6FE4">
        <w:rPr>
          <w:rFonts w:ascii="Times New Roman" w:hAnsi="Times New Roman"/>
          <w:szCs w:val="28"/>
        </w:rPr>
        <w:t>оборота</w:t>
      </w:r>
      <w:r w:rsidR="00FE1EE3">
        <w:rPr>
          <w:rFonts w:ascii="Times New Roman" w:hAnsi="Times New Roman"/>
          <w:szCs w:val="28"/>
        </w:rPr>
        <w:t xml:space="preserve"> </w:t>
      </w:r>
      <w:r w:rsidR="00EA6FE4">
        <w:rPr>
          <w:rFonts w:ascii="Times New Roman" w:hAnsi="Times New Roman"/>
          <w:szCs w:val="28"/>
        </w:rPr>
        <w:t>от</w:t>
      </w:r>
      <w:r w:rsidR="00FE1EE3">
        <w:rPr>
          <w:rFonts w:ascii="Times New Roman" w:hAnsi="Times New Roman"/>
          <w:szCs w:val="28"/>
        </w:rPr>
        <w:t xml:space="preserve"> </w:t>
      </w:r>
      <w:r w:rsidRPr="00D4559A">
        <w:rPr>
          <w:rFonts w:ascii="Times New Roman" w:hAnsi="Times New Roman"/>
          <w:szCs w:val="28"/>
        </w:rPr>
        <w:t>общего объема. Строительство с каждым годом плавно снижа</w:t>
      </w:r>
      <w:r w:rsidR="006B1EC7">
        <w:rPr>
          <w:rFonts w:ascii="Times New Roman" w:hAnsi="Times New Roman"/>
          <w:szCs w:val="28"/>
        </w:rPr>
        <w:t>е</w:t>
      </w:r>
      <w:r w:rsidRPr="00D4559A">
        <w:rPr>
          <w:rFonts w:ascii="Times New Roman" w:hAnsi="Times New Roman"/>
          <w:szCs w:val="28"/>
        </w:rPr>
        <w:t>т долю</w:t>
      </w:r>
      <w:r w:rsidR="006B1EC7">
        <w:rPr>
          <w:rFonts w:ascii="Times New Roman" w:hAnsi="Times New Roman"/>
          <w:szCs w:val="28"/>
        </w:rPr>
        <w:t>,</w:t>
      </w:r>
      <w:r w:rsidRPr="00D4559A">
        <w:rPr>
          <w:rFonts w:ascii="Times New Roman" w:hAnsi="Times New Roman"/>
          <w:szCs w:val="28"/>
        </w:rPr>
        <w:t xml:space="preserve"> занимаемую в общем объеме производства. Знач</w:t>
      </w:r>
      <w:r w:rsidRPr="00D4559A">
        <w:rPr>
          <w:rFonts w:ascii="Times New Roman" w:hAnsi="Times New Roman"/>
          <w:szCs w:val="28"/>
        </w:rPr>
        <w:t>и</w:t>
      </w:r>
      <w:r w:rsidRPr="00D4559A">
        <w:rPr>
          <w:rFonts w:ascii="Times New Roman" w:hAnsi="Times New Roman"/>
          <w:szCs w:val="28"/>
        </w:rPr>
        <w:t>тельное снижение происходит в сфере транспорта и связи, в 2012 году снижение произошло с 7% до 5%, а также</w:t>
      </w:r>
      <w:r w:rsidR="00EA6FE4">
        <w:rPr>
          <w:rFonts w:ascii="Times New Roman" w:hAnsi="Times New Roman"/>
          <w:szCs w:val="28"/>
        </w:rPr>
        <w:t xml:space="preserve"> в сфере гостиниц и ресторанов.</w:t>
      </w:r>
      <w:r w:rsidR="00FE1EE3">
        <w:rPr>
          <w:rFonts w:ascii="Times New Roman" w:hAnsi="Times New Roman"/>
          <w:szCs w:val="28"/>
        </w:rPr>
        <w:t xml:space="preserve"> </w:t>
      </w:r>
      <w:r w:rsidRPr="00D4559A">
        <w:rPr>
          <w:rFonts w:ascii="Times New Roman" w:hAnsi="Times New Roman"/>
          <w:szCs w:val="28"/>
        </w:rPr>
        <w:t>Стабильный рост наблюдает</w:t>
      </w:r>
      <w:r w:rsidR="00FE1EE3">
        <w:rPr>
          <w:rFonts w:ascii="Times New Roman" w:hAnsi="Times New Roman"/>
          <w:szCs w:val="28"/>
        </w:rPr>
        <w:t xml:space="preserve">ся </w:t>
      </w:r>
      <w:r w:rsidR="00EA6FE4">
        <w:rPr>
          <w:rFonts w:ascii="Times New Roman" w:hAnsi="Times New Roman"/>
          <w:szCs w:val="28"/>
        </w:rPr>
        <w:t>в</w:t>
      </w:r>
      <w:r w:rsidR="00FE1EE3">
        <w:rPr>
          <w:rFonts w:ascii="Times New Roman" w:hAnsi="Times New Roman"/>
          <w:szCs w:val="28"/>
        </w:rPr>
        <w:t xml:space="preserve"> </w:t>
      </w:r>
      <w:r w:rsidR="00EA6FE4">
        <w:rPr>
          <w:rFonts w:ascii="Times New Roman" w:hAnsi="Times New Roman"/>
          <w:szCs w:val="28"/>
        </w:rPr>
        <w:t>оптовой</w:t>
      </w:r>
      <w:r w:rsidR="00FE1EE3">
        <w:rPr>
          <w:rFonts w:ascii="Times New Roman" w:hAnsi="Times New Roman"/>
          <w:szCs w:val="28"/>
        </w:rPr>
        <w:t xml:space="preserve"> </w:t>
      </w:r>
      <w:r w:rsidR="00EA6FE4">
        <w:rPr>
          <w:rFonts w:ascii="Times New Roman" w:hAnsi="Times New Roman"/>
          <w:szCs w:val="28"/>
        </w:rPr>
        <w:t>и</w:t>
      </w:r>
      <w:r w:rsidR="00FE1EE3">
        <w:rPr>
          <w:rFonts w:ascii="Times New Roman" w:hAnsi="Times New Roman"/>
          <w:szCs w:val="28"/>
        </w:rPr>
        <w:t xml:space="preserve"> </w:t>
      </w:r>
      <w:r w:rsidRPr="00D4559A">
        <w:rPr>
          <w:rFonts w:ascii="Times New Roman" w:hAnsi="Times New Roman"/>
          <w:szCs w:val="28"/>
        </w:rPr>
        <w:t xml:space="preserve">розничной торговле, </w:t>
      </w:r>
      <w:r w:rsidR="00FE1EE3">
        <w:rPr>
          <w:rFonts w:ascii="Times New Roman" w:hAnsi="Times New Roman"/>
          <w:szCs w:val="28"/>
        </w:rPr>
        <w:t xml:space="preserve">в сфере </w:t>
      </w:r>
      <w:r w:rsidRPr="00D4559A">
        <w:rPr>
          <w:rFonts w:ascii="Times New Roman" w:hAnsi="Times New Roman"/>
          <w:szCs w:val="28"/>
        </w:rPr>
        <w:t>государственного упра</w:t>
      </w:r>
      <w:r w:rsidRPr="00D4559A">
        <w:rPr>
          <w:rFonts w:ascii="Times New Roman" w:hAnsi="Times New Roman"/>
          <w:szCs w:val="28"/>
        </w:rPr>
        <w:t>в</w:t>
      </w:r>
      <w:r w:rsidRPr="00D4559A">
        <w:rPr>
          <w:rFonts w:ascii="Times New Roman" w:hAnsi="Times New Roman"/>
          <w:szCs w:val="28"/>
        </w:rPr>
        <w:t>ления и обеспечения военной безопасности.</w:t>
      </w:r>
    </w:p>
    <w:p w:rsidR="00737551" w:rsidRDefault="00737551" w:rsidP="00815C14">
      <w:pPr>
        <w:spacing w:line="240" w:lineRule="auto"/>
        <w:rPr>
          <w:rFonts w:ascii="Times New Roman" w:hAnsi="Times New Roman"/>
          <w:szCs w:val="28"/>
        </w:rPr>
      </w:pPr>
    </w:p>
    <w:p w:rsidR="00D4559A" w:rsidRPr="00D4559A" w:rsidRDefault="00EA6FE4" w:rsidP="003A45E7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Таблица</w:t>
      </w:r>
      <w:r w:rsidR="00815C1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4559A" w:rsidRPr="00D4559A">
        <w:rPr>
          <w:rFonts w:ascii="Times New Roman" w:hAnsi="Times New Roman"/>
          <w:b/>
          <w:i/>
          <w:sz w:val="24"/>
          <w:szCs w:val="24"/>
        </w:rPr>
        <w:t>2.1.1.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4559A" w:rsidRPr="00D4559A">
        <w:rPr>
          <w:rFonts w:ascii="Times New Roman" w:hAnsi="Times New Roman"/>
          <w:b/>
          <w:i/>
          <w:sz w:val="24"/>
          <w:szCs w:val="24"/>
        </w:rPr>
        <w:t>Структура</w:t>
      </w:r>
      <w:r w:rsidR="00815C1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4559A" w:rsidRPr="00D4559A">
        <w:rPr>
          <w:rFonts w:ascii="Times New Roman" w:hAnsi="Times New Roman"/>
          <w:b/>
          <w:i/>
          <w:sz w:val="24"/>
          <w:szCs w:val="24"/>
        </w:rPr>
        <w:t>оборота</w:t>
      </w:r>
      <w:r>
        <w:rPr>
          <w:rFonts w:ascii="Times New Roman" w:hAnsi="Times New Roman"/>
          <w:b/>
          <w:i/>
          <w:sz w:val="24"/>
          <w:szCs w:val="24"/>
        </w:rPr>
        <w:t xml:space="preserve"> организаций </w:t>
      </w:r>
      <w:r w:rsidR="00815C14">
        <w:rPr>
          <w:rFonts w:ascii="Times New Roman" w:hAnsi="Times New Roman"/>
          <w:b/>
          <w:i/>
          <w:sz w:val="24"/>
          <w:szCs w:val="24"/>
        </w:rPr>
        <w:t xml:space="preserve">города </w:t>
      </w:r>
      <w:r>
        <w:rPr>
          <w:rFonts w:ascii="Times New Roman" w:hAnsi="Times New Roman"/>
          <w:b/>
          <w:i/>
          <w:sz w:val="24"/>
          <w:szCs w:val="24"/>
        </w:rPr>
        <w:t>Перми</w:t>
      </w:r>
      <w:r w:rsidR="00815C1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4559A" w:rsidRPr="00D4559A">
        <w:rPr>
          <w:rFonts w:ascii="Times New Roman" w:hAnsi="Times New Roman"/>
          <w:b/>
          <w:i/>
          <w:sz w:val="24"/>
          <w:szCs w:val="24"/>
        </w:rPr>
        <w:t>и</w:t>
      </w:r>
      <w:r>
        <w:rPr>
          <w:rFonts w:ascii="Times New Roman" w:hAnsi="Times New Roman"/>
          <w:b/>
          <w:i/>
          <w:sz w:val="24"/>
          <w:szCs w:val="24"/>
        </w:rPr>
        <w:t xml:space="preserve"> ее</w:t>
      </w:r>
      <w:r w:rsidR="00815C1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4559A" w:rsidRPr="00D4559A">
        <w:rPr>
          <w:rFonts w:ascii="Times New Roman" w:hAnsi="Times New Roman"/>
          <w:b/>
          <w:i/>
          <w:sz w:val="24"/>
          <w:szCs w:val="24"/>
        </w:rPr>
        <w:t xml:space="preserve">изменения </w:t>
      </w:r>
      <w:r w:rsidR="003A45E7">
        <w:rPr>
          <w:rFonts w:ascii="Times New Roman" w:hAnsi="Times New Roman"/>
          <w:b/>
          <w:i/>
          <w:sz w:val="24"/>
          <w:szCs w:val="24"/>
        </w:rPr>
        <w:br/>
      </w:r>
      <w:r w:rsidR="00D4559A" w:rsidRPr="00D4559A">
        <w:rPr>
          <w:rFonts w:ascii="Times New Roman" w:hAnsi="Times New Roman"/>
          <w:b/>
          <w:i/>
          <w:sz w:val="24"/>
          <w:szCs w:val="24"/>
        </w:rPr>
        <w:t>в 2008-2012 гг</w:t>
      </w:r>
      <w:proofErr w:type="gramStart"/>
      <w:r w:rsidR="00D4559A" w:rsidRPr="00D4559A">
        <w:rPr>
          <w:rFonts w:ascii="Times New Roman" w:hAnsi="Times New Roman"/>
          <w:b/>
          <w:i/>
          <w:sz w:val="24"/>
          <w:szCs w:val="24"/>
        </w:rPr>
        <w:t>.,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4559A" w:rsidRPr="00D4559A">
        <w:rPr>
          <w:rFonts w:ascii="Times New Roman" w:hAnsi="Times New Roman"/>
          <w:b/>
          <w:i/>
          <w:sz w:val="24"/>
          <w:szCs w:val="24"/>
        </w:rPr>
        <w:t>(%)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6"/>
        <w:gridCol w:w="1097"/>
        <w:gridCol w:w="1097"/>
        <w:gridCol w:w="1097"/>
      </w:tblGrid>
      <w:tr w:rsidR="00D4559A" w:rsidRPr="002225A7" w:rsidTr="0091297F">
        <w:trPr>
          <w:trHeight w:hRule="exact" w:val="561"/>
          <w:tblHeader/>
        </w:trPr>
        <w:tc>
          <w:tcPr>
            <w:tcW w:w="3529" w:type="pct"/>
            <w:shd w:val="clear" w:color="auto" w:fill="auto"/>
            <w:noWrap/>
            <w:vAlign w:val="center"/>
            <w:hideMark/>
          </w:tcPr>
          <w:p w:rsidR="00D4559A" w:rsidRPr="002225A7" w:rsidRDefault="00D4559A" w:rsidP="00717BAC">
            <w:pPr>
              <w:spacing w:line="240" w:lineRule="auto"/>
              <w:ind w:firstLine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вида деятельности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:rsidR="00D4559A" w:rsidRPr="002225A7" w:rsidRDefault="00D4559A" w:rsidP="00070E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2008</w:t>
            </w:r>
            <w:r w:rsidR="00815C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</w:t>
            </w:r>
            <w:r w:rsidR="00070EA6">
              <w:rPr>
                <w:rFonts w:ascii="Times New Roman" w:hAnsi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:rsidR="00D4559A" w:rsidRPr="002225A7" w:rsidRDefault="00D4559A" w:rsidP="00070E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2010</w:t>
            </w:r>
            <w:r w:rsidR="00815C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</w:t>
            </w:r>
            <w:r w:rsidR="00070EA6">
              <w:rPr>
                <w:rFonts w:ascii="Times New Roman" w:hAnsi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:rsidR="00D4559A" w:rsidRPr="002225A7" w:rsidRDefault="00D4559A" w:rsidP="00070E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2012</w:t>
            </w:r>
            <w:r w:rsidR="00815C1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</w:t>
            </w:r>
            <w:r w:rsidR="00070EA6">
              <w:rPr>
                <w:rFonts w:ascii="Times New Roman" w:hAnsi="Times New Roman"/>
                <w:color w:val="000000"/>
                <w:sz w:val="24"/>
                <w:szCs w:val="24"/>
              </w:rPr>
              <w:t>од</w:t>
            </w:r>
          </w:p>
        </w:tc>
      </w:tr>
      <w:tr w:rsidR="00D4559A" w:rsidRPr="002225A7" w:rsidTr="00737551">
        <w:trPr>
          <w:trHeight w:hRule="exact" w:val="300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0,03%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0,01%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4559A" w:rsidRPr="002225A7" w:rsidTr="00737551">
        <w:trPr>
          <w:trHeight w:hRule="exact" w:val="340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0,99%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0,85%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1,10%</w:t>
            </w:r>
          </w:p>
        </w:tc>
      </w:tr>
      <w:tr w:rsidR="00D4559A" w:rsidRPr="002225A7" w:rsidTr="00737551">
        <w:trPr>
          <w:trHeight w:hRule="exact" w:val="340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51,04%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48,41%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52,26%</w:t>
            </w:r>
          </w:p>
        </w:tc>
      </w:tr>
      <w:tr w:rsidR="00D4559A" w:rsidRPr="002225A7" w:rsidTr="00737551">
        <w:trPr>
          <w:trHeight w:hRule="exact" w:val="340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13,30%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13,96%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10,71%</w:t>
            </w:r>
          </w:p>
        </w:tc>
      </w:tr>
      <w:tr w:rsidR="00D4559A" w:rsidRPr="002225A7" w:rsidTr="00737551">
        <w:trPr>
          <w:trHeight w:hRule="exact" w:val="340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2,49%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2,13%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1,53%</w:t>
            </w:r>
          </w:p>
        </w:tc>
      </w:tr>
      <w:tr w:rsidR="00D4559A" w:rsidRPr="002225A7" w:rsidTr="00737551">
        <w:trPr>
          <w:trHeight w:hRule="exact" w:val="890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20,82%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22,94%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24,94%</w:t>
            </w:r>
          </w:p>
        </w:tc>
      </w:tr>
      <w:tr w:rsidR="00D4559A" w:rsidRPr="002225A7" w:rsidTr="00737551">
        <w:trPr>
          <w:trHeight w:hRule="exact" w:val="340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Гостиницы и рестораны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0,40%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0,23%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0,17%</w:t>
            </w:r>
          </w:p>
        </w:tc>
      </w:tr>
      <w:tr w:rsidR="00D4559A" w:rsidRPr="002225A7" w:rsidTr="00737551">
        <w:trPr>
          <w:trHeight w:hRule="exact" w:val="340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Транспорт и связь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7,32%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7,63%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5,55%</w:t>
            </w:r>
          </w:p>
        </w:tc>
      </w:tr>
      <w:tr w:rsidR="00D4559A" w:rsidRPr="002225A7" w:rsidTr="00737551">
        <w:trPr>
          <w:trHeight w:hRule="exact" w:val="340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Финансовая деятельность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4559A" w:rsidRPr="002225A7" w:rsidTr="00737551">
        <w:trPr>
          <w:trHeight w:hRule="exact" w:val="555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Операции с недвижимым имуществом, аренда и предоставл</w:t>
            </w: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ние услуг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2,58%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2,91%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2,68%</w:t>
            </w:r>
          </w:p>
        </w:tc>
      </w:tr>
      <w:tr w:rsidR="00D4559A" w:rsidRPr="002225A7" w:rsidTr="00737551">
        <w:trPr>
          <w:trHeight w:hRule="exact" w:val="563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управление и обеспечение военной безопа</w:t>
            </w: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ности; социальное страхование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0,01%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0,04%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0,05%</w:t>
            </w:r>
          </w:p>
        </w:tc>
      </w:tr>
      <w:tr w:rsidR="00D4559A" w:rsidRPr="002225A7" w:rsidTr="00737551">
        <w:trPr>
          <w:trHeight w:hRule="exact" w:val="340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0,57%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0,58%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0,56%</w:t>
            </w:r>
          </w:p>
        </w:tc>
      </w:tr>
      <w:tr w:rsidR="00D4559A" w:rsidRPr="002225A7" w:rsidTr="00737551">
        <w:trPr>
          <w:trHeight w:hRule="exact" w:val="340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0,14%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0,13%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0,24%</w:t>
            </w:r>
          </w:p>
        </w:tc>
      </w:tr>
      <w:tr w:rsidR="00D4559A" w:rsidRPr="002225A7" w:rsidTr="00737551">
        <w:trPr>
          <w:trHeight w:hRule="exact" w:val="557"/>
        </w:trPr>
        <w:tc>
          <w:tcPr>
            <w:tcW w:w="3529" w:type="pct"/>
            <w:shd w:val="clear" w:color="auto" w:fill="auto"/>
            <w:hideMark/>
          </w:tcPr>
          <w:p w:rsidR="00D4559A" w:rsidRPr="002225A7" w:rsidRDefault="00D4559A" w:rsidP="00737551">
            <w:pPr>
              <w:spacing w:line="240" w:lineRule="auto"/>
              <w:ind w:firstLine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прочих коммунальных, социальных и перс</w:t>
            </w: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225A7">
              <w:rPr>
                <w:rFonts w:ascii="Times New Roman" w:hAnsi="Times New Roman"/>
                <w:color w:val="000000"/>
                <w:sz w:val="24"/>
                <w:szCs w:val="24"/>
              </w:rPr>
              <w:t>нальных услуг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0,32%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0,17%</w:t>
            </w:r>
          </w:p>
        </w:tc>
        <w:tc>
          <w:tcPr>
            <w:tcW w:w="490" w:type="pct"/>
            <w:shd w:val="clear" w:color="auto" w:fill="auto"/>
            <w:noWrap/>
            <w:vAlign w:val="bottom"/>
            <w:hideMark/>
          </w:tcPr>
          <w:p w:rsidR="00D4559A" w:rsidRPr="00C05F5D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F5D">
              <w:rPr>
                <w:rFonts w:ascii="Times New Roman" w:hAnsi="Times New Roman"/>
                <w:color w:val="000000"/>
                <w:sz w:val="24"/>
                <w:szCs w:val="24"/>
              </w:rPr>
              <w:t>0,22%</w:t>
            </w:r>
          </w:p>
        </w:tc>
      </w:tr>
    </w:tbl>
    <w:p w:rsidR="00D4559A" w:rsidRDefault="00D4559A" w:rsidP="00717BAC">
      <w:pPr>
        <w:spacing w:line="240" w:lineRule="auto"/>
        <w:ind w:firstLine="284"/>
        <w:rPr>
          <w:rFonts w:ascii="Times New Roman" w:hAnsi="Times New Roman"/>
          <w:szCs w:val="28"/>
        </w:rPr>
      </w:pPr>
    </w:p>
    <w:p w:rsidR="00D4559A" w:rsidRDefault="00D4559A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D4559A">
        <w:rPr>
          <w:rFonts w:ascii="Times New Roman" w:hAnsi="Times New Roman"/>
          <w:szCs w:val="28"/>
        </w:rPr>
        <w:t xml:space="preserve">За период 2008-2012 </w:t>
      </w:r>
      <w:r w:rsidR="00737551">
        <w:rPr>
          <w:rFonts w:ascii="Times New Roman" w:hAnsi="Times New Roman"/>
          <w:szCs w:val="28"/>
        </w:rPr>
        <w:t xml:space="preserve">годов </w:t>
      </w:r>
      <w:r w:rsidRPr="00D4559A">
        <w:rPr>
          <w:rFonts w:ascii="Times New Roman" w:hAnsi="Times New Roman"/>
          <w:szCs w:val="28"/>
        </w:rPr>
        <w:t>динамика изменения оборота организаций г</w:t>
      </w:r>
      <w:r w:rsidRPr="00D4559A">
        <w:rPr>
          <w:rFonts w:ascii="Times New Roman" w:hAnsi="Times New Roman"/>
          <w:szCs w:val="28"/>
        </w:rPr>
        <w:t>о</w:t>
      </w:r>
      <w:r w:rsidRPr="00D4559A">
        <w:rPr>
          <w:rFonts w:ascii="Times New Roman" w:hAnsi="Times New Roman"/>
          <w:szCs w:val="28"/>
        </w:rPr>
        <w:t>рода Перми имела положительную тенденцию, ежегодно наблюдался рост пр</w:t>
      </w:r>
      <w:r w:rsidRPr="00D4559A">
        <w:rPr>
          <w:rFonts w:ascii="Times New Roman" w:hAnsi="Times New Roman"/>
          <w:szCs w:val="28"/>
        </w:rPr>
        <w:t>о</w:t>
      </w:r>
      <w:r w:rsidRPr="00D4559A">
        <w:rPr>
          <w:rFonts w:ascii="Times New Roman" w:hAnsi="Times New Roman"/>
          <w:szCs w:val="28"/>
        </w:rPr>
        <w:t xml:space="preserve">изводства. Рост происходил по большинству видов экономической деятельности. Незначительное снижение произошло в 2012 году в сфере строительства, а также </w:t>
      </w:r>
      <w:r w:rsidR="00A076B9">
        <w:rPr>
          <w:rFonts w:ascii="Times New Roman" w:hAnsi="Times New Roman"/>
          <w:szCs w:val="28"/>
        </w:rPr>
        <w:br/>
      </w:r>
      <w:r w:rsidR="00815C14">
        <w:rPr>
          <w:rFonts w:ascii="Times New Roman" w:hAnsi="Times New Roman"/>
          <w:szCs w:val="28"/>
        </w:rPr>
        <w:t xml:space="preserve">в сфере </w:t>
      </w:r>
      <w:r w:rsidRPr="00D4559A">
        <w:rPr>
          <w:rFonts w:ascii="Times New Roman" w:hAnsi="Times New Roman"/>
          <w:szCs w:val="28"/>
        </w:rPr>
        <w:t xml:space="preserve">транспорта и связи. Наиболее значимое снижение происходило за </w:t>
      </w:r>
      <w:proofErr w:type="gramStart"/>
      <w:r w:rsidR="00737551">
        <w:rPr>
          <w:rFonts w:ascii="Times New Roman" w:hAnsi="Times New Roman"/>
          <w:szCs w:val="28"/>
        </w:rPr>
        <w:t>п</w:t>
      </w:r>
      <w:r w:rsidR="00737551">
        <w:rPr>
          <w:rFonts w:ascii="Times New Roman" w:hAnsi="Times New Roman"/>
          <w:szCs w:val="28"/>
        </w:rPr>
        <w:t>о</w:t>
      </w:r>
      <w:r w:rsidR="00737551">
        <w:rPr>
          <w:rFonts w:ascii="Times New Roman" w:hAnsi="Times New Roman"/>
          <w:szCs w:val="28"/>
        </w:rPr>
        <w:t>следние</w:t>
      </w:r>
      <w:proofErr w:type="gramEnd"/>
      <w:r w:rsidRPr="00D4559A">
        <w:rPr>
          <w:rFonts w:ascii="Times New Roman" w:hAnsi="Times New Roman"/>
          <w:szCs w:val="28"/>
        </w:rPr>
        <w:t xml:space="preserve"> 5 лет в сфере гостиниц и ресторанов.</w:t>
      </w:r>
    </w:p>
    <w:p w:rsidR="00815C14" w:rsidRPr="00D4559A" w:rsidRDefault="00815C14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D4559A" w:rsidRPr="00D4559A" w:rsidRDefault="00D4559A" w:rsidP="003A45E7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4559A">
        <w:rPr>
          <w:rFonts w:ascii="Times New Roman" w:hAnsi="Times New Roman"/>
          <w:b/>
          <w:i/>
          <w:sz w:val="24"/>
          <w:szCs w:val="24"/>
        </w:rPr>
        <w:t xml:space="preserve">Таблица 2.1.2. Объем оборота </w:t>
      </w:r>
      <w:r w:rsidR="00815C14">
        <w:rPr>
          <w:rFonts w:ascii="Times New Roman" w:hAnsi="Times New Roman"/>
          <w:b/>
          <w:i/>
          <w:sz w:val="24"/>
          <w:szCs w:val="24"/>
        </w:rPr>
        <w:t xml:space="preserve">организаций </w:t>
      </w:r>
      <w:r w:rsidRPr="00D4559A">
        <w:rPr>
          <w:rFonts w:ascii="Times New Roman" w:hAnsi="Times New Roman"/>
          <w:b/>
          <w:i/>
          <w:sz w:val="24"/>
          <w:szCs w:val="24"/>
        </w:rPr>
        <w:t>и его с</w:t>
      </w:r>
      <w:r w:rsidR="00A076B9">
        <w:rPr>
          <w:rFonts w:ascii="Times New Roman" w:hAnsi="Times New Roman"/>
          <w:b/>
          <w:i/>
          <w:sz w:val="24"/>
          <w:szCs w:val="24"/>
        </w:rPr>
        <w:t>труктура в 2008-2012 гг., (</w:t>
      </w:r>
      <w:proofErr w:type="spellStart"/>
      <w:r w:rsidR="00A076B9">
        <w:rPr>
          <w:rFonts w:ascii="Times New Roman" w:hAnsi="Times New Roman"/>
          <w:b/>
          <w:i/>
          <w:sz w:val="24"/>
          <w:szCs w:val="24"/>
        </w:rPr>
        <w:t>млн</w:t>
      </w:r>
      <w:proofErr w:type="gramStart"/>
      <w:r w:rsidR="00A076B9">
        <w:rPr>
          <w:rFonts w:ascii="Times New Roman" w:hAnsi="Times New Roman"/>
          <w:b/>
          <w:i/>
          <w:sz w:val="24"/>
          <w:szCs w:val="24"/>
        </w:rPr>
        <w:t>.</w:t>
      </w:r>
      <w:r w:rsidRPr="00D4559A">
        <w:rPr>
          <w:rFonts w:ascii="Times New Roman" w:hAnsi="Times New Roman"/>
          <w:b/>
          <w:i/>
          <w:sz w:val="24"/>
          <w:szCs w:val="24"/>
        </w:rPr>
        <w:t>р</w:t>
      </w:r>
      <w:proofErr w:type="gramEnd"/>
      <w:r w:rsidRPr="00D4559A">
        <w:rPr>
          <w:rFonts w:ascii="Times New Roman" w:hAnsi="Times New Roman"/>
          <w:b/>
          <w:i/>
          <w:sz w:val="24"/>
          <w:szCs w:val="24"/>
        </w:rPr>
        <w:t>уб</w:t>
      </w:r>
      <w:proofErr w:type="spellEnd"/>
      <w:r w:rsidRPr="00D4559A">
        <w:rPr>
          <w:rFonts w:ascii="Times New Roman" w:hAnsi="Times New Roman"/>
          <w:b/>
          <w:i/>
          <w:sz w:val="24"/>
          <w:szCs w:val="24"/>
        </w:rPr>
        <w:t>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3"/>
        <w:gridCol w:w="1394"/>
        <w:gridCol w:w="1256"/>
        <w:gridCol w:w="1254"/>
      </w:tblGrid>
      <w:tr w:rsidR="00D4559A" w:rsidRPr="000E7FCB" w:rsidTr="005B6765">
        <w:trPr>
          <w:trHeight w:val="501"/>
          <w:tblHeader/>
        </w:trPr>
        <w:tc>
          <w:tcPr>
            <w:tcW w:w="3048" w:type="pct"/>
            <w:shd w:val="clear" w:color="auto" w:fill="auto"/>
            <w:noWrap/>
            <w:vAlign w:val="center"/>
            <w:hideMark/>
          </w:tcPr>
          <w:p w:rsidR="00D4559A" w:rsidRPr="000E7FCB" w:rsidRDefault="00815C14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вида деятельности</w:t>
            </w:r>
          </w:p>
        </w:tc>
        <w:tc>
          <w:tcPr>
            <w:tcW w:w="697" w:type="pct"/>
            <w:shd w:val="clear" w:color="auto" w:fill="auto"/>
            <w:noWrap/>
            <w:vAlign w:val="center"/>
            <w:hideMark/>
          </w:tcPr>
          <w:p w:rsidR="00D4559A" w:rsidRPr="000E7FCB" w:rsidRDefault="00D4559A" w:rsidP="00717BAC">
            <w:pPr>
              <w:spacing w:line="240" w:lineRule="auto"/>
              <w:ind w:firstLine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2008</w:t>
            </w:r>
            <w:r w:rsidR="00737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628" w:type="pct"/>
            <w:shd w:val="clear" w:color="auto" w:fill="auto"/>
            <w:noWrap/>
            <w:vAlign w:val="center"/>
            <w:hideMark/>
          </w:tcPr>
          <w:p w:rsidR="00D4559A" w:rsidRPr="000E7FCB" w:rsidRDefault="00D4559A" w:rsidP="00717BAC">
            <w:pPr>
              <w:spacing w:line="240" w:lineRule="auto"/>
              <w:ind w:firstLine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2010</w:t>
            </w:r>
            <w:r w:rsidR="00737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628" w:type="pct"/>
            <w:shd w:val="clear" w:color="auto" w:fill="auto"/>
            <w:noWrap/>
            <w:vAlign w:val="center"/>
            <w:hideMark/>
          </w:tcPr>
          <w:p w:rsidR="00D4559A" w:rsidRPr="000E7FCB" w:rsidRDefault="00D4559A" w:rsidP="00717BAC">
            <w:pPr>
              <w:spacing w:line="240" w:lineRule="auto"/>
              <w:ind w:firstLine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2012</w:t>
            </w:r>
            <w:r w:rsidR="00737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4559A" w:rsidRPr="000E7FCB" w:rsidTr="00737551">
        <w:trPr>
          <w:trHeight w:val="3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585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054,0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684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960,5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678,8</w:t>
            </w:r>
          </w:p>
        </w:tc>
      </w:tr>
      <w:tr w:rsidR="00D4559A" w:rsidRPr="000E7FCB" w:rsidTr="00737551">
        <w:trPr>
          <w:trHeight w:val="3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184,8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67,4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815C14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4559A" w:rsidRPr="000E7FCB" w:rsidTr="00737551">
        <w:trPr>
          <w:trHeight w:val="3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803,4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839,0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338,5</w:t>
            </w:r>
          </w:p>
        </w:tc>
      </w:tr>
      <w:tr w:rsidR="00D4559A" w:rsidRPr="000E7FCB" w:rsidTr="00737551">
        <w:trPr>
          <w:trHeight w:val="3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298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614,7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331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622,0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491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552,1</w:t>
            </w:r>
          </w:p>
        </w:tc>
      </w:tr>
      <w:tr w:rsidR="00D4559A" w:rsidRPr="000E7FCB" w:rsidTr="00737551">
        <w:trPr>
          <w:trHeight w:val="6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815,0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588,2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712,0</w:t>
            </w:r>
          </w:p>
        </w:tc>
      </w:tr>
      <w:tr w:rsidR="00D4559A" w:rsidRPr="000E7FCB" w:rsidTr="00737551">
        <w:trPr>
          <w:trHeight w:val="3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563,5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562,5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411,3</w:t>
            </w:r>
          </w:p>
        </w:tc>
      </w:tr>
      <w:tr w:rsidR="00D4559A" w:rsidRPr="000E7FCB" w:rsidTr="00737551">
        <w:trPr>
          <w:cantSplit/>
          <w:trHeight w:val="9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Оптовая и розничная торговля; ремонт автотранспор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ных средств, мотоциклов, бытовых изделий и предметов личного пользования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780,8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157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162,6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234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591,0</w:t>
            </w:r>
          </w:p>
        </w:tc>
      </w:tr>
      <w:tr w:rsidR="00D4559A" w:rsidRPr="000E7FCB" w:rsidTr="00737551">
        <w:trPr>
          <w:cantSplit/>
          <w:trHeight w:val="3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Гостиницы и рестораны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346,1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590,4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566,1</w:t>
            </w:r>
          </w:p>
        </w:tc>
      </w:tr>
      <w:tr w:rsidR="00D4559A" w:rsidRPr="000E7FCB" w:rsidTr="00737551">
        <w:trPr>
          <w:trHeight w:val="3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Транспорт и связь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802,7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250,5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221,2</w:t>
            </w:r>
          </w:p>
        </w:tc>
      </w:tr>
      <w:tr w:rsidR="00D4559A" w:rsidRPr="000E7FCB" w:rsidTr="00737551">
        <w:trPr>
          <w:trHeight w:val="3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Финансовая деятельность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4559A" w:rsidRPr="000E7FCB" w:rsidTr="00737551">
        <w:trPr>
          <w:cantSplit/>
          <w:trHeight w:val="6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Операции с недвижимым имуществом, аренда и пред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ставление услуг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077,6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950,3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205,5</w:t>
            </w:r>
          </w:p>
        </w:tc>
      </w:tr>
      <w:tr w:rsidR="00D4559A" w:rsidRPr="000E7FCB" w:rsidTr="00737551">
        <w:trPr>
          <w:cantSplit/>
          <w:trHeight w:val="6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управление и обеспечение военной безопасности; социальное страхование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45,1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290,7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441,6</w:t>
            </w:r>
          </w:p>
        </w:tc>
      </w:tr>
      <w:tr w:rsidR="00D4559A" w:rsidRPr="000E7FCB" w:rsidTr="00737551">
        <w:trPr>
          <w:cantSplit/>
          <w:trHeight w:val="3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325,8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944,7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295,4</w:t>
            </w:r>
          </w:p>
        </w:tc>
      </w:tr>
      <w:tr w:rsidR="00D4559A" w:rsidRPr="000E7FCB" w:rsidTr="00737551">
        <w:trPr>
          <w:cantSplit/>
          <w:trHeight w:val="6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825,7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907,8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272,9</w:t>
            </w:r>
          </w:p>
        </w:tc>
      </w:tr>
      <w:tr w:rsidR="00D4559A" w:rsidRPr="000E7FCB" w:rsidTr="00737551">
        <w:trPr>
          <w:cantSplit/>
          <w:trHeight w:val="600"/>
        </w:trPr>
        <w:tc>
          <w:tcPr>
            <w:tcW w:w="3048" w:type="pct"/>
            <w:shd w:val="clear" w:color="auto" w:fill="auto"/>
            <w:hideMark/>
          </w:tcPr>
          <w:p w:rsidR="00D4559A" w:rsidRPr="000E7FCB" w:rsidRDefault="00D4559A" w:rsidP="0073755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697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863,9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175,5</w:t>
            </w:r>
          </w:p>
        </w:tc>
        <w:tc>
          <w:tcPr>
            <w:tcW w:w="628" w:type="pct"/>
            <w:shd w:val="clear" w:color="auto" w:fill="auto"/>
            <w:noWrap/>
            <w:vAlign w:val="bottom"/>
            <w:hideMark/>
          </w:tcPr>
          <w:p w:rsidR="00D4559A" w:rsidRPr="000E7FCB" w:rsidRDefault="00D4559A" w:rsidP="00717BAC">
            <w:pPr>
              <w:spacing w:line="240" w:lineRule="auto"/>
              <w:ind w:firstLine="16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6B1E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E7FCB">
              <w:rPr>
                <w:rFonts w:ascii="Times New Roman" w:hAnsi="Times New Roman"/>
                <w:color w:val="000000"/>
                <w:sz w:val="24"/>
                <w:szCs w:val="24"/>
              </w:rPr>
              <w:t>057,6</w:t>
            </w:r>
          </w:p>
        </w:tc>
      </w:tr>
    </w:tbl>
    <w:p w:rsidR="00D4559A" w:rsidRPr="00D4559A" w:rsidRDefault="00D4559A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D4559A" w:rsidRPr="00D4559A" w:rsidRDefault="00D4559A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D4559A">
        <w:rPr>
          <w:rFonts w:ascii="Times New Roman" w:hAnsi="Times New Roman"/>
          <w:szCs w:val="28"/>
        </w:rPr>
        <w:t>Наиболее выгодными для инвестирования за последние 5 лет являются т</w:t>
      </w:r>
      <w:r w:rsidRPr="00D4559A">
        <w:rPr>
          <w:rFonts w:ascii="Times New Roman" w:hAnsi="Times New Roman"/>
          <w:szCs w:val="28"/>
        </w:rPr>
        <w:t>а</w:t>
      </w:r>
      <w:r w:rsidRPr="00D4559A">
        <w:rPr>
          <w:rFonts w:ascii="Times New Roman" w:hAnsi="Times New Roman"/>
          <w:szCs w:val="28"/>
        </w:rPr>
        <w:t>кие виды деятельности как обрабатывающие производства (объем прибыли пр</w:t>
      </w:r>
      <w:r w:rsidRPr="00D4559A">
        <w:rPr>
          <w:rFonts w:ascii="Times New Roman" w:hAnsi="Times New Roman"/>
          <w:szCs w:val="28"/>
        </w:rPr>
        <w:t>е</w:t>
      </w:r>
      <w:r w:rsidRPr="00D4559A">
        <w:rPr>
          <w:rFonts w:ascii="Times New Roman" w:hAnsi="Times New Roman"/>
          <w:szCs w:val="28"/>
        </w:rPr>
        <w:t xml:space="preserve">вышает объем инвестирования в 2-3 раза), добыча полезных ископаемых (объем прибыли более чем в 2 раза больше вкладываемых в эту сферу </w:t>
      </w:r>
      <w:proofErr w:type="gramStart"/>
      <w:r w:rsidRPr="00D4559A">
        <w:rPr>
          <w:rFonts w:ascii="Times New Roman" w:hAnsi="Times New Roman"/>
          <w:szCs w:val="28"/>
        </w:rPr>
        <w:t>инвестиций</w:t>
      </w:r>
      <w:proofErr w:type="gramEnd"/>
      <w:r w:rsidRPr="00D4559A">
        <w:rPr>
          <w:rFonts w:ascii="Times New Roman" w:hAnsi="Times New Roman"/>
          <w:szCs w:val="28"/>
        </w:rPr>
        <w:t xml:space="preserve"> н</w:t>
      </w:r>
      <w:r w:rsidRPr="00D4559A">
        <w:rPr>
          <w:rFonts w:ascii="Times New Roman" w:hAnsi="Times New Roman"/>
          <w:szCs w:val="28"/>
        </w:rPr>
        <w:t>е</w:t>
      </w:r>
      <w:r w:rsidRPr="00D4559A">
        <w:rPr>
          <w:rFonts w:ascii="Times New Roman" w:hAnsi="Times New Roman"/>
          <w:szCs w:val="28"/>
        </w:rPr>
        <w:t>смотря на то</w:t>
      </w:r>
      <w:r w:rsidR="005B6765">
        <w:rPr>
          <w:rFonts w:ascii="Times New Roman" w:hAnsi="Times New Roman"/>
          <w:szCs w:val="28"/>
        </w:rPr>
        <w:t>,</w:t>
      </w:r>
      <w:r w:rsidRPr="00D4559A">
        <w:rPr>
          <w:rFonts w:ascii="Times New Roman" w:hAnsi="Times New Roman"/>
          <w:szCs w:val="28"/>
        </w:rPr>
        <w:t xml:space="preserve"> что инвестиции в эту отрасль невысокие), оптовая и розничная торговля (прибыль превышает инвестиции в среднем в 4,5 раза). Менее выгодны сфер</w:t>
      </w:r>
      <w:r w:rsidR="00815C14">
        <w:rPr>
          <w:rFonts w:ascii="Times New Roman" w:hAnsi="Times New Roman"/>
          <w:szCs w:val="28"/>
        </w:rPr>
        <w:t xml:space="preserve">а </w:t>
      </w:r>
      <w:r w:rsidRPr="00D4559A">
        <w:rPr>
          <w:rFonts w:ascii="Times New Roman" w:hAnsi="Times New Roman"/>
          <w:szCs w:val="28"/>
        </w:rPr>
        <w:t>производства</w:t>
      </w:r>
      <w:r w:rsidR="00815C14">
        <w:rPr>
          <w:rFonts w:ascii="Times New Roman" w:hAnsi="Times New Roman"/>
          <w:szCs w:val="28"/>
        </w:rPr>
        <w:t xml:space="preserve"> </w:t>
      </w:r>
      <w:r w:rsidRPr="00D4559A">
        <w:rPr>
          <w:rFonts w:ascii="Times New Roman" w:hAnsi="Times New Roman"/>
          <w:szCs w:val="28"/>
        </w:rPr>
        <w:t xml:space="preserve">и </w:t>
      </w:r>
      <w:r w:rsidR="00F527C7">
        <w:rPr>
          <w:rFonts w:ascii="Times New Roman" w:hAnsi="Times New Roman"/>
          <w:szCs w:val="28"/>
        </w:rPr>
        <w:t>распределения</w:t>
      </w:r>
      <w:r w:rsidR="00815C14">
        <w:rPr>
          <w:rFonts w:ascii="Times New Roman" w:hAnsi="Times New Roman"/>
          <w:szCs w:val="28"/>
        </w:rPr>
        <w:t xml:space="preserve"> </w:t>
      </w:r>
      <w:r w:rsidR="00E9539C" w:rsidRPr="00E9539C">
        <w:rPr>
          <w:rFonts w:ascii="Times New Roman" w:hAnsi="Times New Roman"/>
          <w:color w:val="000000"/>
          <w:szCs w:val="28"/>
        </w:rPr>
        <w:t>электроэнергии, газа и воды</w:t>
      </w:r>
      <w:r w:rsidR="00E9539C">
        <w:rPr>
          <w:rFonts w:ascii="Times New Roman" w:hAnsi="Times New Roman"/>
          <w:color w:val="000000"/>
          <w:szCs w:val="28"/>
        </w:rPr>
        <w:t>,</w:t>
      </w:r>
      <w:r w:rsidR="00815C14" w:rsidRPr="00E9539C">
        <w:rPr>
          <w:rFonts w:ascii="Times New Roman" w:hAnsi="Times New Roman"/>
          <w:szCs w:val="28"/>
        </w:rPr>
        <w:t xml:space="preserve"> сфера </w:t>
      </w:r>
      <w:r w:rsidRPr="00E9539C">
        <w:rPr>
          <w:rFonts w:ascii="Times New Roman" w:hAnsi="Times New Roman"/>
          <w:szCs w:val="28"/>
        </w:rPr>
        <w:t>тран</w:t>
      </w:r>
      <w:r w:rsidRPr="00E9539C">
        <w:rPr>
          <w:rFonts w:ascii="Times New Roman" w:hAnsi="Times New Roman"/>
          <w:szCs w:val="28"/>
        </w:rPr>
        <w:t>с</w:t>
      </w:r>
      <w:r w:rsidRPr="00E9539C">
        <w:rPr>
          <w:rFonts w:ascii="Times New Roman" w:hAnsi="Times New Roman"/>
          <w:szCs w:val="28"/>
        </w:rPr>
        <w:t>порт</w:t>
      </w:r>
      <w:r w:rsidR="00E9539C">
        <w:rPr>
          <w:rFonts w:ascii="Times New Roman" w:hAnsi="Times New Roman"/>
          <w:szCs w:val="28"/>
        </w:rPr>
        <w:t>а</w:t>
      </w:r>
      <w:r w:rsidRPr="00E9539C">
        <w:rPr>
          <w:rFonts w:ascii="Times New Roman" w:hAnsi="Times New Roman"/>
          <w:szCs w:val="28"/>
        </w:rPr>
        <w:t xml:space="preserve"> и связ</w:t>
      </w:r>
      <w:r w:rsidR="00E9539C">
        <w:rPr>
          <w:rFonts w:ascii="Times New Roman" w:hAnsi="Times New Roman"/>
          <w:szCs w:val="28"/>
        </w:rPr>
        <w:t>и</w:t>
      </w:r>
      <w:r w:rsidRPr="00E9539C">
        <w:rPr>
          <w:rFonts w:ascii="Times New Roman" w:hAnsi="Times New Roman"/>
          <w:szCs w:val="28"/>
        </w:rPr>
        <w:t>. Несмотря на то, что в них вкладывается достаточно</w:t>
      </w:r>
      <w:r w:rsidRPr="00D4559A">
        <w:rPr>
          <w:rFonts w:ascii="Times New Roman" w:hAnsi="Times New Roman"/>
          <w:szCs w:val="28"/>
        </w:rPr>
        <w:t xml:space="preserve"> большой об</w:t>
      </w:r>
      <w:r w:rsidRPr="00D4559A">
        <w:rPr>
          <w:rFonts w:ascii="Times New Roman" w:hAnsi="Times New Roman"/>
          <w:szCs w:val="28"/>
        </w:rPr>
        <w:t>ъ</w:t>
      </w:r>
      <w:r w:rsidRPr="00D4559A">
        <w:rPr>
          <w:rFonts w:ascii="Times New Roman" w:hAnsi="Times New Roman"/>
          <w:szCs w:val="28"/>
        </w:rPr>
        <w:t>ем инвестиций, прибыль</w:t>
      </w:r>
      <w:r w:rsidR="00815C14">
        <w:rPr>
          <w:rFonts w:ascii="Times New Roman" w:hAnsi="Times New Roman"/>
          <w:szCs w:val="28"/>
        </w:rPr>
        <w:t>,</w:t>
      </w:r>
      <w:r w:rsidRPr="00D4559A">
        <w:rPr>
          <w:rFonts w:ascii="Times New Roman" w:hAnsi="Times New Roman"/>
          <w:szCs w:val="28"/>
        </w:rPr>
        <w:t xml:space="preserve"> </w:t>
      </w:r>
      <w:r w:rsidR="00834720">
        <w:rPr>
          <w:rFonts w:ascii="Times New Roman" w:hAnsi="Times New Roman"/>
          <w:szCs w:val="28"/>
        </w:rPr>
        <w:t>получаемая организациями</w:t>
      </w:r>
      <w:r w:rsidRPr="00D4559A">
        <w:rPr>
          <w:rFonts w:ascii="Times New Roman" w:hAnsi="Times New Roman"/>
          <w:szCs w:val="28"/>
        </w:rPr>
        <w:t xml:space="preserve"> данных видо</w:t>
      </w:r>
      <w:r w:rsidR="00E9539C">
        <w:rPr>
          <w:rFonts w:ascii="Times New Roman" w:hAnsi="Times New Roman"/>
          <w:szCs w:val="28"/>
        </w:rPr>
        <w:t>в</w:t>
      </w:r>
      <w:r w:rsidRPr="00D4559A">
        <w:rPr>
          <w:rFonts w:ascii="Times New Roman" w:hAnsi="Times New Roman"/>
          <w:szCs w:val="28"/>
        </w:rPr>
        <w:t xml:space="preserve"> деятельн</w:t>
      </w:r>
      <w:r w:rsidRPr="00D4559A">
        <w:rPr>
          <w:rFonts w:ascii="Times New Roman" w:hAnsi="Times New Roman"/>
          <w:szCs w:val="28"/>
        </w:rPr>
        <w:t>о</w:t>
      </w:r>
      <w:r w:rsidRPr="00D4559A">
        <w:rPr>
          <w:rFonts w:ascii="Times New Roman" w:hAnsi="Times New Roman"/>
          <w:szCs w:val="28"/>
        </w:rPr>
        <w:t>сти</w:t>
      </w:r>
      <w:r w:rsidR="00E9539C">
        <w:rPr>
          <w:rFonts w:ascii="Times New Roman" w:hAnsi="Times New Roman"/>
          <w:szCs w:val="28"/>
        </w:rPr>
        <w:t>,</w:t>
      </w:r>
      <w:r w:rsidRPr="00D4559A">
        <w:rPr>
          <w:rFonts w:ascii="Times New Roman" w:hAnsi="Times New Roman"/>
          <w:szCs w:val="28"/>
        </w:rPr>
        <w:t xml:space="preserve"> значительно ниже (в производстве и распределении энергии объем прибыл</w:t>
      </w:r>
      <w:r w:rsidR="00E9539C">
        <w:rPr>
          <w:rFonts w:ascii="Times New Roman" w:hAnsi="Times New Roman"/>
          <w:szCs w:val="28"/>
        </w:rPr>
        <w:t>и</w:t>
      </w:r>
      <w:r w:rsidRPr="00D4559A">
        <w:rPr>
          <w:rFonts w:ascii="Times New Roman" w:hAnsi="Times New Roman"/>
          <w:szCs w:val="28"/>
        </w:rPr>
        <w:t xml:space="preserve"> на 70-80% ниже вкла</w:t>
      </w:r>
      <w:r w:rsidR="00E9539C">
        <w:rPr>
          <w:rFonts w:ascii="Times New Roman" w:hAnsi="Times New Roman"/>
          <w:szCs w:val="28"/>
        </w:rPr>
        <w:t>дываемых инвестиций,</w:t>
      </w:r>
      <w:r w:rsidRPr="00D4559A">
        <w:rPr>
          <w:rFonts w:ascii="Times New Roman" w:hAnsi="Times New Roman"/>
          <w:szCs w:val="28"/>
        </w:rPr>
        <w:t xml:space="preserve"> в сфере транспорта и связи </w:t>
      </w:r>
      <w:r w:rsidR="00737551">
        <w:rPr>
          <w:rFonts w:ascii="Times New Roman" w:hAnsi="Times New Roman"/>
          <w:szCs w:val="28"/>
        </w:rPr>
        <w:t>–</w:t>
      </w:r>
      <w:r w:rsidR="00834720">
        <w:rPr>
          <w:rFonts w:ascii="Times New Roman" w:hAnsi="Times New Roman"/>
          <w:szCs w:val="28"/>
        </w:rPr>
        <w:t xml:space="preserve"> </w:t>
      </w:r>
      <w:r w:rsidR="00E9539C">
        <w:rPr>
          <w:rFonts w:ascii="Times New Roman" w:hAnsi="Times New Roman"/>
          <w:szCs w:val="28"/>
        </w:rPr>
        <w:br/>
      </w:r>
      <w:r w:rsidRPr="00D4559A">
        <w:rPr>
          <w:rFonts w:ascii="Times New Roman" w:hAnsi="Times New Roman"/>
          <w:szCs w:val="28"/>
        </w:rPr>
        <w:t xml:space="preserve">на 70-90%). </w:t>
      </w:r>
    </w:p>
    <w:p w:rsidR="00834720" w:rsidRDefault="00834720" w:rsidP="00834720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D4559A" w:rsidRPr="00D4559A" w:rsidRDefault="00D4559A" w:rsidP="003A45E7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D4559A">
        <w:rPr>
          <w:rFonts w:ascii="Times New Roman" w:hAnsi="Times New Roman"/>
          <w:b/>
          <w:i/>
          <w:sz w:val="24"/>
          <w:szCs w:val="24"/>
        </w:rPr>
        <w:t xml:space="preserve">Таблица 2.1.3. Отношение объема прибыли к </w:t>
      </w:r>
      <w:r w:rsidR="00854819">
        <w:rPr>
          <w:rFonts w:ascii="Times New Roman" w:hAnsi="Times New Roman"/>
          <w:b/>
          <w:i/>
          <w:sz w:val="24"/>
          <w:szCs w:val="24"/>
        </w:rPr>
        <w:t xml:space="preserve">объему </w:t>
      </w:r>
      <w:r w:rsidRPr="00D4559A">
        <w:rPr>
          <w:rFonts w:ascii="Times New Roman" w:hAnsi="Times New Roman"/>
          <w:b/>
          <w:i/>
          <w:sz w:val="24"/>
          <w:szCs w:val="24"/>
        </w:rPr>
        <w:t>инвестици</w:t>
      </w:r>
      <w:r w:rsidR="00854819">
        <w:rPr>
          <w:rFonts w:ascii="Times New Roman" w:hAnsi="Times New Roman"/>
          <w:b/>
          <w:i/>
          <w:sz w:val="24"/>
          <w:szCs w:val="24"/>
        </w:rPr>
        <w:t>й</w:t>
      </w:r>
      <w:r w:rsidRPr="00D4559A">
        <w:rPr>
          <w:rFonts w:ascii="Times New Roman" w:hAnsi="Times New Roman"/>
          <w:b/>
          <w:i/>
          <w:sz w:val="24"/>
          <w:szCs w:val="24"/>
        </w:rPr>
        <w:t xml:space="preserve"> в основной кап</w:t>
      </w:r>
      <w:r w:rsidRPr="00D4559A">
        <w:rPr>
          <w:rFonts w:ascii="Times New Roman" w:hAnsi="Times New Roman"/>
          <w:b/>
          <w:i/>
          <w:sz w:val="24"/>
          <w:szCs w:val="24"/>
        </w:rPr>
        <w:t>и</w:t>
      </w:r>
      <w:r w:rsidRPr="00D4559A">
        <w:rPr>
          <w:rFonts w:ascii="Times New Roman" w:hAnsi="Times New Roman"/>
          <w:b/>
          <w:i/>
          <w:sz w:val="24"/>
          <w:szCs w:val="24"/>
        </w:rPr>
        <w:t>тал в 2008-2012 гг</w:t>
      </w:r>
      <w:proofErr w:type="gramStart"/>
      <w:r w:rsidRPr="00D4559A">
        <w:rPr>
          <w:rFonts w:ascii="Times New Roman" w:hAnsi="Times New Roman"/>
          <w:b/>
          <w:i/>
          <w:sz w:val="24"/>
          <w:szCs w:val="24"/>
        </w:rPr>
        <w:t>.,</w:t>
      </w:r>
      <w:r w:rsidR="00737551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4559A">
        <w:rPr>
          <w:rFonts w:ascii="Times New Roman" w:hAnsi="Times New Roman"/>
          <w:b/>
          <w:i/>
          <w:sz w:val="24"/>
          <w:szCs w:val="24"/>
        </w:rPr>
        <w:t>(%)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6"/>
        <w:gridCol w:w="1097"/>
        <w:gridCol w:w="1097"/>
        <w:gridCol w:w="1097"/>
      </w:tblGrid>
      <w:tr w:rsidR="00D4559A" w:rsidRPr="004D7AEB" w:rsidTr="006B1EC7">
        <w:trPr>
          <w:trHeight w:val="587"/>
        </w:trPr>
        <w:tc>
          <w:tcPr>
            <w:tcW w:w="3448" w:type="pct"/>
            <w:shd w:val="clear" w:color="auto" w:fill="auto"/>
            <w:noWrap/>
            <w:vAlign w:val="center"/>
            <w:hideMark/>
          </w:tcPr>
          <w:p w:rsidR="00D4559A" w:rsidRPr="004D7AEB" w:rsidRDefault="00854819" w:rsidP="00717BAC">
            <w:pPr>
              <w:spacing w:line="240" w:lineRule="auto"/>
              <w:ind w:firstLine="28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вида деятельности</w:t>
            </w:r>
          </w:p>
        </w:tc>
        <w:tc>
          <w:tcPr>
            <w:tcW w:w="518" w:type="pct"/>
            <w:shd w:val="clear" w:color="auto" w:fill="auto"/>
            <w:noWrap/>
            <w:vAlign w:val="center"/>
            <w:hideMark/>
          </w:tcPr>
          <w:p w:rsidR="00D4559A" w:rsidRPr="004D7AEB" w:rsidRDefault="00D4559A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2008</w:t>
            </w:r>
            <w:r w:rsidR="00854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37551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18" w:type="pct"/>
            <w:shd w:val="clear" w:color="auto" w:fill="auto"/>
            <w:noWrap/>
            <w:vAlign w:val="center"/>
            <w:hideMark/>
          </w:tcPr>
          <w:p w:rsidR="00D4559A" w:rsidRPr="004D7AEB" w:rsidRDefault="00D4559A" w:rsidP="007375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2010</w:t>
            </w:r>
            <w:r w:rsidR="00854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37551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D4559A" w:rsidRPr="004D7AEB" w:rsidRDefault="00D4559A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2012</w:t>
            </w:r>
            <w:r w:rsidR="008548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37551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</w:tr>
      <w:tr w:rsidR="00D4559A" w:rsidRPr="004D7AEB" w:rsidTr="00737551">
        <w:trPr>
          <w:trHeight w:val="300"/>
        </w:trPr>
        <w:tc>
          <w:tcPr>
            <w:tcW w:w="3448" w:type="pct"/>
            <w:shd w:val="clear" w:color="auto" w:fill="auto"/>
            <w:vAlign w:val="bottom"/>
            <w:hideMark/>
          </w:tcPr>
          <w:p w:rsidR="00D4559A" w:rsidRPr="004D7AEB" w:rsidRDefault="00D4559A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226,5%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241,3%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227,5%</w:t>
            </w:r>
          </w:p>
        </w:tc>
      </w:tr>
      <w:tr w:rsidR="00D4559A" w:rsidRPr="004D7AEB" w:rsidTr="00737551">
        <w:trPr>
          <w:trHeight w:val="300"/>
        </w:trPr>
        <w:tc>
          <w:tcPr>
            <w:tcW w:w="3448" w:type="pct"/>
            <w:shd w:val="clear" w:color="auto" w:fill="auto"/>
            <w:vAlign w:val="bottom"/>
            <w:hideMark/>
          </w:tcPr>
          <w:p w:rsidR="00D4559A" w:rsidRPr="004D7AEB" w:rsidRDefault="00D4559A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455,1%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332,1%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332,1%</w:t>
            </w:r>
          </w:p>
        </w:tc>
      </w:tr>
      <w:tr w:rsidR="00D4559A" w:rsidRPr="004D7AEB" w:rsidTr="00737551">
        <w:trPr>
          <w:trHeight w:val="349"/>
        </w:trPr>
        <w:tc>
          <w:tcPr>
            <w:tcW w:w="3448" w:type="pct"/>
            <w:shd w:val="clear" w:color="auto" w:fill="auto"/>
            <w:vAlign w:val="bottom"/>
            <w:hideMark/>
          </w:tcPr>
          <w:p w:rsidR="00D4559A" w:rsidRPr="004D7AEB" w:rsidRDefault="00D4559A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35,0%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14,8%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14,4%</w:t>
            </w:r>
          </w:p>
        </w:tc>
      </w:tr>
      <w:tr w:rsidR="00D4559A" w:rsidRPr="004D7AEB" w:rsidTr="00737551">
        <w:trPr>
          <w:trHeight w:val="300"/>
        </w:trPr>
        <w:tc>
          <w:tcPr>
            <w:tcW w:w="3448" w:type="pct"/>
            <w:shd w:val="clear" w:color="auto" w:fill="auto"/>
            <w:vAlign w:val="bottom"/>
            <w:hideMark/>
          </w:tcPr>
          <w:p w:rsidR="00D4559A" w:rsidRPr="004D7AEB" w:rsidRDefault="00D4559A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173,5%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137,7%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53,5%</w:t>
            </w:r>
          </w:p>
        </w:tc>
      </w:tr>
      <w:tr w:rsidR="00D4559A" w:rsidRPr="004D7AEB" w:rsidTr="00737551">
        <w:trPr>
          <w:cantSplit/>
          <w:trHeight w:val="529"/>
        </w:trPr>
        <w:tc>
          <w:tcPr>
            <w:tcW w:w="3448" w:type="pct"/>
            <w:shd w:val="clear" w:color="auto" w:fill="auto"/>
            <w:vAlign w:val="bottom"/>
            <w:hideMark/>
          </w:tcPr>
          <w:p w:rsidR="00D4559A" w:rsidRPr="004D7AEB" w:rsidRDefault="00D4559A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324,1%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731,5%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469,3%</w:t>
            </w:r>
          </w:p>
        </w:tc>
      </w:tr>
      <w:tr w:rsidR="00D4559A" w:rsidRPr="004D7AEB" w:rsidTr="00737551">
        <w:trPr>
          <w:trHeight w:val="300"/>
        </w:trPr>
        <w:tc>
          <w:tcPr>
            <w:tcW w:w="3448" w:type="pct"/>
            <w:shd w:val="clear" w:color="auto" w:fill="auto"/>
            <w:vAlign w:val="bottom"/>
            <w:hideMark/>
          </w:tcPr>
          <w:p w:rsidR="00D4559A" w:rsidRPr="004D7AEB" w:rsidRDefault="00D4559A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Гостиницы и рестораны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257,4%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17,2%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195,7%</w:t>
            </w:r>
          </w:p>
        </w:tc>
      </w:tr>
      <w:tr w:rsidR="00D4559A" w:rsidRPr="004D7AEB" w:rsidTr="00737551">
        <w:trPr>
          <w:trHeight w:val="300"/>
        </w:trPr>
        <w:tc>
          <w:tcPr>
            <w:tcW w:w="3448" w:type="pct"/>
            <w:shd w:val="clear" w:color="auto" w:fill="auto"/>
            <w:vAlign w:val="bottom"/>
            <w:hideMark/>
          </w:tcPr>
          <w:p w:rsidR="00D4559A" w:rsidRPr="004D7AEB" w:rsidRDefault="00D4559A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Транспорт и связь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737551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4,9%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34,4%</w:t>
            </w:r>
          </w:p>
        </w:tc>
      </w:tr>
      <w:tr w:rsidR="00D4559A" w:rsidRPr="004D7AEB" w:rsidTr="00737551">
        <w:trPr>
          <w:trHeight w:val="300"/>
        </w:trPr>
        <w:tc>
          <w:tcPr>
            <w:tcW w:w="3448" w:type="pct"/>
            <w:shd w:val="clear" w:color="auto" w:fill="auto"/>
            <w:vAlign w:val="bottom"/>
            <w:hideMark/>
          </w:tcPr>
          <w:p w:rsidR="00D4559A" w:rsidRPr="004D7AEB" w:rsidRDefault="00D4559A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737551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57,4%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30,4%</w:t>
            </w:r>
          </w:p>
        </w:tc>
      </w:tr>
      <w:tr w:rsidR="00D4559A" w:rsidRPr="004D7AEB" w:rsidTr="00737551">
        <w:trPr>
          <w:cantSplit/>
          <w:trHeight w:val="339"/>
        </w:trPr>
        <w:tc>
          <w:tcPr>
            <w:tcW w:w="3448" w:type="pct"/>
            <w:shd w:val="clear" w:color="auto" w:fill="auto"/>
            <w:vAlign w:val="bottom"/>
            <w:hideMark/>
          </w:tcPr>
          <w:p w:rsidR="00D4559A" w:rsidRPr="004D7AEB" w:rsidRDefault="00D4559A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Операции с недвижимым имуществом, аренда и предоставл</w:t>
            </w: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ние услуг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34,1%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50,3%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29,3%</w:t>
            </w:r>
          </w:p>
        </w:tc>
      </w:tr>
      <w:tr w:rsidR="00D4559A" w:rsidRPr="004D7AEB" w:rsidTr="00737551">
        <w:trPr>
          <w:cantSplit/>
          <w:trHeight w:val="377"/>
        </w:trPr>
        <w:tc>
          <w:tcPr>
            <w:tcW w:w="3448" w:type="pct"/>
            <w:shd w:val="clear" w:color="auto" w:fill="auto"/>
            <w:vAlign w:val="bottom"/>
            <w:hideMark/>
          </w:tcPr>
          <w:p w:rsidR="00D4559A" w:rsidRPr="004D7AEB" w:rsidRDefault="00D4559A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Государственное управление и обеспечение военной безопа</w:t>
            </w: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ности; социальное страхование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10,1%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1,0%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0,7%</w:t>
            </w:r>
          </w:p>
        </w:tc>
      </w:tr>
      <w:tr w:rsidR="00D4559A" w:rsidRPr="004D7AEB" w:rsidTr="00737551">
        <w:trPr>
          <w:trHeight w:val="300"/>
        </w:trPr>
        <w:tc>
          <w:tcPr>
            <w:tcW w:w="3448" w:type="pct"/>
            <w:shd w:val="clear" w:color="auto" w:fill="auto"/>
            <w:vAlign w:val="bottom"/>
            <w:hideMark/>
          </w:tcPr>
          <w:p w:rsidR="00D4559A" w:rsidRPr="004D7AEB" w:rsidRDefault="00D4559A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2,5%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2,4%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0,7%</w:t>
            </w:r>
          </w:p>
        </w:tc>
      </w:tr>
      <w:tr w:rsidR="00D4559A" w:rsidRPr="004D7AEB" w:rsidTr="00737551">
        <w:trPr>
          <w:cantSplit/>
          <w:trHeight w:val="159"/>
        </w:trPr>
        <w:tc>
          <w:tcPr>
            <w:tcW w:w="3448" w:type="pct"/>
            <w:shd w:val="clear" w:color="auto" w:fill="auto"/>
            <w:vAlign w:val="bottom"/>
            <w:hideMark/>
          </w:tcPr>
          <w:p w:rsidR="00D4559A" w:rsidRPr="004D7AEB" w:rsidRDefault="00D4559A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1,0%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2,6%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3,9%</w:t>
            </w:r>
          </w:p>
        </w:tc>
      </w:tr>
      <w:tr w:rsidR="00D4559A" w:rsidRPr="004D7AEB" w:rsidTr="00737551">
        <w:trPr>
          <w:cantSplit/>
          <w:trHeight w:val="570"/>
        </w:trPr>
        <w:tc>
          <w:tcPr>
            <w:tcW w:w="3448" w:type="pct"/>
            <w:shd w:val="clear" w:color="auto" w:fill="auto"/>
            <w:vAlign w:val="bottom"/>
            <w:hideMark/>
          </w:tcPr>
          <w:p w:rsidR="00D4559A" w:rsidRPr="004D7AEB" w:rsidRDefault="00D4559A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прочих коммунальных, социальных и перс</w:t>
            </w: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нальных услуг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0,8%</w:t>
            </w:r>
          </w:p>
        </w:tc>
        <w:tc>
          <w:tcPr>
            <w:tcW w:w="518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1,5%</w:t>
            </w:r>
          </w:p>
        </w:tc>
        <w:tc>
          <w:tcPr>
            <w:tcW w:w="517" w:type="pct"/>
            <w:shd w:val="clear" w:color="auto" w:fill="auto"/>
            <w:noWrap/>
            <w:vAlign w:val="bottom"/>
            <w:hideMark/>
          </w:tcPr>
          <w:p w:rsidR="00D4559A" w:rsidRPr="004D7AEB" w:rsidRDefault="00D4559A" w:rsidP="0073755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AEB">
              <w:rPr>
                <w:rFonts w:ascii="Times New Roman" w:hAnsi="Times New Roman"/>
                <w:color w:val="000000"/>
                <w:sz w:val="24"/>
                <w:szCs w:val="24"/>
              </w:rPr>
              <w:t>14,4%</w:t>
            </w:r>
          </w:p>
        </w:tc>
      </w:tr>
    </w:tbl>
    <w:p w:rsidR="008E483F" w:rsidRDefault="008E483F" w:rsidP="00717BAC">
      <w:pPr>
        <w:pStyle w:val="af4"/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542C5" w:rsidRPr="00610673" w:rsidRDefault="008E483F" w:rsidP="00717BAC">
      <w:pPr>
        <w:pStyle w:val="af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8E483F">
        <w:rPr>
          <w:rFonts w:ascii="Times New Roman" w:hAnsi="Times New Roman"/>
          <w:b/>
          <w:sz w:val="28"/>
          <w:szCs w:val="28"/>
        </w:rPr>
        <w:t>2.2.</w:t>
      </w:r>
      <w:r w:rsidR="00E542C5" w:rsidRPr="00BD28F6">
        <w:rPr>
          <w:rStyle w:val="ae"/>
          <w:color w:val="auto"/>
          <w:u w:val="none"/>
        </w:rPr>
        <w:t xml:space="preserve"> </w:t>
      </w:r>
      <w:r w:rsidR="00E542C5" w:rsidRPr="00610673">
        <w:rPr>
          <w:rFonts w:ascii="Times New Roman" w:hAnsi="Times New Roman"/>
          <w:b/>
          <w:sz w:val="28"/>
          <w:szCs w:val="28"/>
        </w:rPr>
        <w:t xml:space="preserve">Промышленность </w:t>
      </w:r>
      <w:r w:rsidR="009B4F07" w:rsidRPr="00610673">
        <w:rPr>
          <w:rFonts w:ascii="Times New Roman" w:hAnsi="Times New Roman"/>
          <w:b/>
          <w:sz w:val="28"/>
          <w:szCs w:val="28"/>
        </w:rPr>
        <w:t>города Перми</w:t>
      </w:r>
      <w:r w:rsidR="00E542C5" w:rsidRPr="00610673">
        <w:rPr>
          <w:rFonts w:ascii="Times New Roman" w:hAnsi="Times New Roman"/>
          <w:b/>
          <w:sz w:val="28"/>
          <w:szCs w:val="28"/>
        </w:rPr>
        <w:t xml:space="preserve"> </w:t>
      </w:r>
      <w:r w:rsidR="00854819">
        <w:rPr>
          <w:rFonts w:ascii="Times New Roman" w:hAnsi="Times New Roman"/>
          <w:b/>
          <w:sz w:val="28"/>
          <w:szCs w:val="28"/>
        </w:rPr>
        <w:t xml:space="preserve">в </w:t>
      </w:r>
      <w:r w:rsidR="00E542C5" w:rsidRPr="00610673">
        <w:rPr>
          <w:rFonts w:ascii="Times New Roman" w:hAnsi="Times New Roman"/>
          <w:b/>
          <w:sz w:val="28"/>
          <w:szCs w:val="28"/>
        </w:rPr>
        <w:t>200</w:t>
      </w:r>
      <w:r w:rsidR="009B4F07" w:rsidRPr="00610673">
        <w:rPr>
          <w:rFonts w:ascii="Times New Roman" w:hAnsi="Times New Roman"/>
          <w:b/>
          <w:sz w:val="28"/>
          <w:szCs w:val="28"/>
        </w:rPr>
        <w:t>8</w:t>
      </w:r>
      <w:r w:rsidR="00E542C5" w:rsidRPr="00610673">
        <w:rPr>
          <w:rFonts w:ascii="Times New Roman" w:hAnsi="Times New Roman"/>
          <w:b/>
          <w:sz w:val="28"/>
          <w:szCs w:val="28"/>
        </w:rPr>
        <w:t>-20</w:t>
      </w:r>
      <w:r w:rsidR="009B4F07" w:rsidRPr="00610673">
        <w:rPr>
          <w:rFonts w:ascii="Times New Roman" w:hAnsi="Times New Roman"/>
          <w:b/>
          <w:sz w:val="28"/>
          <w:szCs w:val="28"/>
        </w:rPr>
        <w:t>12</w:t>
      </w:r>
      <w:r w:rsidR="00E542C5" w:rsidRPr="00610673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9B4F07" w:rsidRDefault="009B4F07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5A06F3">
        <w:rPr>
          <w:rFonts w:ascii="Times New Roman" w:hAnsi="Times New Roman"/>
          <w:szCs w:val="28"/>
        </w:rPr>
        <w:t>В структуре экономики города Перми около 65% всего оборота организ</w:t>
      </w:r>
      <w:r w:rsidRPr="005A06F3">
        <w:rPr>
          <w:rFonts w:ascii="Times New Roman" w:hAnsi="Times New Roman"/>
          <w:szCs w:val="28"/>
        </w:rPr>
        <w:t>а</w:t>
      </w:r>
      <w:r w:rsidRPr="005A06F3">
        <w:rPr>
          <w:rFonts w:ascii="Times New Roman" w:hAnsi="Times New Roman"/>
          <w:szCs w:val="28"/>
        </w:rPr>
        <w:t>ций приходится на промышленное производство. Подавляющее большинство предприятий, оказывающих значительное влияние на развитие экономики гор</w:t>
      </w:r>
      <w:r w:rsidRPr="005A06F3">
        <w:rPr>
          <w:rFonts w:ascii="Times New Roman" w:hAnsi="Times New Roman"/>
          <w:szCs w:val="28"/>
        </w:rPr>
        <w:t>о</w:t>
      </w:r>
      <w:r w:rsidRPr="005A06F3">
        <w:rPr>
          <w:rFonts w:ascii="Times New Roman" w:hAnsi="Times New Roman"/>
          <w:szCs w:val="28"/>
        </w:rPr>
        <w:t>да, относ</w:t>
      </w:r>
      <w:r w:rsidR="00737551">
        <w:rPr>
          <w:rFonts w:ascii="Times New Roman" w:hAnsi="Times New Roman"/>
          <w:szCs w:val="28"/>
        </w:rPr>
        <w:t>и</w:t>
      </w:r>
      <w:r w:rsidRPr="005A06F3">
        <w:rPr>
          <w:rFonts w:ascii="Times New Roman" w:hAnsi="Times New Roman"/>
          <w:szCs w:val="28"/>
        </w:rPr>
        <w:t xml:space="preserve">тся к отраслям тяжелой промышленности. Именно они </w:t>
      </w:r>
      <w:proofErr w:type="gramStart"/>
      <w:r w:rsidRPr="005A06F3">
        <w:rPr>
          <w:rFonts w:ascii="Times New Roman" w:hAnsi="Times New Roman"/>
          <w:szCs w:val="28"/>
        </w:rPr>
        <w:t xml:space="preserve">получили </w:t>
      </w:r>
      <w:r w:rsidRPr="009E708A">
        <w:rPr>
          <w:rFonts w:ascii="Times New Roman" w:hAnsi="Times New Roman"/>
          <w:szCs w:val="28"/>
        </w:rPr>
        <w:t>наибольшее развитие в регионе и на их долю приходится</w:t>
      </w:r>
      <w:proofErr w:type="gramEnd"/>
      <w:r w:rsidRPr="009E708A">
        <w:rPr>
          <w:rFonts w:ascii="Times New Roman" w:hAnsi="Times New Roman"/>
          <w:szCs w:val="28"/>
        </w:rPr>
        <w:t xml:space="preserve"> основной объем прои</w:t>
      </w:r>
      <w:r w:rsidRPr="009E708A">
        <w:rPr>
          <w:rFonts w:ascii="Times New Roman" w:hAnsi="Times New Roman"/>
          <w:szCs w:val="28"/>
        </w:rPr>
        <w:t>з</w:t>
      </w:r>
      <w:r w:rsidRPr="009E708A">
        <w:rPr>
          <w:rFonts w:ascii="Times New Roman" w:hAnsi="Times New Roman"/>
          <w:szCs w:val="28"/>
        </w:rPr>
        <w:t xml:space="preserve">водства, инвестиций и прибыли. </w:t>
      </w:r>
    </w:p>
    <w:p w:rsidR="00E73F61" w:rsidRDefault="00863AB3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Начало рассматриваемого периода характеризовалось спадом промышле</w:t>
      </w:r>
      <w:r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 xml:space="preserve">ного производства, который </w:t>
      </w:r>
      <w:r w:rsidR="00F527C7">
        <w:rPr>
          <w:rFonts w:ascii="Times New Roman" w:hAnsi="Times New Roman"/>
          <w:szCs w:val="28"/>
        </w:rPr>
        <w:t>продолжался</w:t>
      </w:r>
      <w:r w:rsidR="00854819">
        <w:rPr>
          <w:rFonts w:ascii="Times New Roman" w:hAnsi="Times New Roman"/>
          <w:szCs w:val="28"/>
        </w:rPr>
        <w:t xml:space="preserve"> </w:t>
      </w:r>
      <w:r w:rsidR="00F527C7">
        <w:rPr>
          <w:rFonts w:ascii="Times New Roman" w:hAnsi="Times New Roman"/>
          <w:szCs w:val="28"/>
        </w:rPr>
        <w:t>до</w:t>
      </w:r>
      <w:r w:rsidR="00854819">
        <w:rPr>
          <w:rFonts w:ascii="Times New Roman" w:hAnsi="Times New Roman"/>
          <w:szCs w:val="28"/>
        </w:rPr>
        <w:t xml:space="preserve"> </w:t>
      </w:r>
      <w:r w:rsidR="00F527C7">
        <w:rPr>
          <w:rFonts w:ascii="Times New Roman" w:hAnsi="Times New Roman"/>
          <w:szCs w:val="28"/>
        </w:rPr>
        <w:t>конца</w:t>
      </w:r>
      <w:r w:rsidR="0085481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2009 года. В 2010 году наблюдалось возобновление роста промышленного производства на фоне улу</w:t>
      </w:r>
      <w:r>
        <w:rPr>
          <w:rFonts w:ascii="Times New Roman" w:hAnsi="Times New Roman"/>
          <w:szCs w:val="28"/>
        </w:rPr>
        <w:t>ч</w:t>
      </w:r>
      <w:r>
        <w:rPr>
          <w:rFonts w:ascii="Times New Roman" w:hAnsi="Times New Roman"/>
          <w:szCs w:val="28"/>
        </w:rPr>
        <w:t xml:space="preserve">шения ситуации в мировой экономике. В 2011 году практически все показатели сферы </w:t>
      </w:r>
      <w:r w:rsidR="00E73F61">
        <w:rPr>
          <w:rFonts w:ascii="Times New Roman" w:hAnsi="Times New Roman"/>
          <w:szCs w:val="28"/>
        </w:rPr>
        <w:t>промышленности достигли и превысили максимальные предкризисные значения.</w:t>
      </w:r>
      <w:r w:rsidR="00E73F61" w:rsidRPr="00E73F61">
        <w:rPr>
          <w:rFonts w:ascii="Times New Roman" w:hAnsi="Times New Roman"/>
          <w:szCs w:val="28"/>
        </w:rPr>
        <w:t xml:space="preserve"> </w:t>
      </w:r>
    </w:p>
    <w:p w:rsidR="007C5048" w:rsidRPr="00626C2D" w:rsidRDefault="00746946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2012 году в результате замедления большинства экономических показ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 xml:space="preserve">телей </w:t>
      </w:r>
      <w:r w:rsidR="00E73F61" w:rsidRPr="009E708A">
        <w:rPr>
          <w:rFonts w:ascii="Times New Roman" w:hAnsi="Times New Roman"/>
          <w:szCs w:val="28"/>
        </w:rPr>
        <w:t xml:space="preserve">наблюдалось сокращение производства в </w:t>
      </w:r>
      <w:r>
        <w:rPr>
          <w:rFonts w:ascii="Times New Roman" w:hAnsi="Times New Roman"/>
          <w:szCs w:val="28"/>
        </w:rPr>
        <w:t>промышленности</w:t>
      </w:r>
      <w:r w:rsidR="00E73F61" w:rsidRPr="009E708A">
        <w:rPr>
          <w:rFonts w:ascii="Times New Roman" w:hAnsi="Times New Roman"/>
          <w:szCs w:val="28"/>
        </w:rPr>
        <w:t>, о чем свид</w:t>
      </w:r>
      <w:r w:rsidR="00E73F61" w:rsidRPr="009E708A">
        <w:rPr>
          <w:rFonts w:ascii="Times New Roman" w:hAnsi="Times New Roman"/>
          <w:szCs w:val="28"/>
        </w:rPr>
        <w:t>е</w:t>
      </w:r>
      <w:r w:rsidR="00E73F61" w:rsidRPr="009E708A">
        <w:rPr>
          <w:rFonts w:ascii="Times New Roman" w:hAnsi="Times New Roman"/>
          <w:szCs w:val="28"/>
        </w:rPr>
        <w:t xml:space="preserve">тельствует </w:t>
      </w:r>
      <w:r w:rsidR="00F527C7">
        <w:rPr>
          <w:rFonts w:ascii="Times New Roman" w:hAnsi="Times New Roman"/>
          <w:szCs w:val="28"/>
        </w:rPr>
        <w:t>снижение</w:t>
      </w:r>
      <w:r w:rsidR="00854819">
        <w:rPr>
          <w:rFonts w:ascii="Times New Roman" w:hAnsi="Times New Roman"/>
          <w:szCs w:val="28"/>
        </w:rPr>
        <w:t xml:space="preserve"> </w:t>
      </w:r>
      <w:r w:rsidR="00E73F61" w:rsidRPr="009E708A">
        <w:rPr>
          <w:rFonts w:ascii="Times New Roman" w:hAnsi="Times New Roman"/>
          <w:szCs w:val="28"/>
        </w:rPr>
        <w:t>инд</w:t>
      </w:r>
      <w:r w:rsidR="00E73F61">
        <w:rPr>
          <w:rFonts w:ascii="Times New Roman" w:hAnsi="Times New Roman"/>
          <w:szCs w:val="28"/>
        </w:rPr>
        <w:t>е</w:t>
      </w:r>
      <w:r w:rsidR="00F527C7">
        <w:rPr>
          <w:rFonts w:ascii="Times New Roman" w:hAnsi="Times New Roman"/>
          <w:szCs w:val="28"/>
        </w:rPr>
        <w:t>кса</w:t>
      </w:r>
      <w:r w:rsidR="00854819">
        <w:rPr>
          <w:rFonts w:ascii="Times New Roman" w:hAnsi="Times New Roman"/>
          <w:szCs w:val="28"/>
        </w:rPr>
        <w:t xml:space="preserve"> </w:t>
      </w:r>
      <w:r w:rsidR="00F527C7">
        <w:rPr>
          <w:rFonts w:ascii="Times New Roman" w:hAnsi="Times New Roman"/>
          <w:szCs w:val="28"/>
        </w:rPr>
        <w:t>промышленного</w:t>
      </w:r>
      <w:r w:rsidR="00854819">
        <w:rPr>
          <w:rFonts w:ascii="Times New Roman" w:hAnsi="Times New Roman"/>
          <w:szCs w:val="28"/>
        </w:rPr>
        <w:t xml:space="preserve"> </w:t>
      </w:r>
      <w:r w:rsidR="00E73F61" w:rsidRPr="009E708A">
        <w:rPr>
          <w:rFonts w:ascii="Times New Roman" w:hAnsi="Times New Roman"/>
          <w:szCs w:val="28"/>
        </w:rPr>
        <w:t xml:space="preserve">производства </w:t>
      </w:r>
      <w:r w:rsidR="00737551">
        <w:rPr>
          <w:rFonts w:ascii="Times New Roman" w:hAnsi="Times New Roman"/>
          <w:szCs w:val="28"/>
        </w:rPr>
        <w:t>–</w:t>
      </w:r>
      <w:r w:rsidR="00E73F61" w:rsidRPr="009E708A">
        <w:rPr>
          <w:rFonts w:ascii="Times New Roman" w:hAnsi="Times New Roman"/>
          <w:szCs w:val="28"/>
        </w:rPr>
        <w:t xml:space="preserve"> 97,8% к уровню 2011 года, </w:t>
      </w:r>
      <w:r w:rsidR="00E73F61">
        <w:rPr>
          <w:rFonts w:ascii="Times New Roman" w:hAnsi="Times New Roman"/>
          <w:szCs w:val="28"/>
        </w:rPr>
        <w:t>что</w:t>
      </w:r>
      <w:r w:rsidR="00E73F61" w:rsidRPr="009E708A">
        <w:rPr>
          <w:rFonts w:ascii="Times New Roman" w:hAnsi="Times New Roman"/>
          <w:szCs w:val="28"/>
        </w:rPr>
        <w:t xml:space="preserve"> ниже </w:t>
      </w:r>
      <w:proofErr w:type="spellStart"/>
      <w:r w:rsidR="00E73F61" w:rsidRPr="009E708A">
        <w:rPr>
          <w:rFonts w:ascii="Times New Roman" w:hAnsi="Times New Roman"/>
          <w:szCs w:val="28"/>
        </w:rPr>
        <w:t>среднекраевого</w:t>
      </w:r>
      <w:proofErr w:type="spellEnd"/>
      <w:r w:rsidR="00E73F61" w:rsidRPr="009E708A">
        <w:rPr>
          <w:rFonts w:ascii="Times New Roman" w:hAnsi="Times New Roman"/>
          <w:szCs w:val="28"/>
        </w:rPr>
        <w:t xml:space="preserve"> значения</w:t>
      </w:r>
      <w:r w:rsidR="00E73F61" w:rsidRPr="00BE4B8F">
        <w:rPr>
          <w:rFonts w:ascii="Times New Roman" w:hAnsi="Times New Roman"/>
          <w:szCs w:val="28"/>
        </w:rPr>
        <w:t xml:space="preserve"> (98,9%). </w:t>
      </w:r>
    </w:p>
    <w:p w:rsidR="007C5048" w:rsidRPr="007C5048" w:rsidRDefault="007C5048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 итогам 2012 года Пермь являлась аутсайдером среди городов-аналогов по индексу промышленного производства: во всех городах</w:t>
      </w:r>
      <w:r w:rsidR="00854819">
        <w:rPr>
          <w:rFonts w:ascii="Times New Roman" w:hAnsi="Times New Roman"/>
          <w:szCs w:val="28"/>
        </w:rPr>
        <w:t>-</w:t>
      </w:r>
      <w:r>
        <w:rPr>
          <w:rFonts w:ascii="Times New Roman" w:hAnsi="Times New Roman"/>
          <w:szCs w:val="28"/>
        </w:rPr>
        <w:t>аналогах был зафи</w:t>
      </w:r>
      <w:r>
        <w:rPr>
          <w:rFonts w:ascii="Times New Roman" w:hAnsi="Times New Roman"/>
          <w:szCs w:val="28"/>
        </w:rPr>
        <w:t>к</w:t>
      </w:r>
      <w:r>
        <w:rPr>
          <w:rFonts w:ascii="Times New Roman" w:hAnsi="Times New Roman"/>
          <w:szCs w:val="28"/>
        </w:rPr>
        <w:t>сирован рост промышленного производства за исключением Перми.</w:t>
      </w:r>
    </w:p>
    <w:p w:rsidR="00E73F61" w:rsidRDefault="00E73F61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 у</w:t>
      </w:r>
      <w:r w:rsidRPr="00BE4B8F">
        <w:rPr>
          <w:rFonts w:ascii="Times New Roman" w:hAnsi="Times New Roman"/>
          <w:szCs w:val="28"/>
        </w:rPr>
        <w:t>худшение ситуации в промышленном комплексе повлияло сокращ</w:t>
      </w:r>
      <w:r w:rsidRPr="00BE4B8F">
        <w:rPr>
          <w:rFonts w:ascii="Times New Roman" w:hAnsi="Times New Roman"/>
          <w:szCs w:val="28"/>
        </w:rPr>
        <w:t>е</w:t>
      </w:r>
      <w:r w:rsidRPr="00BE4B8F">
        <w:rPr>
          <w:rFonts w:ascii="Times New Roman" w:hAnsi="Times New Roman"/>
          <w:szCs w:val="28"/>
        </w:rPr>
        <w:t>ние объемов обрабатывающих производств, которые занимают наибольшую д</w:t>
      </w:r>
      <w:r w:rsidRPr="00BE4B8F">
        <w:rPr>
          <w:rFonts w:ascii="Times New Roman" w:hAnsi="Times New Roman"/>
          <w:szCs w:val="28"/>
        </w:rPr>
        <w:t>о</w:t>
      </w:r>
      <w:r w:rsidRPr="00BE4B8F">
        <w:rPr>
          <w:rFonts w:ascii="Times New Roman" w:hAnsi="Times New Roman"/>
          <w:szCs w:val="28"/>
        </w:rPr>
        <w:t>лю в промышленности города, а также снижение производства на добывающих предприятиях и организациях.</w:t>
      </w:r>
      <w:r>
        <w:rPr>
          <w:rFonts w:ascii="Times New Roman" w:hAnsi="Times New Roman"/>
          <w:szCs w:val="28"/>
        </w:rPr>
        <w:t xml:space="preserve"> Такая динамика обусловлена эффектом базы – </w:t>
      </w:r>
      <w:r w:rsidR="00F527C7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в 2011 году темпы </w:t>
      </w:r>
      <w:r w:rsidR="00854819">
        <w:rPr>
          <w:rFonts w:ascii="Times New Roman" w:hAnsi="Times New Roman"/>
          <w:szCs w:val="28"/>
        </w:rPr>
        <w:t xml:space="preserve">роста </w:t>
      </w:r>
      <w:r>
        <w:rPr>
          <w:rFonts w:ascii="Times New Roman" w:hAnsi="Times New Roman"/>
          <w:szCs w:val="28"/>
        </w:rPr>
        <w:t>промышленности были достаточно высокие (114,8%). Кроме того, на показатели добывающей промышленности негативное влияние оказывал внешний спрос, в частности из-за кризиса в еврозоне.</w:t>
      </w:r>
    </w:p>
    <w:p w:rsidR="00F527C7" w:rsidRPr="00BE4B8F" w:rsidRDefault="00F527C7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9B4F07" w:rsidRPr="009E708A" w:rsidRDefault="003F6ECC" w:rsidP="00550ED0">
      <w:pPr>
        <w:keepNext/>
        <w:spacing w:line="240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4AB22EC5" wp14:editId="30B91149">
            <wp:extent cx="5637791" cy="2870368"/>
            <wp:effectExtent l="0" t="0" r="0" b="0"/>
            <wp:docPr id="12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73F61" w:rsidRDefault="00E73F61" w:rsidP="003A45E7">
      <w:pPr>
        <w:keepNext/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E73F61">
        <w:rPr>
          <w:rFonts w:ascii="Times New Roman" w:hAnsi="Times New Roman"/>
          <w:b/>
          <w:i/>
          <w:sz w:val="24"/>
          <w:szCs w:val="24"/>
        </w:rPr>
        <w:t>Рис. 2.</w:t>
      </w:r>
      <w:r w:rsidR="00610673">
        <w:rPr>
          <w:rFonts w:ascii="Times New Roman" w:hAnsi="Times New Roman"/>
          <w:b/>
          <w:i/>
          <w:sz w:val="24"/>
          <w:szCs w:val="24"/>
        </w:rPr>
        <w:t>2</w:t>
      </w:r>
      <w:r w:rsidRPr="00E73F61">
        <w:rPr>
          <w:rFonts w:ascii="Times New Roman" w:hAnsi="Times New Roman"/>
          <w:b/>
          <w:i/>
          <w:sz w:val="24"/>
          <w:szCs w:val="24"/>
        </w:rPr>
        <w:t>.1. Индекс промышленного производства по видам экономической деятел</w:t>
      </w:r>
      <w:r w:rsidRPr="00E73F61">
        <w:rPr>
          <w:rFonts w:ascii="Times New Roman" w:hAnsi="Times New Roman"/>
          <w:b/>
          <w:i/>
          <w:sz w:val="24"/>
          <w:szCs w:val="24"/>
        </w:rPr>
        <w:t>ь</w:t>
      </w:r>
      <w:r w:rsidRPr="00E73F61">
        <w:rPr>
          <w:rFonts w:ascii="Times New Roman" w:hAnsi="Times New Roman"/>
          <w:b/>
          <w:i/>
          <w:sz w:val="24"/>
          <w:szCs w:val="24"/>
        </w:rPr>
        <w:t>ности в 200</w:t>
      </w:r>
      <w:r>
        <w:rPr>
          <w:rFonts w:ascii="Times New Roman" w:hAnsi="Times New Roman"/>
          <w:b/>
          <w:i/>
          <w:sz w:val="24"/>
          <w:szCs w:val="24"/>
        </w:rPr>
        <w:t>8</w:t>
      </w:r>
      <w:r w:rsidRPr="00E73F61">
        <w:rPr>
          <w:rFonts w:ascii="Times New Roman" w:hAnsi="Times New Roman"/>
          <w:b/>
          <w:i/>
          <w:sz w:val="24"/>
          <w:szCs w:val="24"/>
        </w:rPr>
        <w:t>-2012 гг., %.</w:t>
      </w:r>
    </w:p>
    <w:p w:rsidR="00F527C7" w:rsidRPr="00E73F61" w:rsidRDefault="00F527C7" w:rsidP="00717BAC">
      <w:pPr>
        <w:keepNext/>
        <w:spacing w:line="240" w:lineRule="auto"/>
        <w:ind w:firstLine="284"/>
        <w:rPr>
          <w:rFonts w:ascii="Times New Roman" w:hAnsi="Times New Roman"/>
          <w:b/>
          <w:i/>
          <w:sz w:val="24"/>
          <w:szCs w:val="24"/>
        </w:rPr>
      </w:pPr>
    </w:p>
    <w:p w:rsidR="00746946" w:rsidRDefault="00746946" w:rsidP="00F527C7">
      <w:pPr>
        <w:widowControl w:val="0"/>
        <w:spacing w:line="240" w:lineRule="auto"/>
        <w:ind w:firstLine="709"/>
        <w:rPr>
          <w:rFonts w:ascii="Times New Roman" w:hAnsi="Times New Roman"/>
          <w:szCs w:val="28"/>
        </w:rPr>
      </w:pPr>
      <w:r w:rsidRPr="004A224F">
        <w:rPr>
          <w:rFonts w:ascii="Times New Roman" w:hAnsi="Times New Roman"/>
          <w:szCs w:val="28"/>
        </w:rPr>
        <w:t>По итогам 2012 года объем отгруженных товаров собственного произво</w:t>
      </w:r>
      <w:r w:rsidRPr="004A224F">
        <w:rPr>
          <w:rFonts w:ascii="Times New Roman" w:hAnsi="Times New Roman"/>
          <w:szCs w:val="28"/>
        </w:rPr>
        <w:t>д</w:t>
      </w:r>
      <w:r w:rsidRPr="004A224F">
        <w:rPr>
          <w:rFonts w:ascii="Times New Roman" w:hAnsi="Times New Roman"/>
          <w:szCs w:val="28"/>
        </w:rPr>
        <w:t xml:space="preserve">ства по видам деятельности «Добыча полезных ископаемых», «Обрабатывающие производства», «Производство </w:t>
      </w:r>
      <w:r w:rsidR="00F527C7">
        <w:rPr>
          <w:rFonts w:ascii="Times New Roman" w:hAnsi="Times New Roman"/>
          <w:szCs w:val="28"/>
        </w:rPr>
        <w:t>и распределение электроэнергии,</w:t>
      </w:r>
      <w:r w:rsidR="002213F8">
        <w:rPr>
          <w:rFonts w:ascii="Times New Roman" w:hAnsi="Times New Roman"/>
          <w:szCs w:val="28"/>
        </w:rPr>
        <w:t xml:space="preserve"> </w:t>
      </w:r>
      <w:r w:rsidR="00F527C7">
        <w:rPr>
          <w:rFonts w:ascii="Times New Roman" w:hAnsi="Times New Roman"/>
          <w:szCs w:val="28"/>
        </w:rPr>
        <w:t>газа</w:t>
      </w:r>
      <w:r w:rsidR="002213F8">
        <w:rPr>
          <w:rFonts w:ascii="Times New Roman" w:hAnsi="Times New Roman"/>
          <w:szCs w:val="28"/>
        </w:rPr>
        <w:t xml:space="preserve"> </w:t>
      </w:r>
      <w:r w:rsidRPr="004A224F">
        <w:rPr>
          <w:rFonts w:ascii="Times New Roman" w:hAnsi="Times New Roman"/>
          <w:szCs w:val="28"/>
        </w:rPr>
        <w:t>и воды» составил</w:t>
      </w:r>
      <w:r w:rsidR="002213F8">
        <w:rPr>
          <w:rFonts w:ascii="Times New Roman" w:hAnsi="Times New Roman"/>
          <w:szCs w:val="28"/>
        </w:rPr>
        <w:t xml:space="preserve"> </w:t>
      </w:r>
      <w:r w:rsidRPr="004A224F">
        <w:rPr>
          <w:rFonts w:ascii="Times New Roman" w:hAnsi="Times New Roman"/>
          <w:szCs w:val="28"/>
        </w:rPr>
        <w:t xml:space="preserve">532,5 </w:t>
      </w:r>
      <w:proofErr w:type="spellStart"/>
      <w:r w:rsidR="00F527C7">
        <w:rPr>
          <w:rFonts w:ascii="Times New Roman" w:hAnsi="Times New Roman"/>
          <w:szCs w:val="28"/>
        </w:rPr>
        <w:t>млрд</w:t>
      </w:r>
      <w:proofErr w:type="gramStart"/>
      <w:r w:rsidR="00F527C7">
        <w:rPr>
          <w:rFonts w:ascii="Times New Roman" w:hAnsi="Times New Roman"/>
          <w:szCs w:val="28"/>
        </w:rPr>
        <w:t>.</w:t>
      </w:r>
      <w:r w:rsidRPr="004A224F">
        <w:rPr>
          <w:rFonts w:ascii="Times New Roman" w:hAnsi="Times New Roman"/>
          <w:szCs w:val="28"/>
        </w:rPr>
        <w:t>р</w:t>
      </w:r>
      <w:proofErr w:type="gramEnd"/>
      <w:r w:rsidRPr="004A224F">
        <w:rPr>
          <w:rFonts w:ascii="Times New Roman" w:hAnsi="Times New Roman"/>
          <w:szCs w:val="28"/>
        </w:rPr>
        <w:t>уб</w:t>
      </w:r>
      <w:proofErr w:type="spellEnd"/>
      <w:r w:rsidR="002213F8">
        <w:rPr>
          <w:rFonts w:ascii="Times New Roman" w:hAnsi="Times New Roman"/>
          <w:szCs w:val="28"/>
        </w:rPr>
        <w:t>.</w:t>
      </w:r>
      <w:r w:rsidR="00F527C7">
        <w:rPr>
          <w:rFonts w:ascii="Times New Roman" w:hAnsi="Times New Roman"/>
          <w:szCs w:val="28"/>
        </w:rPr>
        <w:t>,</w:t>
      </w:r>
      <w:r w:rsidR="002213F8">
        <w:rPr>
          <w:rFonts w:ascii="Times New Roman" w:hAnsi="Times New Roman"/>
          <w:szCs w:val="28"/>
        </w:rPr>
        <w:t xml:space="preserve"> </w:t>
      </w:r>
      <w:r w:rsidRPr="004A224F">
        <w:rPr>
          <w:rFonts w:ascii="Times New Roman" w:hAnsi="Times New Roman"/>
          <w:szCs w:val="28"/>
        </w:rPr>
        <w:t>увеличившись по</w:t>
      </w:r>
      <w:r w:rsidR="002213F8">
        <w:rPr>
          <w:rFonts w:ascii="Times New Roman" w:hAnsi="Times New Roman"/>
          <w:szCs w:val="28"/>
        </w:rPr>
        <w:t xml:space="preserve"> </w:t>
      </w:r>
      <w:r w:rsidRPr="004A224F">
        <w:rPr>
          <w:rFonts w:ascii="Times New Roman" w:hAnsi="Times New Roman"/>
          <w:szCs w:val="28"/>
        </w:rPr>
        <w:t xml:space="preserve">сравнению с </w:t>
      </w:r>
      <w:r w:rsidR="00C32676">
        <w:rPr>
          <w:rFonts w:ascii="Times New Roman" w:hAnsi="Times New Roman"/>
          <w:szCs w:val="28"/>
        </w:rPr>
        <w:t>2008</w:t>
      </w:r>
      <w:r w:rsidRPr="004A224F">
        <w:rPr>
          <w:rFonts w:ascii="Times New Roman" w:hAnsi="Times New Roman"/>
          <w:szCs w:val="28"/>
        </w:rPr>
        <w:t xml:space="preserve"> годом </w:t>
      </w:r>
      <w:r w:rsidR="00C32676">
        <w:rPr>
          <w:rFonts w:ascii="Times New Roman" w:hAnsi="Times New Roman"/>
          <w:szCs w:val="28"/>
        </w:rPr>
        <w:t>в 1,6 раза</w:t>
      </w:r>
      <w:r w:rsidRPr="004A224F">
        <w:rPr>
          <w:rFonts w:ascii="Times New Roman" w:hAnsi="Times New Roman"/>
          <w:szCs w:val="28"/>
        </w:rPr>
        <w:t xml:space="preserve">. На душу населения отгрузка в целом по трем видам деятельности составила </w:t>
      </w:r>
      <w:r w:rsidR="00F527C7">
        <w:rPr>
          <w:rFonts w:ascii="Times New Roman" w:hAnsi="Times New Roman"/>
          <w:szCs w:val="28"/>
        </w:rPr>
        <w:br/>
      </w:r>
      <w:r w:rsidRPr="004A224F">
        <w:rPr>
          <w:rFonts w:ascii="Times New Roman" w:hAnsi="Times New Roman"/>
          <w:szCs w:val="28"/>
        </w:rPr>
        <w:t xml:space="preserve">в 2012 году 532,2 </w:t>
      </w:r>
      <w:proofErr w:type="spellStart"/>
      <w:r w:rsidRPr="004A224F">
        <w:rPr>
          <w:rFonts w:ascii="Times New Roman" w:hAnsi="Times New Roman"/>
          <w:szCs w:val="28"/>
        </w:rPr>
        <w:t>тыс</w:t>
      </w:r>
      <w:proofErr w:type="gramStart"/>
      <w:r w:rsidR="00F527C7">
        <w:rPr>
          <w:rFonts w:ascii="Times New Roman" w:hAnsi="Times New Roman"/>
          <w:szCs w:val="28"/>
        </w:rPr>
        <w:t>.</w:t>
      </w:r>
      <w:r w:rsidRPr="009E708A">
        <w:rPr>
          <w:rFonts w:ascii="Times New Roman" w:hAnsi="Times New Roman"/>
          <w:szCs w:val="28"/>
        </w:rPr>
        <w:t>р</w:t>
      </w:r>
      <w:proofErr w:type="gramEnd"/>
      <w:r w:rsidRPr="009E708A">
        <w:rPr>
          <w:rFonts w:ascii="Times New Roman" w:hAnsi="Times New Roman"/>
          <w:szCs w:val="28"/>
        </w:rPr>
        <w:t>уб</w:t>
      </w:r>
      <w:proofErr w:type="spellEnd"/>
      <w:r w:rsidR="002213F8">
        <w:rPr>
          <w:rFonts w:ascii="Times New Roman" w:hAnsi="Times New Roman"/>
          <w:szCs w:val="28"/>
        </w:rPr>
        <w:t>.</w:t>
      </w:r>
      <w:r w:rsidRPr="009E708A">
        <w:rPr>
          <w:rFonts w:ascii="Times New Roman" w:hAnsi="Times New Roman"/>
          <w:szCs w:val="28"/>
        </w:rPr>
        <w:t xml:space="preserve">, это выше </w:t>
      </w:r>
      <w:proofErr w:type="spellStart"/>
      <w:r w:rsidRPr="009E708A">
        <w:rPr>
          <w:rFonts w:ascii="Times New Roman" w:hAnsi="Times New Roman"/>
          <w:szCs w:val="28"/>
        </w:rPr>
        <w:t>среднекраевого</w:t>
      </w:r>
      <w:proofErr w:type="spellEnd"/>
      <w:r w:rsidRPr="009E708A">
        <w:rPr>
          <w:rFonts w:ascii="Times New Roman" w:hAnsi="Times New Roman"/>
          <w:szCs w:val="28"/>
        </w:rPr>
        <w:t xml:space="preserve"> значения, равного </w:t>
      </w:r>
      <w:r w:rsidR="00F527C7">
        <w:rPr>
          <w:rFonts w:ascii="Times New Roman" w:hAnsi="Times New Roman"/>
          <w:szCs w:val="28"/>
        </w:rPr>
        <w:br/>
        <w:t xml:space="preserve">399,5 </w:t>
      </w:r>
      <w:proofErr w:type="spellStart"/>
      <w:r w:rsidR="00F527C7">
        <w:rPr>
          <w:rFonts w:ascii="Times New Roman" w:hAnsi="Times New Roman"/>
          <w:szCs w:val="28"/>
        </w:rPr>
        <w:t>тыс.</w:t>
      </w:r>
      <w:r w:rsidRPr="009E708A">
        <w:rPr>
          <w:rFonts w:ascii="Times New Roman" w:hAnsi="Times New Roman"/>
          <w:szCs w:val="28"/>
        </w:rPr>
        <w:t>руб</w:t>
      </w:r>
      <w:proofErr w:type="spellEnd"/>
      <w:r w:rsidRPr="009E708A">
        <w:rPr>
          <w:rFonts w:ascii="Times New Roman" w:hAnsi="Times New Roman"/>
          <w:szCs w:val="28"/>
        </w:rPr>
        <w:t>.</w:t>
      </w:r>
    </w:p>
    <w:p w:rsidR="00F527C7" w:rsidRDefault="00F527C7" w:rsidP="00550ED0">
      <w:pPr>
        <w:widowControl w:val="0"/>
        <w:spacing w:line="240" w:lineRule="auto"/>
        <w:ind w:firstLine="567"/>
        <w:rPr>
          <w:rFonts w:ascii="Times New Roman" w:hAnsi="Times New Roman"/>
          <w:szCs w:val="28"/>
        </w:rPr>
      </w:pPr>
    </w:p>
    <w:p w:rsidR="00C32676" w:rsidRPr="009E708A" w:rsidRDefault="003F6ECC" w:rsidP="00717BAC">
      <w:pPr>
        <w:spacing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46D8EF91" wp14:editId="0B6B638C">
            <wp:extent cx="5347121" cy="2373806"/>
            <wp:effectExtent l="0" t="0" r="0" b="0"/>
            <wp:docPr id="13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B4F07" w:rsidRPr="00C32676" w:rsidRDefault="00C32676" w:rsidP="00717BAC">
      <w:pPr>
        <w:pStyle w:val="standardtext"/>
        <w:spacing w:after="0"/>
        <w:rPr>
          <w:rStyle w:val="ae"/>
          <w:b/>
          <w:color w:val="auto"/>
          <w:sz w:val="24"/>
          <w:szCs w:val="24"/>
          <w:u w:val="none"/>
        </w:rPr>
      </w:pPr>
      <w:r w:rsidRPr="00C32676">
        <w:rPr>
          <w:b/>
          <w:i/>
          <w:sz w:val="24"/>
          <w:szCs w:val="24"/>
        </w:rPr>
        <w:t>Рис. 2.</w:t>
      </w:r>
      <w:r w:rsidR="00610673">
        <w:rPr>
          <w:b/>
          <w:i/>
          <w:sz w:val="24"/>
          <w:szCs w:val="24"/>
        </w:rPr>
        <w:t>2</w:t>
      </w:r>
      <w:r w:rsidRPr="00C32676">
        <w:rPr>
          <w:b/>
          <w:i/>
          <w:sz w:val="24"/>
          <w:szCs w:val="24"/>
        </w:rPr>
        <w:t>.2. Объем отгруженной продукции собственного производства по видам д</w:t>
      </w:r>
      <w:r w:rsidRPr="00C32676">
        <w:rPr>
          <w:b/>
          <w:i/>
          <w:sz w:val="24"/>
          <w:szCs w:val="24"/>
        </w:rPr>
        <w:t>е</w:t>
      </w:r>
      <w:r w:rsidRPr="00C32676">
        <w:rPr>
          <w:b/>
          <w:i/>
          <w:sz w:val="24"/>
          <w:szCs w:val="24"/>
        </w:rPr>
        <w:t>ятельности «Добыча полезных ископаемых», «Обрабатывающие производства», «Прои</w:t>
      </w:r>
      <w:r w:rsidRPr="00C32676">
        <w:rPr>
          <w:b/>
          <w:i/>
          <w:sz w:val="24"/>
          <w:szCs w:val="24"/>
        </w:rPr>
        <w:t>з</w:t>
      </w:r>
      <w:r w:rsidRPr="00C32676">
        <w:rPr>
          <w:b/>
          <w:i/>
          <w:sz w:val="24"/>
          <w:szCs w:val="24"/>
        </w:rPr>
        <w:t>водство и распределение электроэнергии, газа</w:t>
      </w:r>
      <w:r w:rsidR="00550ED0">
        <w:rPr>
          <w:b/>
          <w:i/>
          <w:sz w:val="24"/>
          <w:szCs w:val="24"/>
        </w:rPr>
        <w:t xml:space="preserve"> и воды» в 2008-2012 гг., </w:t>
      </w:r>
      <w:proofErr w:type="spellStart"/>
      <w:r w:rsidR="00550ED0">
        <w:rPr>
          <w:b/>
          <w:i/>
          <w:sz w:val="24"/>
          <w:szCs w:val="24"/>
        </w:rPr>
        <w:t>млрд</w:t>
      </w:r>
      <w:proofErr w:type="gramStart"/>
      <w:r w:rsidR="00550ED0">
        <w:rPr>
          <w:b/>
          <w:i/>
          <w:sz w:val="24"/>
          <w:szCs w:val="24"/>
        </w:rPr>
        <w:t>.</w:t>
      </w:r>
      <w:r w:rsidRPr="00C32676">
        <w:rPr>
          <w:b/>
          <w:i/>
          <w:sz w:val="24"/>
          <w:szCs w:val="24"/>
        </w:rPr>
        <w:t>р</w:t>
      </w:r>
      <w:proofErr w:type="gramEnd"/>
      <w:r w:rsidRPr="00C32676">
        <w:rPr>
          <w:b/>
          <w:i/>
          <w:sz w:val="24"/>
          <w:szCs w:val="24"/>
        </w:rPr>
        <w:t>уб</w:t>
      </w:r>
      <w:proofErr w:type="spellEnd"/>
      <w:r w:rsidRPr="00C32676">
        <w:rPr>
          <w:b/>
          <w:i/>
          <w:sz w:val="24"/>
          <w:szCs w:val="24"/>
        </w:rPr>
        <w:t>.</w:t>
      </w:r>
    </w:p>
    <w:p w:rsidR="00C32676" w:rsidRDefault="00C32676" w:rsidP="00717BAC">
      <w:pPr>
        <w:pStyle w:val="standardtext"/>
        <w:spacing w:after="0"/>
        <w:rPr>
          <w:rStyle w:val="ae"/>
          <w:color w:val="auto"/>
          <w:sz w:val="24"/>
          <w:szCs w:val="24"/>
          <w:u w:val="none"/>
        </w:rPr>
      </w:pPr>
    </w:p>
    <w:p w:rsidR="00435710" w:rsidRPr="0034726F" w:rsidRDefault="003A45E7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Оборот</w:t>
      </w:r>
      <w:r w:rsidR="002213F8">
        <w:rPr>
          <w:rFonts w:ascii="Times New Roman" w:hAnsi="Times New Roman"/>
          <w:szCs w:val="28"/>
        </w:rPr>
        <w:t xml:space="preserve"> </w:t>
      </w:r>
      <w:r w:rsidR="00435710" w:rsidRPr="0034726F">
        <w:rPr>
          <w:rFonts w:ascii="Times New Roman" w:hAnsi="Times New Roman"/>
          <w:szCs w:val="28"/>
        </w:rPr>
        <w:t>организаций,</w:t>
      </w:r>
      <w:r w:rsidR="002213F8">
        <w:rPr>
          <w:rFonts w:ascii="Times New Roman" w:hAnsi="Times New Roman"/>
          <w:szCs w:val="28"/>
        </w:rPr>
        <w:t xml:space="preserve"> </w:t>
      </w:r>
      <w:r w:rsidR="00435710" w:rsidRPr="0034726F">
        <w:rPr>
          <w:rFonts w:ascii="Times New Roman" w:hAnsi="Times New Roman"/>
          <w:szCs w:val="28"/>
        </w:rPr>
        <w:t>осуществляющих добычу</w:t>
      </w:r>
      <w:r w:rsidR="002213F8">
        <w:rPr>
          <w:rFonts w:ascii="Times New Roman" w:hAnsi="Times New Roman"/>
          <w:szCs w:val="28"/>
        </w:rPr>
        <w:t xml:space="preserve"> </w:t>
      </w:r>
      <w:r w:rsidR="00435710" w:rsidRPr="0034726F">
        <w:rPr>
          <w:rFonts w:ascii="Times New Roman" w:hAnsi="Times New Roman"/>
          <w:szCs w:val="28"/>
        </w:rPr>
        <w:t>полезных</w:t>
      </w:r>
      <w:r w:rsidR="002213F8">
        <w:rPr>
          <w:rFonts w:ascii="Times New Roman" w:hAnsi="Times New Roman"/>
          <w:szCs w:val="28"/>
        </w:rPr>
        <w:t xml:space="preserve"> </w:t>
      </w:r>
      <w:r w:rsidR="00435710" w:rsidRPr="0034726F">
        <w:rPr>
          <w:rFonts w:ascii="Times New Roman" w:hAnsi="Times New Roman"/>
          <w:szCs w:val="28"/>
        </w:rPr>
        <w:t xml:space="preserve">ископаемых, </w:t>
      </w:r>
      <w:r w:rsidR="00F527C7">
        <w:rPr>
          <w:rFonts w:ascii="Times New Roman" w:hAnsi="Times New Roman"/>
          <w:szCs w:val="28"/>
        </w:rPr>
        <w:br/>
      </w:r>
      <w:r w:rsidR="00435710">
        <w:rPr>
          <w:rFonts w:ascii="Times New Roman" w:hAnsi="Times New Roman"/>
          <w:szCs w:val="28"/>
        </w:rPr>
        <w:t xml:space="preserve">в 2012 году </w:t>
      </w:r>
      <w:r w:rsidR="00435710" w:rsidRPr="0034726F">
        <w:rPr>
          <w:rFonts w:ascii="Times New Roman" w:hAnsi="Times New Roman"/>
          <w:szCs w:val="28"/>
        </w:rPr>
        <w:t xml:space="preserve">вырос </w:t>
      </w:r>
      <w:r w:rsidR="00435710">
        <w:rPr>
          <w:rFonts w:ascii="Times New Roman" w:hAnsi="Times New Roman"/>
          <w:szCs w:val="28"/>
        </w:rPr>
        <w:t xml:space="preserve">в 1,8 раза по сравнению с 2008 годом и </w:t>
      </w:r>
      <w:r w:rsidR="00435710" w:rsidRPr="0034726F">
        <w:rPr>
          <w:rFonts w:ascii="Times New Roman" w:hAnsi="Times New Roman"/>
          <w:szCs w:val="28"/>
        </w:rPr>
        <w:t xml:space="preserve">на 29,6% </w:t>
      </w:r>
      <w:r w:rsidR="00550ED0">
        <w:rPr>
          <w:rFonts w:ascii="Times New Roman" w:hAnsi="Times New Roman"/>
          <w:szCs w:val="28"/>
        </w:rPr>
        <w:t>–</w:t>
      </w:r>
      <w:r w:rsidR="00435710">
        <w:rPr>
          <w:rFonts w:ascii="Times New Roman" w:hAnsi="Times New Roman"/>
          <w:szCs w:val="28"/>
        </w:rPr>
        <w:t xml:space="preserve"> </w:t>
      </w:r>
      <w:r w:rsidR="00435710" w:rsidRPr="0034726F">
        <w:rPr>
          <w:rFonts w:ascii="Times New Roman" w:hAnsi="Times New Roman"/>
          <w:szCs w:val="28"/>
        </w:rPr>
        <w:t>по сравн</w:t>
      </w:r>
      <w:r w:rsidR="00435710" w:rsidRPr="0034726F">
        <w:rPr>
          <w:rFonts w:ascii="Times New Roman" w:hAnsi="Times New Roman"/>
          <w:szCs w:val="28"/>
        </w:rPr>
        <w:t>е</w:t>
      </w:r>
      <w:r w:rsidR="00435710" w:rsidRPr="0034726F">
        <w:rPr>
          <w:rFonts w:ascii="Times New Roman" w:hAnsi="Times New Roman"/>
          <w:szCs w:val="28"/>
        </w:rPr>
        <w:t xml:space="preserve">нию с </w:t>
      </w:r>
      <w:r w:rsidR="00435710">
        <w:rPr>
          <w:rFonts w:ascii="Times New Roman" w:hAnsi="Times New Roman"/>
          <w:szCs w:val="28"/>
        </w:rPr>
        <w:t>2011</w:t>
      </w:r>
      <w:r w:rsidR="00550ED0">
        <w:rPr>
          <w:rFonts w:ascii="Times New Roman" w:hAnsi="Times New Roman"/>
          <w:szCs w:val="28"/>
        </w:rPr>
        <w:t xml:space="preserve"> годом и составил 10,3 </w:t>
      </w:r>
      <w:proofErr w:type="spellStart"/>
      <w:r w:rsidR="00550ED0">
        <w:rPr>
          <w:rFonts w:ascii="Times New Roman" w:hAnsi="Times New Roman"/>
          <w:szCs w:val="28"/>
        </w:rPr>
        <w:t>млрд</w:t>
      </w:r>
      <w:proofErr w:type="gramStart"/>
      <w:r w:rsidR="00550ED0">
        <w:rPr>
          <w:rFonts w:ascii="Times New Roman" w:hAnsi="Times New Roman"/>
          <w:szCs w:val="28"/>
        </w:rPr>
        <w:t>.</w:t>
      </w:r>
      <w:r w:rsidR="00435710" w:rsidRPr="0034726F">
        <w:rPr>
          <w:rFonts w:ascii="Times New Roman" w:hAnsi="Times New Roman"/>
          <w:szCs w:val="28"/>
        </w:rPr>
        <w:t>р</w:t>
      </w:r>
      <w:proofErr w:type="gramEnd"/>
      <w:r w:rsidR="00435710" w:rsidRPr="0034726F">
        <w:rPr>
          <w:rFonts w:ascii="Times New Roman" w:hAnsi="Times New Roman"/>
          <w:szCs w:val="28"/>
        </w:rPr>
        <w:t>уб</w:t>
      </w:r>
      <w:proofErr w:type="spellEnd"/>
      <w:r w:rsidR="00435710" w:rsidRPr="0034726F">
        <w:rPr>
          <w:rFonts w:ascii="Times New Roman" w:hAnsi="Times New Roman"/>
          <w:szCs w:val="28"/>
        </w:rPr>
        <w:t>. Объем отгруженной продукции со</w:t>
      </w:r>
      <w:r w:rsidR="00435710" w:rsidRPr="0034726F">
        <w:rPr>
          <w:rFonts w:ascii="Times New Roman" w:hAnsi="Times New Roman"/>
          <w:szCs w:val="28"/>
        </w:rPr>
        <w:t>б</w:t>
      </w:r>
      <w:r w:rsidR="00435710" w:rsidRPr="0034726F">
        <w:rPr>
          <w:rFonts w:ascii="Times New Roman" w:hAnsi="Times New Roman"/>
          <w:szCs w:val="28"/>
        </w:rPr>
        <w:t>ственного п</w:t>
      </w:r>
      <w:r w:rsidR="00550ED0">
        <w:rPr>
          <w:rFonts w:ascii="Times New Roman" w:hAnsi="Times New Roman"/>
          <w:szCs w:val="28"/>
        </w:rPr>
        <w:t xml:space="preserve">роизводства составил 10,2 </w:t>
      </w:r>
      <w:proofErr w:type="spellStart"/>
      <w:r w:rsidR="00550ED0">
        <w:rPr>
          <w:rFonts w:ascii="Times New Roman" w:hAnsi="Times New Roman"/>
          <w:szCs w:val="28"/>
        </w:rPr>
        <w:t>млрд.</w:t>
      </w:r>
      <w:r w:rsidR="00435710" w:rsidRPr="0034726F">
        <w:rPr>
          <w:rFonts w:ascii="Times New Roman" w:hAnsi="Times New Roman"/>
          <w:szCs w:val="28"/>
        </w:rPr>
        <w:t>руб</w:t>
      </w:r>
      <w:proofErr w:type="spellEnd"/>
      <w:r w:rsidR="00435710" w:rsidRPr="0034726F">
        <w:rPr>
          <w:rFonts w:ascii="Times New Roman" w:hAnsi="Times New Roman"/>
          <w:szCs w:val="28"/>
        </w:rPr>
        <w:t xml:space="preserve">., что выше уровня 2011 года </w:t>
      </w:r>
      <w:r w:rsidR="00550ED0">
        <w:rPr>
          <w:rFonts w:ascii="Times New Roman" w:hAnsi="Times New Roman"/>
          <w:szCs w:val="28"/>
        </w:rPr>
        <w:br/>
      </w:r>
      <w:r w:rsidR="00435710" w:rsidRPr="0034726F">
        <w:rPr>
          <w:rFonts w:ascii="Times New Roman" w:hAnsi="Times New Roman"/>
          <w:szCs w:val="28"/>
        </w:rPr>
        <w:t>на 34,2%</w:t>
      </w:r>
      <w:r w:rsidR="00435710">
        <w:rPr>
          <w:rFonts w:ascii="Times New Roman" w:hAnsi="Times New Roman"/>
          <w:szCs w:val="28"/>
        </w:rPr>
        <w:t>, 2008 года – в 1,9 раза</w:t>
      </w:r>
      <w:r w:rsidR="00435710" w:rsidRPr="0034726F">
        <w:rPr>
          <w:rFonts w:ascii="Times New Roman" w:hAnsi="Times New Roman"/>
          <w:szCs w:val="28"/>
        </w:rPr>
        <w:t>. При этом индекс промышленного производства</w:t>
      </w:r>
      <w:r w:rsidR="00435710">
        <w:rPr>
          <w:rFonts w:ascii="Times New Roman" w:hAnsi="Times New Roman"/>
          <w:szCs w:val="28"/>
        </w:rPr>
        <w:t xml:space="preserve"> по данному виду экономической деятельности</w:t>
      </w:r>
      <w:r w:rsidR="00435710" w:rsidRPr="0034726F">
        <w:rPr>
          <w:rFonts w:ascii="Times New Roman" w:hAnsi="Times New Roman"/>
          <w:szCs w:val="28"/>
        </w:rPr>
        <w:t xml:space="preserve"> составил </w:t>
      </w:r>
      <w:r w:rsidR="00435710">
        <w:rPr>
          <w:rFonts w:ascii="Times New Roman" w:hAnsi="Times New Roman"/>
          <w:szCs w:val="28"/>
        </w:rPr>
        <w:t xml:space="preserve">в 2012 году </w:t>
      </w:r>
      <w:r w:rsidR="00435710" w:rsidRPr="0034726F">
        <w:rPr>
          <w:rFonts w:ascii="Times New Roman" w:hAnsi="Times New Roman"/>
          <w:szCs w:val="28"/>
        </w:rPr>
        <w:t xml:space="preserve">90,3% </w:t>
      </w:r>
      <w:r w:rsidR="00550ED0">
        <w:rPr>
          <w:rFonts w:ascii="Times New Roman" w:hAnsi="Times New Roman"/>
          <w:szCs w:val="28"/>
        </w:rPr>
        <w:br/>
      </w:r>
      <w:r w:rsidR="00435710" w:rsidRPr="0034726F">
        <w:rPr>
          <w:rFonts w:ascii="Times New Roman" w:hAnsi="Times New Roman"/>
          <w:szCs w:val="28"/>
        </w:rPr>
        <w:t xml:space="preserve">к предыдущему году. </w:t>
      </w:r>
    </w:p>
    <w:p w:rsidR="00435710" w:rsidRPr="00622404" w:rsidRDefault="00435710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proofErr w:type="gramStart"/>
      <w:r w:rsidRPr="0034726F">
        <w:rPr>
          <w:rFonts w:ascii="Times New Roman" w:hAnsi="Times New Roman"/>
          <w:szCs w:val="28"/>
        </w:rPr>
        <w:t>По виду деятельности «Производство и распределение электроэнергии, г</w:t>
      </w:r>
      <w:r w:rsidRPr="0034726F">
        <w:rPr>
          <w:rFonts w:ascii="Times New Roman" w:hAnsi="Times New Roman"/>
          <w:szCs w:val="28"/>
        </w:rPr>
        <w:t>а</w:t>
      </w:r>
      <w:r w:rsidRPr="0034726F">
        <w:rPr>
          <w:rFonts w:ascii="Times New Roman" w:hAnsi="Times New Roman"/>
          <w:szCs w:val="28"/>
        </w:rPr>
        <w:t>за и воды» наблюдался</w:t>
      </w:r>
      <w:r w:rsidR="002213F8">
        <w:rPr>
          <w:rFonts w:ascii="Times New Roman" w:hAnsi="Times New Roman"/>
          <w:szCs w:val="28"/>
        </w:rPr>
        <w:t xml:space="preserve"> </w:t>
      </w:r>
      <w:r w:rsidRPr="0034726F">
        <w:rPr>
          <w:rFonts w:ascii="Times New Roman" w:hAnsi="Times New Roman"/>
          <w:szCs w:val="28"/>
        </w:rPr>
        <w:t xml:space="preserve">рост </w:t>
      </w:r>
      <w:r w:rsidRPr="00622404">
        <w:rPr>
          <w:rFonts w:ascii="Times New Roman" w:hAnsi="Times New Roman"/>
          <w:szCs w:val="28"/>
        </w:rPr>
        <w:t>производства</w:t>
      </w:r>
      <w:r w:rsidR="002213F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 2012</w:t>
      </w:r>
      <w:r w:rsidR="002213F8">
        <w:rPr>
          <w:rFonts w:ascii="Times New Roman" w:hAnsi="Times New Roman"/>
          <w:szCs w:val="28"/>
        </w:rPr>
        <w:t xml:space="preserve"> </w:t>
      </w:r>
      <w:r w:rsidR="00F527C7">
        <w:rPr>
          <w:rFonts w:ascii="Times New Roman" w:hAnsi="Times New Roman"/>
          <w:szCs w:val="28"/>
        </w:rPr>
        <w:t>году</w:t>
      </w:r>
      <w:r w:rsidR="002213F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по сравнению с 2011 г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дом</w:t>
      </w:r>
      <w:r w:rsidRPr="00622404">
        <w:rPr>
          <w:rFonts w:ascii="Times New Roman" w:hAnsi="Times New Roman"/>
          <w:szCs w:val="28"/>
        </w:rPr>
        <w:t xml:space="preserve"> на 1,9%</w:t>
      </w:r>
      <w:r>
        <w:rPr>
          <w:rFonts w:ascii="Times New Roman" w:hAnsi="Times New Roman"/>
          <w:szCs w:val="28"/>
        </w:rPr>
        <w:t>,</w:t>
      </w:r>
      <w:r w:rsidRPr="00622404">
        <w:rPr>
          <w:rFonts w:ascii="Times New Roman" w:hAnsi="Times New Roman"/>
          <w:szCs w:val="28"/>
        </w:rPr>
        <w:t xml:space="preserve"> при росте оборота организаций </w:t>
      </w:r>
      <w:r w:rsidR="00E9539C">
        <w:rPr>
          <w:rFonts w:ascii="Times New Roman" w:hAnsi="Times New Roman"/>
          <w:szCs w:val="28"/>
        </w:rPr>
        <w:t xml:space="preserve">– </w:t>
      </w:r>
      <w:r w:rsidRPr="00622404">
        <w:rPr>
          <w:rFonts w:ascii="Times New Roman" w:hAnsi="Times New Roman"/>
          <w:szCs w:val="28"/>
        </w:rPr>
        <w:t>на 0,1% и объема отгруженных товаров – на 2,4%. Причиной такого незначительного роста стало снижение</w:t>
      </w:r>
      <w:r w:rsidR="002213F8">
        <w:rPr>
          <w:rFonts w:ascii="Times New Roman" w:hAnsi="Times New Roman"/>
          <w:szCs w:val="28"/>
        </w:rPr>
        <w:t xml:space="preserve"> </w:t>
      </w:r>
      <w:r w:rsidRPr="00622404">
        <w:rPr>
          <w:rFonts w:ascii="Times New Roman" w:hAnsi="Times New Roman"/>
          <w:szCs w:val="28"/>
        </w:rPr>
        <w:t>з</w:t>
      </w:r>
      <w:r w:rsidRPr="00622404">
        <w:rPr>
          <w:rFonts w:ascii="Times New Roman" w:hAnsi="Times New Roman"/>
          <w:szCs w:val="28"/>
        </w:rPr>
        <w:t>а</w:t>
      </w:r>
      <w:r w:rsidR="003A45E7">
        <w:rPr>
          <w:rFonts w:ascii="Times New Roman" w:hAnsi="Times New Roman"/>
          <w:szCs w:val="28"/>
        </w:rPr>
        <w:t>грузки</w:t>
      </w:r>
      <w:r w:rsidR="002213F8">
        <w:rPr>
          <w:rFonts w:ascii="Times New Roman" w:hAnsi="Times New Roman"/>
          <w:szCs w:val="28"/>
        </w:rPr>
        <w:t xml:space="preserve"> </w:t>
      </w:r>
      <w:r w:rsidRPr="00622404">
        <w:rPr>
          <w:rFonts w:ascii="Times New Roman" w:hAnsi="Times New Roman"/>
          <w:szCs w:val="28"/>
        </w:rPr>
        <w:t>генерирующих мощностей из-за спада спроса на электроэнергию со ст</w:t>
      </w:r>
      <w:r w:rsidRPr="00622404">
        <w:rPr>
          <w:rFonts w:ascii="Times New Roman" w:hAnsi="Times New Roman"/>
          <w:szCs w:val="28"/>
        </w:rPr>
        <w:t>о</w:t>
      </w:r>
      <w:r w:rsidRPr="00622404">
        <w:rPr>
          <w:rFonts w:ascii="Times New Roman" w:hAnsi="Times New Roman"/>
          <w:szCs w:val="28"/>
        </w:rPr>
        <w:t>роны крупных промышленных предприятий.</w:t>
      </w:r>
      <w:proofErr w:type="gramEnd"/>
      <w:r w:rsidR="00342469" w:rsidRPr="00342469">
        <w:rPr>
          <w:rFonts w:ascii="Times New Roman" w:hAnsi="Times New Roman"/>
          <w:szCs w:val="28"/>
        </w:rPr>
        <w:t xml:space="preserve"> </w:t>
      </w:r>
      <w:r w:rsidR="00342469">
        <w:rPr>
          <w:rFonts w:ascii="Times New Roman" w:hAnsi="Times New Roman"/>
          <w:szCs w:val="28"/>
        </w:rPr>
        <w:t xml:space="preserve">За пять анализируемых лет оборот организаций в данном виде деятельности увеличился в 1,3 раза, отгрузка </w:t>
      </w:r>
      <w:r w:rsidR="00965D73">
        <w:rPr>
          <w:rFonts w:ascii="Times New Roman" w:hAnsi="Times New Roman"/>
          <w:szCs w:val="28"/>
        </w:rPr>
        <w:t>также</w:t>
      </w:r>
      <w:r w:rsidR="00342469">
        <w:rPr>
          <w:rFonts w:ascii="Times New Roman" w:hAnsi="Times New Roman"/>
          <w:szCs w:val="28"/>
        </w:rPr>
        <w:t xml:space="preserve"> </w:t>
      </w:r>
      <w:r w:rsidR="00E9539C">
        <w:rPr>
          <w:rFonts w:ascii="Times New Roman" w:hAnsi="Times New Roman"/>
          <w:szCs w:val="28"/>
        </w:rPr>
        <w:t xml:space="preserve">– </w:t>
      </w:r>
      <w:r w:rsidR="00342469">
        <w:rPr>
          <w:rFonts w:ascii="Times New Roman" w:hAnsi="Times New Roman"/>
          <w:szCs w:val="28"/>
        </w:rPr>
        <w:t>в 1,3 раза.</w:t>
      </w:r>
    </w:p>
    <w:p w:rsidR="00435710" w:rsidRDefault="00435710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622404">
        <w:rPr>
          <w:rFonts w:ascii="Times New Roman" w:hAnsi="Times New Roman"/>
          <w:szCs w:val="28"/>
        </w:rPr>
        <w:t>В 2012 году ситуация на предприятиях обрабатывающих производств</w:t>
      </w:r>
      <w:r w:rsidRPr="0034726F">
        <w:rPr>
          <w:rFonts w:ascii="Times New Roman" w:hAnsi="Times New Roman"/>
          <w:szCs w:val="28"/>
        </w:rPr>
        <w:t xml:space="preserve"> г</w:t>
      </w:r>
      <w:r w:rsidRPr="0034726F">
        <w:rPr>
          <w:rFonts w:ascii="Times New Roman" w:hAnsi="Times New Roman"/>
          <w:szCs w:val="28"/>
        </w:rPr>
        <w:t>о</w:t>
      </w:r>
      <w:r w:rsidRPr="0034726F">
        <w:rPr>
          <w:rFonts w:ascii="Times New Roman" w:hAnsi="Times New Roman"/>
          <w:szCs w:val="28"/>
        </w:rPr>
        <w:t>рода также характеризовалась замедлением темпов развития: оборот организ</w:t>
      </w:r>
      <w:r w:rsidRPr="0034726F">
        <w:rPr>
          <w:rFonts w:ascii="Times New Roman" w:hAnsi="Times New Roman"/>
          <w:szCs w:val="28"/>
        </w:rPr>
        <w:t>а</w:t>
      </w:r>
      <w:r w:rsidRPr="0034726F">
        <w:rPr>
          <w:rFonts w:ascii="Times New Roman" w:hAnsi="Times New Roman"/>
          <w:szCs w:val="28"/>
        </w:rPr>
        <w:t>ций вырос на 5,8% к уровню 2011 года, объем отгруженной продукции увел</w:t>
      </w:r>
      <w:r w:rsidRPr="0034726F">
        <w:rPr>
          <w:rFonts w:ascii="Times New Roman" w:hAnsi="Times New Roman"/>
          <w:szCs w:val="28"/>
        </w:rPr>
        <w:t>и</w:t>
      </w:r>
      <w:r w:rsidRPr="0034726F">
        <w:rPr>
          <w:rFonts w:ascii="Times New Roman" w:hAnsi="Times New Roman"/>
          <w:szCs w:val="28"/>
        </w:rPr>
        <w:t xml:space="preserve">чился на 6,4%. Индекс промышленного производства составил 97,6% несмотря на рост в начале года. На сокращение </w:t>
      </w:r>
      <w:r w:rsidRPr="00A51EB9">
        <w:rPr>
          <w:rFonts w:ascii="Times New Roman" w:hAnsi="Times New Roman"/>
          <w:szCs w:val="28"/>
        </w:rPr>
        <w:t xml:space="preserve">промышленного производства </w:t>
      </w:r>
      <w:r>
        <w:rPr>
          <w:rFonts w:ascii="Times New Roman" w:hAnsi="Times New Roman"/>
          <w:szCs w:val="28"/>
        </w:rPr>
        <w:t>обрабат</w:t>
      </w:r>
      <w:r>
        <w:rPr>
          <w:rFonts w:ascii="Times New Roman" w:hAnsi="Times New Roman"/>
          <w:szCs w:val="28"/>
        </w:rPr>
        <w:t>ы</w:t>
      </w:r>
      <w:r>
        <w:rPr>
          <w:rFonts w:ascii="Times New Roman" w:hAnsi="Times New Roman"/>
          <w:szCs w:val="28"/>
        </w:rPr>
        <w:t xml:space="preserve">вающих предприятий </w:t>
      </w:r>
      <w:r w:rsidRPr="00A51EB9">
        <w:rPr>
          <w:rFonts w:ascii="Times New Roman" w:hAnsi="Times New Roman"/>
          <w:szCs w:val="28"/>
        </w:rPr>
        <w:t xml:space="preserve">повлияли предприятия отрасли машиностроения. </w:t>
      </w:r>
      <w:r w:rsidR="00342469">
        <w:rPr>
          <w:rFonts w:ascii="Times New Roman" w:hAnsi="Times New Roman"/>
          <w:szCs w:val="28"/>
        </w:rPr>
        <w:t>По о</w:t>
      </w:r>
      <w:r w:rsidR="00342469">
        <w:rPr>
          <w:rFonts w:ascii="Times New Roman" w:hAnsi="Times New Roman"/>
          <w:szCs w:val="28"/>
        </w:rPr>
        <w:t>т</w:t>
      </w:r>
      <w:r w:rsidR="00342469">
        <w:rPr>
          <w:rFonts w:ascii="Times New Roman" w:hAnsi="Times New Roman"/>
          <w:szCs w:val="28"/>
        </w:rPr>
        <w:t>ношению к 2008 году оборот обрабатывающих производств вырос в 1,65 раза, отгрузка – в 1,63 раза.</w:t>
      </w:r>
    </w:p>
    <w:p w:rsidR="009C79D2" w:rsidRDefault="009C79D2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Количество предприятий </w:t>
      </w:r>
      <w:r w:rsidRPr="00B02E74">
        <w:rPr>
          <w:rFonts w:ascii="Times New Roman" w:hAnsi="Times New Roman"/>
          <w:szCs w:val="28"/>
        </w:rPr>
        <w:t>(без</w:t>
      </w:r>
      <w:r w:rsidR="00965D73">
        <w:rPr>
          <w:rFonts w:ascii="Times New Roman" w:hAnsi="Times New Roman"/>
          <w:szCs w:val="28"/>
        </w:rPr>
        <w:t xml:space="preserve"> </w:t>
      </w:r>
      <w:r w:rsidR="003A45E7">
        <w:rPr>
          <w:rFonts w:ascii="Times New Roman" w:hAnsi="Times New Roman"/>
          <w:szCs w:val="28"/>
        </w:rPr>
        <w:t>организаций</w:t>
      </w:r>
      <w:r w:rsidR="00965D73">
        <w:rPr>
          <w:rFonts w:ascii="Times New Roman" w:hAnsi="Times New Roman"/>
          <w:szCs w:val="28"/>
        </w:rPr>
        <w:t xml:space="preserve"> </w:t>
      </w:r>
      <w:r w:rsidRPr="00B02E74">
        <w:rPr>
          <w:rFonts w:ascii="Times New Roman" w:hAnsi="Times New Roman"/>
          <w:szCs w:val="28"/>
        </w:rPr>
        <w:t>с</w:t>
      </w:r>
      <w:r w:rsidR="00965D73">
        <w:rPr>
          <w:rFonts w:ascii="Times New Roman" w:hAnsi="Times New Roman"/>
          <w:szCs w:val="28"/>
        </w:rPr>
        <w:t xml:space="preserve"> </w:t>
      </w:r>
      <w:r w:rsidRPr="00B02E74">
        <w:rPr>
          <w:rFonts w:ascii="Times New Roman" w:hAnsi="Times New Roman"/>
          <w:szCs w:val="28"/>
        </w:rPr>
        <w:t>численностью менее 15 чел</w:t>
      </w:r>
      <w:r w:rsidRPr="00B02E74">
        <w:rPr>
          <w:rFonts w:ascii="Times New Roman" w:hAnsi="Times New Roman"/>
          <w:szCs w:val="28"/>
        </w:rPr>
        <w:t>о</w:t>
      </w:r>
      <w:r w:rsidRPr="00B02E74">
        <w:rPr>
          <w:rFonts w:ascii="Times New Roman" w:hAnsi="Times New Roman"/>
          <w:szCs w:val="28"/>
        </w:rPr>
        <w:t>век)</w:t>
      </w:r>
      <w:r>
        <w:rPr>
          <w:rFonts w:ascii="Times New Roman" w:hAnsi="Times New Roman"/>
          <w:szCs w:val="28"/>
        </w:rPr>
        <w:t xml:space="preserve">, входящих </w:t>
      </w:r>
      <w:r w:rsidRPr="00B02E74">
        <w:rPr>
          <w:rFonts w:ascii="Times New Roman" w:hAnsi="Times New Roman"/>
          <w:szCs w:val="28"/>
        </w:rPr>
        <w:t>в состав обрабатывающих производств города Перми</w:t>
      </w:r>
      <w:r w:rsidR="00965D73">
        <w:rPr>
          <w:rFonts w:ascii="Times New Roman" w:hAnsi="Times New Roman"/>
          <w:szCs w:val="28"/>
        </w:rPr>
        <w:t>,</w:t>
      </w:r>
      <w:r w:rsidRPr="00B02E7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увелич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 xml:space="preserve">лось со 140 единиц в 2008 году до </w:t>
      </w:r>
      <w:r w:rsidRPr="00B02E74">
        <w:rPr>
          <w:rFonts w:ascii="Times New Roman" w:hAnsi="Times New Roman"/>
          <w:szCs w:val="28"/>
        </w:rPr>
        <w:t xml:space="preserve">153 </w:t>
      </w:r>
      <w:r>
        <w:rPr>
          <w:rFonts w:ascii="Times New Roman" w:hAnsi="Times New Roman"/>
          <w:szCs w:val="28"/>
        </w:rPr>
        <w:t>в 2012 году</w:t>
      </w:r>
      <w:r w:rsidRPr="00B02E74">
        <w:rPr>
          <w:rFonts w:ascii="Times New Roman" w:hAnsi="Times New Roman"/>
          <w:szCs w:val="28"/>
        </w:rPr>
        <w:t xml:space="preserve">.  </w:t>
      </w:r>
    </w:p>
    <w:p w:rsidR="00435710" w:rsidRDefault="009C79D2" w:rsidP="00717BAC">
      <w:pPr>
        <w:pStyle w:val="a6"/>
        <w:spacing w:after="0" w:line="240" w:lineRule="auto"/>
        <w:ind w:firstLine="720"/>
        <w:rPr>
          <w:rFonts w:ascii="Times New Roman" w:hAnsi="Times New Roman"/>
          <w:szCs w:val="28"/>
        </w:rPr>
      </w:pPr>
      <w:r w:rsidRPr="00B02E74">
        <w:rPr>
          <w:rFonts w:ascii="Times New Roman" w:hAnsi="Times New Roman"/>
          <w:szCs w:val="28"/>
        </w:rPr>
        <w:t xml:space="preserve">В структуре </w:t>
      </w:r>
      <w:r>
        <w:rPr>
          <w:rFonts w:ascii="Times New Roman" w:hAnsi="Times New Roman"/>
          <w:szCs w:val="28"/>
        </w:rPr>
        <w:t xml:space="preserve">объема отгруженной продукции </w:t>
      </w:r>
      <w:r w:rsidRPr="00B02E74">
        <w:rPr>
          <w:rFonts w:ascii="Times New Roman" w:hAnsi="Times New Roman"/>
          <w:szCs w:val="28"/>
        </w:rPr>
        <w:t>обрабатывающих прои</w:t>
      </w:r>
      <w:r w:rsidRPr="00B02E74">
        <w:rPr>
          <w:rFonts w:ascii="Times New Roman" w:hAnsi="Times New Roman"/>
          <w:szCs w:val="28"/>
        </w:rPr>
        <w:t>з</w:t>
      </w:r>
      <w:r w:rsidRPr="00B02E74">
        <w:rPr>
          <w:rFonts w:ascii="Times New Roman" w:hAnsi="Times New Roman"/>
          <w:szCs w:val="28"/>
        </w:rPr>
        <w:t>водств города Перми наибольшая доля приходится</w:t>
      </w:r>
      <w:r w:rsidRPr="00A51EB9">
        <w:rPr>
          <w:rFonts w:ascii="Times New Roman" w:hAnsi="Times New Roman"/>
          <w:szCs w:val="28"/>
        </w:rPr>
        <w:t xml:space="preserve"> на предприятия, производ</w:t>
      </w:r>
      <w:r w:rsidRPr="00A51EB9">
        <w:rPr>
          <w:rFonts w:ascii="Times New Roman" w:hAnsi="Times New Roman"/>
          <w:szCs w:val="28"/>
        </w:rPr>
        <w:t>я</w:t>
      </w:r>
      <w:r w:rsidRPr="00A51EB9">
        <w:rPr>
          <w:rFonts w:ascii="Times New Roman" w:hAnsi="Times New Roman"/>
          <w:szCs w:val="28"/>
        </w:rPr>
        <w:t>щие кокс и нефтепродукты (56,6%), а также предприятия машиностроения (18,6%), химической отрасли (7,7%)</w:t>
      </w:r>
      <w:r>
        <w:rPr>
          <w:rFonts w:ascii="Times New Roman" w:hAnsi="Times New Roman"/>
          <w:szCs w:val="28"/>
        </w:rPr>
        <w:t>.</w:t>
      </w:r>
    </w:p>
    <w:p w:rsidR="003A45E7" w:rsidRDefault="003A45E7" w:rsidP="00717BAC">
      <w:pPr>
        <w:pStyle w:val="a6"/>
        <w:spacing w:after="0" w:line="240" w:lineRule="auto"/>
        <w:ind w:firstLine="720"/>
        <w:rPr>
          <w:rFonts w:ascii="Times New Roman" w:hAnsi="Times New Roman"/>
          <w:szCs w:val="28"/>
        </w:rPr>
      </w:pPr>
    </w:p>
    <w:p w:rsidR="009C79D2" w:rsidRDefault="003F6ECC" w:rsidP="00717BAC">
      <w:pPr>
        <w:pStyle w:val="a6"/>
        <w:spacing w:after="0" w:line="240" w:lineRule="auto"/>
        <w:jc w:val="center"/>
        <w:rPr>
          <w:rStyle w:val="ae"/>
          <w:b/>
          <w:color w:val="auto"/>
          <w:u w:val="none"/>
        </w:rPr>
      </w:pPr>
      <w:r>
        <w:rPr>
          <w:b/>
          <w:noProof/>
        </w:rPr>
        <w:drawing>
          <wp:inline distT="0" distB="0" distL="0" distR="0" wp14:anchorId="31D6AB7B" wp14:editId="137D5B50">
            <wp:extent cx="5201786" cy="2276917"/>
            <wp:effectExtent l="57150" t="57150" r="37465" b="28575"/>
            <wp:docPr id="14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C79D2" w:rsidRDefault="009C79D2" w:rsidP="00717BAC">
      <w:pPr>
        <w:pStyle w:val="a6"/>
        <w:spacing w:after="0" w:line="240" w:lineRule="auto"/>
        <w:ind w:firstLine="720"/>
        <w:rPr>
          <w:rFonts w:ascii="Times New Roman" w:hAnsi="Times New Roman"/>
          <w:b/>
          <w:i/>
          <w:sz w:val="24"/>
          <w:szCs w:val="24"/>
        </w:rPr>
      </w:pPr>
      <w:r w:rsidRPr="009C79D2">
        <w:rPr>
          <w:rFonts w:ascii="Times New Roman" w:hAnsi="Times New Roman"/>
          <w:b/>
          <w:i/>
          <w:sz w:val="24"/>
          <w:szCs w:val="24"/>
        </w:rPr>
        <w:t>Рис. 2.</w:t>
      </w:r>
      <w:r w:rsidR="00610673">
        <w:rPr>
          <w:rFonts w:ascii="Times New Roman" w:hAnsi="Times New Roman"/>
          <w:b/>
          <w:i/>
          <w:sz w:val="24"/>
          <w:szCs w:val="24"/>
        </w:rPr>
        <w:t>2</w:t>
      </w:r>
      <w:r w:rsidRPr="009C79D2">
        <w:rPr>
          <w:rFonts w:ascii="Times New Roman" w:hAnsi="Times New Roman"/>
          <w:b/>
          <w:i/>
          <w:sz w:val="24"/>
          <w:szCs w:val="24"/>
        </w:rPr>
        <w:t>.3. Структура ВЭД «Обрабатывающие производства» по объему отгр</w:t>
      </w:r>
      <w:r w:rsidRPr="009C79D2">
        <w:rPr>
          <w:rFonts w:ascii="Times New Roman" w:hAnsi="Times New Roman"/>
          <w:b/>
          <w:i/>
          <w:sz w:val="24"/>
          <w:szCs w:val="24"/>
        </w:rPr>
        <w:t>у</w:t>
      </w:r>
      <w:r w:rsidRPr="009C79D2">
        <w:rPr>
          <w:rFonts w:ascii="Times New Roman" w:hAnsi="Times New Roman"/>
          <w:b/>
          <w:i/>
          <w:sz w:val="24"/>
          <w:szCs w:val="24"/>
        </w:rPr>
        <w:t xml:space="preserve">женной продукции в </w:t>
      </w:r>
      <w:r w:rsidR="00965D73">
        <w:rPr>
          <w:rFonts w:ascii="Times New Roman" w:hAnsi="Times New Roman"/>
          <w:b/>
          <w:i/>
          <w:sz w:val="24"/>
          <w:szCs w:val="24"/>
        </w:rPr>
        <w:t xml:space="preserve">городе </w:t>
      </w:r>
      <w:r w:rsidRPr="009C79D2">
        <w:rPr>
          <w:rFonts w:ascii="Times New Roman" w:hAnsi="Times New Roman"/>
          <w:b/>
          <w:i/>
          <w:sz w:val="24"/>
          <w:szCs w:val="24"/>
        </w:rPr>
        <w:t>Перми в 2012 год</w:t>
      </w:r>
      <w:r w:rsidR="00965D73">
        <w:rPr>
          <w:rFonts w:ascii="Times New Roman" w:hAnsi="Times New Roman"/>
          <w:b/>
          <w:i/>
          <w:sz w:val="24"/>
          <w:szCs w:val="24"/>
        </w:rPr>
        <w:t>у</w:t>
      </w:r>
    </w:p>
    <w:p w:rsidR="00965D73" w:rsidRDefault="00965D73" w:rsidP="00717BAC">
      <w:pPr>
        <w:pStyle w:val="a6"/>
        <w:spacing w:after="0" w:line="240" w:lineRule="auto"/>
        <w:ind w:firstLine="720"/>
        <w:rPr>
          <w:rFonts w:ascii="Times New Roman" w:hAnsi="Times New Roman"/>
          <w:b/>
          <w:i/>
          <w:sz w:val="24"/>
          <w:szCs w:val="24"/>
        </w:rPr>
      </w:pPr>
    </w:p>
    <w:p w:rsidR="006E75DA" w:rsidRDefault="006E75DA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bCs/>
          <w:szCs w:val="28"/>
        </w:rPr>
      </w:pPr>
      <w:r w:rsidRPr="006E75DA">
        <w:rPr>
          <w:rFonts w:ascii="Times New Roman" w:hAnsi="Times New Roman"/>
          <w:bCs/>
          <w:szCs w:val="28"/>
        </w:rPr>
        <w:t xml:space="preserve">Основу промышленности города Перми составляет </w:t>
      </w:r>
      <w:r w:rsidRPr="006E75DA">
        <w:rPr>
          <w:rFonts w:ascii="Times New Roman" w:hAnsi="Times New Roman"/>
          <w:b/>
          <w:bCs/>
          <w:i/>
          <w:szCs w:val="28"/>
        </w:rPr>
        <w:t xml:space="preserve">производство кокса </w:t>
      </w:r>
      <w:r w:rsidR="003A45E7">
        <w:rPr>
          <w:rFonts w:ascii="Times New Roman" w:hAnsi="Times New Roman"/>
          <w:b/>
          <w:bCs/>
          <w:i/>
          <w:szCs w:val="28"/>
        </w:rPr>
        <w:br/>
      </w:r>
      <w:r w:rsidRPr="006E75DA">
        <w:rPr>
          <w:rFonts w:ascii="Times New Roman" w:hAnsi="Times New Roman"/>
          <w:b/>
          <w:bCs/>
          <w:i/>
          <w:szCs w:val="28"/>
        </w:rPr>
        <w:t>и нефтепродуктов</w:t>
      </w:r>
      <w:r w:rsidRPr="006E75DA">
        <w:rPr>
          <w:rFonts w:ascii="Times New Roman" w:hAnsi="Times New Roman"/>
          <w:bCs/>
          <w:szCs w:val="28"/>
        </w:rPr>
        <w:t>. В данной отрасли в 2012 году наблюдался рост произво</w:t>
      </w:r>
      <w:r w:rsidRPr="006E75DA">
        <w:rPr>
          <w:rFonts w:ascii="Times New Roman" w:hAnsi="Times New Roman"/>
          <w:bCs/>
          <w:szCs w:val="28"/>
        </w:rPr>
        <w:t>д</w:t>
      </w:r>
      <w:r w:rsidRPr="006E75DA">
        <w:rPr>
          <w:rFonts w:ascii="Times New Roman" w:hAnsi="Times New Roman"/>
          <w:bCs/>
          <w:szCs w:val="28"/>
        </w:rPr>
        <w:t xml:space="preserve">ства по сравнению с 2011 годом (индекс промышленного производства – 103,2%), увеличение оборота организаций </w:t>
      </w:r>
      <w:r w:rsidR="003A45E7">
        <w:rPr>
          <w:rFonts w:ascii="Times New Roman" w:hAnsi="Times New Roman"/>
          <w:bCs/>
          <w:szCs w:val="28"/>
        </w:rPr>
        <w:t>на</w:t>
      </w:r>
      <w:r w:rsidR="00965D73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 xml:space="preserve">6,9%, объема отгрузки – на </w:t>
      </w:r>
      <w:r>
        <w:rPr>
          <w:rFonts w:ascii="Times New Roman" w:hAnsi="Times New Roman"/>
          <w:bCs/>
          <w:szCs w:val="28"/>
        </w:rPr>
        <w:t>13,6</w:t>
      </w:r>
      <w:r w:rsidRPr="006E75DA">
        <w:rPr>
          <w:rFonts w:ascii="Times New Roman" w:hAnsi="Times New Roman"/>
          <w:bCs/>
          <w:szCs w:val="28"/>
        </w:rPr>
        <w:t xml:space="preserve">%. Увеличилось </w:t>
      </w:r>
      <w:r w:rsidR="003A45E7">
        <w:rPr>
          <w:rFonts w:ascii="Times New Roman" w:hAnsi="Times New Roman"/>
          <w:bCs/>
          <w:szCs w:val="28"/>
        </w:rPr>
        <w:t>производство</w:t>
      </w:r>
      <w:r w:rsidR="00965D73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автомобильного бензина</w:t>
      </w:r>
      <w:r w:rsidR="00965D73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(107,1% к уровню пред</w:t>
      </w:r>
      <w:r w:rsidRPr="006E75DA">
        <w:rPr>
          <w:rFonts w:ascii="Times New Roman" w:hAnsi="Times New Roman"/>
          <w:bCs/>
          <w:szCs w:val="28"/>
        </w:rPr>
        <w:t>ы</w:t>
      </w:r>
      <w:r w:rsidRPr="006E75DA">
        <w:rPr>
          <w:rFonts w:ascii="Times New Roman" w:hAnsi="Times New Roman"/>
          <w:bCs/>
          <w:szCs w:val="28"/>
        </w:rPr>
        <w:t>дущего года),</w:t>
      </w:r>
      <w:r w:rsidR="00965D73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сжиженных</w:t>
      </w:r>
      <w:r w:rsidR="00965D73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 xml:space="preserve">пропана и бутана (141,1%). В то же время сократился выпуск смазочных нефтяных масел – на 9,2%. </w:t>
      </w:r>
    </w:p>
    <w:p w:rsidR="00965D73" w:rsidRDefault="00965D73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bCs/>
          <w:szCs w:val="28"/>
        </w:rPr>
      </w:pPr>
    </w:p>
    <w:tbl>
      <w:tblPr>
        <w:tblW w:w="5000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3808"/>
        <w:gridCol w:w="1291"/>
        <w:gridCol w:w="980"/>
        <w:gridCol w:w="980"/>
        <w:gridCol w:w="980"/>
        <w:gridCol w:w="980"/>
        <w:gridCol w:w="978"/>
      </w:tblGrid>
      <w:tr w:rsidR="006E75DA" w:rsidRPr="00965D73" w:rsidTr="003A45E7">
        <w:trPr>
          <w:trHeight w:val="660"/>
          <w:tblHeader/>
        </w:trPr>
        <w:tc>
          <w:tcPr>
            <w:tcW w:w="1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DA" w:rsidRPr="00965D73" w:rsidRDefault="00965D73" w:rsidP="00965D7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Показатели в сфере производства кокса и нефтепродуктов</w:t>
            </w:r>
          </w:p>
        </w:tc>
        <w:tc>
          <w:tcPr>
            <w:tcW w:w="64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DA" w:rsidRPr="00965D73" w:rsidRDefault="003A45E7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="006E75DA"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proofErr w:type="gramEnd"/>
            <w:r w:rsidR="006E75DA"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зм</w:t>
            </w:r>
            <w:proofErr w:type="spellEnd"/>
            <w:r w:rsidR="006E75DA"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DA" w:rsidRPr="00965D73" w:rsidRDefault="006E75DA" w:rsidP="003A45E7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2008</w:t>
            </w:r>
            <w:r w:rsid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</w:t>
            </w:r>
            <w:r w:rsidR="003A45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75DA" w:rsidRPr="00965D73" w:rsidRDefault="006E75DA" w:rsidP="003A45E7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 w:rsid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3A45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75DA" w:rsidRPr="00965D73" w:rsidRDefault="006E75DA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2010</w:t>
            </w:r>
            <w:r w:rsid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3A45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75DA" w:rsidRPr="00965D73" w:rsidRDefault="006E75DA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2011</w:t>
            </w:r>
            <w:r w:rsid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3A45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E75DA" w:rsidRPr="00965D73" w:rsidRDefault="006E75DA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2012</w:t>
            </w:r>
            <w:r w:rsid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3A45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6E75DA" w:rsidRPr="00CB4231" w:rsidTr="00550ED0">
        <w:trPr>
          <w:trHeight w:val="573"/>
        </w:trPr>
        <w:tc>
          <w:tcPr>
            <w:tcW w:w="1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DA" w:rsidRPr="00633EF2" w:rsidRDefault="006E75DA" w:rsidP="00550ED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Индекс промышленного прои</w:t>
            </w: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водства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DA" w:rsidRPr="00633EF2" w:rsidRDefault="006E75DA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5DA" w:rsidRPr="002F2C36" w:rsidRDefault="00633EF2" w:rsidP="00550ED0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C36">
              <w:rPr>
                <w:rFonts w:ascii="Times New Roman" w:hAnsi="Times New Roman"/>
                <w:bCs/>
                <w:sz w:val="24"/>
                <w:szCs w:val="24"/>
              </w:rPr>
              <w:t>104,4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75DA" w:rsidRPr="002F2C36" w:rsidRDefault="00633EF2" w:rsidP="00550ED0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C36">
              <w:rPr>
                <w:rFonts w:ascii="Times New Roman" w:hAnsi="Times New Roman"/>
                <w:bCs/>
                <w:sz w:val="24"/>
                <w:szCs w:val="24"/>
              </w:rPr>
              <w:t>102,3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E75DA" w:rsidRPr="002F2C36" w:rsidRDefault="00633EF2" w:rsidP="00550ED0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C36">
              <w:rPr>
                <w:rFonts w:ascii="Times New Roman" w:hAnsi="Times New Roman"/>
                <w:bCs/>
                <w:sz w:val="24"/>
                <w:szCs w:val="24"/>
              </w:rPr>
              <w:t>100,5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E75DA" w:rsidRPr="002F2C36" w:rsidRDefault="00633EF2" w:rsidP="00550ED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E75DA" w:rsidRPr="002F2C36" w:rsidRDefault="00633EF2" w:rsidP="00550ED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6E75DA" w:rsidRPr="00CB4231" w:rsidTr="00550ED0">
        <w:trPr>
          <w:trHeight w:val="549"/>
        </w:trPr>
        <w:tc>
          <w:tcPr>
            <w:tcW w:w="1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75DA" w:rsidRPr="00633EF2" w:rsidRDefault="006E75DA" w:rsidP="00550ED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Объем отгруженных товаров со</w:t>
            </w: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производства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75DA" w:rsidRPr="00633EF2" w:rsidRDefault="003A45E7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млрд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E75DA"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6E75DA"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="006E75DA"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75DA" w:rsidRPr="002F2C36" w:rsidRDefault="006E75DA" w:rsidP="00550ED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167,7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E75DA" w:rsidRPr="002F2C36" w:rsidRDefault="006E75DA" w:rsidP="00550ED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142,3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E75DA" w:rsidRPr="002F2C36" w:rsidRDefault="006E75DA" w:rsidP="00550ED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E75DA" w:rsidRPr="002F2C36" w:rsidRDefault="006E75DA" w:rsidP="00550ED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235,1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E75DA" w:rsidRPr="002F2C36" w:rsidRDefault="006E75DA" w:rsidP="00550ED0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267,1</w:t>
            </w:r>
          </w:p>
        </w:tc>
      </w:tr>
    </w:tbl>
    <w:p w:rsidR="00965D73" w:rsidRDefault="00965D73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</w:p>
    <w:p w:rsidR="006E75DA" w:rsidRPr="006E75DA" w:rsidRDefault="006E75DA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  <w:r w:rsidRPr="006E75DA">
        <w:rPr>
          <w:rFonts w:ascii="Times New Roman" w:hAnsi="Times New Roman"/>
          <w:szCs w:val="28"/>
        </w:rPr>
        <w:t>Крупнейшее предприяти</w:t>
      </w:r>
      <w:r w:rsidR="00E9539C">
        <w:rPr>
          <w:rFonts w:ascii="Times New Roman" w:hAnsi="Times New Roman"/>
          <w:szCs w:val="28"/>
        </w:rPr>
        <w:t>е</w:t>
      </w:r>
      <w:r w:rsidRPr="006E75DA">
        <w:rPr>
          <w:rFonts w:ascii="Times New Roman" w:hAnsi="Times New Roman"/>
          <w:szCs w:val="28"/>
        </w:rPr>
        <w:t xml:space="preserve"> данной отрасли </w:t>
      </w:r>
      <w:r w:rsidR="002F2C36">
        <w:rPr>
          <w:rFonts w:ascii="Times New Roman" w:hAnsi="Times New Roman"/>
          <w:szCs w:val="28"/>
        </w:rPr>
        <w:t>–</w:t>
      </w:r>
      <w:r w:rsidRPr="006E75DA">
        <w:rPr>
          <w:rFonts w:ascii="Times New Roman" w:hAnsi="Times New Roman"/>
          <w:szCs w:val="28"/>
        </w:rPr>
        <w:t xml:space="preserve"> ООО «ЛУКОЙЛ – </w:t>
      </w:r>
      <w:proofErr w:type="spellStart"/>
      <w:r w:rsidRPr="006E75DA">
        <w:rPr>
          <w:rFonts w:ascii="Times New Roman" w:hAnsi="Times New Roman"/>
          <w:szCs w:val="28"/>
        </w:rPr>
        <w:t>Пермне</w:t>
      </w:r>
      <w:r w:rsidRPr="006E75DA">
        <w:rPr>
          <w:rFonts w:ascii="Times New Roman" w:hAnsi="Times New Roman"/>
          <w:szCs w:val="28"/>
        </w:rPr>
        <w:t>ф</w:t>
      </w:r>
      <w:r w:rsidRPr="006E75DA">
        <w:rPr>
          <w:rFonts w:ascii="Times New Roman" w:hAnsi="Times New Roman"/>
          <w:szCs w:val="28"/>
        </w:rPr>
        <w:t>теоргсинтез</w:t>
      </w:r>
      <w:proofErr w:type="spellEnd"/>
      <w:r w:rsidRPr="006E75DA">
        <w:rPr>
          <w:rFonts w:ascii="Times New Roman" w:hAnsi="Times New Roman"/>
          <w:szCs w:val="28"/>
        </w:rPr>
        <w:t>».</w:t>
      </w:r>
    </w:p>
    <w:p w:rsidR="006E75DA" w:rsidRDefault="006E75DA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  <w:r w:rsidRPr="006E75DA">
        <w:rPr>
          <w:rFonts w:ascii="Times New Roman" w:hAnsi="Times New Roman"/>
          <w:b/>
          <w:i/>
          <w:szCs w:val="28"/>
        </w:rPr>
        <w:t>Производство химической продукции</w:t>
      </w:r>
      <w:r w:rsidRPr="006E75DA">
        <w:rPr>
          <w:rFonts w:ascii="Times New Roman" w:hAnsi="Times New Roman"/>
          <w:szCs w:val="28"/>
        </w:rPr>
        <w:t xml:space="preserve"> выросло на 10,8% к уровню </w:t>
      </w:r>
      <w:r w:rsidR="003A45E7">
        <w:rPr>
          <w:rFonts w:ascii="Times New Roman" w:hAnsi="Times New Roman"/>
          <w:szCs w:val="28"/>
        </w:rPr>
        <w:br/>
      </w:r>
      <w:r w:rsidRPr="006E75DA">
        <w:rPr>
          <w:rFonts w:ascii="Times New Roman" w:hAnsi="Times New Roman"/>
          <w:szCs w:val="28"/>
        </w:rPr>
        <w:t>2011 года. Оборот организаций х</w:t>
      </w:r>
      <w:r w:rsidR="00135017">
        <w:rPr>
          <w:rFonts w:ascii="Times New Roman" w:hAnsi="Times New Roman"/>
          <w:szCs w:val="28"/>
        </w:rPr>
        <w:t>имической отрасли вырос на 8,3%</w:t>
      </w:r>
      <w:r w:rsidRPr="006E75DA">
        <w:rPr>
          <w:rFonts w:ascii="Times New Roman" w:hAnsi="Times New Roman"/>
          <w:szCs w:val="28"/>
        </w:rPr>
        <w:t>. Из числа о</w:t>
      </w:r>
      <w:r w:rsidRPr="006E75DA">
        <w:rPr>
          <w:rFonts w:ascii="Times New Roman" w:hAnsi="Times New Roman"/>
          <w:szCs w:val="28"/>
        </w:rPr>
        <w:t>с</w:t>
      </w:r>
      <w:r w:rsidRPr="006E75DA">
        <w:rPr>
          <w:rFonts w:ascii="Times New Roman" w:hAnsi="Times New Roman"/>
          <w:szCs w:val="28"/>
        </w:rPr>
        <w:t xml:space="preserve">новных органических химических веществ выросло производство этилена (135,3%), стирола (120,3%), спиртов промышленных (109,4%). Производство азотных удобрений превысило уровень предыдущего года на 10,5%. Выпуск пластмасс </w:t>
      </w:r>
      <w:r w:rsidR="003A45E7">
        <w:rPr>
          <w:rFonts w:ascii="Times New Roman" w:hAnsi="Times New Roman"/>
          <w:szCs w:val="28"/>
        </w:rPr>
        <w:t>в</w:t>
      </w:r>
      <w:r w:rsidR="00965D73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первичных формах увеличился в 2,1 раза</w:t>
      </w:r>
      <w:r w:rsidR="00965D73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по</w:t>
      </w:r>
      <w:r w:rsidR="00965D73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сравнению с 2011</w:t>
      </w:r>
      <w:r w:rsidR="00965D73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г</w:t>
      </w:r>
      <w:r w:rsidRPr="006E75DA">
        <w:rPr>
          <w:rFonts w:ascii="Times New Roman" w:hAnsi="Times New Roman"/>
          <w:szCs w:val="28"/>
        </w:rPr>
        <w:t>о</w:t>
      </w:r>
      <w:r w:rsidRPr="006E75DA">
        <w:rPr>
          <w:rFonts w:ascii="Times New Roman" w:hAnsi="Times New Roman"/>
          <w:szCs w:val="28"/>
        </w:rPr>
        <w:t>дом. В то</w:t>
      </w:r>
      <w:r w:rsidR="00965D73">
        <w:rPr>
          <w:rFonts w:ascii="Times New Roman" w:hAnsi="Times New Roman"/>
          <w:szCs w:val="28"/>
        </w:rPr>
        <w:t xml:space="preserve"> </w:t>
      </w:r>
      <w:r w:rsidR="003A45E7">
        <w:rPr>
          <w:rFonts w:ascii="Times New Roman" w:hAnsi="Times New Roman"/>
          <w:szCs w:val="28"/>
        </w:rPr>
        <w:t>же</w:t>
      </w:r>
      <w:r w:rsidR="00965D73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время снизилось производство</w:t>
      </w:r>
      <w:r w:rsidR="00965D73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 xml:space="preserve">калийных удобрений – на 30,6% </w:t>
      </w:r>
      <w:r w:rsidR="003A45E7">
        <w:rPr>
          <w:rFonts w:ascii="Times New Roman" w:hAnsi="Times New Roman"/>
          <w:szCs w:val="28"/>
        </w:rPr>
        <w:br/>
      </w:r>
      <w:r w:rsidRPr="006E75DA">
        <w:rPr>
          <w:rFonts w:ascii="Times New Roman" w:hAnsi="Times New Roman"/>
          <w:szCs w:val="28"/>
        </w:rPr>
        <w:t>по сравнению с предыдущим годом, лакокрасочных материалов – на 10,6%.</w:t>
      </w:r>
    </w:p>
    <w:p w:rsidR="00965D73" w:rsidRDefault="00965D73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</w:p>
    <w:tbl>
      <w:tblPr>
        <w:tblW w:w="4929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3636"/>
        <w:gridCol w:w="1299"/>
        <w:gridCol w:w="984"/>
        <w:gridCol w:w="984"/>
        <w:gridCol w:w="984"/>
        <w:gridCol w:w="984"/>
        <w:gridCol w:w="984"/>
      </w:tblGrid>
      <w:tr w:rsidR="00B87CBB" w:rsidRPr="00965D73" w:rsidTr="003A45E7">
        <w:trPr>
          <w:trHeight w:val="660"/>
          <w:tblHeader/>
        </w:trPr>
        <w:tc>
          <w:tcPr>
            <w:tcW w:w="18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CBB" w:rsidRPr="00965D73" w:rsidRDefault="00B87CBB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Показатели</w:t>
            </w:r>
            <w:r w:rsid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сфере произво</w:t>
            </w:r>
            <w:r w:rsid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</w:t>
            </w:r>
            <w:r w:rsid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ства химической продукции</w:t>
            </w:r>
          </w:p>
        </w:tc>
        <w:tc>
          <w:tcPr>
            <w:tcW w:w="65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CBB" w:rsidRPr="00965D73" w:rsidRDefault="003A45E7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="00B87CBB"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proofErr w:type="gramEnd"/>
            <w:r w:rsidR="00B87CBB"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зм</w:t>
            </w:r>
            <w:proofErr w:type="spellEnd"/>
            <w:r w:rsidR="00B87CBB"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CBB" w:rsidRPr="00965D73" w:rsidRDefault="00B87CBB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2008</w:t>
            </w:r>
            <w:r w:rsid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3A45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7CBB" w:rsidRPr="00965D73" w:rsidRDefault="00B87CBB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 w:rsid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3A45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7CBB" w:rsidRPr="00965D73" w:rsidRDefault="00B87CBB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2010</w:t>
            </w:r>
            <w:r w:rsid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3A45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7CBB" w:rsidRPr="00965D73" w:rsidRDefault="00B87CBB" w:rsidP="003A45E7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2011</w:t>
            </w:r>
            <w:r w:rsidR="003A45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87CBB" w:rsidRPr="00965D73" w:rsidRDefault="00B87CBB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2012</w:t>
            </w:r>
            <w:r w:rsid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3A45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B87CBB" w:rsidRPr="00CB4231" w:rsidTr="002F2C36">
        <w:trPr>
          <w:trHeight w:val="527"/>
        </w:trPr>
        <w:tc>
          <w:tcPr>
            <w:tcW w:w="18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BB" w:rsidRPr="00633EF2" w:rsidRDefault="00B87CBB" w:rsidP="002F2C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Индекс промышленного прои</w:t>
            </w: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водства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CBB" w:rsidRPr="00633EF2" w:rsidRDefault="00B87CBB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7CBB" w:rsidRPr="002F2C36" w:rsidRDefault="00633EF2" w:rsidP="002F2C36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C36">
              <w:rPr>
                <w:rFonts w:ascii="Times New Roman" w:hAnsi="Times New Roman"/>
                <w:bCs/>
                <w:sz w:val="24"/>
                <w:szCs w:val="24"/>
              </w:rPr>
              <w:t>97,9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7CBB" w:rsidRPr="002F2C36" w:rsidRDefault="00633EF2" w:rsidP="002F2C36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C36">
              <w:rPr>
                <w:rFonts w:ascii="Times New Roman" w:hAnsi="Times New Roman"/>
                <w:bCs/>
                <w:sz w:val="24"/>
                <w:szCs w:val="24"/>
              </w:rPr>
              <w:t>97,5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87CBB" w:rsidRPr="002F2C36" w:rsidRDefault="00633EF2" w:rsidP="002F2C36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C36">
              <w:rPr>
                <w:rFonts w:ascii="Times New Roman" w:hAnsi="Times New Roman"/>
                <w:bCs/>
                <w:sz w:val="24"/>
                <w:szCs w:val="24"/>
              </w:rPr>
              <w:t>118,0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87CBB" w:rsidRPr="002F2C36" w:rsidRDefault="00633EF2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112,5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87CBB" w:rsidRPr="002F2C36" w:rsidRDefault="00633EF2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110,8</w:t>
            </w:r>
          </w:p>
        </w:tc>
      </w:tr>
      <w:tr w:rsidR="00B87CBB" w:rsidRPr="006E75DA" w:rsidTr="002F2C36">
        <w:trPr>
          <w:trHeight w:val="531"/>
        </w:trPr>
        <w:tc>
          <w:tcPr>
            <w:tcW w:w="18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BB" w:rsidRPr="006E75DA" w:rsidRDefault="00B87CBB" w:rsidP="002F2C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Объем отгруженных товаров собственного производства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CBB" w:rsidRPr="00B87CBB" w:rsidRDefault="003A45E7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млрд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87CBB"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B87CBB"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="00B87CBB"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7CBB" w:rsidRPr="002F2C36" w:rsidRDefault="00B87CB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7CBB" w:rsidRPr="002F2C36" w:rsidRDefault="00B87CB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87CBB" w:rsidRPr="002F2C36" w:rsidRDefault="00B87CB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87CBB" w:rsidRPr="002F2C36" w:rsidRDefault="00B87CB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87CBB" w:rsidRPr="002F2C36" w:rsidRDefault="00B87CB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36,1</w:t>
            </w:r>
          </w:p>
        </w:tc>
      </w:tr>
      <w:tr w:rsidR="00B87CBB" w:rsidRPr="00CB4231" w:rsidTr="002F2C36">
        <w:trPr>
          <w:trHeight w:val="702"/>
        </w:trPr>
        <w:tc>
          <w:tcPr>
            <w:tcW w:w="18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BB" w:rsidRPr="006E75DA" w:rsidRDefault="00B87CBB" w:rsidP="002F2C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Инвестиции в основной капитал по крупным и средним предпр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ятиям и организациям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CBB" w:rsidRPr="00B87CBB" w:rsidRDefault="003A45E7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млрд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87CBB"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B87CBB"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="00B87CBB"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7CBB" w:rsidRPr="002F2C36" w:rsidRDefault="00B87CB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7CBB" w:rsidRPr="002F2C36" w:rsidRDefault="00633EF2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87CBB" w:rsidRPr="002F2C36" w:rsidRDefault="00B87CB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87CBB" w:rsidRPr="002F2C36" w:rsidRDefault="00633EF2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87CBB" w:rsidRPr="002F2C36" w:rsidRDefault="00B87CB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B87CBB" w:rsidRPr="00CB4231" w:rsidTr="002F2C36">
        <w:trPr>
          <w:trHeight w:val="765"/>
        </w:trPr>
        <w:tc>
          <w:tcPr>
            <w:tcW w:w="18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BB" w:rsidRPr="006E75DA" w:rsidRDefault="00B87CBB" w:rsidP="002F2C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Сальдированный финансовый результат (прибыль минус уб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ток) деятельности организаций 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CBB" w:rsidRPr="00CB4231" w:rsidRDefault="003A45E7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млрд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B87CBB"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B87CBB"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="00B87CBB"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87CBB" w:rsidRPr="002F2C36" w:rsidRDefault="00B87CB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87CBB" w:rsidRPr="002F2C36" w:rsidRDefault="00633EF2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87CBB" w:rsidRPr="002F2C36" w:rsidRDefault="00B87CB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87CBB" w:rsidRPr="002F2C36" w:rsidRDefault="00633EF2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87CBB" w:rsidRPr="002F2C36" w:rsidRDefault="00B87CB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7,6</w:t>
            </w:r>
          </w:p>
        </w:tc>
      </w:tr>
    </w:tbl>
    <w:p w:rsidR="006E75DA" w:rsidRPr="006E75DA" w:rsidRDefault="006E75DA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</w:p>
    <w:p w:rsidR="006E75DA" w:rsidRPr="006E75DA" w:rsidRDefault="006E75DA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  <w:r w:rsidRPr="006E75DA">
        <w:rPr>
          <w:rFonts w:ascii="Times New Roman" w:hAnsi="Times New Roman"/>
          <w:szCs w:val="28"/>
        </w:rPr>
        <w:t xml:space="preserve">В Перми расположены следующие предприятия химической отрасли: </w:t>
      </w:r>
      <w:r w:rsidR="003A45E7">
        <w:rPr>
          <w:rFonts w:ascii="Times New Roman" w:hAnsi="Times New Roman"/>
          <w:szCs w:val="28"/>
        </w:rPr>
        <w:br/>
      </w:r>
      <w:r w:rsidRPr="006E75DA">
        <w:rPr>
          <w:rFonts w:ascii="Times New Roman" w:hAnsi="Times New Roman"/>
          <w:szCs w:val="28"/>
        </w:rPr>
        <w:t>ОАО «Минеральные удобрения», ЗАО «</w:t>
      </w:r>
      <w:proofErr w:type="spellStart"/>
      <w:r w:rsidRPr="006E75DA">
        <w:rPr>
          <w:rFonts w:ascii="Times New Roman" w:hAnsi="Times New Roman"/>
          <w:szCs w:val="28"/>
        </w:rPr>
        <w:t>Сибур</w:t>
      </w:r>
      <w:proofErr w:type="spellEnd"/>
      <w:r w:rsidRPr="006E75DA">
        <w:rPr>
          <w:rFonts w:ascii="Times New Roman" w:hAnsi="Times New Roman"/>
          <w:szCs w:val="28"/>
        </w:rPr>
        <w:t>-Химпром», ОАО «Сорбент», ОАО «Галоген», ОАО «</w:t>
      </w:r>
      <w:proofErr w:type="spellStart"/>
      <w:r w:rsidRPr="006E75DA">
        <w:rPr>
          <w:rFonts w:ascii="Times New Roman" w:hAnsi="Times New Roman"/>
          <w:szCs w:val="28"/>
        </w:rPr>
        <w:t>Камтекс</w:t>
      </w:r>
      <w:proofErr w:type="spellEnd"/>
      <w:r w:rsidRPr="006E75DA">
        <w:rPr>
          <w:rFonts w:ascii="Times New Roman" w:hAnsi="Times New Roman"/>
          <w:szCs w:val="28"/>
        </w:rPr>
        <w:t>-Химпром», ОАО «</w:t>
      </w:r>
      <w:proofErr w:type="spellStart"/>
      <w:r w:rsidRPr="006E75DA">
        <w:rPr>
          <w:rFonts w:ascii="Times New Roman" w:hAnsi="Times New Roman"/>
          <w:szCs w:val="28"/>
        </w:rPr>
        <w:t>Хенкель</w:t>
      </w:r>
      <w:proofErr w:type="spellEnd"/>
      <w:r w:rsidRPr="006E75DA">
        <w:rPr>
          <w:rFonts w:ascii="Times New Roman" w:hAnsi="Times New Roman"/>
          <w:szCs w:val="28"/>
        </w:rPr>
        <w:t>» и другие. Основная продукция: лаки, краски, минеральные удобрения, синтетические моющие сре</w:t>
      </w:r>
      <w:r w:rsidRPr="006E75DA">
        <w:rPr>
          <w:rFonts w:ascii="Times New Roman" w:hAnsi="Times New Roman"/>
          <w:szCs w:val="28"/>
        </w:rPr>
        <w:t>д</w:t>
      </w:r>
      <w:r w:rsidRPr="006E75DA">
        <w:rPr>
          <w:rFonts w:ascii="Times New Roman" w:hAnsi="Times New Roman"/>
          <w:szCs w:val="28"/>
        </w:rPr>
        <w:t>ства и др</w:t>
      </w:r>
      <w:r w:rsidR="002F2C36">
        <w:rPr>
          <w:rFonts w:ascii="Times New Roman" w:hAnsi="Times New Roman"/>
          <w:szCs w:val="28"/>
        </w:rPr>
        <w:t>угие</w:t>
      </w:r>
      <w:r w:rsidRPr="006E75DA">
        <w:rPr>
          <w:rFonts w:ascii="Times New Roman" w:hAnsi="Times New Roman"/>
          <w:szCs w:val="28"/>
        </w:rPr>
        <w:t>.</w:t>
      </w:r>
    </w:p>
    <w:p w:rsidR="006E75DA" w:rsidRPr="006E75DA" w:rsidRDefault="006E75DA" w:rsidP="00717B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E75DA">
        <w:rPr>
          <w:rFonts w:ascii="Times New Roman" w:hAnsi="Times New Roman"/>
          <w:sz w:val="28"/>
          <w:szCs w:val="28"/>
        </w:rPr>
        <w:t>В 2012 году компания «</w:t>
      </w:r>
      <w:proofErr w:type="spellStart"/>
      <w:r w:rsidRPr="006E75DA">
        <w:rPr>
          <w:rFonts w:ascii="Times New Roman" w:hAnsi="Times New Roman"/>
          <w:sz w:val="28"/>
          <w:szCs w:val="28"/>
        </w:rPr>
        <w:t>Хенкель</w:t>
      </w:r>
      <w:proofErr w:type="spellEnd"/>
      <w:r w:rsidRPr="006E75DA">
        <w:rPr>
          <w:rFonts w:ascii="Times New Roman" w:hAnsi="Times New Roman"/>
          <w:sz w:val="28"/>
          <w:szCs w:val="28"/>
        </w:rPr>
        <w:t xml:space="preserve">» открыла в Перми самый современный </w:t>
      </w:r>
      <w:r w:rsidR="002F2C36">
        <w:rPr>
          <w:rFonts w:ascii="Times New Roman" w:hAnsi="Times New Roman"/>
          <w:sz w:val="28"/>
          <w:szCs w:val="28"/>
        </w:rPr>
        <w:br/>
      </w:r>
      <w:r w:rsidRPr="006E75DA">
        <w:rPr>
          <w:rFonts w:ascii="Times New Roman" w:hAnsi="Times New Roman"/>
          <w:sz w:val="28"/>
          <w:szCs w:val="28"/>
        </w:rPr>
        <w:t>в мире логистический комплекс класса «А» с автоматизированной системой складирования и отгрузки готовой продукции. Общая площадь комплекса сост</w:t>
      </w:r>
      <w:r w:rsidRPr="006E75DA">
        <w:rPr>
          <w:rFonts w:ascii="Times New Roman" w:hAnsi="Times New Roman"/>
          <w:sz w:val="28"/>
          <w:szCs w:val="28"/>
        </w:rPr>
        <w:t>а</w:t>
      </w:r>
      <w:r w:rsidRPr="006E75DA">
        <w:rPr>
          <w:rFonts w:ascii="Times New Roman" w:hAnsi="Times New Roman"/>
          <w:sz w:val="28"/>
          <w:szCs w:val="28"/>
        </w:rPr>
        <w:t xml:space="preserve">вила около 12,5 </w:t>
      </w:r>
      <w:proofErr w:type="spellStart"/>
      <w:r w:rsidRPr="006E75DA">
        <w:rPr>
          <w:rFonts w:ascii="Times New Roman" w:hAnsi="Times New Roman"/>
          <w:sz w:val="28"/>
          <w:szCs w:val="28"/>
        </w:rPr>
        <w:t>тыс.</w:t>
      </w:r>
      <w:r w:rsidR="002F2C36">
        <w:rPr>
          <w:rFonts w:ascii="Times New Roman" w:hAnsi="Times New Roman"/>
          <w:sz w:val="28"/>
          <w:szCs w:val="28"/>
        </w:rPr>
        <w:t>кв</w:t>
      </w:r>
      <w:proofErr w:type="gramStart"/>
      <w:r w:rsidR="002F2C36">
        <w:rPr>
          <w:rFonts w:ascii="Times New Roman" w:hAnsi="Times New Roman"/>
          <w:sz w:val="28"/>
          <w:szCs w:val="28"/>
        </w:rPr>
        <w:t>.</w:t>
      </w:r>
      <w:r w:rsidR="003A45E7">
        <w:rPr>
          <w:rFonts w:ascii="Times New Roman" w:hAnsi="Times New Roman"/>
          <w:sz w:val="28"/>
          <w:szCs w:val="28"/>
        </w:rPr>
        <w:t>м</w:t>
      </w:r>
      <w:proofErr w:type="spellEnd"/>
      <w:proofErr w:type="gramEnd"/>
      <w:r w:rsidR="003A45E7">
        <w:rPr>
          <w:rFonts w:ascii="Times New Roman" w:hAnsi="Times New Roman"/>
          <w:sz w:val="28"/>
          <w:szCs w:val="28"/>
        </w:rPr>
        <w:t>, расчётная ёмкость хранения</w:t>
      </w:r>
      <w:r w:rsidR="002F2C36">
        <w:rPr>
          <w:rFonts w:ascii="Times New Roman" w:hAnsi="Times New Roman"/>
          <w:sz w:val="28"/>
          <w:szCs w:val="28"/>
        </w:rPr>
        <w:t xml:space="preserve"> </w:t>
      </w:r>
      <w:r w:rsidR="00E9539C">
        <w:rPr>
          <w:rFonts w:ascii="Times New Roman" w:hAnsi="Times New Roman"/>
          <w:sz w:val="28"/>
          <w:szCs w:val="28"/>
        </w:rPr>
        <w:t>–</w:t>
      </w:r>
      <w:r w:rsidR="002F2C36">
        <w:rPr>
          <w:rFonts w:ascii="Times New Roman" w:hAnsi="Times New Roman"/>
          <w:sz w:val="28"/>
          <w:szCs w:val="28"/>
        </w:rPr>
        <w:t xml:space="preserve"> до 25 тыс. </w:t>
      </w:r>
      <w:proofErr w:type="spellStart"/>
      <w:r w:rsidRPr="006E75DA">
        <w:rPr>
          <w:rFonts w:ascii="Times New Roman" w:hAnsi="Times New Roman"/>
          <w:sz w:val="28"/>
          <w:szCs w:val="28"/>
        </w:rPr>
        <w:t>паллето</w:t>
      </w:r>
      <w:proofErr w:type="spellEnd"/>
      <w:r w:rsidRPr="006E75DA">
        <w:rPr>
          <w:rFonts w:ascii="Times New Roman" w:hAnsi="Times New Roman"/>
          <w:sz w:val="28"/>
          <w:szCs w:val="28"/>
        </w:rPr>
        <w:t>-мест. Объем инвестиций компании в данный регион</w:t>
      </w:r>
      <w:r w:rsidR="003A45E7">
        <w:rPr>
          <w:rFonts w:ascii="Times New Roman" w:hAnsi="Times New Roman"/>
          <w:sz w:val="28"/>
          <w:szCs w:val="28"/>
        </w:rPr>
        <w:t xml:space="preserve">альный проект составил </w:t>
      </w:r>
      <w:r w:rsidR="002F2C36">
        <w:rPr>
          <w:rFonts w:ascii="Times New Roman" w:hAnsi="Times New Roman"/>
          <w:sz w:val="28"/>
          <w:szCs w:val="28"/>
        </w:rPr>
        <w:br/>
      </w:r>
      <w:r w:rsidR="003A45E7">
        <w:rPr>
          <w:rFonts w:ascii="Times New Roman" w:hAnsi="Times New Roman"/>
          <w:sz w:val="28"/>
          <w:szCs w:val="28"/>
        </w:rPr>
        <w:t xml:space="preserve">567 </w:t>
      </w:r>
      <w:proofErr w:type="spellStart"/>
      <w:r w:rsidR="003A45E7">
        <w:rPr>
          <w:rFonts w:ascii="Times New Roman" w:hAnsi="Times New Roman"/>
          <w:sz w:val="28"/>
          <w:szCs w:val="28"/>
        </w:rPr>
        <w:t>млн</w:t>
      </w:r>
      <w:proofErr w:type="gramStart"/>
      <w:r w:rsidR="003A45E7">
        <w:rPr>
          <w:rFonts w:ascii="Times New Roman" w:hAnsi="Times New Roman"/>
          <w:sz w:val="28"/>
          <w:szCs w:val="28"/>
        </w:rPr>
        <w:t>.</w:t>
      </w:r>
      <w:r w:rsidRPr="006E75DA">
        <w:rPr>
          <w:rFonts w:ascii="Times New Roman" w:hAnsi="Times New Roman"/>
          <w:sz w:val="28"/>
          <w:szCs w:val="28"/>
        </w:rPr>
        <w:t>р</w:t>
      </w:r>
      <w:proofErr w:type="gramEnd"/>
      <w:r w:rsidRPr="006E75DA">
        <w:rPr>
          <w:rFonts w:ascii="Times New Roman" w:hAnsi="Times New Roman"/>
          <w:sz w:val="28"/>
          <w:szCs w:val="28"/>
        </w:rPr>
        <w:t>уб</w:t>
      </w:r>
      <w:proofErr w:type="spellEnd"/>
      <w:r w:rsidRPr="006E75DA">
        <w:rPr>
          <w:rFonts w:ascii="Times New Roman" w:hAnsi="Times New Roman"/>
          <w:sz w:val="28"/>
          <w:szCs w:val="28"/>
        </w:rPr>
        <w:t>.</w:t>
      </w:r>
    </w:p>
    <w:p w:rsidR="006E75DA" w:rsidRPr="006E75DA" w:rsidRDefault="006E75DA" w:rsidP="00717B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E75DA">
        <w:rPr>
          <w:rFonts w:ascii="Times New Roman" w:hAnsi="Times New Roman"/>
          <w:sz w:val="28"/>
          <w:szCs w:val="28"/>
        </w:rPr>
        <w:t xml:space="preserve">На производственной площадке ЗАО «СИБУР-Химпром» в Перми </w:t>
      </w:r>
      <w:r w:rsidR="003A45E7">
        <w:rPr>
          <w:rFonts w:ascii="Times New Roman" w:hAnsi="Times New Roman"/>
          <w:sz w:val="28"/>
          <w:szCs w:val="28"/>
        </w:rPr>
        <w:br/>
      </w:r>
      <w:r w:rsidRPr="006E75DA">
        <w:rPr>
          <w:rFonts w:ascii="Times New Roman" w:hAnsi="Times New Roman"/>
          <w:sz w:val="28"/>
          <w:szCs w:val="28"/>
        </w:rPr>
        <w:t xml:space="preserve">в 2012 </w:t>
      </w:r>
      <w:r w:rsidR="003A45E7">
        <w:rPr>
          <w:rFonts w:ascii="Times New Roman" w:hAnsi="Times New Roman"/>
          <w:sz w:val="28"/>
          <w:szCs w:val="28"/>
        </w:rPr>
        <w:t>году</w:t>
      </w:r>
      <w:r w:rsidR="00DD55BD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состоялся официальный</w:t>
      </w:r>
      <w:r w:rsidR="00DD55BD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пуск</w:t>
      </w:r>
      <w:r w:rsidR="003A45E7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второй</w:t>
      </w:r>
      <w:r w:rsidR="00DD55BD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очереди производства вспен</w:t>
      </w:r>
      <w:r w:rsidRPr="006E75DA">
        <w:rPr>
          <w:rFonts w:ascii="Times New Roman" w:hAnsi="Times New Roman"/>
          <w:sz w:val="28"/>
          <w:szCs w:val="28"/>
        </w:rPr>
        <w:t>и</w:t>
      </w:r>
      <w:r w:rsidRPr="006E75DA">
        <w:rPr>
          <w:rFonts w:ascii="Times New Roman" w:hAnsi="Times New Roman"/>
          <w:sz w:val="28"/>
          <w:szCs w:val="28"/>
        </w:rPr>
        <w:t xml:space="preserve">вающегося полистирола </w:t>
      </w:r>
      <w:proofErr w:type="spellStart"/>
      <w:r w:rsidRPr="006E75DA">
        <w:rPr>
          <w:rFonts w:ascii="Times New Roman" w:hAnsi="Times New Roman"/>
          <w:sz w:val="28"/>
          <w:szCs w:val="28"/>
        </w:rPr>
        <w:t>AlphaporTM</w:t>
      </w:r>
      <w:proofErr w:type="spellEnd"/>
      <w:r w:rsidRPr="006E75DA">
        <w:rPr>
          <w:rFonts w:ascii="Times New Roman" w:hAnsi="Times New Roman"/>
          <w:sz w:val="28"/>
          <w:szCs w:val="28"/>
        </w:rPr>
        <w:t xml:space="preserve"> проектной</w:t>
      </w:r>
      <w:r w:rsidR="00DD55BD">
        <w:rPr>
          <w:rFonts w:ascii="Times New Roman" w:hAnsi="Times New Roman"/>
          <w:sz w:val="28"/>
          <w:szCs w:val="28"/>
        </w:rPr>
        <w:t xml:space="preserve"> </w:t>
      </w:r>
      <w:r w:rsidR="003A45E7">
        <w:rPr>
          <w:rFonts w:ascii="Times New Roman" w:hAnsi="Times New Roman"/>
          <w:sz w:val="28"/>
          <w:szCs w:val="28"/>
        </w:rPr>
        <w:t xml:space="preserve">мощностью 50 </w:t>
      </w:r>
      <w:proofErr w:type="spellStart"/>
      <w:r w:rsidR="003A45E7">
        <w:rPr>
          <w:rFonts w:ascii="Times New Roman" w:hAnsi="Times New Roman"/>
          <w:sz w:val="28"/>
          <w:szCs w:val="28"/>
        </w:rPr>
        <w:t>тыс</w:t>
      </w:r>
      <w:proofErr w:type="gramStart"/>
      <w:r w:rsidR="003A45E7">
        <w:rPr>
          <w:rFonts w:ascii="Times New Roman" w:hAnsi="Times New Roman"/>
          <w:sz w:val="28"/>
          <w:szCs w:val="28"/>
        </w:rPr>
        <w:t>.</w:t>
      </w:r>
      <w:r w:rsidRPr="006E75DA">
        <w:rPr>
          <w:rFonts w:ascii="Times New Roman" w:hAnsi="Times New Roman"/>
          <w:sz w:val="28"/>
          <w:szCs w:val="28"/>
        </w:rPr>
        <w:t>т</w:t>
      </w:r>
      <w:proofErr w:type="gramEnd"/>
      <w:r w:rsidRPr="006E75DA">
        <w:rPr>
          <w:rFonts w:ascii="Times New Roman" w:hAnsi="Times New Roman"/>
          <w:sz w:val="28"/>
          <w:szCs w:val="28"/>
        </w:rPr>
        <w:t>онн</w:t>
      </w:r>
      <w:proofErr w:type="spellEnd"/>
      <w:r w:rsidRPr="006E75DA">
        <w:rPr>
          <w:rFonts w:ascii="Times New Roman" w:hAnsi="Times New Roman"/>
          <w:sz w:val="28"/>
          <w:szCs w:val="28"/>
        </w:rPr>
        <w:t xml:space="preserve"> в год. </w:t>
      </w:r>
      <w:r w:rsidR="002F2C36">
        <w:rPr>
          <w:rFonts w:ascii="Times New Roman" w:hAnsi="Times New Roman"/>
          <w:sz w:val="28"/>
          <w:szCs w:val="28"/>
        </w:rPr>
        <w:br/>
      </w:r>
      <w:r w:rsidRPr="006E75DA">
        <w:rPr>
          <w:rFonts w:ascii="Times New Roman" w:hAnsi="Times New Roman"/>
          <w:sz w:val="28"/>
          <w:szCs w:val="28"/>
        </w:rPr>
        <w:t>С пуском второй очереди мощность производства</w:t>
      </w:r>
      <w:r w:rsidR="00DD55BD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полистирола</w:t>
      </w:r>
      <w:r w:rsidR="003A45E7">
        <w:rPr>
          <w:rFonts w:ascii="Times New Roman" w:hAnsi="Times New Roman"/>
          <w:sz w:val="28"/>
          <w:szCs w:val="28"/>
        </w:rPr>
        <w:t xml:space="preserve"> на</w:t>
      </w:r>
      <w:r w:rsidR="00DD55BD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 xml:space="preserve">пермской площадке достигла </w:t>
      </w:r>
      <w:r w:rsidR="003A45E7">
        <w:rPr>
          <w:rFonts w:ascii="Times New Roman" w:hAnsi="Times New Roman"/>
          <w:sz w:val="28"/>
          <w:szCs w:val="28"/>
        </w:rPr>
        <w:t xml:space="preserve">проектных 100 </w:t>
      </w:r>
      <w:proofErr w:type="spellStart"/>
      <w:r w:rsidR="003A45E7">
        <w:rPr>
          <w:rFonts w:ascii="Times New Roman" w:hAnsi="Times New Roman"/>
          <w:sz w:val="28"/>
          <w:szCs w:val="28"/>
        </w:rPr>
        <w:t>тыс</w:t>
      </w:r>
      <w:proofErr w:type="gramStart"/>
      <w:r w:rsidR="003A45E7">
        <w:rPr>
          <w:rFonts w:ascii="Times New Roman" w:hAnsi="Times New Roman"/>
          <w:sz w:val="28"/>
          <w:szCs w:val="28"/>
        </w:rPr>
        <w:t>.</w:t>
      </w:r>
      <w:r w:rsidRPr="006E75DA">
        <w:rPr>
          <w:rFonts w:ascii="Times New Roman" w:hAnsi="Times New Roman"/>
          <w:sz w:val="28"/>
          <w:szCs w:val="28"/>
        </w:rPr>
        <w:t>т</w:t>
      </w:r>
      <w:proofErr w:type="gramEnd"/>
      <w:r w:rsidRPr="006E75DA">
        <w:rPr>
          <w:rFonts w:ascii="Times New Roman" w:hAnsi="Times New Roman"/>
          <w:sz w:val="28"/>
          <w:szCs w:val="28"/>
        </w:rPr>
        <w:t>онн</w:t>
      </w:r>
      <w:proofErr w:type="spellEnd"/>
      <w:r w:rsidRPr="006E75DA">
        <w:rPr>
          <w:rFonts w:ascii="Times New Roman" w:hAnsi="Times New Roman"/>
          <w:sz w:val="28"/>
          <w:szCs w:val="28"/>
        </w:rPr>
        <w:t xml:space="preserve"> в год. Пуск второй очереди прои</w:t>
      </w:r>
      <w:r w:rsidRPr="006E75DA">
        <w:rPr>
          <w:rFonts w:ascii="Times New Roman" w:hAnsi="Times New Roman"/>
          <w:sz w:val="28"/>
          <w:szCs w:val="28"/>
        </w:rPr>
        <w:t>з</w:t>
      </w:r>
      <w:r w:rsidRPr="006E75DA">
        <w:rPr>
          <w:rFonts w:ascii="Times New Roman" w:hAnsi="Times New Roman"/>
          <w:sz w:val="28"/>
          <w:szCs w:val="28"/>
        </w:rPr>
        <w:t>водства вспенивающегося полистирола завершает проект создания на пермской площадке стирольной цепочки, включающей</w:t>
      </w:r>
      <w:r w:rsidR="00DD55BD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в себя</w:t>
      </w:r>
      <w:r w:rsidR="00DD55BD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произ</w:t>
      </w:r>
      <w:r w:rsidR="003A45E7">
        <w:rPr>
          <w:rFonts w:ascii="Times New Roman" w:hAnsi="Times New Roman"/>
          <w:sz w:val="28"/>
          <w:szCs w:val="28"/>
        </w:rPr>
        <w:t>водства</w:t>
      </w:r>
      <w:r w:rsidR="00DD55BD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этилбензола,</w:t>
      </w:r>
      <w:r w:rsidR="00DD55BD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стирола и вспенивающегося полистирола.</w:t>
      </w:r>
    </w:p>
    <w:p w:rsidR="006E75DA" w:rsidRPr="006E75DA" w:rsidRDefault="006E75DA" w:rsidP="00717BAC">
      <w:pPr>
        <w:pStyle w:val="a5"/>
        <w:spacing w:after="0" w:line="240" w:lineRule="auto"/>
        <w:ind w:left="0" w:firstLine="709"/>
        <w:rPr>
          <w:rFonts w:ascii="Times New Roman" w:hAnsi="Times New Roman"/>
          <w:bCs/>
          <w:szCs w:val="28"/>
        </w:rPr>
      </w:pPr>
      <w:r w:rsidRPr="006E75DA">
        <w:rPr>
          <w:rFonts w:ascii="Times New Roman" w:hAnsi="Times New Roman"/>
          <w:bCs/>
          <w:szCs w:val="28"/>
        </w:rPr>
        <w:t xml:space="preserve">Серьезный вклад в экономику города вносит отрасль </w:t>
      </w:r>
      <w:r w:rsidRPr="006E75DA">
        <w:rPr>
          <w:rFonts w:ascii="Times New Roman" w:hAnsi="Times New Roman"/>
          <w:b/>
          <w:bCs/>
          <w:i/>
          <w:szCs w:val="28"/>
        </w:rPr>
        <w:t>машиностроения</w:t>
      </w:r>
      <w:r w:rsidRPr="006E75DA">
        <w:rPr>
          <w:rFonts w:ascii="Times New Roman" w:hAnsi="Times New Roman"/>
          <w:bCs/>
          <w:szCs w:val="28"/>
        </w:rPr>
        <w:t>: производство машин и оборудования, производство электрооборудования, эле</w:t>
      </w:r>
      <w:r w:rsidRPr="006E75DA">
        <w:rPr>
          <w:rFonts w:ascii="Times New Roman" w:hAnsi="Times New Roman"/>
          <w:bCs/>
          <w:szCs w:val="28"/>
        </w:rPr>
        <w:t>к</w:t>
      </w:r>
      <w:r w:rsidRPr="006E75DA">
        <w:rPr>
          <w:rFonts w:ascii="Times New Roman" w:hAnsi="Times New Roman"/>
          <w:bCs/>
          <w:szCs w:val="28"/>
        </w:rPr>
        <w:t>тронного и</w:t>
      </w:r>
      <w:r w:rsidR="00DD55BD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оптического</w:t>
      </w:r>
      <w:r w:rsidR="003A45E7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 xml:space="preserve">оборудования, </w:t>
      </w:r>
      <w:r w:rsidR="003A45E7">
        <w:rPr>
          <w:rFonts w:ascii="Times New Roman" w:hAnsi="Times New Roman"/>
          <w:bCs/>
          <w:szCs w:val="28"/>
        </w:rPr>
        <w:t>производство</w:t>
      </w:r>
      <w:r w:rsidR="00DD55BD">
        <w:rPr>
          <w:rFonts w:ascii="Times New Roman" w:hAnsi="Times New Roman"/>
          <w:bCs/>
          <w:szCs w:val="28"/>
        </w:rPr>
        <w:t xml:space="preserve"> </w:t>
      </w:r>
      <w:r w:rsidR="003A45E7">
        <w:rPr>
          <w:rFonts w:ascii="Times New Roman" w:hAnsi="Times New Roman"/>
          <w:bCs/>
          <w:szCs w:val="28"/>
        </w:rPr>
        <w:t>транспортных средств</w:t>
      </w:r>
      <w:r w:rsidR="00DD55BD">
        <w:rPr>
          <w:rFonts w:ascii="Times New Roman" w:hAnsi="Times New Roman"/>
          <w:bCs/>
          <w:szCs w:val="28"/>
        </w:rPr>
        <w:t xml:space="preserve"> </w:t>
      </w:r>
      <w:r w:rsidR="002F2C36">
        <w:rPr>
          <w:rFonts w:ascii="Times New Roman" w:hAnsi="Times New Roman"/>
          <w:bCs/>
          <w:szCs w:val="28"/>
        </w:rPr>
        <w:br/>
      </w:r>
      <w:r w:rsidRPr="006E75DA">
        <w:rPr>
          <w:rFonts w:ascii="Times New Roman" w:hAnsi="Times New Roman"/>
          <w:bCs/>
          <w:szCs w:val="28"/>
        </w:rPr>
        <w:t>и оборудования. Наибольший</w:t>
      </w:r>
      <w:r w:rsidR="00DD55BD">
        <w:rPr>
          <w:rFonts w:ascii="Times New Roman" w:hAnsi="Times New Roman"/>
          <w:bCs/>
          <w:szCs w:val="28"/>
        </w:rPr>
        <w:t xml:space="preserve"> </w:t>
      </w:r>
      <w:r w:rsidR="003A45E7">
        <w:rPr>
          <w:rFonts w:ascii="Times New Roman" w:hAnsi="Times New Roman"/>
          <w:bCs/>
          <w:szCs w:val="28"/>
        </w:rPr>
        <w:t>удельный</w:t>
      </w:r>
      <w:r w:rsidR="00DD55BD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вес</w:t>
      </w:r>
      <w:r w:rsidR="00DD55BD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 xml:space="preserve">занимают следующие предприятия: </w:t>
      </w:r>
      <w:r w:rsidR="00DD55BD">
        <w:rPr>
          <w:rFonts w:ascii="Times New Roman" w:hAnsi="Times New Roman"/>
          <w:bCs/>
          <w:szCs w:val="28"/>
        </w:rPr>
        <w:t xml:space="preserve"> </w:t>
      </w:r>
      <w:proofErr w:type="gramStart"/>
      <w:r w:rsidR="003A45E7">
        <w:rPr>
          <w:rFonts w:ascii="Times New Roman" w:hAnsi="Times New Roman"/>
          <w:bCs/>
          <w:szCs w:val="28"/>
        </w:rPr>
        <w:t>ООО</w:t>
      </w:r>
      <w:r w:rsidR="00DD55BD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«Искра-</w:t>
      </w:r>
      <w:proofErr w:type="spellStart"/>
      <w:r w:rsidRPr="006E75DA">
        <w:rPr>
          <w:rFonts w:ascii="Times New Roman" w:hAnsi="Times New Roman"/>
          <w:bCs/>
          <w:szCs w:val="28"/>
        </w:rPr>
        <w:t>Турбогаз</w:t>
      </w:r>
      <w:proofErr w:type="spellEnd"/>
      <w:r w:rsidRPr="006E75DA">
        <w:rPr>
          <w:rFonts w:ascii="Times New Roman" w:hAnsi="Times New Roman"/>
          <w:bCs/>
          <w:szCs w:val="28"/>
        </w:rPr>
        <w:t xml:space="preserve">», </w:t>
      </w:r>
      <w:r w:rsidR="003A45E7">
        <w:rPr>
          <w:rFonts w:ascii="Times New Roman" w:hAnsi="Times New Roman"/>
          <w:bCs/>
          <w:szCs w:val="28"/>
        </w:rPr>
        <w:t>ЗАО</w:t>
      </w:r>
      <w:r w:rsidR="00DD55BD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«</w:t>
      </w:r>
      <w:proofErr w:type="spellStart"/>
      <w:r w:rsidRPr="006E75DA">
        <w:rPr>
          <w:rFonts w:ascii="Times New Roman" w:hAnsi="Times New Roman"/>
          <w:bCs/>
          <w:szCs w:val="28"/>
        </w:rPr>
        <w:t>Новомет</w:t>
      </w:r>
      <w:proofErr w:type="spellEnd"/>
      <w:r w:rsidRPr="006E75DA">
        <w:rPr>
          <w:rFonts w:ascii="Times New Roman" w:hAnsi="Times New Roman"/>
          <w:bCs/>
          <w:szCs w:val="28"/>
        </w:rPr>
        <w:t>-Пермь», ЗАО</w:t>
      </w:r>
      <w:r w:rsidR="00DD55BD">
        <w:rPr>
          <w:rFonts w:ascii="Times New Roman" w:hAnsi="Times New Roman"/>
          <w:bCs/>
          <w:szCs w:val="28"/>
        </w:rPr>
        <w:t xml:space="preserve"> </w:t>
      </w:r>
      <w:r w:rsidR="003A45E7">
        <w:rPr>
          <w:rFonts w:ascii="Times New Roman" w:hAnsi="Times New Roman"/>
          <w:bCs/>
          <w:szCs w:val="28"/>
        </w:rPr>
        <w:t>«Пермский</w:t>
      </w:r>
      <w:r w:rsidR="00DD55BD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электротехн</w:t>
      </w:r>
      <w:r w:rsidRPr="006E75DA">
        <w:rPr>
          <w:rFonts w:ascii="Times New Roman" w:hAnsi="Times New Roman"/>
          <w:bCs/>
          <w:szCs w:val="28"/>
        </w:rPr>
        <w:t>и</w:t>
      </w:r>
      <w:r w:rsidRPr="006E75DA">
        <w:rPr>
          <w:rFonts w:ascii="Times New Roman" w:hAnsi="Times New Roman"/>
          <w:bCs/>
          <w:szCs w:val="28"/>
        </w:rPr>
        <w:t>ческий завод», ООО «</w:t>
      </w:r>
      <w:proofErr w:type="spellStart"/>
      <w:r w:rsidRPr="006E75DA">
        <w:rPr>
          <w:rFonts w:ascii="Times New Roman" w:hAnsi="Times New Roman"/>
          <w:bCs/>
          <w:szCs w:val="28"/>
        </w:rPr>
        <w:t>Новомет</w:t>
      </w:r>
      <w:proofErr w:type="spellEnd"/>
      <w:r w:rsidRPr="006E75DA">
        <w:rPr>
          <w:rFonts w:ascii="Times New Roman" w:hAnsi="Times New Roman"/>
          <w:bCs/>
          <w:szCs w:val="28"/>
        </w:rPr>
        <w:t xml:space="preserve">-Сервис», </w:t>
      </w:r>
      <w:r w:rsidRPr="006E75DA">
        <w:rPr>
          <w:rFonts w:ascii="Times New Roman" w:hAnsi="Times New Roman"/>
          <w:szCs w:val="28"/>
        </w:rPr>
        <w:t>ОАО</w:t>
      </w:r>
      <w:r w:rsidR="00DD55BD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 xml:space="preserve">«Редуктор – ПМ», </w:t>
      </w:r>
      <w:r w:rsidRPr="006E75DA">
        <w:rPr>
          <w:rFonts w:ascii="Times New Roman" w:hAnsi="Times New Roman"/>
          <w:bCs/>
          <w:szCs w:val="28"/>
        </w:rPr>
        <w:t>за</w:t>
      </w:r>
      <w:r w:rsidR="003A45E7">
        <w:rPr>
          <w:rFonts w:ascii="Times New Roman" w:hAnsi="Times New Roman"/>
          <w:bCs/>
          <w:szCs w:val="28"/>
        </w:rPr>
        <w:t>вод</w:t>
      </w:r>
      <w:r w:rsidR="00DD55BD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«Маш</w:t>
      </w:r>
      <w:r w:rsidRPr="006E75DA">
        <w:rPr>
          <w:rFonts w:ascii="Times New Roman" w:hAnsi="Times New Roman"/>
          <w:bCs/>
          <w:szCs w:val="28"/>
        </w:rPr>
        <w:t>и</w:t>
      </w:r>
      <w:r w:rsidRPr="006E75DA">
        <w:rPr>
          <w:rFonts w:ascii="Times New Roman" w:hAnsi="Times New Roman"/>
          <w:bCs/>
          <w:szCs w:val="28"/>
        </w:rPr>
        <w:t xml:space="preserve">ностроитель», ОАО «Камкабель», ОАО «Пермская научно-производственная приборостроительная компания», ОАО «Морион», </w:t>
      </w:r>
      <w:r w:rsidRPr="006E75DA">
        <w:rPr>
          <w:rFonts w:ascii="Times New Roman" w:hAnsi="Times New Roman"/>
          <w:szCs w:val="28"/>
        </w:rPr>
        <w:t>ООО «</w:t>
      </w:r>
      <w:proofErr w:type="spellStart"/>
      <w:r w:rsidRPr="006E75DA">
        <w:rPr>
          <w:rFonts w:ascii="Times New Roman" w:hAnsi="Times New Roman"/>
          <w:szCs w:val="28"/>
        </w:rPr>
        <w:t>РусТурбоМаш</w:t>
      </w:r>
      <w:proofErr w:type="spellEnd"/>
      <w:r w:rsidRPr="006E75DA">
        <w:rPr>
          <w:rFonts w:ascii="Times New Roman" w:hAnsi="Times New Roman"/>
          <w:szCs w:val="28"/>
        </w:rPr>
        <w:t xml:space="preserve">», </w:t>
      </w:r>
      <w:r w:rsidR="003A45E7">
        <w:rPr>
          <w:rFonts w:ascii="Times New Roman" w:hAnsi="Times New Roman"/>
          <w:szCs w:val="28"/>
        </w:rPr>
        <w:br/>
      </w:r>
      <w:r w:rsidRPr="006E75DA">
        <w:rPr>
          <w:rFonts w:ascii="Times New Roman" w:hAnsi="Times New Roman"/>
          <w:bCs/>
          <w:szCs w:val="28"/>
        </w:rPr>
        <w:t>ООО «</w:t>
      </w:r>
      <w:proofErr w:type="spellStart"/>
      <w:r w:rsidRPr="006E75DA">
        <w:rPr>
          <w:rFonts w:ascii="Times New Roman" w:hAnsi="Times New Roman"/>
          <w:bCs/>
          <w:szCs w:val="28"/>
        </w:rPr>
        <w:t>Инкаб</w:t>
      </w:r>
      <w:proofErr w:type="spellEnd"/>
      <w:r w:rsidRPr="006E75DA">
        <w:rPr>
          <w:rFonts w:ascii="Times New Roman" w:hAnsi="Times New Roman"/>
          <w:bCs/>
          <w:szCs w:val="28"/>
        </w:rPr>
        <w:t xml:space="preserve">» и другие. </w:t>
      </w:r>
      <w:proofErr w:type="gramEnd"/>
    </w:p>
    <w:p w:rsidR="006E75DA" w:rsidRPr="006E75DA" w:rsidRDefault="006E75DA" w:rsidP="00717BAC">
      <w:pPr>
        <w:pStyle w:val="a5"/>
        <w:spacing w:after="0" w:line="240" w:lineRule="auto"/>
        <w:ind w:left="0" w:firstLine="709"/>
        <w:rPr>
          <w:rFonts w:ascii="Times New Roman" w:hAnsi="Times New Roman"/>
          <w:bCs/>
          <w:szCs w:val="28"/>
        </w:rPr>
      </w:pPr>
      <w:r w:rsidRPr="006E75DA">
        <w:rPr>
          <w:rFonts w:ascii="Times New Roman" w:hAnsi="Times New Roman"/>
          <w:bCs/>
          <w:szCs w:val="28"/>
        </w:rPr>
        <w:t>По итогам 2012 года в пермском машиностроении зафиксирован самый низкий темп производства среди всех отраслей обрабатывающего сектора пр</w:t>
      </w:r>
      <w:r w:rsidRPr="006E75DA">
        <w:rPr>
          <w:rFonts w:ascii="Times New Roman" w:hAnsi="Times New Roman"/>
          <w:bCs/>
          <w:szCs w:val="28"/>
        </w:rPr>
        <w:t>о</w:t>
      </w:r>
      <w:r w:rsidRPr="006E75DA">
        <w:rPr>
          <w:rFonts w:ascii="Times New Roman" w:hAnsi="Times New Roman"/>
          <w:bCs/>
          <w:szCs w:val="28"/>
        </w:rPr>
        <w:t>мышленности (расчетная величина индекса промышленного производства сост</w:t>
      </w:r>
      <w:r w:rsidRPr="006E75DA">
        <w:rPr>
          <w:rFonts w:ascii="Times New Roman" w:hAnsi="Times New Roman"/>
          <w:bCs/>
          <w:szCs w:val="28"/>
        </w:rPr>
        <w:t>а</w:t>
      </w:r>
      <w:r w:rsidRPr="006E75DA">
        <w:rPr>
          <w:rFonts w:ascii="Times New Roman" w:hAnsi="Times New Roman"/>
          <w:bCs/>
          <w:szCs w:val="28"/>
        </w:rPr>
        <w:t>вила 98,6% к уровню 2011 года). При этом в данной отрасли наблюдалась заме</w:t>
      </w:r>
      <w:r w:rsidRPr="006E75DA">
        <w:rPr>
          <w:rFonts w:ascii="Times New Roman" w:hAnsi="Times New Roman"/>
          <w:bCs/>
          <w:szCs w:val="28"/>
        </w:rPr>
        <w:t>т</w:t>
      </w:r>
      <w:r w:rsidRPr="006E75DA">
        <w:rPr>
          <w:rFonts w:ascii="Times New Roman" w:hAnsi="Times New Roman"/>
          <w:bCs/>
          <w:szCs w:val="28"/>
        </w:rPr>
        <w:t>ная дифференциация в росте производства: так, производство машин</w:t>
      </w:r>
      <w:r w:rsidR="003A45E7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и</w:t>
      </w:r>
      <w:r w:rsidR="005D2449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оборуд</w:t>
      </w:r>
      <w:r w:rsidRPr="006E75DA">
        <w:rPr>
          <w:rFonts w:ascii="Times New Roman" w:hAnsi="Times New Roman"/>
          <w:bCs/>
          <w:szCs w:val="28"/>
        </w:rPr>
        <w:t>о</w:t>
      </w:r>
      <w:r w:rsidRPr="006E75DA">
        <w:rPr>
          <w:rFonts w:ascii="Times New Roman" w:hAnsi="Times New Roman"/>
          <w:bCs/>
          <w:szCs w:val="28"/>
        </w:rPr>
        <w:t>вания</w:t>
      </w:r>
      <w:r w:rsidR="005D2449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сократило</w:t>
      </w:r>
      <w:r w:rsidR="005D2449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свои</w:t>
      </w:r>
      <w:r w:rsidR="005D2449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объемы на 33,3% к уровню</w:t>
      </w:r>
      <w:r w:rsidR="003A45E7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предыдущего</w:t>
      </w:r>
      <w:r w:rsidR="003A45E7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года, в</w:t>
      </w:r>
      <w:r w:rsidR="003A45E7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произво</w:t>
      </w:r>
      <w:r w:rsidRPr="006E75DA">
        <w:rPr>
          <w:rFonts w:ascii="Times New Roman" w:hAnsi="Times New Roman"/>
          <w:bCs/>
          <w:szCs w:val="28"/>
        </w:rPr>
        <w:t>д</w:t>
      </w:r>
      <w:r w:rsidRPr="006E75DA">
        <w:rPr>
          <w:rFonts w:ascii="Times New Roman" w:hAnsi="Times New Roman"/>
          <w:bCs/>
          <w:szCs w:val="28"/>
        </w:rPr>
        <w:t>стве</w:t>
      </w:r>
      <w:r w:rsidR="003A45E7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 xml:space="preserve">электрооборудования и транспортных </w:t>
      </w:r>
      <w:r w:rsidR="003A45E7">
        <w:rPr>
          <w:rFonts w:ascii="Times New Roman" w:hAnsi="Times New Roman"/>
          <w:bCs/>
          <w:szCs w:val="28"/>
        </w:rPr>
        <w:t>средств,</w:t>
      </w:r>
      <w:r w:rsidR="005D2449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напро</w:t>
      </w:r>
      <w:r w:rsidR="003A45E7">
        <w:rPr>
          <w:rFonts w:ascii="Times New Roman" w:hAnsi="Times New Roman"/>
          <w:bCs/>
          <w:szCs w:val="28"/>
        </w:rPr>
        <w:t>тив,</w:t>
      </w:r>
      <w:r w:rsidR="005D2449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зафиксировано наращивание объемов – на 13,3% и 19,6% соответственно.</w:t>
      </w:r>
    </w:p>
    <w:p w:rsidR="006E75DA" w:rsidRDefault="006E75DA" w:rsidP="00717BAC">
      <w:pPr>
        <w:pStyle w:val="a5"/>
        <w:spacing w:after="0" w:line="240" w:lineRule="auto"/>
        <w:ind w:left="0" w:firstLine="709"/>
        <w:rPr>
          <w:rFonts w:ascii="Times New Roman" w:hAnsi="Times New Roman"/>
          <w:bCs/>
          <w:szCs w:val="28"/>
        </w:rPr>
      </w:pPr>
      <w:r w:rsidRPr="006E75DA">
        <w:rPr>
          <w:rFonts w:ascii="Times New Roman" w:hAnsi="Times New Roman"/>
          <w:bCs/>
          <w:szCs w:val="28"/>
        </w:rPr>
        <w:t>Оборот организаций машиностроительного</w:t>
      </w:r>
      <w:r w:rsidR="005D2449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 xml:space="preserve">комплекса сократился на 4,9% к уровню 2011 года, объем отгруженных товаров – на </w:t>
      </w:r>
      <w:r w:rsidR="00DD0809">
        <w:rPr>
          <w:rFonts w:ascii="Times New Roman" w:hAnsi="Times New Roman"/>
          <w:bCs/>
          <w:szCs w:val="28"/>
        </w:rPr>
        <w:t>7,4</w:t>
      </w:r>
      <w:r w:rsidRPr="006E75DA">
        <w:rPr>
          <w:rFonts w:ascii="Times New Roman" w:hAnsi="Times New Roman"/>
          <w:bCs/>
          <w:szCs w:val="28"/>
        </w:rPr>
        <w:t>%.</w:t>
      </w:r>
    </w:p>
    <w:p w:rsidR="005D2449" w:rsidRDefault="005D2449" w:rsidP="00717BAC">
      <w:pPr>
        <w:pStyle w:val="a5"/>
        <w:spacing w:after="0" w:line="240" w:lineRule="auto"/>
        <w:ind w:left="0" w:firstLine="709"/>
        <w:rPr>
          <w:rFonts w:ascii="Times New Roman" w:hAnsi="Times New Roman"/>
          <w:bCs/>
          <w:szCs w:val="28"/>
        </w:rPr>
      </w:pPr>
    </w:p>
    <w:tbl>
      <w:tblPr>
        <w:tblW w:w="496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540"/>
        <w:gridCol w:w="1278"/>
        <w:gridCol w:w="1025"/>
        <w:gridCol w:w="1023"/>
        <w:gridCol w:w="1023"/>
        <w:gridCol w:w="1031"/>
        <w:gridCol w:w="1009"/>
      </w:tblGrid>
      <w:tr w:rsidR="00413B6C" w:rsidRPr="005D2449" w:rsidTr="00413B6C">
        <w:trPr>
          <w:trHeight w:val="660"/>
          <w:tblHeader/>
        </w:trPr>
        <w:tc>
          <w:tcPr>
            <w:tcW w:w="178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5D2449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D244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Показатели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сфере машин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строения</w:t>
            </w:r>
          </w:p>
        </w:tc>
        <w:tc>
          <w:tcPr>
            <w:tcW w:w="6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5D2449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5D244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proofErr w:type="gramEnd"/>
            <w:r w:rsidRPr="005D244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зм</w:t>
            </w:r>
            <w:proofErr w:type="spellEnd"/>
            <w:r w:rsidRPr="005D244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51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5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D2449" w:rsidRPr="006E75DA" w:rsidTr="002F2C36">
        <w:trPr>
          <w:trHeight w:val="485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87D" w:rsidRPr="006E75DA" w:rsidRDefault="0023487D" w:rsidP="002F2C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Объем отгруженных товаров собственного производства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87D" w:rsidRPr="00B87CBB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млрд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3487D"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23487D"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="0023487D"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87D" w:rsidRPr="005D2449" w:rsidRDefault="00DD0809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5D2449">
              <w:rPr>
                <w:rFonts w:ascii="Times New Roman" w:hAnsi="Times New Roman"/>
                <w:sz w:val="24"/>
              </w:rPr>
              <w:t>54,2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487D" w:rsidRPr="005D2449" w:rsidRDefault="00DD0809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5D2449">
              <w:rPr>
                <w:rFonts w:ascii="Times New Roman" w:hAnsi="Times New Roman"/>
                <w:sz w:val="24"/>
              </w:rPr>
              <w:t>56,8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3487D" w:rsidRPr="005D2449" w:rsidRDefault="00DD0809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5D2449">
              <w:rPr>
                <w:rFonts w:ascii="Times New Roman" w:hAnsi="Times New Roman"/>
                <w:sz w:val="24"/>
              </w:rPr>
              <w:t>70,0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3487D" w:rsidRPr="005D2449" w:rsidRDefault="00DD0809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5D2449">
              <w:rPr>
                <w:rFonts w:ascii="Times New Roman" w:hAnsi="Times New Roman"/>
                <w:sz w:val="24"/>
              </w:rPr>
              <w:t>95,4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3487D" w:rsidRPr="005D2449" w:rsidRDefault="00DD0809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5D2449">
              <w:rPr>
                <w:rFonts w:ascii="Times New Roman" w:hAnsi="Times New Roman"/>
                <w:sz w:val="24"/>
              </w:rPr>
              <w:t>88,3</w:t>
            </w:r>
          </w:p>
        </w:tc>
      </w:tr>
      <w:tr w:rsidR="005D2449" w:rsidRPr="00CB4231" w:rsidTr="002F2C36">
        <w:trPr>
          <w:trHeight w:val="702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87D" w:rsidRPr="006E75DA" w:rsidRDefault="0023487D" w:rsidP="002F2C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Инвестиции в основной капитал по крупным и средним пре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приятиям и организациям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87D" w:rsidRPr="00B87CBB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млрд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3487D"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23487D"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="0023487D"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87D" w:rsidRPr="005D2449" w:rsidRDefault="0023487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5D2449">
              <w:rPr>
                <w:rFonts w:ascii="Times New Roman" w:hAnsi="Times New Roman"/>
                <w:sz w:val="24"/>
              </w:rPr>
              <w:t>3,9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487D" w:rsidRPr="005D2449" w:rsidRDefault="0023487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5D2449">
              <w:rPr>
                <w:rFonts w:ascii="Times New Roman" w:hAnsi="Times New Roman"/>
                <w:sz w:val="24"/>
              </w:rPr>
              <w:t>2,8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3487D" w:rsidRPr="005D2449" w:rsidRDefault="0023487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5D2449">
              <w:rPr>
                <w:rFonts w:ascii="Times New Roman" w:hAnsi="Times New Roman"/>
                <w:sz w:val="24"/>
              </w:rPr>
              <w:t>2,9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3487D" w:rsidRPr="005D2449" w:rsidRDefault="0023487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5D2449">
              <w:rPr>
                <w:rFonts w:ascii="Times New Roman" w:hAnsi="Times New Roman"/>
                <w:sz w:val="24"/>
              </w:rPr>
              <w:t>5,0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3487D" w:rsidRPr="005D2449" w:rsidRDefault="0023487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5D2449">
              <w:rPr>
                <w:rFonts w:ascii="Times New Roman" w:hAnsi="Times New Roman"/>
                <w:sz w:val="24"/>
              </w:rPr>
              <w:t>6,0</w:t>
            </w:r>
          </w:p>
        </w:tc>
      </w:tr>
      <w:tr w:rsidR="005D2449" w:rsidRPr="00CB4231" w:rsidTr="002F2C36">
        <w:trPr>
          <w:trHeight w:val="765"/>
        </w:trPr>
        <w:tc>
          <w:tcPr>
            <w:tcW w:w="178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87D" w:rsidRPr="006E75DA" w:rsidRDefault="0023487D" w:rsidP="002F2C3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Сальдированный финансовый результат (прибыль минус уб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ток) деятельности организаций 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87D" w:rsidRPr="00CB4231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млрд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23487D"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23487D"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="0023487D"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87D" w:rsidRPr="005D2449" w:rsidRDefault="00DD0809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5D2449">
              <w:rPr>
                <w:rFonts w:ascii="Times New Roman" w:hAnsi="Times New Roman"/>
                <w:sz w:val="24"/>
              </w:rPr>
              <w:t>4,8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3487D" w:rsidRPr="005D2449" w:rsidRDefault="00DD0809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5D2449">
              <w:rPr>
                <w:rFonts w:ascii="Times New Roman" w:hAnsi="Times New Roman"/>
                <w:sz w:val="24"/>
              </w:rPr>
              <w:t>2,1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3487D" w:rsidRPr="005D2449" w:rsidRDefault="00DD0809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5D2449">
              <w:rPr>
                <w:rFonts w:ascii="Times New Roman" w:hAnsi="Times New Roman"/>
                <w:sz w:val="24"/>
              </w:rPr>
              <w:t>4,4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3487D" w:rsidRPr="005D2449" w:rsidRDefault="00DD0809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5D2449">
              <w:rPr>
                <w:rFonts w:ascii="Times New Roman" w:hAnsi="Times New Roman"/>
                <w:sz w:val="24"/>
              </w:rPr>
              <w:t>7,7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3487D" w:rsidRPr="005D2449" w:rsidRDefault="00DD0809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5D2449">
              <w:rPr>
                <w:rFonts w:ascii="Times New Roman" w:hAnsi="Times New Roman"/>
                <w:sz w:val="24"/>
              </w:rPr>
              <w:t>0,5</w:t>
            </w:r>
          </w:p>
        </w:tc>
      </w:tr>
    </w:tbl>
    <w:p w:rsidR="009E660E" w:rsidRDefault="009E660E" w:rsidP="00717BAC">
      <w:pPr>
        <w:pStyle w:val="a5"/>
        <w:spacing w:after="0" w:line="240" w:lineRule="auto"/>
        <w:ind w:left="0" w:firstLine="709"/>
        <w:rPr>
          <w:rFonts w:ascii="Times New Roman" w:hAnsi="Times New Roman"/>
          <w:bCs/>
          <w:szCs w:val="28"/>
        </w:rPr>
      </w:pPr>
    </w:p>
    <w:p w:rsidR="006E75DA" w:rsidRPr="006E75DA" w:rsidRDefault="006E75DA" w:rsidP="00717BAC">
      <w:pPr>
        <w:pStyle w:val="a5"/>
        <w:spacing w:after="0" w:line="240" w:lineRule="auto"/>
        <w:ind w:left="0" w:firstLine="709"/>
        <w:rPr>
          <w:rFonts w:ascii="Times New Roman" w:hAnsi="Times New Roman"/>
          <w:bCs/>
          <w:szCs w:val="28"/>
        </w:rPr>
      </w:pPr>
      <w:r w:rsidRPr="006E75DA">
        <w:rPr>
          <w:rFonts w:ascii="Times New Roman" w:hAnsi="Times New Roman"/>
          <w:bCs/>
          <w:szCs w:val="28"/>
        </w:rPr>
        <w:t>В машиностроении в 2012 год</w:t>
      </w:r>
      <w:r>
        <w:rPr>
          <w:rFonts w:ascii="Times New Roman" w:hAnsi="Times New Roman"/>
          <w:bCs/>
          <w:szCs w:val="28"/>
        </w:rPr>
        <w:t>у</w:t>
      </w:r>
      <w:r w:rsidRPr="006E75DA">
        <w:rPr>
          <w:rFonts w:ascii="Times New Roman" w:hAnsi="Times New Roman"/>
          <w:bCs/>
          <w:szCs w:val="28"/>
        </w:rPr>
        <w:t xml:space="preserve"> отмечен рост отдельных видов продукции: гидравлических</w:t>
      </w:r>
      <w:r w:rsidR="00ED233E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и пневматических</w:t>
      </w:r>
      <w:r w:rsidR="00ED233E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установок и</w:t>
      </w:r>
      <w:r w:rsidR="00ED233E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двигателей (174,5% к уровню 2011 года), универсальных электродвигателей (147,8%), волоконно-оптических</w:t>
      </w:r>
      <w:r w:rsidR="00ED233E">
        <w:rPr>
          <w:rFonts w:ascii="Times New Roman" w:hAnsi="Times New Roman"/>
          <w:bCs/>
          <w:szCs w:val="28"/>
        </w:rPr>
        <w:t xml:space="preserve"> </w:t>
      </w:r>
      <w:r w:rsidR="00413B6C">
        <w:rPr>
          <w:rFonts w:ascii="Times New Roman" w:hAnsi="Times New Roman"/>
          <w:bCs/>
          <w:szCs w:val="28"/>
        </w:rPr>
        <w:t>кабелей</w:t>
      </w:r>
      <w:r w:rsidR="00ED233E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(111,8%),</w:t>
      </w:r>
      <w:r w:rsidR="00ED233E">
        <w:rPr>
          <w:rFonts w:ascii="Times New Roman" w:hAnsi="Times New Roman"/>
          <w:bCs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центробежных насосов для перекачки жидкостей (107,8%). Снижено производство газовых турбин, шахтных лебедок, электродвигателей, машин для городского коммунального хозяйства, автокранов.</w:t>
      </w:r>
    </w:p>
    <w:p w:rsidR="006E75DA" w:rsidRPr="006E75DA" w:rsidRDefault="006E75DA" w:rsidP="00717B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E75DA">
        <w:rPr>
          <w:rFonts w:ascii="Times New Roman" w:hAnsi="Times New Roman"/>
          <w:sz w:val="28"/>
          <w:szCs w:val="28"/>
        </w:rPr>
        <w:t>Позиции машиностроения нестабильны. Одной из основных причин н</w:t>
      </w:r>
      <w:r w:rsidRPr="006E75DA">
        <w:rPr>
          <w:rFonts w:ascii="Times New Roman" w:hAnsi="Times New Roman"/>
          <w:sz w:val="28"/>
          <w:szCs w:val="28"/>
        </w:rPr>
        <w:t>е</w:t>
      </w:r>
      <w:r w:rsidRPr="006E75DA">
        <w:rPr>
          <w:rFonts w:ascii="Times New Roman" w:hAnsi="Times New Roman"/>
          <w:sz w:val="28"/>
          <w:szCs w:val="28"/>
        </w:rPr>
        <w:t>конкурентоспособности является отсутствие возможности вкладывать знач</w:t>
      </w:r>
      <w:r w:rsidRPr="006E75DA">
        <w:rPr>
          <w:rFonts w:ascii="Times New Roman" w:hAnsi="Times New Roman"/>
          <w:sz w:val="28"/>
          <w:szCs w:val="28"/>
        </w:rPr>
        <w:t>и</w:t>
      </w:r>
      <w:r w:rsidRPr="006E75DA">
        <w:rPr>
          <w:rFonts w:ascii="Times New Roman" w:hAnsi="Times New Roman"/>
          <w:sz w:val="28"/>
          <w:szCs w:val="28"/>
        </w:rPr>
        <w:t xml:space="preserve">тельные средства в </w:t>
      </w:r>
      <w:r w:rsidR="00413B6C">
        <w:rPr>
          <w:rFonts w:ascii="Times New Roman" w:hAnsi="Times New Roman"/>
          <w:sz w:val="28"/>
          <w:szCs w:val="28"/>
        </w:rPr>
        <w:t>наукоемкие</w:t>
      </w:r>
      <w:r w:rsidR="00ED233E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производства,</w:t>
      </w:r>
      <w:r w:rsidR="00ED233E">
        <w:rPr>
          <w:rFonts w:ascii="Times New Roman" w:hAnsi="Times New Roman"/>
          <w:sz w:val="28"/>
          <w:szCs w:val="28"/>
        </w:rPr>
        <w:t xml:space="preserve"> </w:t>
      </w:r>
      <w:r w:rsidR="00413B6C">
        <w:rPr>
          <w:rFonts w:ascii="Times New Roman" w:hAnsi="Times New Roman"/>
          <w:sz w:val="28"/>
          <w:szCs w:val="28"/>
        </w:rPr>
        <w:t>поэтому</w:t>
      </w:r>
      <w:r w:rsidR="00ED233E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продукцию у машин</w:t>
      </w:r>
      <w:r w:rsidRPr="006E75DA">
        <w:rPr>
          <w:rFonts w:ascii="Times New Roman" w:hAnsi="Times New Roman"/>
          <w:sz w:val="28"/>
          <w:szCs w:val="28"/>
        </w:rPr>
        <w:t>о</w:t>
      </w:r>
      <w:r w:rsidRPr="006E75DA">
        <w:rPr>
          <w:rFonts w:ascii="Times New Roman" w:hAnsi="Times New Roman"/>
          <w:sz w:val="28"/>
          <w:szCs w:val="28"/>
        </w:rPr>
        <w:t>строительных предприятий закупают не столько передовую, сколько простую</w:t>
      </w:r>
      <w:r w:rsidR="00413B6C">
        <w:rPr>
          <w:rFonts w:ascii="Times New Roman" w:hAnsi="Times New Roman"/>
          <w:sz w:val="28"/>
          <w:szCs w:val="28"/>
        </w:rPr>
        <w:br/>
      </w:r>
      <w:r w:rsidRPr="006E75DA">
        <w:rPr>
          <w:rFonts w:ascii="Times New Roman" w:hAnsi="Times New Roman"/>
          <w:sz w:val="28"/>
          <w:szCs w:val="28"/>
        </w:rPr>
        <w:t xml:space="preserve"> и дешевую. Лишь немногие предприятия развивают новые направления прои</w:t>
      </w:r>
      <w:r w:rsidRPr="006E75DA">
        <w:rPr>
          <w:rFonts w:ascii="Times New Roman" w:hAnsi="Times New Roman"/>
          <w:sz w:val="28"/>
          <w:szCs w:val="28"/>
        </w:rPr>
        <w:t>з</w:t>
      </w:r>
      <w:r w:rsidRPr="006E75DA">
        <w:rPr>
          <w:rFonts w:ascii="Times New Roman" w:hAnsi="Times New Roman"/>
          <w:sz w:val="28"/>
          <w:szCs w:val="28"/>
        </w:rPr>
        <w:t>водства.</w:t>
      </w:r>
    </w:p>
    <w:p w:rsidR="006E75DA" w:rsidRPr="006E75DA" w:rsidRDefault="006E75DA" w:rsidP="00717B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E75DA">
        <w:rPr>
          <w:rFonts w:ascii="Times New Roman" w:hAnsi="Times New Roman"/>
          <w:sz w:val="28"/>
          <w:szCs w:val="28"/>
        </w:rPr>
        <w:t>Пермский завод «</w:t>
      </w:r>
      <w:proofErr w:type="spellStart"/>
      <w:r w:rsidRPr="006E75DA">
        <w:rPr>
          <w:rFonts w:ascii="Times New Roman" w:hAnsi="Times New Roman"/>
          <w:sz w:val="28"/>
          <w:szCs w:val="28"/>
        </w:rPr>
        <w:t>Инкаб</w:t>
      </w:r>
      <w:proofErr w:type="spellEnd"/>
      <w:r w:rsidRPr="006E75DA">
        <w:rPr>
          <w:rFonts w:ascii="Times New Roman" w:hAnsi="Times New Roman"/>
          <w:sz w:val="28"/>
          <w:szCs w:val="28"/>
        </w:rPr>
        <w:t>» в 2012 году первым в России выпустил внутре</w:t>
      </w:r>
      <w:r w:rsidRPr="006E75DA">
        <w:rPr>
          <w:rFonts w:ascii="Times New Roman" w:hAnsi="Times New Roman"/>
          <w:sz w:val="28"/>
          <w:szCs w:val="28"/>
        </w:rPr>
        <w:t>н</w:t>
      </w:r>
      <w:r w:rsidRPr="006E75DA">
        <w:rPr>
          <w:rFonts w:ascii="Times New Roman" w:hAnsi="Times New Roman"/>
          <w:sz w:val="28"/>
          <w:szCs w:val="28"/>
        </w:rPr>
        <w:t>ний распределительный оптический кабель для строительства пассивных опт</w:t>
      </w:r>
      <w:r w:rsidRPr="006E75DA">
        <w:rPr>
          <w:rFonts w:ascii="Times New Roman" w:hAnsi="Times New Roman"/>
          <w:sz w:val="28"/>
          <w:szCs w:val="28"/>
        </w:rPr>
        <w:t>и</w:t>
      </w:r>
      <w:r w:rsidRPr="006E75DA">
        <w:rPr>
          <w:rFonts w:ascii="Times New Roman" w:hAnsi="Times New Roman"/>
          <w:sz w:val="28"/>
          <w:szCs w:val="28"/>
        </w:rPr>
        <w:t>ческих сетей (PON) с прокладкой волокна до квартиры абонента (FTTH-сети). Он будет применяться при строительстве локальных сетей связи (LAN), внутри зданий и помещений, для разводки оптического волокна в подъездах многоэта</w:t>
      </w:r>
      <w:r w:rsidRPr="006E75DA">
        <w:rPr>
          <w:rFonts w:ascii="Times New Roman" w:hAnsi="Times New Roman"/>
          <w:sz w:val="28"/>
          <w:szCs w:val="28"/>
        </w:rPr>
        <w:t>ж</w:t>
      </w:r>
      <w:r w:rsidRPr="006E75DA">
        <w:rPr>
          <w:rFonts w:ascii="Times New Roman" w:hAnsi="Times New Roman"/>
          <w:sz w:val="28"/>
          <w:szCs w:val="28"/>
        </w:rPr>
        <w:t>ных домов, а также в центрах обработки данных для связи различного оборуд</w:t>
      </w:r>
      <w:r w:rsidRPr="006E75DA">
        <w:rPr>
          <w:rFonts w:ascii="Times New Roman" w:hAnsi="Times New Roman"/>
          <w:sz w:val="28"/>
          <w:szCs w:val="28"/>
        </w:rPr>
        <w:t>о</w:t>
      </w:r>
      <w:r w:rsidRPr="006E75DA">
        <w:rPr>
          <w:rFonts w:ascii="Times New Roman" w:hAnsi="Times New Roman"/>
          <w:sz w:val="28"/>
          <w:szCs w:val="28"/>
        </w:rPr>
        <w:t>вания между собой.</w:t>
      </w:r>
    </w:p>
    <w:p w:rsidR="006E75DA" w:rsidRPr="006E75DA" w:rsidRDefault="006E75DA" w:rsidP="00717BAC">
      <w:pPr>
        <w:pStyle w:val="a5"/>
        <w:spacing w:after="0" w:line="240" w:lineRule="auto"/>
        <w:ind w:left="0" w:firstLine="709"/>
        <w:rPr>
          <w:rFonts w:ascii="Times New Roman" w:hAnsi="Times New Roman"/>
          <w:color w:val="000000"/>
          <w:szCs w:val="28"/>
          <w:shd w:val="clear" w:color="auto" w:fill="FFFFFF"/>
        </w:rPr>
      </w:pPr>
      <w:r w:rsidRPr="006E75DA">
        <w:rPr>
          <w:rFonts w:ascii="Times New Roman" w:hAnsi="Times New Roman"/>
          <w:color w:val="000000"/>
          <w:szCs w:val="28"/>
          <w:shd w:val="clear" w:color="auto" w:fill="FFFFFF"/>
        </w:rPr>
        <w:t>По данным Всероссийского научно-исследовательского института кабел</w:t>
      </w:r>
      <w:r w:rsidRPr="006E75DA">
        <w:rPr>
          <w:rFonts w:ascii="Times New Roman" w:hAnsi="Times New Roman"/>
          <w:color w:val="000000"/>
          <w:szCs w:val="28"/>
          <w:shd w:val="clear" w:color="auto" w:fill="FFFFFF"/>
        </w:rPr>
        <w:t>ь</w:t>
      </w:r>
      <w:r w:rsidRPr="006E75DA">
        <w:rPr>
          <w:rFonts w:ascii="Times New Roman" w:hAnsi="Times New Roman"/>
          <w:color w:val="000000"/>
          <w:szCs w:val="28"/>
          <w:shd w:val="clear" w:color="auto" w:fill="FFFFFF"/>
        </w:rPr>
        <w:t xml:space="preserve">ной промышленности </w:t>
      </w:r>
      <w:r w:rsidR="00413B6C">
        <w:rPr>
          <w:rFonts w:ascii="Times New Roman" w:hAnsi="Times New Roman"/>
          <w:color w:val="000000"/>
          <w:szCs w:val="28"/>
          <w:shd w:val="clear" w:color="auto" w:fill="FFFFFF"/>
        </w:rPr>
        <w:t>по</w:t>
      </w:r>
      <w:r w:rsidR="00ED233E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Pr="006E75DA">
        <w:rPr>
          <w:rFonts w:ascii="Times New Roman" w:hAnsi="Times New Roman"/>
          <w:color w:val="000000"/>
          <w:szCs w:val="28"/>
          <w:shd w:val="clear" w:color="auto" w:fill="FFFFFF"/>
        </w:rPr>
        <w:t>итогам 2012</w:t>
      </w:r>
      <w:r w:rsidR="00413B6C">
        <w:rPr>
          <w:rFonts w:ascii="Times New Roman" w:hAnsi="Times New Roman"/>
          <w:color w:val="000000"/>
          <w:szCs w:val="28"/>
          <w:shd w:val="clear" w:color="auto" w:fill="FFFFFF"/>
        </w:rPr>
        <w:t xml:space="preserve"> год</w:t>
      </w:r>
      <w:proofErr w:type="gramStart"/>
      <w:r w:rsidR="00413B6C">
        <w:rPr>
          <w:rFonts w:ascii="Times New Roman" w:hAnsi="Times New Roman"/>
          <w:color w:val="000000"/>
          <w:szCs w:val="28"/>
          <w:shd w:val="clear" w:color="auto" w:fill="FFFFFF"/>
        </w:rPr>
        <w:t>а ООО</w:t>
      </w:r>
      <w:proofErr w:type="gramEnd"/>
      <w:r w:rsidR="00413B6C">
        <w:rPr>
          <w:rFonts w:ascii="Times New Roman" w:hAnsi="Times New Roman"/>
          <w:color w:val="000000"/>
          <w:szCs w:val="28"/>
          <w:shd w:val="clear" w:color="auto" w:fill="FFFFFF"/>
        </w:rPr>
        <w:t xml:space="preserve"> «</w:t>
      </w:r>
      <w:proofErr w:type="spellStart"/>
      <w:r w:rsidR="00413B6C">
        <w:rPr>
          <w:rFonts w:ascii="Times New Roman" w:hAnsi="Times New Roman"/>
          <w:color w:val="000000"/>
          <w:szCs w:val="28"/>
          <w:shd w:val="clear" w:color="auto" w:fill="FFFFFF"/>
        </w:rPr>
        <w:t>Инкаб</w:t>
      </w:r>
      <w:proofErr w:type="spellEnd"/>
      <w:r w:rsidR="00413B6C">
        <w:rPr>
          <w:rFonts w:ascii="Times New Roman" w:hAnsi="Times New Roman"/>
          <w:color w:val="000000"/>
          <w:szCs w:val="28"/>
          <w:shd w:val="clear" w:color="auto" w:fill="FFFFFF"/>
        </w:rPr>
        <w:t>» занял первое</w:t>
      </w:r>
      <w:r w:rsidR="00ED233E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Pr="006E75DA">
        <w:rPr>
          <w:rFonts w:ascii="Times New Roman" w:hAnsi="Times New Roman"/>
          <w:color w:val="000000"/>
          <w:szCs w:val="28"/>
          <w:shd w:val="clear" w:color="auto" w:fill="FFFFFF"/>
        </w:rPr>
        <w:t xml:space="preserve">место </w:t>
      </w:r>
      <w:r w:rsidR="00413B6C">
        <w:rPr>
          <w:rFonts w:ascii="Times New Roman" w:hAnsi="Times New Roman"/>
          <w:color w:val="000000"/>
          <w:szCs w:val="28"/>
          <w:shd w:val="clear" w:color="auto" w:fill="FFFFFF"/>
        </w:rPr>
        <w:br/>
      </w:r>
      <w:r w:rsidRPr="006E75DA">
        <w:rPr>
          <w:rFonts w:ascii="Times New Roman" w:hAnsi="Times New Roman"/>
          <w:color w:val="000000"/>
          <w:szCs w:val="28"/>
          <w:shd w:val="clear" w:color="auto" w:fill="FFFFFF"/>
        </w:rPr>
        <w:t>в России</w:t>
      </w:r>
      <w:r w:rsidR="00ED233E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Pr="006E75DA">
        <w:rPr>
          <w:rFonts w:ascii="Times New Roman" w:hAnsi="Times New Roman"/>
          <w:color w:val="000000"/>
          <w:szCs w:val="28"/>
          <w:shd w:val="clear" w:color="auto" w:fill="FFFFFF"/>
        </w:rPr>
        <w:t>и</w:t>
      </w:r>
      <w:r w:rsidR="00ED233E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Pr="006E75DA">
        <w:rPr>
          <w:rFonts w:ascii="Times New Roman" w:hAnsi="Times New Roman"/>
          <w:color w:val="000000"/>
          <w:szCs w:val="28"/>
          <w:shd w:val="clear" w:color="auto" w:fill="FFFFFF"/>
        </w:rPr>
        <w:t>СНГ</w:t>
      </w:r>
      <w:r w:rsidR="00413B6C">
        <w:rPr>
          <w:rFonts w:ascii="Times New Roman" w:hAnsi="Times New Roman"/>
          <w:color w:val="000000"/>
          <w:szCs w:val="28"/>
          <w:shd w:val="clear" w:color="auto" w:fill="FFFFFF"/>
        </w:rPr>
        <w:t xml:space="preserve"> по</w:t>
      </w:r>
      <w:r w:rsidR="00ED233E">
        <w:rPr>
          <w:rFonts w:ascii="Times New Roman" w:hAnsi="Times New Roman"/>
          <w:color w:val="000000"/>
          <w:szCs w:val="28"/>
          <w:shd w:val="clear" w:color="auto" w:fill="FFFFFF"/>
        </w:rPr>
        <w:t xml:space="preserve"> </w:t>
      </w:r>
      <w:r w:rsidRPr="006E75DA">
        <w:rPr>
          <w:rFonts w:ascii="Times New Roman" w:hAnsi="Times New Roman"/>
          <w:color w:val="000000"/>
          <w:szCs w:val="28"/>
          <w:shd w:val="clear" w:color="auto" w:fill="FFFFFF"/>
        </w:rPr>
        <w:t xml:space="preserve">объемам переработанного волокна </w:t>
      </w:r>
      <w:r w:rsidR="002F2C36">
        <w:rPr>
          <w:rFonts w:ascii="Times New Roman" w:hAnsi="Times New Roman"/>
          <w:color w:val="000000"/>
          <w:szCs w:val="28"/>
          <w:shd w:val="clear" w:color="auto" w:fill="FFFFFF"/>
        </w:rPr>
        <w:t>–</w:t>
      </w:r>
      <w:r w:rsidRPr="006E75DA">
        <w:rPr>
          <w:rFonts w:ascii="Times New Roman" w:hAnsi="Times New Roman"/>
          <w:color w:val="000000"/>
          <w:szCs w:val="28"/>
          <w:shd w:val="clear" w:color="auto" w:fill="FFFFFF"/>
        </w:rPr>
        <w:t xml:space="preserve"> более 1,3 </w:t>
      </w:r>
      <w:proofErr w:type="spellStart"/>
      <w:r w:rsidRPr="006E75DA">
        <w:rPr>
          <w:rFonts w:ascii="Times New Roman" w:hAnsi="Times New Roman"/>
          <w:color w:val="000000"/>
          <w:szCs w:val="28"/>
          <w:shd w:val="clear" w:color="auto" w:fill="FFFFFF"/>
        </w:rPr>
        <w:t>млн.км</w:t>
      </w:r>
      <w:proofErr w:type="spellEnd"/>
      <w:r w:rsidRPr="006E75DA">
        <w:rPr>
          <w:rFonts w:ascii="Times New Roman" w:hAnsi="Times New Roman"/>
          <w:color w:val="000000"/>
          <w:szCs w:val="28"/>
          <w:shd w:val="clear" w:color="auto" w:fill="FFFFFF"/>
        </w:rPr>
        <w:t xml:space="preserve">. </w:t>
      </w:r>
      <w:r w:rsidR="002F2C36">
        <w:rPr>
          <w:rFonts w:ascii="Times New Roman" w:hAnsi="Times New Roman"/>
          <w:color w:val="000000"/>
          <w:szCs w:val="28"/>
          <w:shd w:val="clear" w:color="auto" w:fill="FFFFFF"/>
        </w:rPr>
        <w:br/>
      </w:r>
      <w:r w:rsidRPr="006E75DA">
        <w:rPr>
          <w:rFonts w:ascii="Times New Roman" w:hAnsi="Times New Roman"/>
          <w:color w:val="000000"/>
          <w:szCs w:val="28"/>
          <w:shd w:val="clear" w:color="auto" w:fill="FFFFFF"/>
        </w:rPr>
        <w:t>При этом рост составил 42% по отношению к 2011 году.</w:t>
      </w:r>
    </w:p>
    <w:p w:rsidR="006E75DA" w:rsidRPr="006E75DA" w:rsidRDefault="006E75DA" w:rsidP="00717B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E75DA">
        <w:rPr>
          <w:rFonts w:ascii="Times New Roman" w:hAnsi="Times New Roman"/>
          <w:sz w:val="28"/>
          <w:szCs w:val="28"/>
        </w:rPr>
        <w:t>В 2012 году н</w:t>
      </w:r>
      <w:proofErr w:type="gramStart"/>
      <w:r w:rsidRPr="006E75DA">
        <w:rPr>
          <w:rFonts w:ascii="Times New Roman" w:hAnsi="Times New Roman"/>
          <w:sz w:val="28"/>
          <w:szCs w:val="28"/>
        </w:rPr>
        <w:t>а ООО</w:t>
      </w:r>
      <w:proofErr w:type="gramEnd"/>
      <w:r w:rsidRPr="006E75D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6E75DA">
        <w:rPr>
          <w:rFonts w:ascii="Times New Roman" w:hAnsi="Times New Roman"/>
          <w:sz w:val="28"/>
          <w:szCs w:val="28"/>
        </w:rPr>
        <w:t>РусТурбоМаш</w:t>
      </w:r>
      <w:proofErr w:type="spellEnd"/>
      <w:r w:rsidRPr="006E75DA">
        <w:rPr>
          <w:rFonts w:ascii="Times New Roman" w:hAnsi="Times New Roman"/>
          <w:sz w:val="28"/>
          <w:szCs w:val="28"/>
        </w:rPr>
        <w:t>» были установлены шесть станков – обрабатывающих центров, что позволило начать производство основных деталей компрессора, а значит запустить основные мощности предприятия. Данное об</w:t>
      </w:r>
      <w:r w:rsidRPr="006E75DA">
        <w:rPr>
          <w:rFonts w:ascii="Times New Roman" w:hAnsi="Times New Roman"/>
          <w:sz w:val="28"/>
          <w:szCs w:val="28"/>
        </w:rPr>
        <w:t>о</w:t>
      </w:r>
      <w:r w:rsidRPr="006E75DA">
        <w:rPr>
          <w:rFonts w:ascii="Times New Roman" w:hAnsi="Times New Roman"/>
          <w:sz w:val="28"/>
          <w:szCs w:val="28"/>
        </w:rPr>
        <w:t>рудование позволяет выполнять комплексную обработку сложных деталей с м</w:t>
      </w:r>
      <w:r w:rsidRPr="006E75DA">
        <w:rPr>
          <w:rFonts w:ascii="Times New Roman" w:hAnsi="Times New Roman"/>
          <w:sz w:val="28"/>
          <w:szCs w:val="28"/>
        </w:rPr>
        <w:t>и</w:t>
      </w:r>
      <w:r w:rsidRPr="006E75DA">
        <w:rPr>
          <w:rFonts w:ascii="Times New Roman" w:hAnsi="Times New Roman"/>
          <w:sz w:val="28"/>
          <w:szCs w:val="28"/>
        </w:rPr>
        <w:t xml:space="preserve">нимальными затратами времени на переналадку. В настоящее время </w:t>
      </w:r>
      <w:r w:rsidR="00413B6C">
        <w:rPr>
          <w:rFonts w:ascii="Times New Roman" w:hAnsi="Times New Roman"/>
          <w:sz w:val="28"/>
          <w:szCs w:val="28"/>
        </w:rPr>
        <w:br/>
      </w:r>
      <w:r w:rsidRPr="006E75DA">
        <w:rPr>
          <w:rFonts w:ascii="Times New Roman" w:hAnsi="Times New Roman"/>
          <w:sz w:val="28"/>
          <w:szCs w:val="28"/>
        </w:rPr>
        <w:t>ООО «</w:t>
      </w:r>
      <w:proofErr w:type="spellStart"/>
      <w:r w:rsidRPr="006E75DA">
        <w:rPr>
          <w:rFonts w:ascii="Times New Roman" w:hAnsi="Times New Roman"/>
          <w:sz w:val="28"/>
          <w:szCs w:val="28"/>
        </w:rPr>
        <w:t>РусТурбоМаш</w:t>
      </w:r>
      <w:proofErr w:type="spellEnd"/>
      <w:r w:rsidRPr="006E75DA">
        <w:rPr>
          <w:rFonts w:ascii="Times New Roman" w:hAnsi="Times New Roman"/>
          <w:sz w:val="28"/>
          <w:szCs w:val="28"/>
        </w:rPr>
        <w:t>» выступает поставщиком высокотехнологичных турб</w:t>
      </w:r>
      <w:r w:rsidRPr="006E75DA">
        <w:rPr>
          <w:rFonts w:ascii="Times New Roman" w:hAnsi="Times New Roman"/>
          <w:sz w:val="28"/>
          <w:szCs w:val="28"/>
        </w:rPr>
        <w:t>о</w:t>
      </w:r>
      <w:r w:rsidRPr="006E75DA">
        <w:rPr>
          <w:rFonts w:ascii="Times New Roman" w:hAnsi="Times New Roman"/>
          <w:sz w:val="28"/>
          <w:szCs w:val="28"/>
        </w:rPr>
        <w:t>компрессоров по целому ряду проектов, генеральным заказчиком которых явл</w:t>
      </w:r>
      <w:r w:rsidRPr="006E75DA">
        <w:rPr>
          <w:rFonts w:ascii="Times New Roman" w:hAnsi="Times New Roman"/>
          <w:sz w:val="28"/>
          <w:szCs w:val="28"/>
        </w:rPr>
        <w:t>я</w:t>
      </w:r>
      <w:r w:rsidRPr="006E75DA">
        <w:rPr>
          <w:rFonts w:ascii="Times New Roman" w:hAnsi="Times New Roman"/>
          <w:sz w:val="28"/>
          <w:szCs w:val="28"/>
        </w:rPr>
        <w:t>ется ОАО «Газпром».</w:t>
      </w:r>
    </w:p>
    <w:p w:rsidR="006E75DA" w:rsidRPr="006E75DA" w:rsidRDefault="006E75DA" w:rsidP="00717B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E75DA">
        <w:rPr>
          <w:rFonts w:ascii="Times New Roman" w:hAnsi="Times New Roman"/>
          <w:sz w:val="28"/>
          <w:szCs w:val="28"/>
        </w:rPr>
        <w:t>Также ОАО «Газпром» является основным заказчиком газотурбинной те</w:t>
      </w:r>
      <w:r w:rsidRPr="006E75DA">
        <w:rPr>
          <w:rFonts w:ascii="Times New Roman" w:hAnsi="Times New Roman"/>
          <w:sz w:val="28"/>
          <w:szCs w:val="28"/>
        </w:rPr>
        <w:t>х</w:t>
      </w:r>
      <w:r w:rsidRPr="006E75DA">
        <w:rPr>
          <w:rFonts w:ascii="Times New Roman" w:hAnsi="Times New Roman"/>
          <w:sz w:val="28"/>
          <w:szCs w:val="28"/>
        </w:rPr>
        <w:t>ники промышленного назначения для предприятия ОАО «Пермский моторный завод» (79% от выпуска газотурбинных установок).</w:t>
      </w:r>
    </w:p>
    <w:p w:rsidR="006E75DA" w:rsidRPr="006E75DA" w:rsidRDefault="006E75DA" w:rsidP="00717B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E75DA">
        <w:rPr>
          <w:rFonts w:ascii="Times New Roman" w:hAnsi="Times New Roman"/>
          <w:sz w:val="28"/>
          <w:szCs w:val="28"/>
        </w:rPr>
        <w:t>В 2012 году на предприятии ОАО «Редуктор-ПМ» было возобновлено производство самого большого в мире редуктора ВР-26, который устанавливае</w:t>
      </w:r>
      <w:r w:rsidRPr="006E75DA">
        <w:rPr>
          <w:rFonts w:ascii="Times New Roman" w:hAnsi="Times New Roman"/>
          <w:sz w:val="28"/>
          <w:szCs w:val="28"/>
        </w:rPr>
        <w:t>т</w:t>
      </w:r>
      <w:r w:rsidRPr="006E75DA">
        <w:rPr>
          <w:rFonts w:ascii="Times New Roman" w:hAnsi="Times New Roman"/>
          <w:sz w:val="28"/>
          <w:szCs w:val="28"/>
        </w:rPr>
        <w:t>ся на</w:t>
      </w:r>
      <w:r w:rsidR="00ED233E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транспортный</w:t>
      </w:r>
      <w:r w:rsidR="00ED233E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вертолет Ми-26. По</w:t>
      </w:r>
      <w:r w:rsidR="00ED233E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сравнению с 2011 годом объем прои</w:t>
      </w:r>
      <w:r w:rsidRPr="006E75DA">
        <w:rPr>
          <w:rFonts w:ascii="Times New Roman" w:hAnsi="Times New Roman"/>
          <w:sz w:val="28"/>
          <w:szCs w:val="28"/>
        </w:rPr>
        <w:t>з</w:t>
      </w:r>
      <w:r w:rsidRPr="006E75DA">
        <w:rPr>
          <w:rFonts w:ascii="Times New Roman" w:hAnsi="Times New Roman"/>
          <w:sz w:val="28"/>
          <w:szCs w:val="28"/>
        </w:rPr>
        <w:t>водства ОАО «Редуктор-ПМ» вырос на 13%. Помимо создания новых произво</w:t>
      </w:r>
      <w:r w:rsidRPr="006E75DA">
        <w:rPr>
          <w:rFonts w:ascii="Times New Roman" w:hAnsi="Times New Roman"/>
          <w:sz w:val="28"/>
          <w:szCs w:val="28"/>
        </w:rPr>
        <w:t>д</w:t>
      </w:r>
      <w:r w:rsidRPr="006E75DA">
        <w:rPr>
          <w:rFonts w:ascii="Times New Roman" w:hAnsi="Times New Roman"/>
          <w:sz w:val="28"/>
          <w:szCs w:val="28"/>
        </w:rPr>
        <w:t>ственных линий в ОАО «Редуктор-ПМ» проводилась закупка современного об</w:t>
      </w:r>
      <w:r w:rsidRPr="006E75DA">
        <w:rPr>
          <w:rFonts w:ascii="Times New Roman" w:hAnsi="Times New Roman"/>
          <w:sz w:val="28"/>
          <w:szCs w:val="28"/>
        </w:rPr>
        <w:t>о</w:t>
      </w:r>
      <w:r w:rsidRPr="006E75DA">
        <w:rPr>
          <w:rFonts w:ascii="Times New Roman" w:hAnsi="Times New Roman"/>
          <w:sz w:val="28"/>
          <w:szCs w:val="28"/>
        </w:rPr>
        <w:t>рудования для механической обработки деталей, приобретались новые ко</w:t>
      </w:r>
      <w:r w:rsidRPr="006E75DA">
        <w:rPr>
          <w:rFonts w:ascii="Times New Roman" w:hAnsi="Times New Roman"/>
          <w:sz w:val="28"/>
          <w:szCs w:val="28"/>
        </w:rPr>
        <w:t>н</w:t>
      </w:r>
      <w:r w:rsidRPr="006E75DA">
        <w:rPr>
          <w:rFonts w:ascii="Times New Roman" w:hAnsi="Times New Roman"/>
          <w:sz w:val="28"/>
          <w:szCs w:val="28"/>
        </w:rPr>
        <w:t>трольно-измерительные машины для оценки качества продукции. Всего на эти цели в 2012 год</w:t>
      </w:r>
      <w:r w:rsidR="00413B6C">
        <w:rPr>
          <w:rFonts w:ascii="Times New Roman" w:hAnsi="Times New Roman"/>
          <w:sz w:val="28"/>
          <w:szCs w:val="28"/>
        </w:rPr>
        <w:t xml:space="preserve">у было потрачено более 550 </w:t>
      </w:r>
      <w:proofErr w:type="spellStart"/>
      <w:r w:rsidR="00413B6C">
        <w:rPr>
          <w:rFonts w:ascii="Times New Roman" w:hAnsi="Times New Roman"/>
          <w:sz w:val="28"/>
          <w:szCs w:val="28"/>
        </w:rPr>
        <w:t>млн</w:t>
      </w:r>
      <w:proofErr w:type="gramStart"/>
      <w:r w:rsidR="00413B6C">
        <w:rPr>
          <w:rFonts w:ascii="Times New Roman" w:hAnsi="Times New Roman"/>
          <w:sz w:val="28"/>
          <w:szCs w:val="28"/>
        </w:rPr>
        <w:t>.</w:t>
      </w:r>
      <w:r w:rsidRPr="006E75DA">
        <w:rPr>
          <w:rFonts w:ascii="Times New Roman" w:hAnsi="Times New Roman"/>
          <w:sz w:val="28"/>
          <w:szCs w:val="28"/>
        </w:rPr>
        <w:t>р</w:t>
      </w:r>
      <w:proofErr w:type="gramEnd"/>
      <w:r w:rsidRPr="006E75DA">
        <w:rPr>
          <w:rFonts w:ascii="Times New Roman" w:hAnsi="Times New Roman"/>
          <w:sz w:val="28"/>
          <w:szCs w:val="28"/>
        </w:rPr>
        <w:t>уб</w:t>
      </w:r>
      <w:proofErr w:type="spellEnd"/>
      <w:r w:rsidRPr="006E75DA">
        <w:rPr>
          <w:rFonts w:ascii="Times New Roman" w:hAnsi="Times New Roman"/>
          <w:sz w:val="28"/>
          <w:szCs w:val="28"/>
        </w:rPr>
        <w:t>.</w:t>
      </w:r>
    </w:p>
    <w:p w:rsidR="006E75DA" w:rsidRPr="006E75DA" w:rsidRDefault="006E75DA" w:rsidP="00717BAC">
      <w:pPr>
        <w:pStyle w:val="a5"/>
        <w:spacing w:after="0" w:line="240" w:lineRule="auto"/>
        <w:ind w:left="0" w:firstLine="709"/>
        <w:rPr>
          <w:rFonts w:ascii="Times New Roman" w:hAnsi="Times New Roman"/>
          <w:bCs/>
          <w:szCs w:val="28"/>
        </w:rPr>
      </w:pPr>
      <w:r w:rsidRPr="006E75DA">
        <w:rPr>
          <w:rFonts w:ascii="Times New Roman" w:hAnsi="Times New Roman"/>
          <w:szCs w:val="28"/>
        </w:rPr>
        <w:t>На предприятиях</w:t>
      </w:r>
      <w:r w:rsidR="00E1542D">
        <w:rPr>
          <w:rFonts w:ascii="Times New Roman" w:hAnsi="Times New Roman"/>
          <w:szCs w:val="28"/>
        </w:rPr>
        <w:t xml:space="preserve"> </w:t>
      </w:r>
      <w:r w:rsidR="00413B6C">
        <w:rPr>
          <w:rFonts w:ascii="Times New Roman" w:hAnsi="Times New Roman"/>
          <w:b/>
          <w:i/>
          <w:szCs w:val="28"/>
        </w:rPr>
        <w:t>лесопромышленного</w:t>
      </w:r>
      <w:r w:rsidR="00E1542D">
        <w:rPr>
          <w:rFonts w:ascii="Times New Roman" w:hAnsi="Times New Roman"/>
          <w:b/>
          <w:i/>
          <w:szCs w:val="28"/>
        </w:rPr>
        <w:t xml:space="preserve"> </w:t>
      </w:r>
      <w:r w:rsidRPr="006E75DA">
        <w:rPr>
          <w:rFonts w:ascii="Times New Roman" w:hAnsi="Times New Roman"/>
          <w:b/>
          <w:i/>
          <w:szCs w:val="28"/>
        </w:rPr>
        <w:t>комплекса</w:t>
      </w:r>
      <w:r w:rsidR="00E1542D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 xml:space="preserve">города Перми </w:t>
      </w:r>
      <w:r w:rsidR="00413B6C">
        <w:rPr>
          <w:rFonts w:ascii="Times New Roman" w:hAnsi="Times New Roman"/>
          <w:szCs w:val="28"/>
        </w:rPr>
        <w:br/>
      </w:r>
      <w:r w:rsidRPr="006E75DA">
        <w:rPr>
          <w:rFonts w:ascii="Times New Roman" w:hAnsi="Times New Roman"/>
          <w:szCs w:val="28"/>
        </w:rPr>
        <w:t xml:space="preserve">в 2012 году наблюдался рост </w:t>
      </w:r>
      <w:r w:rsidR="002F2C36">
        <w:rPr>
          <w:rFonts w:ascii="Times New Roman" w:hAnsi="Times New Roman"/>
          <w:szCs w:val="28"/>
        </w:rPr>
        <w:t>–</w:t>
      </w:r>
      <w:r w:rsidRPr="006E75DA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bCs/>
          <w:szCs w:val="28"/>
        </w:rPr>
        <w:t>расчетная величина индекса промышленного производства составила 112,6% к уровню 2011 года. Оборот организаций лес</w:t>
      </w:r>
      <w:r w:rsidRPr="006E75DA">
        <w:rPr>
          <w:rFonts w:ascii="Times New Roman" w:hAnsi="Times New Roman"/>
          <w:bCs/>
          <w:szCs w:val="28"/>
        </w:rPr>
        <w:t>о</w:t>
      </w:r>
      <w:r w:rsidRPr="006E75DA">
        <w:rPr>
          <w:rFonts w:ascii="Times New Roman" w:hAnsi="Times New Roman"/>
          <w:bCs/>
          <w:szCs w:val="28"/>
        </w:rPr>
        <w:t xml:space="preserve">промышленного комплекса увеличился на 18,1%, объем отгрузки вырос </w:t>
      </w:r>
      <w:r w:rsidR="002F2C36">
        <w:rPr>
          <w:rFonts w:ascii="Times New Roman" w:hAnsi="Times New Roman"/>
          <w:bCs/>
          <w:szCs w:val="28"/>
        </w:rPr>
        <w:br/>
      </w:r>
      <w:r w:rsidRPr="006E75DA">
        <w:rPr>
          <w:rFonts w:ascii="Times New Roman" w:hAnsi="Times New Roman"/>
          <w:bCs/>
          <w:szCs w:val="28"/>
        </w:rPr>
        <w:t>на 18,2% по сравнению с 2011 годом.</w:t>
      </w:r>
    </w:p>
    <w:p w:rsidR="006E75DA" w:rsidRDefault="006E75DA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6E75DA">
        <w:rPr>
          <w:rFonts w:ascii="Times New Roman" w:hAnsi="Times New Roman"/>
          <w:szCs w:val="28"/>
        </w:rPr>
        <w:t>Увеличен</w:t>
      </w:r>
      <w:r w:rsidR="00E1542D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выпуск</w:t>
      </w:r>
      <w:r w:rsidR="00E1542D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древесноволокни</w:t>
      </w:r>
      <w:r w:rsidR="00E9539C">
        <w:rPr>
          <w:rFonts w:ascii="Times New Roman" w:hAnsi="Times New Roman"/>
          <w:szCs w:val="28"/>
        </w:rPr>
        <w:t>с</w:t>
      </w:r>
      <w:r w:rsidRPr="006E75DA">
        <w:rPr>
          <w:rFonts w:ascii="Times New Roman" w:hAnsi="Times New Roman"/>
          <w:szCs w:val="28"/>
        </w:rPr>
        <w:t>тых плит на</w:t>
      </w:r>
      <w:r w:rsidR="00E1542D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 xml:space="preserve">2,2% по сравнению </w:t>
      </w:r>
      <w:r w:rsidR="00413B6C">
        <w:rPr>
          <w:rFonts w:ascii="Times New Roman" w:hAnsi="Times New Roman"/>
          <w:szCs w:val="28"/>
        </w:rPr>
        <w:br/>
      </w:r>
      <w:r w:rsidRPr="006E75DA">
        <w:rPr>
          <w:rFonts w:ascii="Times New Roman" w:hAnsi="Times New Roman"/>
          <w:szCs w:val="28"/>
        </w:rPr>
        <w:t>с 2011</w:t>
      </w:r>
      <w:r w:rsidR="00413B6C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годом, оконных</w:t>
      </w:r>
      <w:r w:rsidR="00413B6C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блоков – на</w:t>
      </w:r>
      <w:r w:rsidR="00413B6C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 xml:space="preserve">14,3%, </w:t>
      </w:r>
      <w:r w:rsidR="00413B6C">
        <w:rPr>
          <w:rFonts w:ascii="Times New Roman" w:hAnsi="Times New Roman"/>
          <w:szCs w:val="28"/>
        </w:rPr>
        <w:t>транспортной</w:t>
      </w:r>
      <w:r w:rsidR="00E1542D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тары из гофрированного картона – на 51,3%. В то же время на 20,4% сократилось производство лесомат</w:t>
      </w:r>
      <w:r w:rsidRPr="006E75DA">
        <w:rPr>
          <w:rFonts w:ascii="Times New Roman" w:hAnsi="Times New Roman"/>
          <w:szCs w:val="28"/>
        </w:rPr>
        <w:t>е</w:t>
      </w:r>
      <w:r w:rsidRPr="006E75DA">
        <w:rPr>
          <w:rFonts w:ascii="Times New Roman" w:hAnsi="Times New Roman"/>
          <w:szCs w:val="28"/>
        </w:rPr>
        <w:t xml:space="preserve">риалов, на 4,7% </w:t>
      </w:r>
      <w:r w:rsidR="002F2C36">
        <w:rPr>
          <w:rFonts w:ascii="Times New Roman" w:hAnsi="Times New Roman"/>
          <w:szCs w:val="28"/>
        </w:rPr>
        <w:t>–</w:t>
      </w:r>
      <w:r w:rsidRPr="006E75DA">
        <w:rPr>
          <w:rFonts w:ascii="Times New Roman" w:hAnsi="Times New Roman"/>
          <w:szCs w:val="28"/>
        </w:rPr>
        <w:t xml:space="preserve"> бумаги, </w:t>
      </w:r>
      <w:proofErr w:type="gramStart"/>
      <w:r w:rsidRPr="006E75DA">
        <w:rPr>
          <w:rFonts w:ascii="Times New Roman" w:hAnsi="Times New Roman"/>
          <w:szCs w:val="28"/>
        </w:rPr>
        <w:t>на</w:t>
      </w:r>
      <w:proofErr w:type="gramEnd"/>
      <w:r w:rsidRPr="006E75DA">
        <w:rPr>
          <w:rFonts w:ascii="Times New Roman" w:hAnsi="Times New Roman"/>
          <w:szCs w:val="28"/>
        </w:rPr>
        <w:t xml:space="preserve"> 2,0% </w:t>
      </w:r>
      <w:r w:rsidR="002F2C36">
        <w:rPr>
          <w:rFonts w:ascii="Times New Roman" w:hAnsi="Times New Roman"/>
          <w:szCs w:val="28"/>
        </w:rPr>
        <w:t>–</w:t>
      </w:r>
      <w:r w:rsidRPr="006E75DA">
        <w:rPr>
          <w:rFonts w:ascii="Times New Roman" w:hAnsi="Times New Roman"/>
          <w:szCs w:val="28"/>
        </w:rPr>
        <w:t xml:space="preserve"> картона.</w:t>
      </w:r>
    </w:p>
    <w:p w:rsidR="00E1542D" w:rsidRDefault="00E1542D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</w:p>
    <w:tbl>
      <w:tblPr>
        <w:tblW w:w="493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685"/>
        <w:gridCol w:w="1292"/>
        <w:gridCol w:w="980"/>
        <w:gridCol w:w="980"/>
        <w:gridCol w:w="980"/>
        <w:gridCol w:w="980"/>
        <w:gridCol w:w="978"/>
      </w:tblGrid>
      <w:tr w:rsidR="00413B6C" w:rsidRPr="00E1542D" w:rsidTr="00413B6C">
        <w:trPr>
          <w:trHeight w:val="660"/>
          <w:tblHeader/>
        </w:trPr>
        <w:tc>
          <w:tcPr>
            <w:tcW w:w="18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E1542D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2"/>
              </w:rPr>
            </w:pPr>
            <w:r w:rsidRPr="00E1542D">
              <w:rPr>
                <w:rFonts w:ascii="Times New Roman" w:hAnsi="Times New Roman"/>
                <w:bCs/>
                <w:color w:val="000000"/>
                <w:sz w:val="24"/>
                <w:szCs w:val="22"/>
              </w:rPr>
              <w:t>Показатели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2"/>
              </w:rPr>
              <w:t xml:space="preserve"> лесопромышленного комплекса</w:t>
            </w:r>
          </w:p>
        </w:tc>
        <w:tc>
          <w:tcPr>
            <w:tcW w:w="6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E1542D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2"/>
              </w:rPr>
              <w:t>Ед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2"/>
              </w:rPr>
              <w:t>.</w:t>
            </w:r>
            <w:r w:rsidRPr="00E1542D">
              <w:rPr>
                <w:rFonts w:ascii="Times New Roman" w:hAnsi="Times New Roman"/>
                <w:bCs/>
                <w:color w:val="000000"/>
                <w:sz w:val="24"/>
                <w:szCs w:val="22"/>
              </w:rPr>
              <w:t>и</w:t>
            </w:r>
            <w:proofErr w:type="gramEnd"/>
            <w:r w:rsidRPr="00E1542D">
              <w:rPr>
                <w:rFonts w:ascii="Times New Roman" w:hAnsi="Times New Roman"/>
                <w:bCs/>
                <w:color w:val="000000"/>
                <w:sz w:val="24"/>
                <w:szCs w:val="22"/>
              </w:rPr>
              <w:t>зм</w:t>
            </w:r>
            <w:proofErr w:type="spellEnd"/>
            <w:r w:rsidRPr="00E1542D">
              <w:rPr>
                <w:rFonts w:ascii="Times New Roman" w:hAnsi="Times New Roman"/>
                <w:bCs/>
                <w:color w:val="000000"/>
                <w:sz w:val="24"/>
                <w:szCs w:val="22"/>
              </w:rPr>
              <w:t>.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084B3E" w:rsidRPr="00626C2D" w:rsidTr="002F2C36">
        <w:trPr>
          <w:trHeight w:val="50"/>
        </w:trPr>
        <w:tc>
          <w:tcPr>
            <w:tcW w:w="186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3E" w:rsidRPr="00626C2D" w:rsidRDefault="00084B3E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Объем отгруженных товаров собственного производства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3E" w:rsidRPr="00626C2D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2"/>
              </w:rPr>
              <w:t>млрд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2"/>
              </w:rPr>
              <w:t>.</w:t>
            </w:r>
            <w:r w:rsidR="00084B3E"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р</w:t>
            </w:r>
            <w:proofErr w:type="gramEnd"/>
            <w:r w:rsidR="00084B3E"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уб</w:t>
            </w:r>
            <w:proofErr w:type="spellEnd"/>
            <w:r w:rsidR="00084B3E"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B3E" w:rsidRPr="00626C2D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  <w:highlight w:val="yellow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12,9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B3E" w:rsidRPr="00626C2D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13,5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84B3E" w:rsidRPr="00626C2D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13,1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84B3E" w:rsidRPr="00626C2D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16,0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84B3E" w:rsidRPr="00626C2D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17,5</w:t>
            </w:r>
          </w:p>
        </w:tc>
      </w:tr>
      <w:tr w:rsidR="00084B3E" w:rsidRPr="00626C2D" w:rsidTr="002F2C36">
        <w:trPr>
          <w:trHeight w:val="60"/>
        </w:trPr>
        <w:tc>
          <w:tcPr>
            <w:tcW w:w="186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3E" w:rsidRPr="00626C2D" w:rsidRDefault="00084B3E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Инвестиции в основной капитал по крупным и средним предпр</w:t>
            </w:r>
            <w:r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и</w:t>
            </w:r>
            <w:r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ятиям и организациям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3E" w:rsidRPr="00626C2D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2"/>
              </w:rPr>
              <w:t>млн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2"/>
              </w:rPr>
              <w:t>.</w:t>
            </w:r>
            <w:r w:rsidR="00084B3E"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р</w:t>
            </w:r>
            <w:proofErr w:type="gramEnd"/>
            <w:r w:rsidR="00084B3E"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уб</w:t>
            </w:r>
            <w:proofErr w:type="spellEnd"/>
            <w:r w:rsidR="00084B3E"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B3E" w:rsidRPr="00626C2D" w:rsidRDefault="00084B3E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89,9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B3E" w:rsidRPr="00626C2D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64,4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84B3E" w:rsidRPr="00626C2D" w:rsidRDefault="00084B3E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3,9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84B3E" w:rsidRPr="00626C2D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84B3E" w:rsidRPr="00626C2D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0</w:t>
            </w:r>
          </w:p>
        </w:tc>
      </w:tr>
      <w:tr w:rsidR="00084B3E" w:rsidRPr="00626C2D" w:rsidTr="002F2C36">
        <w:trPr>
          <w:trHeight w:val="60"/>
        </w:trPr>
        <w:tc>
          <w:tcPr>
            <w:tcW w:w="186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3E" w:rsidRPr="00626C2D" w:rsidRDefault="00084B3E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Сальдированный финансовый результат (прибыль минус уб</w:t>
            </w:r>
            <w:r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ы</w:t>
            </w:r>
            <w:r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 xml:space="preserve">ток) деятельности организаций 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3E" w:rsidRPr="00626C2D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2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2"/>
              </w:rPr>
              <w:t>млн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2"/>
              </w:rPr>
              <w:t>.</w:t>
            </w:r>
            <w:r w:rsidR="00084B3E"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р</w:t>
            </w:r>
            <w:proofErr w:type="gramEnd"/>
            <w:r w:rsidR="00084B3E"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уб</w:t>
            </w:r>
            <w:proofErr w:type="spellEnd"/>
            <w:r w:rsidR="00084B3E" w:rsidRPr="00626C2D">
              <w:rPr>
                <w:rFonts w:ascii="Times New Roman" w:hAnsi="Times New Roman"/>
                <w:color w:val="000000"/>
                <w:sz w:val="24"/>
                <w:szCs w:val="22"/>
              </w:rPr>
              <w:t>.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4B3E" w:rsidRPr="00626C2D" w:rsidRDefault="00084B3E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-170,6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84B3E" w:rsidRPr="00626C2D" w:rsidRDefault="00084B3E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-65,3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84B3E" w:rsidRPr="00626C2D" w:rsidRDefault="00084B3E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-147,8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84B3E" w:rsidRPr="00626C2D" w:rsidRDefault="00084B3E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-165,9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84B3E" w:rsidRPr="00626C2D" w:rsidRDefault="00084B3E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2"/>
                <w:highlight w:val="yellow"/>
              </w:rPr>
            </w:pPr>
            <w:r w:rsidRPr="00626C2D">
              <w:rPr>
                <w:rFonts w:ascii="Times New Roman" w:hAnsi="Times New Roman"/>
                <w:sz w:val="24"/>
                <w:szCs w:val="22"/>
              </w:rPr>
              <w:t>-59,1</w:t>
            </w:r>
          </w:p>
        </w:tc>
      </w:tr>
    </w:tbl>
    <w:p w:rsidR="00413B6C" w:rsidRDefault="00413B6C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6E75DA" w:rsidRPr="006E75DA" w:rsidRDefault="006E75DA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6E75DA">
        <w:rPr>
          <w:rFonts w:ascii="Times New Roman" w:hAnsi="Times New Roman"/>
          <w:szCs w:val="28"/>
        </w:rPr>
        <w:t xml:space="preserve">К крупным предприятиям лесопромышленного комплекса относятся </w:t>
      </w:r>
      <w:r w:rsidR="00413B6C">
        <w:rPr>
          <w:rFonts w:ascii="Times New Roman" w:hAnsi="Times New Roman"/>
          <w:szCs w:val="28"/>
        </w:rPr>
        <w:br/>
      </w:r>
      <w:r w:rsidRPr="006E75DA">
        <w:rPr>
          <w:rFonts w:ascii="Times New Roman" w:hAnsi="Times New Roman"/>
          <w:szCs w:val="28"/>
        </w:rPr>
        <w:t>ОАО «Пермский целлюлозно-бумажный комбинат», ЗАО «Пермский фанерный комбинат», ППФ «Гознак»,</w:t>
      </w:r>
      <w:r w:rsidR="00413B6C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ООО</w:t>
      </w:r>
      <w:r w:rsidR="00E1542D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«Пермский картон», ОАО «Пиломатериалы «Красный Октябрь».</w:t>
      </w:r>
    </w:p>
    <w:p w:rsidR="006E75DA" w:rsidRPr="006E75DA" w:rsidRDefault="006E75DA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6E75DA">
        <w:rPr>
          <w:rFonts w:ascii="Times New Roman" w:hAnsi="Times New Roman"/>
          <w:szCs w:val="28"/>
        </w:rPr>
        <w:t>ОАО «Пермский ЦБК» реализу</w:t>
      </w:r>
      <w:r w:rsidR="002F2C36">
        <w:rPr>
          <w:rFonts w:ascii="Times New Roman" w:hAnsi="Times New Roman"/>
          <w:szCs w:val="28"/>
        </w:rPr>
        <w:t>е</w:t>
      </w:r>
      <w:r w:rsidRPr="006E75DA">
        <w:rPr>
          <w:rFonts w:ascii="Times New Roman" w:hAnsi="Times New Roman"/>
          <w:szCs w:val="28"/>
        </w:rPr>
        <w:t xml:space="preserve">т проект «Модернизация оборудования </w:t>
      </w:r>
      <w:r w:rsidR="00413B6C">
        <w:rPr>
          <w:rFonts w:ascii="Times New Roman" w:hAnsi="Times New Roman"/>
          <w:szCs w:val="28"/>
        </w:rPr>
        <w:br/>
      </w:r>
      <w:r w:rsidRPr="006E75DA">
        <w:rPr>
          <w:rFonts w:ascii="Times New Roman" w:hAnsi="Times New Roman"/>
          <w:szCs w:val="28"/>
        </w:rPr>
        <w:t>по производству бумаги и картона», который направлен на увеличение прои</w:t>
      </w:r>
      <w:r w:rsidRPr="006E75DA">
        <w:rPr>
          <w:rFonts w:ascii="Times New Roman" w:hAnsi="Times New Roman"/>
          <w:szCs w:val="28"/>
        </w:rPr>
        <w:t>з</w:t>
      </w:r>
      <w:r w:rsidRPr="006E75DA">
        <w:rPr>
          <w:rFonts w:ascii="Times New Roman" w:hAnsi="Times New Roman"/>
          <w:szCs w:val="28"/>
        </w:rPr>
        <w:t xml:space="preserve">водственных мощностей по производству бумаги, картона и </w:t>
      </w:r>
      <w:proofErr w:type="spellStart"/>
      <w:r w:rsidRPr="006E75DA">
        <w:rPr>
          <w:rFonts w:ascii="Times New Roman" w:hAnsi="Times New Roman"/>
          <w:szCs w:val="28"/>
        </w:rPr>
        <w:t>гофроупаковки</w:t>
      </w:r>
      <w:proofErr w:type="spellEnd"/>
      <w:r w:rsidRPr="006E75DA">
        <w:rPr>
          <w:rFonts w:ascii="Times New Roman" w:hAnsi="Times New Roman"/>
          <w:szCs w:val="28"/>
        </w:rPr>
        <w:t>. Общий объем и</w:t>
      </w:r>
      <w:r w:rsidR="00413B6C">
        <w:rPr>
          <w:rFonts w:ascii="Times New Roman" w:hAnsi="Times New Roman"/>
          <w:szCs w:val="28"/>
        </w:rPr>
        <w:t xml:space="preserve">нвестиций оценивается в 80 </w:t>
      </w:r>
      <w:proofErr w:type="spellStart"/>
      <w:r w:rsidR="00413B6C">
        <w:rPr>
          <w:rFonts w:ascii="Times New Roman" w:hAnsi="Times New Roman"/>
          <w:szCs w:val="28"/>
        </w:rPr>
        <w:t>млн</w:t>
      </w:r>
      <w:proofErr w:type="gramStart"/>
      <w:r w:rsidR="00413B6C">
        <w:rPr>
          <w:rFonts w:ascii="Times New Roman" w:hAnsi="Times New Roman"/>
          <w:szCs w:val="28"/>
        </w:rPr>
        <w:t>.</w:t>
      </w:r>
      <w:r w:rsidRPr="006E75DA">
        <w:rPr>
          <w:rFonts w:ascii="Times New Roman" w:hAnsi="Times New Roman"/>
          <w:szCs w:val="28"/>
        </w:rPr>
        <w:t>д</w:t>
      </w:r>
      <w:proofErr w:type="gramEnd"/>
      <w:r w:rsidRPr="006E75DA">
        <w:rPr>
          <w:rFonts w:ascii="Times New Roman" w:hAnsi="Times New Roman"/>
          <w:szCs w:val="28"/>
        </w:rPr>
        <w:t>олларов</w:t>
      </w:r>
      <w:proofErr w:type="spellEnd"/>
      <w:r w:rsidRPr="006E75DA">
        <w:rPr>
          <w:rFonts w:ascii="Times New Roman" w:hAnsi="Times New Roman"/>
          <w:szCs w:val="28"/>
        </w:rPr>
        <w:t xml:space="preserve"> США.</w:t>
      </w:r>
    </w:p>
    <w:p w:rsidR="006E75DA" w:rsidRPr="006E75DA" w:rsidRDefault="006E75DA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  <w:r w:rsidRPr="006E75DA">
        <w:rPr>
          <w:rFonts w:ascii="Times New Roman" w:hAnsi="Times New Roman"/>
          <w:b/>
          <w:i/>
          <w:szCs w:val="28"/>
        </w:rPr>
        <w:t>Металлургическое производство</w:t>
      </w:r>
      <w:r w:rsidRPr="006E75DA">
        <w:rPr>
          <w:rFonts w:ascii="Times New Roman" w:hAnsi="Times New Roman"/>
          <w:szCs w:val="28"/>
        </w:rPr>
        <w:t xml:space="preserve"> в 2012 году продемонстрировало рост на 10,7% (в 2010 году - 48</w:t>
      </w:r>
      <w:r w:rsidR="00626C2D">
        <w:rPr>
          <w:rFonts w:ascii="Times New Roman" w:hAnsi="Times New Roman"/>
          <w:szCs w:val="28"/>
        </w:rPr>
        <w:t>,0</w:t>
      </w:r>
      <w:r w:rsidRPr="006E75DA">
        <w:rPr>
          <w:rFonts w:ascii="Times New Roman" w:hAnsi="Times New Roman"/>
          <w:szCs w:val="28"/>
        </w:rPr>
        <w:t>%, в 2011</w:t>
      </w:r>
      <w:r w:rsidR="00E1542D">
        <w:rPr>
          <w:rFonts w:ascii="Times New Roman" w:hAnsi="Times New Roman"/>
          <w:szCs w:val="28"/>
        </w:rPr>
        <w:t xml:space="preserve"> году</w:t>
      </w:r>
      <w:r w:rsidRPr="006E75DA">
        <w:rPr>
          <w:rFonts w:ascii="Times New Roman" w:hAnsi="Times New Roman"/>
          <w:szCs w:val="28"/>
        </w:rPr>
        <w:t xml:space="preserve"> –</w:t>
      </w:r>
      <w:r w:rsidR="00626C2D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22,2%). Замедление темпов роста обусловлено недостаточным спросом на металлопродукцию, избыточным пре</w:t>
      </w:r>
      <w:r w:rsidRPr="006E75DA">
        <w:rPr>
          <w:rFonts w:ascii="Times New Roman" w:hAnsi="Times New Roman"/>
          <w:szCs w:val="28"/>
        </w:rPr>
        <w:t>д</w:t>
      </w:r>
      <w:r w:rsidRPr="006E75DA">
        <w:rPr>
          <w:rFonts w:ascii="Times New Roman" w:hAnsi="Times New Roman"/>
          <w:szCs w:val="28"/>
        </w:rPr>
        <w:t>ложением, что вынуждает производителей снижать цены на продукцию. Это х</w:t>
      </w:r>
      <w:r w:rsidRPr="006E75DA">
        <w:rPr>
          <w:rFonts w:ascii="Times New Roman" w:hAnsi="Times New Roman"/>
          <w:szCs w:val="28"/>
        </w:rPr>
        <w:t>а</w:t>
      </w:r>
      <w:r w:rsidRPr="006E75DA">
        <w:rPr>
          <w:rFonts w:ascii="Times New Roman" w:hAnsi="Times New Roman"/>
          <w:szCs w:val="28"/>
        </w:rPr>
        <w:t xml:space="preserve">рактерно в целом для российского рынка металлургической продукции. </w:t>
      </w:r>
    </w:p>
    <w:p w:rsidR="006E75DA" w:rsidRPr="006E75DA" w:rsidRDefault="006E75DA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  <w:r w:rsidRPr="006E75DA">
        <w:rPr>
          <w:rFonts w:ascii="Times New Roman" w:hAnsi="Times New Roman"/>
          <w:szCs w:val="28"/>
        </w:rPr>
        <w:t xml:space="preserve">Оборот организаций металлургического комплекса сократился на 4,9%, объем отгруженных товаров собственного </w:t>
      </w:r>
      <w:r w:rsidR="00413B6C">
        <w:rPr>
          <w:rFonts w:ascii="Times New Roman" w:hAnsi="Times New Roman"/>
          <w:szCs w:val="28"/>
        </w:rPr>
        <w:t>производства,</w:t>
      </w:r>
      <w:r w:rsidR="00E1542D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 xml:space="preserve">напротив, вырос </w:t>
      </w:r>
      <w:r w:rsidR="00413B6C">
        <w:rPr>
          <w:rFonts w:ascii="Times New Roman" w:hAnsi="Times New Roman"/>
          <w:szCs w:val="28"/>
        </w:rPr>
        <w:br/>
      </w:r>
      <w:r w:rsidRPr="006E75DA">
        <w:rPr>
          <w:rFonts w:ascii="Times New Roman" w:hAnsi="Times New Roman"/>
          <w:szCs w:val="28"/>
        </w:rPr>
        <w:t>на 5,2% к уровню предыдущего года.</w:t>
      </w:r>
    </w:p>
    <w:p w:rsidR="006E75DA" w:rsidRDefault="006E75DA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  <w:r w:rsidRPr="006E75DA">
        <w:rPr>
          <w:rFonts w:ascii="Times New Roman" w:hAnsi="Times New Roman"/>
          <w:szCs w:val="28"/>
        </w:rPr>
        <w:t>Тем не менее</w:t>
      </w:r>
      <w:r w:rsidR="002F2C36">
        <w:rPr>
          <w:rFonts w:ascii="Times New Roman" w:hAnsi="Times New Roman"/>
          <w:szCs w:val="28"/>
        </w:rPr>
        <w:t>,</w:t>
      </w:r>
      <w:r w:rsidRPr="006E75DA">
        <w:rPr>
          <w:rFonts w:ascii="Times New Roman" w:hAnsi="Times New Roman"/>
          <w:szCs w:val="28"/>
        </w:rPr>
        <w:t xml:space="preserve"> это оказало незначительное влияние на индекс промышле</w:t>
      </w:r>
      <w:r w:rsidRPr="006E75DA">
        <w:rPr>
          <w:rFonts w:ascii="Times New Roman" w:hAnsi="Times New Roman"/>
          <w:szCs w:val="28"/>
        </w:rPr>
        <w:t>н</w:t>
      </w:r>
      <w:r w:rsidRPr="006E75DA">
        <w:rPr>
          <w:rFonts w:ascii="Times New Roman" w:hAnsi="Times New Roman"/>
          <w:szCs w:val="28"/>
        </w:rPr>
        <w:t>ного производства обрабатывающих предприятий, т</w:t>
      </w:r>
      <w:r w:rsidR="00786B06">
        <w:rPr>
          <w:rFonts w:ascii="Times New Roman" w:hAnsi="Times New Roman"/>
          <w:szCs w:val="28"/>
        </w:rPr>
        <w:t>ак как</w:t>
      </w:r>
      <w:r w:rsidRPr="006E75DA">
        <w:rPr>
          <w:rFonts w:ascii="Times New Roman" w:hAnsi="Times New Roman"/>
          <w:szCs w:val="28"/>
        </w:rPr>
        <w:t xml:space="preserve"> доля металлургии с</w:t>
      </w:r>
      <w:r w:rsidRPr="006E75DA">
        <w:rPr>
          <w:rFonts w:ascii="Times New Roman" w:hAnsi="Times New Roman"/>
          <w:szCs w:val="28"/>
        </w:rPr>
        <w:t>о</w:t>
      </w:r>
      <w:r w:rsidRPr="006E75DA">
        <w:rPr>
          <w:rFonts w:ascii="Times New Roman" w:hAnsi="Times New Roman"/>
          <w:szCs w:val="28"/>
        </w:rPr>
        <w:t xml:space="preserve">ставляет 2,9% в общем объеме. </w:t>
      </w:r>
    </w:p>
    <w:p w:rsidR="00786B06" w:rsidRDefault="00786B06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</w:p>
    <w:tbl>
      <w:tblPr>
        <w:tblW w:w="5000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3808"/>
        <w:gridCol w:w="1291"/>
        <w:gridCol w:w="980"/>
        <w:gridCol w:w="980"/>
        <w:gridCol w:w="980"/>
        <w:gridCol w:w="980"/>
        <w:gridCol w:w="978"/>
      </w:tblGrid>
      <w:tr w:rsidR="00413B6C" w:rsidRPr="00786B06" w:rsidTr="00413B6C">
        <w:trPr>
          <w:trHeight w:val="660"/>
          <w:tblHeader/>
        </w:trPr>
        <w:tc>
          <w:tcPr>
            <w:tcW w:w="1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786B06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6B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Показатели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металлургического производства</w:t>
            </w:r>
          </w:p>
        </w:tc>
        <w:tc>
          <w:tcPr>
            <w:tcW w:w="64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786B06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786B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proofErr w:type="gramEnd"/>
            <w:r w:rsidRPr="00786B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зм</w:t>
            </w:r>
            <w:proofErr w:type="spellEnd"/>
            <w:r w:rsidRPr="00786B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135017" w:rsidRPr="00CB4231" w:rsidTr="002F2C36">
        <w:trPr>
          <w:trHeight w:val="98"/>
        </w:trPr>
        <w:tc>
          <w:tcPr>
            <w:tcW w:w="1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17" w:rsidRPr="00633EF2" w:rsidRDefault="00135017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Индекс промышленного прои</w:t>
            </w: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водства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17" w:rsidRPr="00F3771B" w:rsidRDefault="00135017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771B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017" w:rsidRPr="002F2C36" w:rsidRDefault="00F3771B" w:rsidP="002F2C36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C36">
              <w:rPr>
                <w:rFonts w:ascii="Times New Roman" w:hAnsi="Times New Roman"/>
                <w:bCs/>
                <w:sz w:val="24"/>
                <w:szCs w:val="24"/>
              </w:rPr>
              <w:t>96,6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017" w:rsidRPr="002F2C36" w:rsidRDefault="00F3771B" w:rsidP="002F2C36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C36">
              <w:rPr>
                <w:rFonts w:ascii="Times New Roman" w:hAnsi="Times New Roman"/>
                <w:bCs/>
                <w:sz w:val="24"/>
                <w:szCs w:val="24"/>
              </w:rPr>
              <w:t>27,2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5017" w:rsidRPr="002F2C36" w:rsidRDefault="00135017" w:rsidP="002F2C36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C3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3771B" w:rsidRPr="002F2C3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2F2C36">
              <w:rPr>
                <w:rFonts w:ascii="Times New Roman" w:hAnsi="Times New Roman"/>
                <w:bCs/>
                <w:sz w:val="24"/>
                <w:szCs w:val="24"/>
              </w:rPr>
              <w:t>8,0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5017" w:rsidRPr="002F2C36" w:rsidRDefault="00F3771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122,2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5017" w:rsidRPr="002F2C36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110,</w:t>
            </w:r>
            <w:r w:rsidR="00F3771B" w:rsidRPr="002F2C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35017" w:rsidRPr="006E75DA" w:rsidTr="002F2C36">
        <w:trPr>
          <w:trHeight w:val="60"/>
        </w:trPr>
        <w:tc>
          <w:tcPr>
            <w:tcW w:w="1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17" w:rsidRPr="006E75DA" w:rsidRDefault="00135017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Объем отгруженных товаров со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производства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17" w:rsidRPr="00135017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млрд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135017" w:rsidRPr="0013501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135017" w:rsidRPr="00135017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="00135017" w:rsidRPr="0013501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017" w:rsidRPr="002F2C36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017" w:rsidRPr="002F2C36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5017" w:rsidRPr="002F2C36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5017" w:rsidRPr="002F2C36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5017" w:rsidRPr="002F2C36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</w:tr>
      <w:tr w:rsidR="00135017" w:rsidRPr="00CB4231" w:rsidTr="002F2C36">
        <w:trPr>
          <w:trHeight w:val="110"/>
        </w:trPr>
        <w:tc>
          <w:tcPr>
            <w:tcW w:w="1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17" w:rsidRPr="006E75DA" w:rsidRDefault="00135017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Инвестиции в основной капитал по крупным и средним предпри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тиям и организациям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17" w:rsidRPr="00B87CBB" w:rsidRDefault="00135017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Start"/>
            <w:r w:rsidR="00413B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017" w:rsidRPr="002F2C36" w:rsidRDefault="00F3771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72,6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017" w:rsidRPr="002F2C36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40,2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5017" w:rsidRPr="002F2C36" w:rsidRDefault="00F3771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5017" w:rsidRPr="002F2C36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5017" w:rsidRPr="002F2C36" w:rsidRDefault="00135017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35017" w:rsidRPr="00CB4231" w:rsidTr="002F2C36">
        <w:trPr>
          <w:trHeight w:val="264"/>
        </w:trPr>
        <w:tc>
          <w:tcPr>
            <w:tcW w:w="1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17" w:rsidRPr="006E75DA" w:rsidRDefault="00135017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Сальдированный финансовый р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зультат (прибыль минус убыток) деятельности организаций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017" w:rsidRPr="00CB4231" w:rsidRDefault="00135017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мл</w:t>
            </w:r>
            <w:r w:rsidR="00F3771B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Start"/>
            <w:r w:rsidR="00413B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017" w:rsidRPr="002F2C36" w:rsidRDefault="00F3771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263,9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35017" w:rsidRPr="002F2C36" w:rsidRDefault="00F3771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-280,8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5017" w:rsidRPr="002F2C36" w:rsidRDefault="00F3771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-88,7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5017" w:rsidRPr="002F2C36" w:rsidRDefault="00F3771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-122,2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35017" w:rsidRPr="002F2C36" w:rsidRDefault="00F3771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-506,1</w:t>
            </w:r>
          </w:p>
        </w:tc>
      </w:tr>
    </w:tbl>
    <w:p w:rsidR="00786B06" w:rsidRDefault="00786B06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</w:p>
    <w:p w:rsidR="006E75DA" w:rsidRPr="006E75DA" w:rsidRDefault="006E75DA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  <w:r w:rsidRPr="006E75DA">
        <w:rPr>
          <w:rFonts w:ascii="Times New Roman" w:hAnsi="Times New Roman"/>
          <w:szCs w:val="28"/>
        </w:rPr>
        <w:t>Несмотря на рост металлургии в целом за 2012 год снизилось произво</w:t>
      </w:r>
      <w:r w:rsidRPr="006E75DA">
        <w:rPr>
          <w:rFonts w:ascii="Times New Roman" w:hAnsi="Times New Roman"/>
          <w:szCs w:val="28"/>
        </w:rPr>
        <w:t>д</w:t>
      </w:r>
      <w:r w:rsidRPr="006E75DA">
        <w:rPr>
          <w:rFonts w:ascii="Times New Roman" w:hAnsi="Times New Roman"/>
          <w:szCs w:val="28"/>
        </w:rPr>
        <w:t>ство стальных бесшовных труб (78,6% к январю-декабрю 2011 года), готового проката черных металлов (81,9%).</w:t>
      </w:r>
    </w:p>
    <w:p w:rsidR="006E75DA" w:rsidRPr="006E75DA" w:rsidRDefault="006E75DA" w:rsidP="00717BAC">
      <w:pPr>
        <w:pStyle w:val="21"/>
        <w:spacing w:after="0" w:line="240" w:lineRule="auto"/>
        <w:ind w:left="0" w:firstLine="709"/>
        <w:rPr>
          <w:rFonts w:ascii="Times New Roman" w:eastAsia="Calibri" w:hAnsi="Times New Roman"/>
          <w:bCs/>
          <w:szCs w:val="28"/>
        </w:rPr>
      </w:pPr>
      <w:r w:rsidRPr="006E75DA">
        <w:rPr>
          <w:rFonts w:ascii="Times New Roman" w:hAnsi="Times New Roman"/>
          <w:szCs w:val="28"/>
        </w:rPr>
        <w:t>Крупные предприятия, занятые металлургическим производством и</w:t>
      </w:r>
      <w:r w:rsidR="00786B06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прои</w:t>
      </w:r>
      <w:r w:rsidRPr="006E75DA">
        <w:rPr>
          <w:rFonts w:ascii="Times New Roman" w:hAnsi="Times New Roman"/>
          <w:szCs w:val="28"/>
        </w:rPr>
        <w:t>з</w:t>
      </w:r>
      <w:r w:rsidRPr="006E75DA">
        <w:rPr>
          <w:rFonts w:ascii="Times New Roman" w:hAnsi="Times New Roman"/>
          <w:szCs w:val="28"/>
        </w:rPr>
        <w:t>водством готовых металлических</w:t>
      </w:r>
      <w:r w:rsidR="00786B06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 xml:space="preserve">изделий </w:t>
      </w:r>
      <w:r w:rsidR="00413B6C">
        <w:rPr>
          <w:rFonts w:ascii="Times New Roman" w:hAnsi="Times New Roman"/>
          <w:szCs w:val="28"/>
        </w:rPr>
        <w:t>в</w:t>
      </w:r>
      <w:r w:rsidR="00786B06">
        <w:rPr>
          <w:rFonts w:ascii="Times New Roman" w:hAnsi="Times New Roman"/>
          <w:szCs w:val="28"/>
        </w:rPr>
        <w:t xml:space="preserve"> </w:t>
      </w:r>
      <w:r w:rsidR="00413B6C">
        <w:rPr>
          <w:rFonts w:ascii="Times New Roman" w:hAnsi="Times New Roman"/>
          <w:szCs w:val="28"/>
        </w:rPr>
        <w:t>городе</w:t>
      </w:r>
      <w:r w:rsidR="00786B06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Перми</w:t>
      </w:r>
      <w:r w:rsidR="00786B06">
        <w:rPr>
          <w:rFonts w:ascii="Times New Roman" w:hAnsi="Times New Roman"/>
          <w:szCs w:val="28"/>
        </w:rPr>
        <w:t>:</w:t>
      </w:r>
      <w:r w:rsidR="00413B6C">
        <w:rPr>
          <w:rFonts w:ascii="Times New Roman" w:hAnsi="Times New Roman"/>
          <w:szCs w:val="28"/>
        </w:rPr>
        <w:t xml:space="preserve"> ООО</w:t>
      </w:r>
      <w:r w:rsidR="00786B06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«Металлург</w:t>
      </w:r>
      <w:r w:rsidRPr="006E75DA">
        <w:rPr>
          <w:rFonts w:ascii="Times New Roman" w:hAnsi="Times New Roman"/>
          <w:szCs w:val="28"/>
        </w:rPr>
        <w:t>и</w:t>
      </w:r>
      <w:r w:rsidR="00413B6C">
        <w:rPr>
          <w:rFonts w:ascii="Times New Roman" w:hAnsi="Times New Roman"/>
          <w:szCs w:val="28"/>
        </w:rPr>
        <w:t>ческий</w:t>
      </w:r>
      <w:r w:rsidR="00786B06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завод «</w:t>
      </w:r>
      <w:proofErr w:type="spellStart"/>
      <w:r w:rsidRPr="006E75DA">
        <w:rPr>
          <w:rFonts w:ascii="Times New Roman" w:hAnsi="Times New Roman"/>
          <w:szCs w:val="28"/>
        </w:rPr>
        <w:t>Камасталь</w:t>
      </w:r>
      <w:proofErr w:type="spellEnd"/>
      <w:r w:rsidRPr="006E75DA">
        <w:rPr>
          <w:rFonts w:ascii="Times New Roman" w:hAnsi="Times New Roman"/>
          <w:szCs w:val="28"/>
        </w:rPr>
        <w:t>»,</w:t>
      </w:r>
      <w:r w:rsidR="00786B06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ООО</w:t>
      </w:r>
      <w:r w:rsidR="00786B06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«</w:t>
      </w:r>
      <w:proofErr w:type="spellStart"/>
      <w:r w:rsidRPr="006E75DA">
        <w:rPr>
          <w:rFonts w:ascii="Times New Roman" w:hAnsi="Times New Roman"/>
          <w:szCs w:val="28"/>
        </w:rPr>
        <w:t>Точлит</w:t>
      </w:r>
      <w:proofErr w:type="spellEnd"/>
      <w:r w:rsidRPr="006E75DA">
        <w:rPr>
          <w:rFonts w:ascii="Times New Roman" w:hAnsi="Times New Roman"/>
          <w:szCs w:val="28"/>
        </w:rPr>
        <w:t>», ОАО «</w:t>
      </w:r>
      <w:proofErr w:type="spellStart"/>
      <w:r w:rsidRPr="006E75DA">
        <w:rPr>
          <w:rFonts w:ascii="Times New Roman" w:hAnsi="Times New Roman"/>
          <w:szCs w:val="28"/>
        </w:rPr>
        <w:t>Уралгидросталь</w:t>
      </w:r>
      <w:proofErr w:type="spellEnd"/>
      <w:r w:rsidRPr="006E75DA">
        <w:rPr>
          <w:rFonts w:ascii="Times New Roman" w:hAnsi="Times New Roman"/>
          <w:szCs w:val="28"/>
        </w:rPr>
        <w:t>».</w:t>
      </w:r>
    </w:p>
    <w:p w:rsidR="006E75DA" w:rsidRPr="006E75DA" w:rsidRDefault="006E75DA" w:rsidP="00717BAC">
      <w:pPr>
        <w:pStyle w:val="21"/>
        <w:spacing w:after="0" w:line="240" w:lineRule="auto"/>
        <w:ind w:left="0" w:firstLine="709"/>
        <w:rPr>
          <w:rFonts w:ascii="Times New Roman" w:eastAsia="Calibri" w:hAnsi="Times New Roman"/>
          <w:bCs/>
          <w:szCs w:val="28"/>
        </w:rPr>
      </w:pPr>
      <w:r w:rsidRPr="006E75DA">
        <w:rPr>
          <w:rFonts w:ascii="Times New Roman" w:eastAsia="Calibri" w:hAnsi="Times New Roman"/>
          <w:b/>
          <w:bCs/>
          <w:i/>
          <w:szCs w:val="28"/>
        </w:rPr>
        <w:t>Пищевая промышленность</w:t>
      </w:r>
      <w:r w:rsidRPr="006E75DA">
        <w:rPr>
          <w:rFonts w:ascii="Times New Roman" w:eastAsia="Calibri" w:hAnsi="Times New Roman"/>
          <w:bCs/>
          <w:szCs w:val="28"/>
        </w:rPr>
        <w:t xml:space="preserve"> краевого центра в 2012 году увеличила пр</w:t>
      </w:r>
      <w:r w:rsidRPr="006E75DA">
        <w:rPr>
          <w:rFonts w:ascii="Times New Roman" w:eastAsia="Calibri" w:hAnsi="Times New Roman"/>
          <w:bCs/>
          <w:szCs w:val="28"/>
        </w:rPr>
        <w:t>о</w:t>
      </w:r>
      <w:r w:rsidRPr="006E75DA">
        <w:rPr>
          <w:rFonts w:ascii="Times New Roman" w:eastAsia="Calibri" w:hAnsi="Times New Roman"/>
          <w:bCs/>
          <w:szCs w:val="28"/>
        </w:rPr>
        <w:t>изводство продукции на 4,6%, в том числе вырос выпуск:</w:t>
      </w:r>
    </w:p>
    <w:p w:rsidR="006E75DA" w:rsidRPr="006E75DA" w:rsidRDefault="006E75DA" w:rsidP="00717BAC">
      <w:pPr>
        <w:pStyle w:val="21"/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Calibri" w:hAnsi="Times New Roman"/>
          <w:bCs/>
          <w:szCs w:val="28"/>
        </w:rPr>
      </w:pPr>
      <w:r w:rsidRPr="006E75DA">
        <w:rPr>
          <w:rFonts w:ascii="Times New Roman" w:eastAsia="Calibri" w:hAnsi="Times New Roman"/>
          <w:bCs/>
          <w:szCs w:val="28"/>
        </w:rPr>
        <w:t>коньяка (151,3% к январю-декабрю 2011 года);</w:t>
      </w:r>
    </w:p>
    <w:p w:rsidR="006E75DA" w:rsidRPr="006E75DA" w:rsidRDefault="006E75DA" w:rsidP="00717BAC">
      <w:pPr>
        <w:pStyle w:val="21"/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Calibri" w:hAnsi="Times New Roman"/>
          <w:bCs/>
          <w:szCs w:val="28"/>
        </w:rPr>
      </w:pPr>
      <w:r w:rsidRPr="006E75DA">
        <w:rPr>
          <w:rFonts w:ascii="Times New Roman" w:eastAsia="Calibri" w:hAnsi="Times New Roman"/>
          <w:bCs/>
          <w:szCs w:val="28"/>
        </w:rPr>
        <w:t>консервированных рыбных продуктов (140,5%);</w:t>
      </w:r>
    </w:p>
    <w:p w:rsidR="006E75DA" w:rsidRPr="006E75DA" w:rsidRDefault="006E75DA" w:rsidP="00717BAC">
      <w:pPr>
        <w:pStyle w:val="21"/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Calibri" w:hAnsi="Times New Roman"/>
          <w:bCs/>
          <w:szCs w:val="28"/>
        </w:rPr>
      </w:pPr>
      <w:r w:rsidRPr="006E75DA">
        <w:rPr>
          <w:rFonts w:ascii="Times New Roman" w:eastAsia="Calibri" w:hAnsi="Times New Roman"/>
          <w:bCs/>
          <w:szCs w:val="28"/>
        </w:rPr>
        <w:t>кондитерских изделий (122,4%).</w:t>
      </w:r>
    </w:p>
    <w:p w:rsidR="006E75DA" w:rsidRDefault="006E75DA" w:rsidP="00717BAC">
      <w:pPr>
        <w:pStyle w:val="21"/>
        <w:spacing w:after="0" w:line="240" w:lineRule="auto"/>
        <w:ind w:left="0" w:firstLine="709"/>
        <w:rPr>
          <w:rFonts w:ascii="Times New Roman" w:eastAsia="Calibri" w:hAnsi="Times New Roman"/>
          <w:bCs/>
          <w:szCs w:val="28"/>
        </w:rPr>
      </w:pPr>
      <w:r w:rsidRPr="006E75DA">
        <w:rPr>
          <w:rFonts w:ascii="Times New Roman" w:eastAsia="Calibri" w:hAnsi="Times New Roman"/>
          <w:bCs/>
          <w:szCs w:val="28"/>
        </w:rPr>
        <w:t xml:space="preserve">В то же время отмечено снижение выработки кисломолочных продуктов (почти в 3 раза по сравнению с 2011 годом), пива (на 22,5%), цельномолочной продукции (на 17,0%). </w:t>
      </w:r>
    </w:p>
    <w:p w:rsidR="00413B6C" w:rsidRDefault="00413B6C" w:rsidP="00717BAC">
      <w:pPr>
        <w:pStyle w:val="21"/>
        <w:spacing w:after="0" w:line="240" w:lineRule="auto"/>
        <w:ind w:left="0" w:firstLine="709"/>
        <w:rPr>
          <w:rFonts w:ascii="Times New Roman" w:eastAsia="Calibri" w:hAnsi="Times New Roman"/>
          <w:bCs/>
          <w:szCs w:val="28"/>
        </w:rPr>
      </w:pPr>
    </w:p>
    <w:tbl>
      <w:tblPr>
        <w:tblW w:w="495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684"/>
        <w:gridCol w:w="1302"/>
        <w:gridCol w:w="985"/>
        <w:gridCol w:w="985"/>
        <w:gridCol w:w="985"/>
        <w:gridCol w:w="985"/>
        <w:gridCol w:w="981"/>
      </w:tblGrid>
      <w:tr w:rsidR="00413B6C" w:rsidRPr="00786B06" w:rsidTr="00413B6C">
        <w:trPr>
          <w:trHeight w:val="660"/>
          <w:tblHeader/>
        </w:trPr>
        <w:tc>
          <w:tcPr>
            <w:tcW w:w="18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786B06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86B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Показатели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пищевой промы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ленности</w:t>
            </w:r>
          </w:p>
        </w:tc>
        <w:tc>
          <w:tcPr>
            <w:tcW w:w="65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786B06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786B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proofErr w:type="gramEnd"/>
            <w:r w:rsidRPr="00786B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зм</w:t>
            </w:r>
            <w:proofErr w:type="spellEnd"/>
            <w:r w:rsidRPr="00786B0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3771B" w:rsidRPr="00CB4231" w:rsidTr="002F2C36">
        <w:trPr>
          <w:trHeight w:val="50"/>
        </w:trPr>
        <w:tc>
          <w:tcPr>
            <w:tcW w:w="18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B" w:rsidRPr="00633EF2" w:rsidRDefault="00F3771B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Индекс промышленного прои</w:t>
            </w: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водства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B" w:rsidRPr="00F3771B" w:rsidRDefault="00F3771B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771B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71B" w:rsidRPr="002F2C36" w:rsidRDefault="00F3771B" w:rsidP="002F2C36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C36">
              <w:rPr>
                <w:rFonts w:ascii="Times New Roman" w:hAnsi="Times New Roman"/>
                <w:bCs/>
                <w:sz w:val="24"/>
                <w:szCs w:val="24"/>
              </w:rPr>
              <w:t>104,4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771B" w:rsidRPr="002F2C36" w:rsidRDefault="00F3771B" w:rsidP="002F2C36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C36">
              <w:rPr>
                <w:rFonts w:ascii="Times New Roman" w:hAnsi="Times New Roman"/>
                <w:bCs/>
                <w:sz w:val="24"/>
                <w:szCs w:val="24"/>
              </w:rPr>
              <w:t>94,2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71B" w:rsidRPr="002F2C36" w:rsidRDefault="00F3771B" w:rsidP="002F2C36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C36">
              <w:rPr>
                <w:rFonts w:ascii="Times New Roman" w:hAnsi="Times New Roman"/>
                <w:bCs/>
                <w:sz w:val="24"/>
                <w:szCs w:val="24"/>
              </w:rPr>
              <w:t>106,4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71B" w:rsidRPr="002F2C36" w:rsidRDefault="00F3771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71B" w:rsidRPr="002F2C36" w:rsidRDefault="00F3771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104,6</w:t>
            </w:r>
          </w:p>
        </w:tc>
      </w:tr>
      <w:tr w:rsidR="00F3771B" w:rsidRPr="006E75DA" w:rsidTr="002F2C36">
        <w:trPr>
          <w:trHeight w:val="60"/>
        </w:trPr>
        <w:tc>
          <w:tcPr>
            <w:tcW w:w="18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B" w:rsidRPr="006E75DA" w:rsidRDefault="00F3771B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Объем отгруженных товаров собственного производства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B" w:rsidRPr="0080081D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млрд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3771B"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F3771B"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="00F3771B"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1D" w:rsidRPr="002F2C36" w:rsidRDefault="0080081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771B" w:rsidRPr="002F2C36" w:rsidRDefault="0080081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18,9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71B" w:rsidRPr="002F2C36" w:rsidRDefault="0080081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71B" w:rsidRPr="002F2C36" w:rsidRDefault="0080081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71B" w:rsidRPr="002F2C36" w:rsidRDefault="0080081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</w:tr>
      <w:tr w:rsidR="00F3771B" w:rsidRPr="00CB4231" w:rsidTr="002F2C36">
        <w:trPr>
          <w:trHeight w:val="60"/>
        </w:trPr>
        <w:tc>
          <w:tcPr>
            <w:tcW w:w="18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B" w:rsidRPr="006E75DA" w:rsidRDefault="00F3771B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Инвестиции в основной капитал по крупным и средним предпр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ятиям и организациям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B" w:rsidRPr="00B87CBB" w:rsidRDefault="00F3771B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мл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Start"/>
            <w:r w:rsidR="00413B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B87CB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71B" w:rsidRPr="002F2C36" w:rsidRDefault="00F3771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1 321,7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771B" w:rsidRPr="002F2C36" w:rsidRDefault="0080081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1 334,2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71B" w:rsidRPr="002F2C36" w:rsidRDefault="0080081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951,3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71B" w:rsidRPr="002F2C36" w:rsidRDefault="0080081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942,8</w:t>
            </w:r>
            <w:r w:rsidR="00F3771B" w:rsidRPr="002F2C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71B" w:rsidRPr="002F2C36" w:rsidRDefault="00F3771B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1</w:t>
            </w:r>
            <w:r w:rsidR="0080081D" w:rsidRPr="002F2C36">
              <w:rPr>
                <w:rFonts w:ascii="Times New Roman" w:hAnsi="Times New Roman"/>
                <w:sz w:val="24"/>
                <w:szCs w:val="24"/>
              </w:rPr>
              <w:t> 367,5</w:t>
            </w:r>
          </w:p>
        </w:tc>
      </w:tr>
      <w:tr w:rsidR="00F3771B" w:rsidRPr="00CB4231" w:rsidTr="002F2C36">
        <w:trPr>
          <w:trHeight w:val="347"/>
        </w:trPr>
        <w:tc>
          <w:tcPr>
            <w:tcW w:w="186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B" w:rsidRPr="0080081D" w:rsidRDefault="00F3771B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Сальдированный финансовый результат (прибыль минус уб</w:t>
            </w:r>
            <w:r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ток) деятельности организаций 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71B" w:rsidRPr="0080081D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F3771B"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F3771B"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="00F3771B"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71B" w:rsidRPr="002F2C36" w:rsidRDefault="0080081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679,6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771B" w:rsidRPr="002F2C36" w:rsidRDefault="0080081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606,3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71B" w:rsidRPr="002F2C36" w:rsidRDefault="0080081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907,6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71B" w:rsidRPr="002F2C36" w:rsidRDefault="0080081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988,9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3771B" w:rsidRPr="002F2C36" w:rsidRDefault="0080081D" w:rsidP="002F2C36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F2C36">
              <w:rPr>
                <w:rFonts w:ascii="Times New Roman" w:hAnsi="Times New Roman"/>
                <w:sz w:val="24"/>
                <w:szCs w:val="24"/>
              </w:rPr>
              <w:t>979,4</w:t>
            </w:r>
          </w:p>
        </w:tc>
      </w:tr>
    </w:tbl>
    <w:p w:rsidR="00786B06" w:rsidRDefault="00786B06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</w:p>
    <w:p w:rsidR="006E75DA" w:rsidRPr="006E75DA" w:rsidRDefault="006E75DA" w:rsidP="00717BAC">
      <w:pPr>
        <w:pStyle w:val="21"/>
        <w:spacing w:after="0" w:line="240" w:lineRule="auto"/>
        <w:ind w:left="0" w:firstLine="709"/>
        <w:rPr>
          <w:rFonts w:ascii="Times New Roman" w:hAnsi="Times New Roman"/>
          <w:szCs w:val="28"/>
        </w:rPr>
      </w:pPr>
      <w:proofErr w:type="gramStart"/>
      <w:r w:rsidRPr="006E75DA">
        <w:rPr>
          <w:rFonts w:ascii="Times New Roman" w:hAnsi="Times New Roman"/>
          <w:szCs w:val="28"/>
        </w:rPr>
        <w:t>В Перми располага</w:t>
      </w:r>
      <w:r w:rsidR="008B3325">
        <w:rPr>
          <w:rFonts w:ascii="Times New Roman" w:hAnsi="Times New Roman"/>
          <w:szCs w:val="28"/>
        </w:rPr>
        <w:t>ю</w:t>
      </w:r>
      <w:r w:rsidRPr="006E75DA">
        <w:rPr>
          <w:rFonts w:ascii="Times New Roman" w:hAnsi="Times New Roman"/>
          <w:szCs w:val="28"/>
        </w:rPr>
        <w:t>тся несколько десятков предприятий пищевой пр</w:t>
      </w:r>
      <w:r w:rsidRPr="006E75DA">
        <w:rPr>
          <w:rFonts w:ascii="Times New Roman" w:hAnsi="Times New Roman"/>
          <w:szCs w:val="28"/>
        </w:rPr>
        <w:t>о</w:t>
      </w:r>
      <w:r w:rsidRPr="006E75DA">
        <w:rPr>
          <w:rFonts w:ascii="Times New Roman" w:hAnsi="Times New Roman"/>
          <w:szCs w:val="28"/>
        </w:rPr>
        <w:t xml:space="preserve">мышленности, крупнейшие из них – ОАО «Пермский мясокомбинат», </w:t>
      </w:r>
      <w:r w:rsidR="00EB1361">
        <w:rPr>
          <w:rFonts w:ascii="Times New Roman" w:hAnsi="Times New Roman"/>
          <w:szCs w:val="28"/>
        </w:rPr>
        <w:br/>
      </w:r>
      <w:r w:rsidRPr="006E75DA">
        <w:rPr>
          <w:rFonts w:ascii="Times New Roman" w:hAnsi="Times New Roman"/>
          <w:szCs w:val="28"/>
        </w:rPr>
        <w:t>ОАО</w:t>
      </w:r>
      <w:r w:rsidR="006D054D">
        <w:rPr>
          <w:rFonts w:ascii="Times New Roman" w:hAnsi="Times New Roman"/>
          <w:szCs w:val="28"/>
        </w:rPr>
        <w:t xml:space="preserve"> </w:t>
      </w:r>
      <w:r w:rsidRPr="006E75DA">
        <w:rPr>
          <w:rFonts w:ascii="Times New Roman" w:hAnsi="Times New Roman"/>
          <w:szCs w:val="28"/>
        </w:rPr>
        <w:t>«Пермский мукомольный завод», кондитерские фабрики «Камская</w:t>
      </w:r>
      <w:r w:rsidR="006D054D">
        <w:rPr>
          <w:rFonts w:ascii="Times New Roman" w:hAnsi="Times New Roman"/>
          <w:szCs w:val="28"/>
        </w:rPr>
        <w:t>»</w:t>
      </w:r>
      <w:r w:rsidRPr="006E75DA">
        <w:rPr>
          <w:rFonts w:ascii="Times New Roman" w:hAnsi="Times New Roman"/>
          <w:szCs w:val="28"/>
        </w:rPr>
        <w:t xml:space="preserve"> </w:t>
      </w:r>
      <w:r w:rsidR="00413B6C">
        <w:rPr>
          <w:rFonts w:ascii="Times New Roman" w:hAnsi="Times New Roman"/>
          <w:szCs w:val="28"/>
        </w:rPr>
        <w:br/>
      </w:r>
      <w:r w:rsidRPr="006E75DA">
        <w:rPr>
          <w:rFonts w:ascii="Times New Roman" w:hAnsi="Times New Roman"/>
          <w:szCs w:val="28"/>
        </w:rPr>
        <w:t xml:space="preserve">и «Пермская», Пермский филиал ОАО «САН </w:t>
      </w:r>
      <w:proofErr w:type="spellStart"/>
      <w:r w:rsidRPr="006E75DA">
        <w:rPr>
          <w:rFonts w:ascii="Times New Roman" w:hAnsi="Times New Roman"/>
          <w:szCs w:val="28"/>
        </w:rPr>
        <w:t>Инбев</w:t>
      </w:r>
      <w:proofErr w:type="spellEnd"/>
      <w:r w:rsidRPr="006E75DA">
        <w:rPr>
          <w:rFonts w:ascii="Times New Roman" w:hAnsi="Times New Roman"/>
          <w:szCs w:val="28"/>
        </w:rPr>
        <w:t>», ОАО «</w:t>
      </w:r>
      <w:proofErr w:type="spellStart"/>
      <w:r w:rsidRPr="006E75DA">
        <w:rPr>
          <w:rFonts w:ascii="Times New Roman" w:hAnsi="Times New Roman"/>
          <w:szCs w:val="28"/>
        </w:rPr>
        <w:t>Пермалко</w:t>
      </w:r>
      <w:proofErr w:type="spellEnd"/>
      <w:r w:rsidRPr="006E75DA">
        <w:rPr>
          <w:rFonts w:ascii="Times New Roman" w:hAnsi="Times New Roman"/>
          <w:szCs w:val="28"/>
        </w:rPr>
        <w:t>» и др</w:t>
      </w:r>
      <w:r w:rsidRPr="006E75DA">
        <w:rPr>
          <w:rFonts w:ascii="Times New Roman" w:hAnsi="Times New Roman"/>
          <w:szCs w:val="28"/>
        </w:rPr>
        <w:t>у</w:t>
      </w:r>
      <w:r w:rsidRPr="006E75DA">
        <w:rPr>
          <w:rFonts w:ascii="Times New Roman" w:hAnsi="Times New Roman"/>
          <w:szCs w:val="28"/>
        </w:rPr>
        <w:t xml:space="preserve">гие. </w:t>
      </w:r>
      <w:proofErr w:type="gramEnd"/>
    </w:p>
    <w:p w:rsidR="006E75DA" w:rsidRDefault="006E75DA" w:rsidP="00717BAC">
      <w:pPr>
        <w:pStyle w:val="21"/>
        <w:spacing w:after="0" w:line="240" w:lineRule="auto"/>
        <w:ind w:left="0" w:firstLine="709"/>
        <w:rPr>
          <w:rFonts w:ascii="Times New Roman" w:eastAsia="Calibri" w:hAnsi="Times New Roman"/>
          <w:bCs/>
          <w:szCs w:val="28"/>
        </w:rPr>
      </w:pPr>
      <w:r w:rsidRPr="006E75DA">
        <w:rPr>
          <w:rFonts w:ascii="Times New Roman" w:eastAsia="Calibri" w:hAnsi="Times New Roman"/>
          <w:b/>
          <w:bCs/>
          <w:i/>
          <w:szCs w:val="28"/>
        </w:rPr>
        <w:t>Производство</w:t>
      </w:r>
      <w:r w:rsidR="00413B6C">
        <w:rPr>
          <w:rFonts w:ascii="Times New Roman" w:eastAsia="Calibri" w:hAnsi="Times New Roman"/>
          <w:b/>
          <w:bCs/>
          <w:i/>
          <w:szCs w:val="28"/>
        </w:rPr>
        <w:t xml:space="preserve"> </w:t>
      </w:r>
      <w:r w:rsidRPr="006E75DA">
        <w:rPr>
          <w:rFonts w:ascii="Times New Roman" w:eastAsia="Calibri" w:hAnsi="Times New Roman"/>
          <w:b/>
          <w:bCs/>
          <w:i/>
          <w:szCs w:val="28"/>
        </w:rPr>
        <w:t>строительных</w:t>
      </w:r>
      <w:r w:rsidR="00413B6C">
        <w:rPr>
          <w:rFonts w:ascii="Times New Roman" w:eastAsia="Calibri" w:hAnsi="Times New Roman"/>
          <w:b/>
          <w:bCs/>
          <w:i/>
          <w:szCs w:val="28"/>
        </w:rPr>
        <w:t xml:space="preserve"> </w:t>
      </w:r>
      <w:r w:rsidRPr="006E75DA">
        <w:rPr>
          <w:rFonts w:ascii="Times New Roman" w:eastAsia="Calibri" w:hAnsi="Times New Roman"/>
          <w:b/>
          <w:bCs/>
          <w:i/>
          <w:szCs w:val="28"/>
        </w:rPr>
        <w:t>материалов</w:t>
      </w:r>
      <w:r w:rsidRPr="006E75DA">
        <w:rPr>
          <w:rFonts w:ascii="Times New Roman" w:eastAsia="Calibri" w:hAnsi="Times New Roman"/>
          <w:bCs/>
          <w:szCs w:val="28"/>
        </w:rPr>
        <w:t xml:space="preserve"> выросло</w:t>
      </w:r>
      <w:r w:rsidR="00413B6C">
        <w:rPr>
          <w:rFonts w:ascii="Times New Roman" w:eastAsia="Calibri" w:hAnsi="Times New Roman"/>
          <w:bCs/>
          <w:szCs w:val="28"/>
        </w:rPr>
        <w:t xml:space="preserve"> </w:t>
      </w:r>
      <w:r w:rsidRPr="006E75DA">
        <w:rPr>
          <w:rFonts w:ascii="Times New Roman" w:eastAsia="Calibri" w:hAnsi="Times New Roman"/>
          <w:bCs/>
          <w:szCs w:val="28"/>
        </w:rPr>
        <w:t xml:space="preserve">в </w:t>
      </w:r>
      <w:r w:rsidR="00413B6C">
        <w:rPr>
          <w:rFonts w:ascii="Times New Roman" w:eastAsia="Calibri" w:hAnsi="Times New Roman"/>
          <w:bCs/>
          <w:szCs w:val="28"/>
        </w:rPr>
        <w:t>2012</w:t>
      </w:r>
      <w:r w:rsidR="006D054D">
        <w:rPr>
          <w:rFonts w:ascii="Times New Roman" w:eastAsia="Calibri" w:hAnsi="Times New Roman"/>
          <w:bCs/>
          <w:szCs w:val="28"/>
        </w:rPr>
        <w:t xml:space="preserve"> </w:t>
      </w:r>
      <w:r w:rsidRPr="006E75DA">
        <w:rPr>
          <w:rFonts w:ascii="Times New Roman" w:eastAsia="Calibri" w:hAnsi="Times New Roman"/>
          <w:bCs/>
          <w:szCs w:val="28"/>
        </w:rPr>
        <w:t>году на 15,4% по сравнению с предыдущим годом. В данной отрасли отмечен рост произво</w:t>
      </w:r>
      <w:r w:rsidRPr="006E75DA">
        <w:rPr>
          <w:rFonts w:ascii="Times New Roman" w:eastAsia="Calibri" w:hAnsi="Times New Roman"/>
          <w:bCs/>
          <w:szCs w:val="28"/>
        </w:rPr>
        <w:t>д</w:t>
      </w:r>
      <w:r w:rsidRPr="006E75DA">
        <w:rPr>
          <w:rFonts w:ascii="Times New Roman" w:eastAsia="Calibri" w:hAnsi="Times New Roman"/>
          <w:bCs/>
          <w:szCs w:val="28"/>
        </w:rPr>
        <w:t>ства по большинству позиций номенклатуры продукции: строительной извести (123,8% к уровню 2011 года), сборных железобетонных конструкций (122,5%), плит и листов из гипса (111,0%), мелких стеновых крупных блоков из бетона (106,6%). В то же время в 2 раза упало производство крупных стеновых блоков.</w:t>
      </w:r>
    </w:p>
    <w:p w:rsidR="006D054D" w:rsidRDefault="006D054D" w:rsidP="00717BAC">
      <w:pPr>
        <w:pStyle w:val="21"/>
        <w:spacing w:after="0" w:line="240" w:lineRule="auto"/>
        <w:ind w:left="0" w:firstLine="709"/>
        <w:rPr>
          <w:rFonts w:ascii="Times New Roman" w:eastAsia="Calibri" w:hAnsi="Times New Roman"/>
          <w:bCs/>
          <w:szCs w:val="28"/>
        </w:rPr>
      </w:pP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08"/>
        <w:gridCol w:w="1293"/>
        <w:gridCol w:w="980"/>
        <w:gridCol w:w="980"/>
        <w:gridCol w:w="980"/>
        <w:gridCol w:w="980"/>
        <w:gridCol w:w="976"/>
      </w:tblGrid>
      <w:tr w:rsidR="00413B6C" w:rsidRPr="006D054D" w:rsidTr="00413B6C">
        <w:trPr>
          <w:trHeight w:val="660"/>
          <w:tblHeader/>
        </w:trPr>
        <w:tc>
          <w:tcPr>
            <w:tcW w:w="19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6D054D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D054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Показатели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сфере производства строительных материалов</w:t>
            </w:r>
          </w:p>
        </w:tc>
        <w:tc>
          <w:tcPr>
            <w:tcW w:w="64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6D054D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6D054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proofErr w:type="gramEnd"/>
            <w:r w:rsidRPr="006D054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зм</w:t>
            </w:r>
            <w:proofErr w:type="spellEnd"/>
            <w:r w:rsidRPr="006D054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13B6C" w:rsidRPr="00965D73" w:rsidRDefault="00413B6C" w:rsidP="00413B6C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0081D" w:rsidRPr="00CB4231" w:rsidTr="00EB1361">
        <w:trPr>
          <w:trHeight w:val="50"/>
        </w:trPr>
        <w:tc>
          <w:tcPr>
            <w:tcW w:w="1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1D" w:rsidRPr="00633EF2" w:rsidRDefault="0080081D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Индекс промышленного прои</w:t>
            </w: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633EF2">
              <w:rPr>
                <w:rFonts w:ascii="Times New Roman" w:hAnsi="Times New Roman"/>
                <w:color w:val="000000"/>
                <w:sz w:val="24"/>
                <w:szCs w:val="24"/>
              </w:rPr>
              <w:t>водства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1D" w:rsidRPr="0080081D" w:rsidRDefault="0080081D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1D" w:rsidRPr="00EB1361" w:rsidRDefault="0080081D" w:rsidP="00EB1361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361">
              <w:rPr>
                <w:rFonts w:ascii="Times New Roman" w:hAnsi="Times New Roman"/>
                <w:bCs/>
                <w:sz w:val="24"/>
                <w:szCs w:val="24"/>
              </w:rPr>
              <w:t>84,3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081D" w:rsidRPr="00EB1361" w:rsidRDefault="0080081D" w:rsidP="00EB1361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361">
              <w:rPr>
                <w:rFonts w:ascii="Times New Roman" w:hAnsi="Times New Roman"/>
                <w:bCs/>
                <w:sz w:val="24"/>
                <w:szCs w:val="24"/>
              </w:rPr>
              <w:t>65,3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081D" w:rsidRPr="00EB1361" w:rsidRDefault="0080081D" w:rsidP="00EB1361">
            <w:pPr>
              <w:pStyle w:val="aa"/>
              <w:spacing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EB1361">
              <w:rPr>
                <w:rFonts w:ascii="Times New Roman" w:hAnsi="Times New Roman"/>
                <w:bCs/>
                <w:sz w:val="24"/>
                <w:szCs w:val="24"/>
              </w:rPr>
              <w:t>115,3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125,4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115,4</w:t>
            </w:r>
          </w:p>
        </w:tc>
      </w:tr>
      <w:tr w:rsidR="0080081D" w:rsidRPr="006E75DA" w:rsidTr="00EB1361">
        <w:trPr>
          <w:trHeight w:val="60"/>
        </w:trPr>
        <w:tc>
          <w:tcPr>
            <w:tcW w:w="1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1D" w:rsidRPr="006E75DA" w:rsidRDefault="0080081D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Объем отгруженных товаров со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ственного производства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1D" w:rsidRPr="00135017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млрд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0081D" w:rsidRPr="0013501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80081D" w:rsidRPr="00135017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="0080081D" w:rsidRPr="0013501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80081D" w:rsidRPr="00CB4231" w:rsidTr="00EB1361">
        <w:trPr>
          <w:trHeight w:val="60"/>
        </w:trPr>
        <w:tc>
          <w:tcPr>
            <w:tcW w:w="1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1D" w:rsidRPr="006E75DA" w:rsidRDefault="0080081D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Инвестиции в основной капитал по крупным и средним предпри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тиям и организациям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1D" w:rsidRPr="0080081D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0081D"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80081D"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="0080081D"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368,9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457,3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189,7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463,4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613,3</w:t>
            </w:r>
          </w:p>
        </w:tc>
      </w:tr>
      <w:tr w:rsidR="0080081D" w:rsidRPr="00CB4231" w:rsidTr="00EB1361">
        <w:trPr>
          <w:trHeight w:val="435"/>
        </w:trPr>
        <w:tc>
          <w:tcPr>
            <w:tcW w:w="190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1D" w:rsidRPr="006E75DA" w:rsidRDefault="0080081D" w:rsidP="00717BAC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Сальдированный финансовый р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6E75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зультат (прибыль минус убыток) деятельности организаций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1D" w:rsidRPr="0080081D" w:rsidRDefault="00413B6C" w:rsidP="00717BA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80081D"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="0080081D"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="0080081D" w:rsidRPr="0080081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704,9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271,3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-62,5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-32,4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081D" w:rsidRPr="00EB1361" w:rsidRDefault="0080081D" w:rsidP="00EB1361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1361">
              <w:rPr>
                <w:rFonts w:ascii="Times New Roman" w:hAnsi="Times New Roman"/>
                <w:sz w:val="24"/>
                <w:szCs w:val="24"/>
              </w:rPr>
              <w:t>67,0</w:t>
            </w:r>
          </w:p>
        </w:tc>
      </w:tr>
    </w:tbl>
    <w:p w:rsidR="00413B6C" w:rsidRDefault="00413B6C" w:rsidP="00717BAC">
      <w:pPr>
        <w:pStyle w:val="21"/>
        <w:spacing w:after="0" w:line="240" w:lineRule="auto"/>
        <w:ind w:left="0" w:firstLine="709"/>
        <w:rPr>
          <w:rFonts w:ascii="Times New Roman" w:eastAsia="Calibri" w:hAnsi="Times New Roman"/>
          <w:bCs/>
          <w:szCs w:val="28"/>
        </w:rPr>
      </w:pPr>
    </w:p>
    <w:p w:rsidR="006E75DA" w:rsidRPr="006E75DA" w:rsidRDefault="006E75DA" w:rsidP="00717BAC">
      <w:pPr>
        <w:pStyle w:val="21"/>
        <w:spacing w:after="0" w:line="240" w:lineRule="auto"/>
        <w:ind w:left="0" w:firstLine="709"/>
        <w:rPr>
          <w:rFonts w:ascii="Times New Roman" w:eastAsia="Calibri" w:hAnsi="Times New Roman"/>
          <w:bCs/>
          <w:szCs w:val="28"/>
        </w:rPr>
      </w:pPr>
      <w:r w:rsidRPr="006E75DA">
        <w:rPr>
          <w:rFonts w:ascii="Times New Roman" w:eastAsia="Calibri" w:hAnsi="Times New Roman"/>
          <w:bCs/>
          <w:szCs w:val="28"/>
        </w:rPr>
        <w:t>Увеличение производства по данному виду деятельности и относительно невысокий рост цен</w:t>
      </w:r>
      <w:r w:rsidR="006D054D">
        <w:rPr>
          <w:rFonts w:ascii="Times New Roman" w:eastAsia="Calibri" w:hAnsi="Times New Roman"/>
          <w:bCs/>
          <w:szCs w:val="28"/>
        </w:rPr>
        <w:t xml:space="preserve"> </w:t>
      </w:r>
      <w:r w:rsidRPr="006E75DA">
        <w:rPr>
          <w:rFonts w:ascii="Times New Roman" w:eastAsia="Calibri" w:hAnsi="Times New Roman"/>
          <w:bCs/>
          <w:szCs w:val="28"/>
        </w:rPr>
        <w:t>на строительную продукцию (102,1% к декабрю 2011 года) способствовали росту объемов строительства.</w:t>
      </w:r>
    </w:p>
    <w:p w:rsidR="006E75DA" w:rsidRPr="006E75DA" w:rsidRDefault="006E75DA" w:rsidP="00717BAC">
      <w:pPr>
        <w:pStyle w:val="21"/>
        <w:spacing w:after="0" w:line="240" w:lineRule="auto"/>
        <w:ind w:left="0" w:firstLine="709"/>
        <w:rPr>
          <w:rFonts w:ascii="Times New Roman" w:eastAsia="Calibri" w:hAnsi="Times New Roman"/>
          <w:bCs/>
          <w:szCs w:val="28"/>
        </w:rPr>
      </w:pPr>
      <w:r w:rsidRPr="006E75DA">
        <w:rPr>
          <w:rFonts w:ascii="Times New Roman" w:eastAsia="Calibri" w:hAnsi="Times New Roman"/>
          <w:bCs/>
          <w:szCs w:val="28"/>
        </w:rPr>
        <w:t>Предприятия Перми, производящие строительные материалы: Пермский завод строительных материалов и конструкций, ОАО «Пермский завод силика</w:t>
      </w:r>
      <w:r w:rsidRPr="006E75DA">
        <w:rPr>
          <w:rFonts w:ascii="Times New Roman" w:eastAsia="Calibri" w:hAnsi="Times New Roman"/>
          <w:bCs/>
          <w:szCs w:val="28"/>
        </w:rPr>
        <w:t>т</w:t>
      </w:r>
      <w:r w:rsidRPr="006E75DA">
        <w:rPr>
          <w:rFonts w:ascii="Times New Roman" w:eastAsia="Calibri" w:hAnsi="Times New Roman"/>
          <w:bCs/>
          <w:szCs w:val="28"/>
        </w:rPr>
        <w:t>ных панелей</w:t>
      </w:r>
      <w:r w:rsidRPr="00626C2D">
        <w:rPr>
          <w:rFonts w:ascii="Times New Roman" w:eastAsia="Calibri" w:hAnsi="Times New Roman"/>
          <w:bCs/>
          <w:szCs w:val="28"/>
        </w:rPr>
        <w:t xml:space="preserve">», </w:t>
      </w:r>
      <w:r w:rsidRPr="00626C2D">
        <w:rPr>
          <w:rFonts w:ascii="Times New Roman" w:eastAsia="Calibri" w:hAnsi="Times New Roman"/>
          <w:szCs w:val="28"/>
          <w:lang w:eastAsia="en-US"/>
        </w:rPr>
        <w:t xml:space="preserve">Пермский завод дорожно-строительных материалов, </w:t>
      </w:r>
      <w:r w:rsidR="00413B6C">
        <w:rPr>
          <w:rFonts w:ascii="Times New Roman" w:eastAsia="Calibri" w:hAnsi="Times New Roman"/>
          <w:szCs w:val="28"/>
          <w:lang w:eastAsia="en-US"/>
        </w:rPr>
        <w:br/>
      </w:r>
      <w:r w:rsidRPr="00626C2D">
        <w:rPr>
          <w:rStyle w:val="af3"/>
          <w:rFonts w:ascii="Times New Roman" w:hAnsi="Times New Roman"/>
          <w:b w:val="0"/>
          <w:szCs w:val="28"/>
          <w:bdr w:val="none" w:sz="0" w:space="0" w:color="auto" w:frame="1"/>
        </w:rPr>
        <w:t>ОАО «</w:t>
      </w:r>
      <w:proofErr w:type="spellStart"/>
      <w:r w:rsidRPr="00626C2D">
        <w:rPr>
          <w:rStyle w:val="af3"/>
          <w:rFonts w:ascii="Times New Roman" w:hAnsi="Times New Roman"/>
          <w:b w:val="0"/>
          <w:szCs w:val="28"/>
          <w:bdr w:val="none" w:sz="0" w:space="0" w:color="auto" w:frame="1"/>
        </w:rPr>
        <w:t>СтройПанельКомплект</w:t>
      </w:r>
      <w:proofErr w:type="spellEnd"/>
      <w:r w:rsidRPr="00626C2D">
        <w:rPr>
          <w:rStyle w:val="af3"/>
          <w:rFonts w:ascii="Times New Roman" w:hAnsi="Times New Roman"/>
          <w:b w:val="0"/>
          <w:szCs w:val="28"/>
          <w:bdr w:val="none" w:sz="0" w:space="0" w:color="auto" w:frame="1"/>
        </w:rPr>
        <w:t>»</w:t>
      </w:r>
      <w:r w:rsidRPr="00626C2D">
        <w:rPr>
          <w:rFonts w:ascii="Times New Roman" w:eastAsia="Calibri" w:hAnsi="Times New Roman"/>
          <w:szCs w:val="28"/>
          <w:lang w:eastAsia="en-US"/>
        </w:rPr>
        <w:t xml:space="preserve"> и другие</w:t>
      </w:r>
      <w:r w:rsidRPr="006E75DA">
        <w:rPr>
          <w:rFonts w:ascii="Times New Roman" w:eastAsia="Calibri" w:hAnsi="Times New Roman"/>
          <w:color w:val="333333"/>
          <w:szCs w:val="28"/>
          <w:lang w:eastAsia="en-US"/>
        </w:rPr>
        <w:t>.</w:t>
      </w:r>
    </w:p>
    <w:p w:rsidR="006E75DA" w:rsidRPr="006E75DA" w:rsidRDefault="006E75DA" w:rsidP="00717BAC">
      <w:pPr>
        <w:pStyle w:val="a3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E75DA">
        <w:rPr>
          <w:rStyle w:val="af3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В 2012 году</w:t>
      </w:r>
      <w:r w:rsidRPr="006E75DA">
        <w:rPr>
          <w:rFonts w:ascii="Times New Roman" w:hAnsi="Times New Roman"/>
          <w:sz w:val="28"/>
          <w:szCs w:val="28"/>
        </w:rPr>
        <w:t xml:space="preserve"> в новом цехе</w:t>
      </w:r>
      <w:r w:rsidR="00626C2D">
        <w:rPr>
          <w:rFonts w:ascii="Times New Roman" w:hAnsi="Times New Roman"/>
          <w:sz w:val="28"/>
          <w:szCs w:val="28"/>
        </w:rPr>
        <w:t xml:space="preserve"> </w:t>
      </w:r>
      <w:r w:rsidRPr="006E75DA">
        <w:rPr>
          <w:rStyle w:val="af3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ОАО «</w:t>
      </w:r>
      <w:proofErr w:type="spellStart"/>
      <w:r w:rsidRPr="006E75DA">
        <w:rPr>
          <w:rStyle w:val="af3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СтройПанельКомплект</w:t>
      </w:r>
      <w:proofErr w:type="spellEnd"/>
      <w:r w:rsidRPr="006E75DA">
        <w:rPr>
          <w:rStyle w:val="af3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>»</w:t>
      </w:r>
      <w:r w:rsidR="00626C2D">
        <w:rPr>
          <w:rStyle w:val="af3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Pr="006E75DA">
        <w:rPr>
          <w:rFonts w:ascii="Times New Roman" w:hAnsi="Times New Roman"/>
          <w:sz w:val="28"/>
          <w:szCs w:val="28"/>
        </w:rPr>
        <w:t>был осуществлён технический пуск новой технологической линии по производству стеновых п</w:t>
      </w:r>
      <w:r w:rsidRPr="006E75DA">
        <w:rPr>
          <w:rFonts w:ascii="Times New Roman" w:hAnsi="Times New Roman"/>
          <w:sz w:val="28"/>
          <w:szCs w:val="28"/>
        </w:rPr>
        <w:t>а</w:t>
      </w:r>
      <w:r w:rsidRPr="006E75DA">
        <w:rPr>
          <w:rFonts w:ascii="Times New Roman" w:hAnsi="Times New Roman"/>
          <w:sz w:val="28"/>
          <w:szCs w:val="28"/>
        </w:rPr>
        <w:t xml:space="preserve">нелей из керамических блоков. С запуском новой линии компания создала новые рабочие места. </w:t>
      </w:r>
    </w:p>
    <w:p w:rsidR="006E75DA" w:rsidRPr="006E75DA" w:rsidRDefault="006E75DA" w:rsidP="00717BAC">
      <w:pPr>
        <w:pStyle w:val="a6"/>
        <w:spacing w:after="0" w:line="240" w:lineRule="auto"/>
        <w:ind w:firstLine="709"/>
        <w:rPr>
          <w:rStyle w:val="ae"/>
          <w:rFonts w:ascii="Times New Roman" w:hAnsi="Times New Roman"/>
          <w:b/>
          <w:color w:val="auto"/>
          <w:u w:val="none"/>
        </w:rPr>
      </w:pPr>
    </w:p>
    <w:p w:rsidR="00761CD4" w:rsidRPr="00C32676" w:rsidRDefault="00761CD4" w:rsidP="00717BAC">
      <w:pPr>
        <w:pStyle w:val="a6"/>
        <w:spacing w:after="0" w:line="240" w:lineRule="auto"/>
        <w:ind w:firstLine="720"/>
        <w:rPr>
          <w:rStyle w:val="ae"/>
          <w:b/>
          <w:color w:val="auto"/>
          <w:u w:val="none"/>
        </w:rPr>
      </w:pPr>
      <w:r w:rsidRPr="00C32676">
        <w:rPr>
          <w:rStyle w:val="ae"/>
          <w:b/>
          <w:color w:val="auto"/>
          <w:u w:val="none"/>
        </w:rPr>
        <w:t>2.</w:t>
      </w:r>
      <w:r w:rsidR="00626C2D">
        <w:rPr>
          <w:rStyle w:val="ae"/>
          <w:b/>
          <w:color w:val="auto"/>
          <w:u w:val="none"/>
        </w:rPr>
        <w:t>3</w:t>
      </w:r>
      <w:r w:rsidRPr="00C32676">
        <w:rPr>
          <w:rStyle w:val="ae"/>
          <w:b/>
          <w:color w:val="auto"/>
          <w:u w:val="none"/>
        </w:rPr>
        <w:t>. Инвестиции в реальный сектор экономики</w:t>
      </w:r>
    </w:p>
    <w:p w:rsidR="00E91180" w:rsidRDefault="00E91180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AF0CD3">
        <w:rPr>
          <w:rFonts w:ascii="Times New Roman" w:hAnsi="Times New Roman"/>
          <w:szCs w:val="28"/>
        </w:rPr>
        <w:t xml:space="preserve">Несмотря на спад промышленности </w:t>
      </w:r>
      <w:r>
        <w:rPr>
          <w:rFonts w:ascii="Times New Roman" w:hAnsi="Times New Roman"/>
          <w:szCs w:val="28"/>
        </w:rPr>
        <w:t>2012</w:t>
      </w:r>
      <w:r w:rsidRPr="00AF0CD3">
        <w:rPr>
          <w:rFonts w:ascii="Times New Roman" w:hAnsi="Times New Roman"/>
          <w:szCs w:val="28"/>
        </w:rPr>
        <w:t xml:space="preserve"> год характеризовался небольшим ростом инвестиционной активности в Перми. По итогам 2012 года </w:t>
      </w:r>
      <w:r w:rsidRPr="00E91180">
        <w:rPr>
          <w:rFonts w:ascii="Times New Roman" w:hAnsi="Times New Roman"/>
          <w:szCs w:val="28"/>
        </w:rPr>
        <w:t xml:space="preserve">инвестиции </w:t>
      </w:r>
      <w:r w:rsidR="00413B6C">
        <w:rPr>
          <w:rFonts w:ascii="Times New Roman" w:hAnsi="Times New Roman"/>
          <w:szCs w:val="28"/>
        </w:rPr>
        <w:br/>
      </w:r>
      <w:r w:rsidRPr="00E91180">
        <w:rPr>
          <w:rFonts w:ascii="Times New Roman" w:hAnsi="Times New Roman"/>
          <w:szCs w:val="28"/>
        </w:rPr>
        <w:t>в основной капитал</w:t>
      </w:r>
      <w:r w:rsidRPr="00AF0CD3">
        <w:rPr>
          <w:rFonts w:ascii="Times New Roman" w:hAnsi="Times New Roman"/>
          <w:szCs w:val="28"/>
        </w:rPr>
        <w:t xml:space="preserve"> увеличились на 4,9% (в сопоставимых ценах), со</w:t>
      </w:r>
      <w:r w:rsidR="00C07570">
        <w:rPr>
          <w:rFonts w:ascii="Times New Roman" w:hAnsi="Times New Roman"/>
          <w:szCs w:val="28"/>
        </w:rPr>
        <w:t xml:space="preserve">ставив </w:t>
      </w:r>
      <w:r w:rsidR="00C07570">
        <w:rPr>
          <w:rFonts w:ascii="Times New Roman" w:hAnsi="Times New Roman"/>
          <w:szCs w:val="28"/>
        </w:rPr>
        <w:br/>
        <w:t xml:space="preserve">80,0 </w:t>
      </w:r>
      <w:proofErr w:type="spellStart"/>
      <w:r w:rsidR="00C07570">
        <w:rPr>
          <w:rFonts w:ascii="Times New Roman" w:hAnsi="Times New Roman"/>
          <w:szCs w:val="28"/>
        </w:rPr>
        <w:t>млрд</w:t>
      </w:r>
      <w:proofErr w:type="gramStart"/>
      <w:r w:rsidR="00C07570">
        <w:rPr>
          <w:rFonts w:ascii="Times New Roman" w:hAnsi="Times New Roman"/>
          <w:szCs w:val="28"/>
        </w:rPr>
        <w:t>.</w:t>
      </w:r>
      <w:r w:rsidRPr="00AF0CD3">
        <w:rPr>
          <w:rFonts w:ascii="Times New Roman" w:hAnsi="Times New Roman"/>
          <w:szCs w:val="28"/>
        </w:rPr>
        <w:t>р</w:t>
      </w:r>
      <w:proofErr w:type="gramEnd"/>
      <w:r w:rsidRPr="00AF0CD3">
        <w:rPr>
          <w:rFonts w:ascii="Times New Roman" w:hAnsi="Times New Roman"/>
          <w:szCs w:val="28"/>
        </w:rPr>
        <w:t>уб</w:t>
      </w:r>
      <w:proofErr w:type="spellEnd"/>
      <w:r w:rsidR="006D054D">
        <w:rPr>
          <w:rFonts w:ascii="Times New Roman" w:hAnsi="Times New Roman"/>
          <w:szCs w:val="28"/>
        </w:rPr>
        <w:t>.</w:t>
      </w:r>
      <w:r w:rsidRPr="00AF0CD3">
        <w:rPr>
          <w:rFonts w:ascii="Times New Roman" w:hAnsi="Times New Roman"/>
          <w:szCs w:val="28"/>
        </w:rPr>
        <w:t xml:space="preserve"> </w:t>
      </w:r>
      <w:r w:rsidR="00626C2D">
        <w:rPr>
          <w:rFonts w:ascii="Times New Roman" w:hAnsi="Times New Roman"/>
          <w:szCs w:val="28"/>
        </w:rPr>
        <w:t>В</w:t>
      </w:r>
      <w:r w:rsidR="00626C2D" w:rsidRPr="00AF0CD3">
        <w:rPr>
          <w:rFonts w:ascii="Times New Roman" w:hAnsi="Times New Roman"/>
          <w:szCs w:val="28"/>
        </w:rPr>
        <w:t xml:space="preserve"> 2012 году </w:t>
      </w:r>
      <w:r w:rsidR="00626C2D">
        <w:rPr>
          <w:rFonts w:ascii="Times New Roman" w:hAnsi="Times New Roman"/>
          <w:szCs w:val="28"/>
        </w:rPr>
        <w:t>и</w:t>
      </w:r>
      <w:r w:rsidRPr="00AF0CD3">
        <w:rPr>
          <w:rFonts w:ascii="Times New Roman" w:hAnsi="Times New Roman"/>
          <w:szCs w:val="28"/>
        </w:rPr>
        <w:t>нвестиционные вложения в экономику города с</w:t>
      </w:r>
      <w:r w:rsidRPr="00AF0CD3">
        <w:rPr>
          <w:rFonts w:ascii="Times New Roman" w:hAnsi="Times New Roman"/>
          <w:szCs w:val="28"/>
        </w:rPr>
        <w:t>о</w:t>
      </w:r>
      <w:r w:rsidRPr="00AF0CD3">
        <w:rPr>
          <w:rFonts w:ascii="Times New Roman" w:hAnsi="Times New Roman"/>
          <w:szCs w:val="28"/>
        </w:rPr>
        <w:t>ставили 50,5% от инвестиций в Пермский край</w:t>
      </w:r>
      <w:r w:rsidR="006D054D">
        <w:rPr>
          <w:rFonts w:ascii="Times New Roman" w:hAnsi="Times New Roman"/>
          <w:szCs w:val="28"/>
        </w:rPr>
        <w:t xml:space="preserve">, </w:t>
      </w:r>
      <w:r w:rsidRPr="00AF0CD3">
        <w:rPr>
          <w:rFonts w:ascii="Times New Roman" w:hAnsi="Times New Roman"/>
          <w:szCs w:val="28"/>
        </w:rPr>
        <w:t>в 2011 году – 46,6%.</w:t>
      </w:r>
    </w:p>
    <w:p w:rsidR="00E91180" w:rsidRDefault="00E91180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 период 2008-2012 годов инвестиции выросли на 22,4%, докризисный уровень </w:t>
      </w:r>
      <w:proofErr w:type="gramStart"/>
      <w:r>
        <w:rPr>
          <w:rFonts w:ascii="Times New Roman" w:hAnsi="Times New Roman"/>
          <w:szCs w:val="28"/>
        </w:rPr>
        <w:t>был</w:t>
      </w:r>
      <w:proofErr w:type="gramEnd"/>
      <w:r>
        <w:rPr>
          <w:rFonts w:ascii="Times New Roman" w:hAnsi="Times New Roman"/>
          <w:szCs w:val="28"/>
        </w:rPr>
        <w:t xml:space="preserve"> достигнут и превышен в 2011 году</w:t>
      </w:r>
      <w:r w:rsidR="00CE6E1F">
        <w:rPr>
          <w:rFonts w:ascii="Times New Roman" w:hAnsi="Times New Roman"/>
          <w:szCs w:val="28"/>
        </w:rPr>
        <w:t>.</w:t>
      </w:r>
    </w:p>
    <w:p w:rsidR="00E91180" w:rsidRDefault="00E91180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AF0CD3">
        <w:rPr>
          <w:rFonts w:ascii="Times New Roman" w:hAnsi="Times New Roman"/>
          <w:szCs w:val="28"/>
        </w:rPr>
        <w:t>Инвестиции в основной капитал в среднем на душу населения города Пе</w:t>
      </w:r>
      <w:r w:rsidRPr="00AF0CD3">
        <w:rPr>
          <w:rFonts w:ascii="Times New Roman" w:hAnsi="Times New Roman"/>
          <w:szCs w:val="28"/>
        </w:rPr>
        <w:t>р</w:t>
      </w:r>
      <w:r w:rsidRPr="00AF0CD3">
        <w:rPr>
          <w:rFonts w:ascii="Times New Roman" w:hAnsi="Times New Roman"/>
          <w:szCs w:val="28"/>
        </w:rPr>
        <w:t xml:space="preserve">ми </w:t>
      </w:r>
      <w:r w:rsidR="00EB1361">
        <w:rPr>
          <w:rFonts w:ascii="Times New Roman" w:hAnsi="Times New Roman"/>
          <w:szCs w:val="28"/>
        </w:rPr>
        <w:t xml:space="preserve">в 2012 году составили 80,0 </w:t>
      </w:r>
      <w:proofErr w:type="spellStart"/>
      <w:r w:rsidR="00EB1361">
        <w:rPr>
          <w:rFonts w:ascii="Times New Roman" w:hAnsi="Times New Roman"/>
          <w:szCs w:val="28"/>
        </w:rPr>
        <w:t>тыс</w:t>
      </w:r>
      <w:proofErr w:type="gramStart"/>
      <w:r w:rsidR="00EB1361">
        <w:rPr>
          <w:rFonts w:ascii="Times New Roman" w:hAnsi="Times New Roman"/>
          <w:szCs w:val="28"/>
        </w:rPr>
        <w:t>.</w:t>
      </w:r>
      <w:r w:rsidRPr="00AF0CD3">
        <w:rPr>
          <w:rFonts w:ascii="Times New Roman" w:hAnsi="Times New Roman"/>
          <w:szCs w:val="28"/>
        </w:rPr>
        <w:t>р</w:t>
      </w:r>
      <w:proofErr w:type="gramEnd"/>
      <w:r w:rsidRPr="00AF0CD3">
        <w:rPr>
          <w:rFonts w:ascii="Times New Roman" w:hAnsi="Times New Roman"/>
          <w:szCs w:val="28"/>
        </w:rPr>
        <w:t>уб</w:t>
      </w:r>
      <w:proofErr w:type="spellEnd"/>
      <w:r w:rsidRPr="00AF0CD3">
        <w:rPr>
          <w:rFonts w:ascii="Times New Roman" w:hAnsi="Times New Roman"/>
          <w:szCs w:val="28"/>
        </w:rPr>
        <w:t xml:space="preserve">., это выше </w:t>
      </w:r>
      <w:proofErr w:type="spellStart"/>
      <w:r w:rsidRPr="00AF0CD3">
        <w:rPr>
          <w:rFonts w:ascii="Times New Roman" w:hAnsi="Times New Roman"/>
          <w:szCs w:val="28"/>
        </w:rPr>
        <w:t>среднекраевого</w:t>
      </w:r>
      <w:proofErr w:type="spellEnd"/>
      <w:r w:rsidRPr="00AF0CD3">
        <w:rPr>
          <w:rFonts w:ascii="Times New Roman" w:hAnsi="Times New Roman"/>
          <w:szCs w:val="28"/>
        </w:rPr>
        <w:t xml:space="preserve"> уровня </w:t>
      </w:r>
      <w:r w:rsidR="00C07570">
        <w:rPr>
          <w:rFonts w:ascii="Times New Roman" w:hAnsi="Times New Roman"/>
          <w:szCs w:val="28"/>
        </w:rPr>
        <w:br/>
        <w:t xml:space="preserve">(60,2 </w:t>
      </w:r>
      <w:proofErr w:type="spellStart"/>
      <w:r w:rsidR="00C07570">
        <w:rPr>
          <w:rFonts w:ascii="Times New Roman" w:hAnsi="Times New Roman"/>
          <w:szCs w:val="28"/>
        </w:rPr>
        <w:t>тыс.</w:t>
      </w:r>
      <w:r w:rsidRPr="00AF0CD3">
        <w:rPr>
          <w:rFonts w:ascii="Times New Roman" w:hAnsi="Times New Roman"/>
          <w:szCs w:val="28"/>
        </w:rPr>
        <w:t>руб</w:t>
      </w:r>
      <w:proofErr w:type="spellEnd"/>
      <w:r w:rsidRPr="00AF0CD3">
        <w:rPr>
          <w:rFonts w:ascii="Times New Roman" w:hAnsi="Times New Roman"/>
          <w:szCs w:val="28"/>
        </w:rPr>
        <w:t>.).</w:t>
      </w:r>
    </w:p>
    <w:p w:rsidR="00C07570" w:rsidRDefault="00C07570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5D7AD1" w:rsidRPr="00CB4231" w:rsidRDefault="003F6ECC" w:rsidP="00717BAC">
      <w:pPr>
        <w:pStyle w:val="standardtext"/>
        <w:spacing w:after="0"/>
        <w:ind w:firstLine="0"/>
        <w:jc w:val="center"/>
        <w:rPr>
          <w:highlight w:val="yellow"/>
        </w:rPr>
      </w:pPr>
      <w:r>
        <w:rPr>
          <w:noProof/>
        </w:rPr>
        <w:drawing>
          <wp:inline distT="0" distB="0" distL="0" distR="0" wp14:anchorId="4B24C66E" wp14:editId="5CDD56E8">
            <wp:extent cx="6151245" cy="2909570"/>
            <wp:effectExtent l="0" t="0" r="0" b="0"/>
            <wp:docPr id="15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72DDF" w:rsidRDefault="00272DDF" w:rsidP="00C07570">
      <w:pPr>
        <w:pStyle w:val="ac"/>
        <w:spacing w:line="240" w:lineRule="auto"/>
        <w:ind w:firstLine="709"/>
        <w:rPr>
          <w:i/>
          <w:sz w:val="24"/>
          <w:szCs w:val="24"/>
        </w:rPr>
      </w:pPr>
      <w:r w:rsidRPr="00272DDF">
        <w:rPr>
          <w:i/>
          <w:sz w:val="24"/>
          <w:szCs w:val="24"/>
        </w:rPr>
        <w:t>Рис. 2.</w:t>
      </w:r>
      <w:r w:rsidR="00626C2D">
        <w:rPr>
          <w:i/>
          <w:sz w:val="24"/>
          <w:szCs w:val="24"/>
        </w:rPr>
        <w:t>3</w:t>
      </w:r>
      <w:r w:rsidRPr="00272DDF">
        <w:rPr>
          <w:i/>
          <w:sz w:val="24"/>
          <w:szCs w:val="24"/>
        </w:rPr>
        <w:t xml:space="preserve">.1. </w:t>
      </w:r>
      <w:r>
        <w:rPr>
          <w:i/>
          <w:sz w:val="24"/>
          <w:szCs w:val="24"/>
        </w:rPr>
        <w:t>Динамика инвестиций в основной капитал на душу населения в сравн</w:t>
      </w:r>
      <w:r>
        <w:rPr>
          <w:i/>
          <w:sz w:val="24"/>
          <w:szCs w:val="24"/>
        </w:rPr>
        <w:t>е</w:t>
      </w:r>
      <w:r>
        <w:rPr>
          <w:i/>
          <w:sz w:val="24"/>
          <w:szCs w:val="24"/>
        </w:rPr>
        <w:t>нии с Пермским краем и Российской Федерацией в 2008-2012 гг.</w:t>
      </w:r>
    </w:p>
    <w:p w:rsidR="00136EE4" w:rsidRPr="00136EE4" w:rsidRDefault="00136EE4" w:rsidP="00136EE4"/>
    <w:p w:rsidR="007C5048" w:rsidRDefault="007C5048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Несмотря на рост инвестиционной активности в городе Перми за анализ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 xml:space="preserve">руемый период среди городов-аналогов Пермь по итогам 2012 года занимает только 3-е место по объему инвестиций в основной капитал, уступая Казани </w:t>
      </w:r>
      <w:r w:rsidR="00C07570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>и Екатеринбургу.</w:t>
      </w:r>
    </w:p>
    <w:p w:rsidR="0041196C" w:rsidRPr="00AF0CD3" w:rsidRDefault="0041196C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AF0CD3">
        <w:rPr>
          <w:rFonts w:ascii="Times New Roman" w:hAnsi="Times New Roman"/>
          <w:szCs w:val="28"/>
        </w:rPr>
        <w:t>Видовая структура инвестиций в основной капитал показывает, что в о</w:t>
      </w:r>
      <w:r w:rsidRPr="00AF0CD3">
        <w:rPr>
          <w:rFonts w:ascii="Times New Roman" w:hAnsi="Times New Roman"/>
          <w:szCs w:val="28"/>
        </w:rPr>
        <w:t>с</w:t>
      </w:r>
      <w:r w:rsidRPr="00AF0CD3">
        <w:rPr>
          <w:rFonts w:ascii="Times New Roman" w:hAnsi="Times New Roman"/>
          <w:szCs w:val="28"/>
        </w:rPr>
        <w:t>новном инвестиции направляются на строительство зданий (кроме жилых) и с</w:t>
      </w:r>
      <w:r w:rsidRPr="00AF0CD3">
        <w:rPr>
          <w:rFonts w:ascii="Times New Roman" w:hAnsi="Times New Roman"/>
          <w:szCs w:val="28"/>
        </w:rPr>
        <w:t>о</w:t>
      </w:r>
      <w:r w:rsidRPr="00AF0CD3">
        <w:rPr>
          <w:rFonts w:ascii="Times New Roman" w:hAnsi="Times New Roman"/>
          <w:szCs w:val="28"/>
        </w:rPr>
        <w:t>оружений – 43,0% от общего объема инвестиций. Второе место занимают вл</w:t>
      </w:r>
      <w:r w:rsidRPr="00AF0CD3">
        <w:rPr>
          <w:rFonts w:ascii="Times New Roman" w:hAnsi="Times New Roman"/>
          <w:szCs w:val="28"/>
        </w:rPr>
        <w:t>о</w:t>
      </w:r>
      <w:r w:rsidRPr="00AF0CD3">
        <w:rPr>
          <w:rFonts w:ascii="Times New Roman" w:hAnsi="Times New Roman"/>
          <w:szCs w:val="28"/>
        </w:rPr>
        <w:t xml:space="preserve">жения инвестиций в приобретение машин, оборудования и инвентаря – 35,1%. </w:t>
      </w:r>
      <w:r w:rsidR="00136EE4">
        <w:rPr>
          <w:rFonts w:ascii="Times New Roman" w:hAnsi="Times New Roman"/>
          <w:szCs w:val="28"/>
        </w:rPr>
        <w:t xml:space="preserve"> </w:t>
      </w:r>
      <w:r w:rsidRPr="00AF0CD3">
        <w:rPr>
          <w:rFonts w:ascii="Times New Roman" w:hAnsi="Times New Roman"/>
          <w:szCs w:val="28"/>
        </w:rPr>
        <w:t>На</w:t>
      </w:r>
      <w:r w:rsidR="00136EE4">
        <w:rPr>
          <w:rFonts w:ascii="Times New Roman" w:hAnsi="Times New Roman"/>
          <w:szCs w:val="28"/>
        </w:rPr>
        <w:t xml:space="preserve"> </w:t>
      </w:r>
      <w:r w:rsidRPr="00AF0CD3">
        <w:rPr>
          <w:rFonts w:ascii="Times New Roman" w:hAnsi="Times New Roman"/>
          <w:szCs w:val="28"/>
        </w:rPr>
        <w:t>строительство</w:t>
      </w:r>
      <w:r w:rsidR="00136EE4">
        <w:rPr>
          <w:rFonts w:ascii="Times New Roman" w:hAnsi="Times New Roman"/>
          <w:szCs w:val="28"/>
        </w:rPr>
        <w:t xml:space="preserve"> </w:t>
      </w:r>
      <w:r w:rsidRPr="00AF0CD3">
        <w:rPr>
          <w:rFonts w:ascii="Times New Roman" w:hAnsi="Times New Roman"/>
          <w:szCs w:val="28"/>
        </w:rPr>
        <w:t>жилья</w:t>
      </w:r>
      <w:r w:rsidR="00C07570">
        <w:rPr>
          <w:rFonts w:ascii="Times New Roman" w:hAnsi="Times New Roman"/>
          <w:szCs w:val="28"/>
        </w:rPr>
        <w:t xml:space="preserve"> в</w:t>
      </w:r>
      <w:r w:rsidR="00136EE4">
        <w:rPr>
          <w:rFonts w:ascii="Times New Roman" w:hAnsi="Times New Roman"/>
          <w:szCs w:val="28"/>
        </w:rPr>
        <w:t xml:space="preserve"> </w:t>
      </w:r>
      <w:r w:rsidRPr="00AF0CD3">
        <w:rPr>
          <w:rFonts w:ascii="Times New Roman" w:hAnsi="Times New Roman"/>
          <w:szCs w:val="28"/>
        </w:rPr>
        <w:t>городе</w:t>
      </w:r>
      <w:r w:rsidR="00136EE4">
        <w:rPr>
          <w:rFonts w:ascii="Times New Roman" w:hAnsi="Times New Roman"/>
          <w:szCs w:val="28"/>
        </w:rPr>
        <w:t xml:space="preserve"> </w:t>
      </w:r>
      <w:r w:rsidRPr="00AF0CD3">
        <w:rPr>
          <w:rFonts w:ascii="Times New Roman" w:hAnsi="Times New Roman"/>
          <w:szCs w:val="28"/>
        </w:rPr>
        <w:t>Перми</w:t>
      </w:r>
      <w:r w:rsidR="00C07570">
        <w:rPr>
          <w:rFonts w:ascii="Times New Roman" w:hAnsi="Times New Roman"/>
          <w:szCs w:val="28"/>
        </w:rPr>
        <w:t xml:space="preserve"> в</w:t>
      </w:r>
      <w:r w:rsidR="00136EE4">
        <w:rPr>
          <w:rFonts w:ascii="Times New Roman" w:hAnsi="Times New Roman"/>
          <w:szCs w:val="28"/>
        </w:rPr>
        <w:t xml:space="preserve"> </w:t>
      </w:r>
      <w:r w:rsidR="00EB1361">
        <w:rPr>
          <w:rFonts w:ascii="Times New Roman" w:hAnsi="Times New Roman"/>
          <w:szCs w:val="28"/>
        </w:rPr>
        <w:t xml:space="preserve">2012 году направлено 4,8 </w:t>
      </w:r>
      <w:proofErr w:type="spellStart"/>
      <w:r w:rsidR="00EB1361">
        <w:rPr>
          <w:rFonts w:ascii="Times New Roman" w:hAnsi="Times New Roman"/>
          <w:szCs w:val="28"/>
        </w:rPr>
        <w:t>млрд</w:t>
      </w:r>
      <w:proofErr w:type="gramStart"/>
      <w:r w:rsidR="00EB1361">
        <w:rPr>
          <w:rFonts w:ascii="Times New Roman" w:hAnsi="Times New Roman"/>
          <w:szCs w:val="28"/>
        </w:rPr>
        <w:t>.</w:t>
      </w:r>
      <w:r w:rsidRPr="00AF0CD3">
        <w:rPr>
          <w:rFonts w:ascii="Times New Roman" w:hAnsi="Times New Roman"/>
          <w:szCs w:val="28"/>
        </w:rPr>
        <w:t>р</w:t>
      </w:r>
      <w:proofErr w:type="gramEnd"/>
      <w:r w:rsidRPr="00AF0CD3">
        <w:rPr>
          <w:rFonts w:ascii="Times New Roman" w:hAnsi="Times New Roman"/>
          <w:szCs w:val="28"/>
        </w:rPr>
        <w:t>уб</w:t>
      </w:r>
      <w:proofErr w:type="spellEnd"/>
      <w:r w:rsidR="00136EE4">
        <w:rPr>
          <w:rFonts w:ascii="Times New Roman" w:hAnsi="Times New Roman"/>
          <w:szCs w:val="28"/>
        </w:rPr>
        <w:t>.</w:t>
      </w:r>
      <w:r w:rsidRPr="00AF0CD3">
        <w:rPr>
          <w:rFonts w:ascii="Times New Roman" w:hAnsi="Times New Roman"/>
          <w:szCs w:val="28"/>
        </w:rPr>
        <w:t xml:space="preserve"> (6,0% всех инвестиционных средств), что на </w:t>
      </w:r>
      <w:r>
        <w:rPr>
          <w:rFonts w:ascii="Times New Roman" w:hAnsi="Times New Roman"/>
          <w:szCs w:val="28"/>
        </w:rPr>
        <w:t>28,7</w:t>
      </w:r>
      <w:r w:rsidRPr="00AF0CD3">
        <w:rPr>
          <w:rFonts w:ascii="Times New Roman" w:hAnsi="Times New Roman"/>
          <w:szCs w:val="28"/>
        </w:rPr>
        <w:t xml:space="preserve">% </w:t>
      </w:r>
      <w:r>
        <w:rPr>
          <w:rFonts w:ascii="Times New Roman" w:hAnsi="Times New Roman"/>
          <w:szCs w:val="28"/>
        </w:rPr>
        <w:t>меньше</w:t>
      </w:r>
      <w:r w:rsidRPr="00AF0CD3">
        <w:rPr>
          <w:rFonts w:ascii="Times New Roman" w:hAnsi="Times New Roman"/>
          <w:szCs w:val="28"/>
        </w:rPr>
        <w:t xml:space="preserve">, чем в </w:t>
      </w:r>
      <w:r>
        <w:rPr>
          <w:rFonts w:ascii="Times New Roman" w:hAnsi="Times New Roman"/>
          <w:szCs w:val="28"/>
        </w:rPr>
        <w:t>2008</w:t>
      </w:r>
      <w:r w:rsidRPr="00AF0CD3">
        <w:rPr>
          <w:rFonts w:ascii="Times New Roman" w:hAnsi="Times New Roman"/>
          <w:szCs w:val="28"/>
        </w:rPr>
        <w:t xml:space="preserve"> году. </w:t>
      </w:r>
    </w:p>
    <w:p w:rsidR="0041196C" w:rsidRPr="006659BC" w:rsidRDefault="0041196C" w:rsidP="00717BAC">
      <w:pPr>
        <w:pStyle w:val="standardtext"/>
        <w:spacing w:after="0"/>
        <w:rPr>
          <w:szCs w:val="28"/>
        </w:rPr>
      </w:pPr>
      <w:r w:rsidRPr="00AF0CD3">
        <w:t>По итогам 2012 года в структуре инвестиций в основной капитал осно</w:t>
      </w:r>
      <w:r w:rsidRPr="00AF0CD3">
        <w:t>в</w:t>
      </w:r>
      <w:r w:rsidRPr="00AF0CD3">
        <w:t xml:space="preserve">ным </w:t>
      </w:r>
      <w:r w:rsidR="00C07570">
        <w:t>источником</w:t>
      </w:r>
      <w:r w:rsidR="00136EE4">
        <w:t xml:space="preserve"> </w:t>
      </w:r>
      <w:r w:rsidRPr="00AF0CD3">
        <w:t>финансирования являются</w:t>
      </w:r>
      <w:r w:rsidR="00136EE4">
        <w:t xml:space="preserve"> </w:t>
      </w:r>
      <w:r w:rsidR="00C07570">
        <w:t>собственные</w:t>
      </w:r>
      <w:r w:rsidR="00136EE4">
        <w:t xml:space="preserve"> </w:t>
      </w:r>
      <w:r w:rsidRPr="00AF0CD3">
        <w:t>средства – 64,4%, пр</w:t>
      </w:r>
      <w:r w:rsidRPr="00AF0CD3">
        <w:t>и</w:t>
      </w:r>
      <w:r w:rsidRPr="00AF0CD3">
        <w:t>влеченные средства составили 35,6%, из них большая часть приходится</w:t>
      </w:r>
      <w:r w:rsidR="00136EE4">
        <w:t xml:space="preserve"> </w:t>
      </w:r>
      <w:r w:rsidR="00C07570">
        <w:br/>
      </w:r>
      <w:r w:rsidRPr="00AF0CD3">
        <w:t>на</w:t>
      </w:r>
      <w:r w:rsidR="00C07570">
        <w:t xml:space="preserve"> </w:t>
      </w:r>
      <w:r w:rsidRPr="00AF0CD3">
        <w:t>бюджетные</w:t>
      </w:r>
      <w:r w:rsidR="00C07570">
        <w:t xml:space="preserve"> средства</w:t>
      </w:r>
      <w:r w:rsidR="00136EE4">
        <w:t xml:space="preserve"> </w:t>
      </w:r>
      <w:r w:rsidRPr="00AF0CD3">
        <w:t xml:space="preserve">(9,1% в </w:t>
      </w:r>
      <w:r w:rsidR="00C07570">
        <w:t>общем</w:t>
      </w:r>
      <w:r w:rsidR="00136EE4">
        <w:t xml:space="preserve"> </w:t>
      </w:r>
      <w:r w:rsidRPr="00AF0CD3">
        <w:t>объеме</w:t>
      </w:r>
      <w:r w:rsidR="00136EE4">
        <w:t xml:space="preserve"> </w:t>
      </w:r>
      <w:r w:rsidRPr="00AF0CD3">
        <w:t xml:space="preserve">инвестиций в основной капитал). Доля бюджетных инвестиций сократилась на 3,3 </w:t>
      </w:r>
      <w:proofErr w:type="spellStart"/>
      <w:r w:rsidRPr="00AF0CD3">
        <w:t>п.п</w:t>
      </w:r>
      <w:proofErr w:type="spellEnd"/>
      <w:r w:rsidRPr="00AF0CD3">
        <w:t xml:space="preserve">. по </w:t>
      </w:r>
      <w:r w:rsidRPr="006659BC">
        <w:rPr>
          <w:szCs w:val="28"/>
        </w:rPr>
        <w:t>сравнению с 2011 годом.</w:t>
      </w:r>
    </w:p>
    <w:p w:rsidR="00A130EE" w:rsidRPr="00A130EE" w:rsidRDefault="00A130EE" w:rsidP="00717BAC">
      <w:pPr>
        <w:pStyle w:val="standardtext"/>
        <w:spacing w:after="0"/>
        <w:rPr>
          <w:szCs w:val="28"/>
        </w:rPr>
      </w:pPr>
      <w:r>
        <w:t xml:space="preserve">В анализируемый период в эксплуатацию </w:t>
      </w:r>
      <w:r w:rsidR="00E138C2">
        <w:t xml:space="preserve">введен </w:t>
      </w:r>
      <w:r>
        <w:t xml:space="preserve">ряд коммерческих </w:t>
      </w:r>
      <w:r w:rsidRPr="00A130EE">
        <w:rPr>
          <w:szCs w:val="28"/>
        </w:rPr>
        <w:t>объе</w:t>
      </w:r>
      <w:r w:rsidRPr="00A130EE">
        <w:rPr>
          <w:szCs w:val="28"/>
        </w:rPr>
        <w:t>к</w:t>
      </w:r>
      <w:r w:rsidRPr="00A130EE">
        <w:rPr>
          <w:szCs w:val="28"/>
        </w:rPr>
        <w:t xml:space="preserve">тов. </w:t>
      </w:r>
    </w:p>
    <w:p w:rsidR="00A130EE" w:rsidRPr="00A130EE" w:rsidRDefault="00A130EE" w:rsidP="00717BAC">
      <w:pPr>
        <w:pStyle w:val="standardtext"/>
        <w:spacing w:after="0"/>
        <w:rPr>
          <w:szCs w:val="28"/>
        </w:rPr>
      </w:pPr>
      <w:r w:rsidRPr="00A130EE">
        <w:rPr>
          <w:szCs w:val="28"/>
        </w:rPr>
        <w:t>Так</w:t>
      </w:r>
      <w:r w:rsidR="00E138C2">
        <w:rPr>
          <w:szCs w:val="28"/>
        </w:rPr>
        <w:t>,</w:t>
      </w:r>
      <w:r w:rsidRPr="00A130EE">
        <w:rPr>
          <w:szCs w:val="28"/>
        </w:rPr>
        <w:t xml:space="preserve"> в 2010 году </w:t>
      </w:r>
      <w:r w:rsidR="00EB1361">
        <w:rPr>
          <w:szCs w:val="28"/>
        </w:rPr>
        <w:t>–</w:t>
      </w:r>
      <w:r w:rsidRPr="00A130EE">
        <w:rPr>
          <w:szCs w:val="28"/>
        </w:rPr>
        <w:t xml:space="preserve"> гипермаркет строительных материалов «</w:t>
      </w:r>
      <w:proofErr w:type="spellStart"/>
      <w:r w:rsidRPr="00A130EE">
        <w:rPr>
          <w:szCs w:val="28"/>
          <w:lang w:val="en-US"/>
        </w:rPr>
        <w:t>Castorama</w:t>
      </w:r>
      <w:proofErr w:type="spellEnd"/>
      <w:r w:rsidRPr="00A130EE">
        <w:rPr>
          <w:szCs w:val="28"/>
        </w:rPr>
        <w:t>» французской компании «</w:t>
      </w:r>
      <w:proofErr w:type="spellStart"/>
      <w:r w:rsidRPr="00A130EE">
        <w:rPr>
          <w:szCs w:val="28"/>
          <w:lang w:val="en-US"/>
        </w:rPr>
        <w:t>Castorama</w:t>
      </w:r>
      <w:proofErr w:type="spellEnd"/>
      <w:r w:rsidRPr="00A130EE">
        <w:rPr>
          <w:szCs w:val="28"/>
        </w:rPr>
        <w:t>» п</w:t>
      </w:r>
      <w:r w:rsidR="00C07570">
        <w:rPr>
          <w:szCs w:val="28"/>
        </w:rPr>
        <w:t xml:space="preserve">лощадью 12,2 </w:t>
      </w:r>
      <w:proofErr w:type="spellStart"/>
      <w:r w:rsidR="00C07570">
        <w:rPr>
          <w:szCs w:val="28"/>
        </w:rPr>
        <w:t>тыс.</w:t>
      </w:r>
      <w:r w:rsidRPr="00A130EE">
        <w:rPr>
          <w:szCs w:val="28"/>
        </w:rPr>
        <w:t>кв</w:t>
      </w:r>
      <w:proofErr w:type="gramStart"/>
      <w:r w:rsidRPr="00A130EE">
        <w:rPr>
          <w:szCs w:val="28"/>
        </w:rPr>
        <w:t>.м</w:t>
      </w:r>
      <w:proofErr w:type="spellEnd"/>
      <w:proofErr w:type="gramEnd"/>
      <w:r w:rsidRPr="00A130EE">
        <w:rPr>
          <w:szCs w:val="28"/>
        </w:rPr>
        <w:t>, логистический цент</w:t>
      </w:r>
      <w:r w:rsidR="00C07570">
        <w:rPr>
          <w:szCs w:val="28"/>
        </w:rPr>
        <w:t xml:space="preserve">р «Навигатор» площадью 9,4 </w:t>
      </w:r>
      <w:proofErr w:type="spellStart"/>
      <w:r w:rsidR="00C07570">
        <w:rPr>
          <w:szCs w:val="28"/>
        </w:rPr>
        <w:t>тыс.</w:t>
      </w:r>
      <w:r w:rsidRPr="00A130EE">
        <w:rPr>
          <w:szCs w:val="28"/>
        </w:rPr>
        <w:t>кв.м</w:t>
      </w:r>
      <w:proofErr w:type="spellEnd"/>
      <w:r w:rsidRPr="00A130EE">
        <w:rPr>
          <w:szCs w:val="28"/>
        </w:rPr>
        <w:t>, торгово-развлекательный центр «Горный хрусталь» торговой сети «</w:t>
      </w:r>
      <w:proofErr w:type="spellStart"/>
      <w:r w:rsidRPr="00A130EE">
        <w:rPr>
          <w:szCs w:val="28"/>
        </w:rPr>
        <w:t>Н</w:t>
      </w:r>
      <w:r w:rsidR="00C07570">
        <w:rPr>
          <w:szCs w:val="28"/>
        </w:rPr>
        <w:t>орман</w:t>
      </w:r>
      <w:proofErr w:type="spellEnd"/>
      <w:r w:rsidR="00C07570">
        <w:rPr>
          <w:szCs w:val="28"/>
        </w:rPr>
        <w:t xml:space="preserve">-Виват» площадью 10,8 </w:t>
      </w:r>
      <w:proofErr w:type="spellStart"/>
      <w:r w:rsidR="00C07570">
        <w:rPr>
          <w:szCs w:val="28"/>
        </w:rPr>
        <w:t>тыс.</w:t>
      </w:r>
      <w:r w:rsidRPr="00A130EE">
        <w:rPr>
          <w:szCs w:val="28"/>
        </w:rPr>
        <w:t>кв.м</w:t>
      </w:r>
      <w:proofErr w:type="spellEnd"/>
      <w:r w:rsidRPr="00A130EE">
        <w:rPr>
          <w:szCs w:val="28"/>
        </w:rPr>
        <w:t>, оптово-розничный цен</w:t>
      </w:r>
      <w:r w:rsidR="00C07570">
        <w:rPr>
          <w:szCs w:val="28"/>
        </w:rPr>
        <w:t xml:space="preserve">тр «Евразия» площадью 27,4 </w:t>
      </w:r>
      <w:proofErr w:type="spellStart"/>
      <w:r w:rsidR="00C07570">
        <w:rPr>
          <w:szCs w:val="28"/>
        </w:rPr>
        <w:t>тыс.</w:t>
      </w:r>
      <w:r w:rsidRPr="00A130EE">
        <w:rPr>
          <w:szCs w:val="28"/>
        </w:rPr>
        <w:t>кв.м</w:t>
      </w:r>
      <w:proofErr w:type="spellEnd"/>
      <w:r w:rsidRPr="00A130EE">
        <w:rPr>
          <w:szCs w:val="28"/>
        </w:rPr>
        <w:t xml:space="preserve">, </w:t>
      </w:r>
      <w:r w:rsidR="00E138C2">
        <w:rPr>
          <w:szCs w:val="28"/>
        </w:rPr>
        <w:t>м</w:t>
      </w:r>
      <w:r w:rsidRPr="00A130EE">
        <w:rPr>
          <w:szCs w:val="28"/>
        </w:rPr>
        <w:t>ногозальный к</w:t>
      </w:r>
      <w:r w:rsidRPr="00A130EE">
        <w:rPr>
          <w:szCs w:val="28"/>
        </w:rPr>
        <w:t>и</w:t>
      </w:r>
      <w:r w:rsidRPr="00A130EE">
        <w:rPr>
          <w:szCs w:val="28"/>
        </w:rPr>
        <w:t>нокомплекс «Кристалл-</w:t>
      </w:r>
      <w:r w:rsidRPr="00A130EE">
        <w:rPr>
          <w:szCs w:val="28"/>
          <w:lang w:val="en-US"/>
        </w:rPr>
        <w:t>IMAX</w:t>
      </w:r>
      <w:r w:rsidRPr="00A130EE">
        <w:rPr>
          <w:szCs w:val="28"/>
        </w:rPr>
        <w:t>».</w:t>
      </w:r>
    </w:p>
    <w:p w:rsidR="00A130EE" w:rsidRPr="006620F7" w:rsidRDefault="00A130EE" w:rsidP="00EB1361">
      <w:pPr>
        <w:pStyle w:val="standardtext"/>
        <w:widowControl w:val="0"/>
        <w:spacing w:after="0"/>
        <w:rPr>
          <w:bCs/>
        </w:rPr>
      </w:pPr>
      <w:r w:rsidRPr="006620F7">
        <w:t xml:space="preserve">В 2011 году был </w:t>
      </w:r>
      <w:r w:rsidRPr="006620F7">
        <w:rPr>
          <w:bCs/>
        </w:rPr>
        <w:t>создан городской бизнес-инкубатор, количество резиде</w:t>
      </w:r>
      <w:r w:rsidRPr="006620F7">
        <w:rPr>
          <w:bCs/>
        </w:rPr>
        <w:t>н</w:t>
      </w:r>
      <w:r w:rsidRPr="006620F7">
        <w:rPr>
          <w:bCs/>
        </w:rPr>
        <w:t>тов – 137 чел</w:t>
      </w:r>
      <w:r>
        <w:rPr>
          <w:bCs/>
        </w:rPr>
        <w:t xml:space="preserve">овек. Также открыто совместное </w:t>
      </w:r>
      <w:r w:rsidRPr="006620F7">
        <w:rPr>
          <w:bCs/>
        </w:rPr>
        <w:t>предприятие «</w:t>
      </w:r>
      <w:r w:rsidRPr="006620F7">
        <w:rPr>
          <w:bCs/>
          <w:lang w:val="en-US"/>
        </w:rPr>
        <w:t>Siemens</w:t>
      </w:r>
      <w:r w:rsidRPr="006620F7">
        <w:rPr>
          <w:bCs/>
        </w:rPr>
        <w:t>» и «Искры-</w:t>
      </w:r>
      <w:proofErr w:type="spellStart"/>
      <w:r w:rsidRPr="006620F7">
        <w:rPr>
          <w:bCs/>
        </w:rPr>
        <w:t>Ав</w:t>
      </w:r>
      <w:r w:rsidR="008B3325">
        <w:rPr>
          <w:bCs/>
        </w:rPr>
        <w:t>и</w:t>
      </w:r>
      <w:r w:rsidRPr="006620F7">
        <w:rPr>
          <w:bCs/>
        </w:rPr>
        <w:t>газ</w:t>
      </w:r>
      <w:proofErr w:type="spellEnd"/>
      <w:r w:rsidRPr="006620F7">
        <w:rPr>
          <w:bCs/>
        </w:rPr>
        <w:t xml:space="preserve">» </w:t>
      </w:r>
      <w:r w:rsidR="00EB1361">
        <w:rPr>
          <w:bCs/>
        </w:rPr>
        <w:t>–</w:t>
      </w:r>
      <w:r w:rsidRPr="006620F7">
        <w:rPr>
          <w:bCs/>
        </w:rPr>
        <w:t xml:space="preserve"> ООО «</w:t>
      </w:r>
      <w:proofErr w:type="spellStart"/>
      <w:r w:rsidRPr="006620F7">
        <w:rPr>
          <w:bCs/>
        </w:rPr>
        <w:t>РусТурбоМаш</w:t>
      </w:r>
      <w:proofErr w:type="spellEnd"/>
      <w:r w:rsidRPr="006620F7">
        <w:rPr>
          <w:bCs/>
        </w:rPr>
        <w:t>», где было запущено производство компресс</w:t>
      </w:r>
      <w:r w:rsidRPr="006620F7">
        <w:rPr>
          <w:bCs/>
        </w:rPr>
        <w:t>о</w:t>
      </w:r>
      <w:r w:rsidRPr="006620F7">
        <w:rPr>
          <w:bCs/>
        </w:rPr>
        <w:t>ров.</w:t>
      </w:r>
      <w:r>
        <w:rPr>
          <w:bCs/>
        </w:rPr>
        <w:t xml:space="preserve"> В октябре 2011 года состоялось открытие индустриального парка «</w:t>
      </w:r>
      <w:proofErr w:type="spellStart"/>
      <w:r>
        <w:rPr>
          <w:bCs/>
        </w:rPr>
        <w:t>Осенцы</w:t>
      </w:r>
      <w:proofErr w:type="spellEnd"/>
      <w:r>
        <w:rPr>
          <w:bCs/>
        </w:rPr>
        <w:t>». В 2011 году в город была привлечена компания «Макдональдс».</w:t>
      </w:r>
    </w:p>
    <w:p w:rsidR="00A130EE" w:rsidRPr="006659BC" w:rsidRDefault="00A130EE" w:rsidP="00717BAC">
      <w:pPr>
        <w:pStyle w:val="standardtext"/>
        <w:spacing w:after="0"/>
        <w:rPr>
          <w:szCs w:val="28"/>
        </w:rPr>
      </w:pPr>
      <w:r w:rsidRPr="006659BC">
        <w:rPr>
          <w:szCs w:val="28"/>
        </w:rPr>
        <w:t>В начале 2012 года состоялось открытие индустриального парка «</w:t>
      </w:r>
      <w:proofErr w:type="spellStart"/>
      <w:r w:rsidRPr="006659BC">
        <w:rPr>
          <w:szCs w:val="28"/>
        </w:rPr>
        <w:t>Про</w:t>
      </w:r>
      <w:r w:rsidRPr="006659BC">
        <w:rPr>
          <w:szCs w:val="28"/>
        </w:rPr>
        <w:t>м</w:t>
      </w:r>
      <w:r w:rsidR="00EB1361">
        <w:rPr>
          <w:szCs w:val="28"/>
        </w:rPr>
        <w:t>связь</w:t>
      </w:r>
      <w:proofErr w:type="spellEnd"/>
      <w:r w:rsidR="00EB1361">
        <w:rPr>
          <w:szCs w:val="28"/>
        </w:rPr>
        <w:t xml:space="preserve">» площадью 15,6 </w:t>
      </w:r>
      <w:proofErr w:type="spellStart"/>
      <w:r w:rsidR="00EB1361">
        <w:rPr>
          <w:szCs w:val="28"/>
        </w:rPr>
        <w:t>тыс.кв</w:t>
      </w:r>
      <w:proofErr w:type="gramStart"/>
      <w:r w:rsidR="00EB1361">
        <w:rPr>
          <w:szCs w:val="28"/>
        </w:rPr>
        <w:t>.</w:t>
      </w:r>
      <w:r w:rsidRPr="006659BC">
        <w:rPr>
          <w:szCs w:val="28"/>
        </w:rPr>
        <w:t>м</w:t>
      </w:r>
      <w:proofErr w:type="spellEnd"/>
      <w:proofErr w:type="gramEnd"/>
      <w:r w:rsidRPr="006659BC">
        <w:rPr>
          <w:szCs w:val="28"/>
        </w:rPr>
        <w:t xml:space="preserve"> в Мотовилихинском районе города Перми. </w:t>
      </w:r>
      <w:r w:rsidRPr="006659BC">
        <w:rPr>
          <w:color w:val="000000"/>
          <w:szCs w:val="28"/>
        </w:rPr>
        <w:t>О</w:t>
      </w:r>
      <w:r w:rsidRPr="006659BC">
        <w:rPr>
          <w:color w:val="000000"/>
          <w:szCs w:val="28"/>
        </w:rPr>
        <w:t>с</w:t>
      </w:r>
      <w:r w:rsidRPr="006659BC">
        <w:rPr>
          <w:color w:val="000000"/>
          <w:szCs w:val="28"/>
        </w:rPr>
        <w:t xml:space="preserve">новной задачей </w:t>
      </w:r>
      <w:r w:rsidR="00EB1361" w:rsidRPr="006659BC">
        <w:rPr>
          <w:szCs w:val="28"/>
        </w:rPr>
        <w:t>индустриального</w:t>
      </w:r>
      <w:r w:rsidR="00EB1361" w:rsidRPr="006659BC">
        <w:rPr>
          <w:color w:val="000000"/>
          <w:szCs w:val="28"/>
        </w:rPr>
        <w:t xml:space="preserve"> </w:t>
      </w:r>
      <w:r w:rsidRPr="006659BC">
        <w:rPr>
          <w:color w:val="000000"/>
          <w:szCs w:val="28"/>
        </w:rPr>
        <w:t>парка «</w:t>
      </w:r>
      <w:proofErr w:type="spellStart"/>
      <w:r w:rsidRPr="006659BC">
        <w:rPr>
          <w:color w:val="000000"/>
          <w:szCs w:val="28"/>
        </w:rPr>
        <w:t>Промсвязь</w:t>
      </w:r>
      <w:proofErr w:type="spellEnd"/>
      <w:r w:rsidRPr="006659BC">
        <w:rPr>
          <w:color w:val="000000"/>
          <w:szCs w:val="28"/>
        </w:rPr>
        <w:t>» является создание и уч</w:t>
      </w:r>
      <w:r w:rsidRPr="006659BC">
        <w:rPr>
          <w:color w:val="000000"/>
          <w:szCs w:val="28"/>
        </w:rPr>
        <w:t>а</w:t>
      </w:r>
      <w:r w:rsidRPr="006659BC">
        <w:rPr>
          <w:color w:val="000000"/>
          <w:szCs w:val="28"/>
        </w:rPr>
        <w:t>стие в новых предприятиях путем предоставления материально-технической б</w:t>
      </w:r>
      <w:r w:rsidRPr="006659BC">
        <w:rPr>
          <w:color w:val="000000"/>
          <w:szCs w:val="28"/>
        </w:rPr>
        <w:t>а</w:t>
      </w:r>
      <w:r w:rsidRPr="006659BC">
        <w:rPr>
          <w:color w:val="000000"/>
          <w:szCs w:val="28"/>
        </w:rPr>
        <w:t xml:space="preserve">зы для их становления, а также предоставление различных </w:t>
      </w:r>
      <w:proofErr w:type="gramStart"/>
      <w:r w:rsidRPr="006659BC">
        <w:rPr>
          <w:color w:val="000000"/>
          <w:szCs w:val="28"/>
        </w:rPr>
        <w:t>бизнес-сервисов</w:t>
      </w:r>
      <w:proofErr w:type="gramEnd"/>
      <w:r w:rsidRPr="006659BC">
        <w:rPr>
          <w:color w:val="000000"/>
          <w:szCs w:val="28"/>
        </w:rPr>
        <w:t xml:space="preserve"> и с</w:t>
      </w:r>
      <w:r w:rsidRPr="006659BC">
        <w:rPr>
          <w:color w:val="000000"/>
          <w:szCs w:val="28"/>
        </w:rPr>
        <w:t>о</w:t>
      </w:r>
      <w:r w:rsidRPr="006659BC">
        <w:rPr>
          <w:color w:val="000000"/>
          <w:szCs w:val="28"/>
        </w:rPr>
        <w:t>путствующих услуг: от предоставления в аренду помещений до участия в пр</w:t>
      </w:r>
      <w:r w:rsidRPr="006659BC">
        <w:rPr>
          <w:color w:val="000000"/>
          <w:szCs w:val="28"/>
        </w:rPr>
        <w:t>о</w:t>
      </w:r>
      <w:r w:rsidRPr="006659BC">
        <w:rPr>
          <w:color w:val="000000"/>
          <w:szCs w:val="28"/>
        </w:rPr>
        <w:t>движении этих предприятий.</w:t>
      </w:r>
    </w:p>
    <w:p w:rsidR="0089605E" w:rsidRDefault="00EB1361" w:rsidP="00717BAC">
      <w:pPr>
        <w:spacing w:line="240" w:lineRule="auto"/>
        <w:rPr>
          <w:rStyle w:val="ae"/>
          <w:b/>
          <w:i/>
          <w:color w:val="auto"/>
          <w:u w:val="none"/>
        </w:rPr>
      </w:pPr>
      <w:bookmarkStart w:id="4" w:name="_Toc275268315"/>
      <w:r>
        <w:rPr>
          <w:rStyle w:val="ae"/>
          <w:b/>
          <w:i/>
          <w:color w:val="auto"/>
          <w:u w:val="none"/>
        </w:rPr>
        <w:t xml:space="preserve"> </w:t>
      </w:r>
    </w:p>
    <w:p w:rsidR="0089605E" w:rsidRDefault="005D3F07" w:rsidP="00EB1361">
      <w:pPr>
        <w:spacing w:line="240" w:lineRule="auto"/>
        <w:jc w:val="center"/>
        <w:rPr>
          <w:rStyle w:val="ae"/>
          <w:b/>
          <w:color w:val="auto"/>
          <w:u w:val="none"/>
        </w:rPr>
      </w:pPr>
      <w:r w:rsidRPr="00175E83">
        <w:rPr>
          <w:rStyle w:val="ae"/>
          <w:b/>
          <w:color w:val="auto"/>
          <w:u w:val="none"/>
        </w:rPr>
        <w:t>3</w:t>
      </w:r>
      <w:r w:rsidR="00175E83">
        <w:rPr>
          <w:rStyle w:val="ae"/>
          <w:b/>
          <w:color w:val="auto"/>
          <w:u w:val="none"/>
        </w:rPr>
        <w:t>.</w:t>
      </w:r>
      <w:r w:rsidR="0089605E" w:rsidRPr="00175E83">
        <w:rPr>
          <w:rStyle w:val="ae"/>
          <w:b/>
          <w:color w:val="auto"/>
          <w:u w:val="none"/>
        </w:rPr>
        <w:t xml:space="preserve"> Социальная сфера</w:t>
      </w:r>
    </w:p>
    <w:p w:rsidR="00C07570" w:rsidRPr="00175E83" w:rsidRDefault="00C07570" w:rsidP="00717BAC">
      <w:pPr>
        <w:spacing w:line="240" w:lineRule="auto"/>
        <w:ind w:firstLine="720"/>
        <w:rPr>
          <w:rStyle w:val="ae"/>
          <w:b/>
          <w:color w:val="auto"/>
          <w:u w:val="none"/>
        </w:rPr>
      </w:pPr>
    </w:p>
    <w:p w:rsidR="006669F9" w:rsidRDefault="005D3F07" w:rsidP="00717BAC">
      <w:pPr>
        <w:spacing w:line="240" w:lineRule="auto"/>
        <w:ind w:firstLine="720"/>
        <w:rPr>
          <w:rStyle w:val="ae"/>
          <w:b/>
          <w:color w:val="auto"/>
          <w:u w:val="none"/>
        </w:rPr>
      </w:pPr>
      <w:r>
        <w:rPr>
          <w:rStyle w:val="ae"/>
          <w:b/>
          <w:color w:val="auto"/>
          <w:u w:val="none"/>
        </w:rPr>
        <w:t>3</w:t>
      </w:r>
      <w:r w:rsidR="006669F9" w:rsidRPr="006669F9">
        <w:rPr>
          <w:rStyle w:val="ae"/>
          <w:b/>
          <w:color w:val="auto"/>
          <w:u w:val="none"/>
        </w:rPr>
        <w:t xml:space="preserve">.1. </w:t>
      </w:r>
      <w:r w:rsidR="000E4B0F">
        <w:rPr>
          <w:rStyle w:val="ae"/>
          <w:b/>
          <w:color w:val="auto"/>
          <w:u w:val="none"/>
        </w:rPr>
        <w:t>Доходы</w:t>
      </w:r>
      <w:r w:rsidR="006669F9" w:rsidRPr="006669F9">
        <w:rPr>
          <w:rStyle w:val="ae"/>
          <w:b/>
          <w:color w:val="auto"/>
          <w:u w:val="none"/>
        </w:rPr>
        <w:t xml:space="preserve"> населения </w:t>
      </w:r>
    </w:p>
    <w:p w:rsidR="00E138C2" w:rsidRDefault="00175E83" w:rsidP="00E138C2">
      <w:pPr>
        <w:spacing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Среднедушевые денежные доходы</w:t>
      </w:r>
      <w:r w:rsidR="00C07570">
        <w:rPr>
          <w:rFonts w:ascii="Times New Roman" w:hAnsi="Times New Roman"/>
          <w:szCs w:val="28"/>
        </w:rPr>
        <w:t xml:space="preserve"> в</w:t>
      </w:r>
      <w:r w:rsidR="00E138C2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2012</w:t>
      </w:r>
      <w:r w:rsidR="00E138C2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</w:t>
      </w:r>
      <w:r w:rsidR="00255369">
        <w:rPr>
          <w:rFonts w:ascii="Times New Roman" w:hAnsi="Times New Roman"/>
          <w:szCs w:val="28"/>
        </w:rPr>
        <w:t>оду</w:t>
      </w:r>
      <w:r w:rsidR="00E138C2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по сравнению с 2011 г</w:t>
      </w:r>
      <w:r w:rsidR="00255369">
        <w:rPr>
          <w:rFonts w:ascii="Times New Roman" w:hAnsi="Times New Roman"/>
          <w:szCs w:val="28"/>
        </w:rPr>
        <w:t>одом</w:t>
      </w:r>
      <w:r>
        <w:rPr>
          <w:rFonts w:ascii="Times New Roman" w:hAnsi="Times New Roman"/>
          <w:szCs w:val="28"/>
        </w:rPr>
        <w:t xml:space="preserve"> </w:t>
      </w:r>
      <w:r w:rsidR="00E870C0">
        <w:rPr>
          <w:rFonts w:ascii="Times New Roman" w:hAnsi="Times New Roman"/>
          <w:szCs w:val="28"/>
        </w:rPr>
        <w:t>выросли на</w:t>
      </w:r>
      <w:r>
        <w:rPr>
          <w:rFonts w:ascii="Times New Roman" w:hAnsi="Times New Roman"/>
          <w:szCs w:val="28"/>
        </w:rPr>
        <w:t xml:space="preserve"> 1,2% в реальном выражении (по Пермскому краю – </w:t>
      </w:r>
      <w:r w:rsidR="00E870C0">
        <w:rPr>
          <w:rFonts w:ascii="Times New Roman" w:hAnsi="Times New Roman"/>
          <w:szCs w:val="28"/>
        </w:rPr>
        <w:t xml:space="preserve">на </w:t>
      </w:r>
      <w:r>
        <w:rPr>
          <w:rFonts w:ascii="Times New Roman" w:hAnsi="Times New Roman"/>
          <w:szCs w:val="28"/>
        </w:rPr>
        <w:t>3</w:t>
      </w:r>
      <w:r w:rsidR="00E870C0">
        <w:rPr>
          <w:rFonts w:ascii="Times New Roman" w:hAnsi="Times New Roman"/>
          <w:szCs w:val="28"/>
        </w:rPr>
        <w:t>,0</w:t>
      </w:r>
      <w:r>
        <w:rPr>
          <w:rFonts w:ascii="Times New Roman" w:hAnsi="Times New Roman"/>
          <w:szCs w:val="28"/>
        </w:rPr>
        <w:t>%).</w:t>
      </w:r>
      <w:r w:rsidR="00E138C2" w:rsidRPr="00E138C2">
        <w:rPr>
          <w:rFonts w:ascii="Times New Roman" w:hAnsi="Times New Roman"/>
          <w:szCs w:val="28"/>
        </w:rPr>
        <w:t xml:space="preserve"> </w:t>
      </w:r>
    </w:p>
    <w:p w:rsidR="00E138C2" w:rsidRDefault="00E138C2" w:rsidP="00E138C2">
      <w:pPr>
        <w:spacing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2012 году реальные денежные дохо</w:t>
      </w:r>
      <w:r w:rsidR="003F57F2">
        <w:rPr>
          <w:rFonts w:ascii="Times New Roman" w:hAnsi="Times New Roman"/>
          <w:szCs w:val="28"/>
        </w:rPr>
        <w:t>ды населения сократились на 6,1</w:t>
      </w:r>
      <w:r>
        <w:rPr>
          <w:rFonts w:ascii="Times New Roman" w:hAnsi="Times New Roman"/>
          <w:szCs w:val="28"/>
        </w:rPr>
        <w:t xml:space="preserve">% </w:t>
      </w:r>
      <w:r w:rsidR="003F57F2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>по отношению к 2008 году. По отношению к 2011 г</w:t>
      </w:r>
      <w:r w:rsidR="003F57F2">
        <w:rPr>
          <w:rFonts w:ascii="Times New Roman" w:hAnsi="Times New Roman"/>
          <w:szCs w:val="28"/>
        </w:rPr>
        <w:t>оду они выросли на 2,4 %</w:t>
      </w:r>
      <w:r w:rsidR="00C07570">
        <w:rPr>
          <w:rFonts w:ascii="Times New Roman" w:hAnsi="Times New Roman"/>
          <w:szCs w:val="28"/>
        </w:rPr>
        <w:br/>
      </w:r>
      <w:r w:rsidRPr="008013E7">
        <w:rPr>
          <w:rFonts w:ascii="Times New Roman" w:hAnsi="Times New Roman"/>
          <w:szCs w:val="28"/>
        </w:rPr>
        <w:t xml:space="preserve">(по Пермскому краю – </w:t>
      </w:r>
      <w:r w:rsidR="003F57F2">
        <w:rPr>
          <w:rFonts w:ascii="Times New Roman" w:hAnsi="Times New Roman"/>
          <w:szCs w:val="28"/>
        </w:rPr>
        <w:t>на 3,0</w:t>
      </w:r>
      <w:r>
        <w:rPr>
          <w:rFonts w:ascii="Times New Roman" w:hAnsi="Times New Roman"/>
          <w:szCs w:val="28"/>
        </w:rPr>
        <w:t>%).</w:t>
      </w:r>
    </w:p>
    <w:p w:rsidR="00175E83" w:rsidRDefault="00175E83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82673A">
        <w:rPr>
          <w:rFonts w:ascii="Times New Roman" w:hAnsi="Times New Roman"/>
          <w:szCs w:val="28"/>
        </w:rPr>
        <w:t>В 2012 году среднемесячная номинальная начисленная заработная плата составила 29</w:t>
      </w:r>
      <w:r w:rsidR="00E870C0">
        <w:rPr>
          <w:rFonts w:ascii="Times New Roman" w:hAnsi="Times New Roman"/>
          <w:szCs w:val="28"/>
        </w:rPr>
        <w:t xml:space="preserve"> </w:t>
      </w:r>
      <w:r w:rsidRPr="0082673A">
        <w:rPr>
          <w:rFonts w:ascii="Times New Roman" w:hAnsi="Times New Roman"/>
          <w:szCs w:val="28"/>
        </w:rPr>
        <w:t>254 руб., что на 34</w:t>
      </w:r>
      <w:r w:rsidR="00E870C0">
        <w:rPr>
          <w:rFonts w:ascii="Times New Roman" w:hAnsi="Times New Roman"/>
          <w:szCs w:val="28"/>
        </w:rPr>
        <w:t>,0</w:t>
      </w:r>
      <w:r w:rsidRPr="0082673A">
        <w:rPr>
          <w:rFonts w:ascii="Times New Roman" w:hAnsi="Times New Roman"/>
          <w:szCs w:val="28"/>
        </w:rPr>
        <w:t xml:space="preserve">% </w:t>
      </w:r>
      <w:r>
        <w:rPr>
          <w:rFonts w:ascii="Times New Roman" w:hAnsi="Times New Roman"/>
          <w:szCs w:val="28"/>
        </w:rPr>
        <w:t xml:space="preserve">выше </w:t>
      </w:r>
      <w:r w:rsidRPr="0082673A">
        <w:rPr>
          <w:rFonts w:ascii="Times New Roman" w:hAnsi="Times New Roman"/>
          <w:szCs w:val="28"/>
        </w:rPr>
        <w:t>среднемесячной номинальной начи</w:t>
      </w:r>
      <w:r w:rsidRPr="0082673A">
        <w:rPr>
          <w:rFonts w:ascii="Times New Roman" w:hAnsi="Times New Roman"/>
          <w:szCs w:val="28"/>
        </w:rPr>
        <w:t>с</w:t>
      </w:r>
      <w:r w:rsidRPr="0082673A">
        <w:rPr>
          <w:rFonts w:ascii="Times New Roman" w:hAnsi="Times New Roman"/>
          <w:szCs w:val="28"/>
        </w:rPr>
        <w:t xml:space="preserve">ленной заработной платы </w:t>
      </w:r>
      <w:r w:rsidR="00E870C0">
        <w:rPr>
          <w:rFonts w:ascii="Times New Roman" w:hAnsi="Times New Roman"/>
          <w:szCs w:val="28"/>
        </w:rPr>
        <w:t xml:space="preserve">за аналогичный период </w:t>
      </w:r>
      <w:r w:rsidRPr="0082673A">
        <w:rPr>
          <w:rFonts w:ascii="Times New Roman" w:hAnsi="Times New Roman"/>
          <w:szCs w:val="28"/>
        </w:rPr>
        <w:t xml:space="preserve">по Пермскому краю </w:t>
      </w:r>
      <w:r w:rsidR="003F57F2">
        <w:rPr>
          <w:rFonts w:ascii="Times New Roman" w:hAnsi="Times New Roman"/>
          <w:szCs w:val="28"/>
        </w:rPr>
        <w:br/>
      </w:r>
      <w:r w:rsidRPr="0082673A">
        <w:rPr>
          <w:rFonts w:ascii="Times New Roman" w:hAnsi="Times New Roman"/>
          <w:szCs w:val="28"/>
        </w:rPr>
        <w:t>(21</w:t>
      </w:r>
      <w:r w:rsidR="00C07570">
        <w:rPr>
          <w:rFonts w:ascii="Times New Roman" w:hAnsi="Times New Roman"/>
          <w:szCs w:val="28"/>
        </w:rPr>
        <w:t> </w:t>
      </w:r>
      <w:r w:rsidRPr="0082673A">
        <w:rPr>
          <w:rFonts w:ascii="Times New Roman" w:hAnsi="Times New Roman"/>
          <w:szCs w:val="28"/>
        </w:rPr>
        <w:t xml:space="preserve">820 руб.) и на 9,1% </w:t>
      </w:r>
      <w:r>
        <w:rPr>
          <w:rFonts w:ascii="Times New Roman" w:hAnsi="Times New Roman"/>
          <w:szCs w:val="28"/>
        </w:rPr>
        <w:t xml:space="preserve">больше </w:t>
      </w:r>
      <w:r w:rsidRPr="0082673A">
        <w:rPr>
          <w:rFonts w:ascii="Times New Roman" w:hAnsi="Times New Roman"/>
          <w:szCs w:val="28"/>
        </w:rPr>
        <w:t xml:space="preserve">уровня по </w:t>
      </w:r>
      <w:r>
        <w:rPr>
          <w:rFonts w:ascii="Times New Roman" w:hAnsi="Times New Roman"/>
          <w:szCs w:val="28"/>
        </w:rPr>
        <w:t>России</w:t>
      </w:r>
      <w:r w:rsidRPr="0082673A">
        <w:rPr>
          <w:rFonts w:ascii="Times New Roman" w:hAnsi="Times New Roman"/>
          <w:szCs w:val="28"/>
        </w:rPr>
        <w:t xml:space="preserve"> (26</w:t>
      </w:r>
      <w:r w:rsidR="00E870C0">
        <w:rPr>
          <w:rFonts w:ascii="Times New Roman" w:hAnsi="Times New Roman"/>
          <w:szCs w:val="28"/>
        </w:rPr>
        <w:t xml:space="preserve"> </w:t>
      </w:r>
      <w:r w:rsidRPr="0082673A">
        <w:rPr>
          <w:rFonts w:ascii="Times New Roman" w:hAnsi="Times New Roman"/>
          <w:szCs w:val="28"/>
        </w:rPr>
        <w:t>822 руб.).</w:t>
      </w:r>
    </w:p>
    <w:p w:rsidR="00175E83" w:rsidRDefault="00C07570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 xml:space="preserve">В </w:t>
      </w:r>
      <w:r w:rsidR="00175E83">
        <w:rPr>
          <w:rFonts w:ascii="Times New Roman" w:hAnsi="Times New Roman"/>
          <w:szCs w:val="28"/>
        </w:rPr>
        <w:t xml:space="preserve">2012 </w:t>
      </w:r>
      <w:r w:rsidR="00E870C0">
        <w:rPr>
          <w:rFonts w:ascii="Times New Roman" w:hAnsi="Times New Roman"/>
          <w:szCs w:val="28"/>
        </w:rPr>
        <w:t>году</w:t>
      </w:r>
      <w:r>
        <w:rPr>
          <w:rFonts w:ascii="Times New Roman" w:hAnsi="Times New Roman"/>
          <w:szCs w:val="28"/>
        </w:rPr>
        <w:t xml:space="preserve"> реальная начисленная заработная</w:t>
      </w:r>
      <w:r w:rsidR="000E4B0F">
        <w:rPr>
          <w:rFonts w:ascii="Times New Roman" w:hAnsi="Times New Roman"/>
          <w:szCs w:val="28"/>
        </w:rPr>
        <w:t xml:space="preserve"> </w:t>
      </w:r>
      <w:r w:rsidR="00175E83">
        <w:rPr>
          <w:rFonts w:ascii="Times New Roman" w:hAnsi="Times New Roman"/>
          <w:szCs w:val="28"/>
        </w:rPr>
        <w:t xml:space="preserve">плата работающих </w:t>
      </w:r>
      <w:r w:rsidR="000E4B0F">
        <w:rPr>
          <w:rFonts w:ascii="Times New Roman" w:hAnsi="Times New Roman"/>
          <w:szCs w:val="28"/>
        </w:rPr>
        <w:t>на кру</w:t>
      </w:r>
      <w:r w:rsidR="000E4B0F">
        <w:rPr>
          <w:rFonts w:ascii="Times New Roman" w:hAnsi="Times New Roman"/>
          <w:szCs w:val="28"/>
        </w:rPr>
        <w:t>п</w:t>
      </w:r>
      <w:r w:rsidR="000E4B0F">
        <w:rPr>
          <w:rFonts w:ascii="Times New Roman" w:hAnsi="Times New Roman"/>
          <w:szCs w:val="28"/>
        </w:rPr>
        <w:t xml:space="preserve">ных и средних предприятиях </w:t>
      </w:r>
      <w:r w:rsidR="00175E83">
        <w:rPr>
          <w:rFonts w:ascii="Times New Roman" w:hAnsi="Times New Roman"/>
          <w:szCs w:val="28"/>
        </w:rPr>
        <w:t>в экономике</w:t>
      </w:r>
      <w:r w:rsidR="000E4B0F">
        <w:rPr>
          <w:rFonts w:ascii="Times New Roman" w:hAnsi="Times New Roman"/>
          <w:szCs w:val="28"/>
        </w:rPr>
        <w:t xml:space="preserve"> города Перми</w:t>
      </w:r>
      <w:r w:rsidR="00175E83">
        <w:rPr>
          <w:rFonts w:ascii="Times New Roman" w:hAnsi="Times New Roman"/>
          <w:szCs w:val="28"/>
        </w:rPr>
        <w:t xml:space="preserve"> составила 108,2%</w:t>
      </w:r>
      <w:r w:rsidR="00E870C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br/>
      </w:r>
      <w:r w:rsidR="00E870C0">
        <w:rPr>
          <w:rFonts w:ascii="Times New Roman" w:hAnsi="Times New Roman"/>
          <w:szCs w:val="28"/>
        </w:rPr>
        <w:t xml:space="preserve">по сравнению с 2011 годом </w:t>
      </w:r>
      <w:r w:rsidR="00175E83">
        <w:rPr>
          <w:rFonts w:ascii="Times New Roman" w:hAnsi="Times New Roman"/>
          <w:szCs w:val="28"/>
        </w:rPr>
        <w:t>(по Пермскому краю – 105,2%).</w:t>
      </w:r>
      <w:proofErr w:type="gramEnd"/>
    </w:p>
    <w:p w:rsidR="001078E1" w:rsidRPr="00EE62BB" w:rsidRDefault="001078E1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 среднемесячной заработной плате за период 2010</w:t>
      </w:r>
      <w:r w:rsidR="00255369">
        <w:rPr>
          <w:rFonts w:ascii="Times New Roman" w:hAnsi="Times New Roman"/>
          <w:szCs w:val="28"/>
        </w:rPr>
        <w:t>-</w:t>
      </w:r>
      <w:r>
        <w:rPr>
          <w:rFonts w:ascii="Times New Roman" w:hAnsi="Times New Roman"/>
          <w:szCs w:val="28"/>
        </w:rPr>
        <w:t xml:space="preserve">2012 годов Пермь </w:t>
      </w:r>
      <w:r w:rsidR="00255369">
        <w:rPr>
          <w:rFonts w:ascii="Times New Roman" w:hAnsi="Times New Roman"/>
          <w:szCs w:val="28"/>
        </w:rPr>
        <w:t>з</w:t>
      </w:r>
      <w:r w:rsidR="00255369">
        <w:rPr>
          <w:rFonts w:ascii="Times New Roman" w:hAnsi="Times New Roman"/>
          <w:szCs w:val="28"/>
        </w:rPr>
        <w:t>а</w:t>
      </w:r>
      <w:r w:rsidR="00255369">
        <w:rPr>
          <w:rFonts w:ascii="Times New Roman" w:hAnsi="Times New Roman"/>
          <w:szCs w:val="28"/>
        </w:rPr>
        <w:t>нимает</w:t>
      </w:r>
      <w:r>
        <w:rPr>
          <w:rFonts w:ascii="Times New Roman" w:hAnsi="Times New Roman"/>
          <w:szCs w:val="28"/>
        </w:rPr>
        <w:t xml:space="preserve"> 2-е место после Екатеринбурга.</w:t>
      </w:r>
    </w:p>
    <w:p w:rsidR="001078E1" w:rsidRPr="00BE59BD" w:rsidRDefault="001078E1" w:rsidP="00717BAC">
      <w:pPr>
        <w:spacing w:line="240" w:lineRule="auto"/>
        <w:ind w:firstLine="720"/>
        <w:rPr>
          <w:rStyle w:val="ae"/>
          <w:b/>
          <w:color w:val="auto"/>
          <w:u w:val="none"/>
        </w:rPr>
      </w:pPr>
    </w:p>
    <w:p w:rsidR="006A3717" w:rsidRDefault="006A3717" w:rsidP="00717BAC">
      <w:pPr>
        <w:spacing w:line="240" w:lineRule="auto"/>
        <w:ind w:firstLine="720"/>
        <w:rPr>
          <w:rStyle w:val="ae"/>
          <w:b/>
          <w:color w:val="auto"/>
          <w:u w:val="none"/>
        </w:rPr>
      </w:pPr>
      <w:r>
        <w:rPr>
          <w:rStyle w:val="ae"/>
          <w:b/>
          <w:color w:val="auto"/>
          <w:u w:val="none"/>
        </w:rPr>
        <w:t>3</w:t>
      </w:r>
      <w:r w:rsidRPr="006669F9">
        <w:rPr>
          <w:rStyle w:val="ae"/>
          <w:b/>
          <w:color w:val="auto"/>
          <w:u w:val="none"/>
        </w:rPr>
        <w:t>.</w:t>
      </w:r>
      <w:r>
        <w:rPr>
          <w:rStyle w:val="ae"/>
          <w:b/>
          <w:color w:val="auto"/>
          <w:u w:val="none"/>
        </w:rPr>
        <w:t>2</w:t>
      </w:r>
      <w:r w:rsidRPr="006669F9">
        <w:rPr>
          <w:rStyle w:val="ae"/>
          <w:b/>
          <w:color w:val="auto"/>
          <w:u w:val="none"/>
        </w:rPr>
        <w:t xml:space="preserve">. </w:t>
      </w:r>
      <w:r>
        <w:rPr>
          <w:rStyle w:val="ae"/>
          <w:b/>
          <w:color w:val="auto"/>
          <w:u w:val="none"/>
        </w:rPr>
        <w:t>П</w:t>
      </w:r>
      <w:r w:rsidRPr="006669F9">
        <w:rPr>
          <w:rStyle w:val="ae"/>
          <w:b/>
          <w:color w:val="auto"/>
          <w:u w:val="none"/>
        </w:rPr>
        <w:t>отребительский рынок</w:t>
      </w:r>
    </w:p>
    <w:p w:rsidR="00175E83" w:rsidRPr="00875D16" w:rsidRDefault="00DB04D4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="00175E83">
        <w:rPr>
          <w:rFonts w:ascii="Times New Roman" w:hAnsi="Times New Roman"/>
          <w:szCs w:val="28"/>
        </w:rPr>
        <w:t xml:space="preserve"> 2012 году на территории Пермского края насчитывалось 9</w:t>
      </w:r>
      <w:r>
        <w:rPr>
          <w:rFonts w:ascii="Times New Roman" w:hAnsi="Times New Roman"/>
          <w:szCs w:val="28"/>
        </w:rPr>
        <w:t xml:space="preserve"> </w:t>
      </w:r>
      <w:r w:rsidR="00175E83">
        <w:rPr>
          <w:rFonts w:ascii="Times New Roman" w:hAnsi="Times New Roman"/>
          <w:szCs w:val="28"/>
        </w:rPr>
        <w:t xml:space="preserve">247 </w:t>
      </w:r>
      <w:r w:rsidR="00175E83" w:rsidRPr="00875D16">
        <w:rPr>
          <w:rFonts w:ascii="Times New Roman" w:hAnsi="Times New Roman"/>
          <w:szCs w:val="28"/>
        </w:rPr>
        <w:t xml:space="preserve">малых </w:t>
      </w:r>
      <w:r w:rsidR="003F57F2">
        <w:rPr>
          <w:rFonts w:ascii="Times New Roman" w:hAnsi="Times New Roman"/>
          <w:szCs w:val="28"/>
        </w:rPr>
        <w:br/>
      </w:r>
      <w:r w:rsidR="00175E83" w:rsidRPr="00875D16">
        <w:rPr>
          <w:rFonts w:ascii="Times New Roman" w:hAnsi="Times New Roman"/>
          <w:szCs w:val="28"/>
        </w:rPr>
        <w:t>и (микро) предприятий. В том числе 6</w:t>
      </w:r>
      <w:r>
        <w:rPr>
          <w:rFonts w:ascii="Times New Roman" w:hAnsi="Times New Roman"/>
          <w:szCs w:val="28"/>
        </w:rPr>
        <w:t xml:space="preserve"> </w:t>
      </w:r>
      <w:r w:rsidR="00175E83" w:rsidRPr="00875D16">
        <w:rPr>
          <w:rFonts w:ascii="Times New Roman" w:hAnsi="Times New Roman"/>
          <w:szCs w:val="28"/>
        </w:rPr>
        <w:t xml:space="preserve">612 (71,5%) осуществляли деятельность </w:t>
      </w:r>
      <w:r w:rsidR="00C07570">
        <w:rPr>
          <w:rFonts w:ascii="Times New Roman" w:hAnsi="Times New Roman"/>
          <w:szCs w:val="28"/>
        </w:rPr>
        <w:br/>
      </w:r>
      <w:r w:rsidR="00175E83" w:rsidRPr="00875D16">
        <w:rPr>
          <w:rFonts w:ascii="Times New Roman" w:hAnsi="Times New Roman"/>
          <w:szCs w:val="28"/>
        </w:rPr>
        <w:t>в краевом</w:t>
      </w:r>
      <w:r w:rsidR="00C07570">
        <w:rPr>
          <w:rFonts w:ascii="Times New Roman" w:hAnsi="Times New Roman"/>
          <w:szCs w:val="28"/>
        </w:rPr>
        <w:t xml:space="preserve"> </w:t>
      </w:r>
      <w:r w:rsidR="00175E83" w:rsidRPr="00875D16">
        <w:rPr>
          <w:rFonts w:ascii="Times New Roman" w:hAnsi="Times New Roman"/>
          <w:szCs w:val="28"/>
        </w:rPr>
        <w:t xml:space="preserve">центре. </w:t>
      </w:r>
      <w:r w:rsidR="00175E83">
        <w:rPr>
          <w:rFonts w:ascii="Times New Roman" w:hAnsi="Times New Roman"/>
          <w:szCs w:val="28"/>
        </w:rPr>
        <w:t>Количество</w:t>
      </w:r>
      <w:r w:rsidR="00C07570">
        <w:rPr>
          <w:rFonts w:ascii="Times New Roman" w:hAnsi="Times New Roman"/>
          <w:szCs w:val="28"/>
        </w:rPr>
        <w:t xml:space="preserve"> </w:t>
      </w:r>
      <w:r w:rsidR="00175E83">
        <w:rPr>
          <w:rFonts w:ascii="Times New Roman" w:hAnsi="Times New Roman"/>
          <w:szCs w:val="28"/>
        </w:rPr>
        <w:t>малых</w:t>
      </w:r>
      <w:r w:rsidR="00C07570">
        <w:rPr>
          <w:rFonts w:ascii="Times New Roman" w:hAnsi="Times New Roman"/>
          <w:szCs w:val="28"/>
        </w:rPr>
        <w:t xml:space="preserve"> </w:t>
      </w:r>
      <w:r w:rsidR="00175E83">
        <w:rPr>
          <w:rFonts w:ascii="Times New Roman" w:hAnsi="Times New Roman"/>
          <w:szCs w:val="28"/>
        </w:rPr>
        <w:t>предприятий на 1000 жителей города Пе</w:t>
      </w:r>
      <w:r w:rsidR="00175E83">
        <w:rPr>
          <w:rFonts w:ascii="Times New Roman" w:hAnsi="Times New Roman"/>
          <w:szCs w:val="28"/>
        </w:rPr>
        <w:t>р</w:t>
      </w:r>
      <w:r w:rsidR="00175E83">
        <w:rPr>
          <w:rFonts w:ascii="Times New Roman" w:hAnsi="Times New Roman"/>
          <w:szCs w:val="28"/>
        </w:rPr>
        <w:t xml:space="preserve">ми составило около 7 предприятий. </w:t>
      </w:r>
      <w:r w:rsidR="00175E83" w:rsidRPr="00875D16">
        <w:rPr>
          <w:rFonts w:ascii="Times New Roman" w:hAnsi="Times New Roman"/>
          <w:szCs w:val="28"/>
        </w:rPr>
        <w:t xml:space="preserve">Структура </w:t>
      </w:r>
      <w:r w:rsidR="00175E83">
        <w:rPr>
          <w:rFonts w:ascii="Times New Roman" w:hAnsi="Times New Roman"/>
          <w:szCs w:val="28"/>
        </w:rPr>
        <w:t>малого предпринимательства</w:t>
      </w:r>
      <w:r w:rsidR="00175E83" w:rsidRPr="00875D16">
        <w:rPr>
          <w:rFonts w:ascii="Times New Roman" w:hAnsi="Times New Roman"/>
          <w:szCs w:val="28"/>
        </w:rPr>
        <w:t xml:space="preserve"> </w:t>
      </w:r>
      <w:r w:rsidR="00C07570">
        <w:rPr>
          <w:rFonts w:ascii="Times New Roman" w:hAnsi="Times New Roman"/>
          <w:szCs w:val="28"/>
        </w:rPr>
        <w:br/>
      </w:r>
      <w:r w:rsidR="00175E83" w:rsidRPr="00875D16">
        <w:rPr>
          <w:rFonts w:ascii="Times New Roman" w:hAnsi="Times New Roman"/>
          <w:szCs w:val="28"/>
        </w:rPr>
        <w:t>(в разрезе видов экономической деятельности) практически не меняется в теч</w:t>
      </w:r>
      <w:r w:rsidR="00175E83" w:rsidRPr="00875D16">
        <w:rPr>
          <w:rFonts w:ascii="Times New Roman" w:hAnsi="Times New Roman"/>
          <w:szCs w:val="28"/>
        </w:rPr>
        <w:t>е</w:t>
      </w:r>
      <w:r w:rsidR="00175E83" w:rsidRPr="00875D16">
        <w:rPr>
          <w:rFonts w:ascii="Times New Roman" w:hAnsi="Times New Roman"/>
          <w:szCs w:val="28"/>
        </w:rPr>
        <w:t xml:space="preserve">ние последних лет. </w:t>
      </w:r>
      <w:proofErr w:type="gramStart"/>
      <w:r w:rsidR="00175E83" w:rsidRPr="00875D16">
        <w:rPr>
          <w:rFonts w:ascii="Times New Roman" w:hAnsi="Times New Roman"/>
          <w:szCs w:val="28"/>
        </w:rPr>
        <w:t>Больш</w:t>
      </w:r>
      <w:r w:rsidR="00255369">
        <w:rPr>
          <w:rFonts w:ascii="Times New Roman" w:hAnsi="Times New Roman"/>
          <w:szCs w:val="28"/>
        </w:rPr>
        <w:t>ая</w:t>
      </w:r>
      <w:r w:rsidR="00175E83" w:rsidRPr="00875D16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часть</w:t>
      </w:r>
      <w:r w:rsidR="00175E83">
        <w:rPr>
          <w:rFonts w:ascii="Times New Roman" w:hAnsi="Times New Roman"/>
          <w:szCs w:val="28"/>
        </w:rPr>
        <w:t xml:space="preserve"> предприятий</w:t>
      </w:r>
      <w:r w:rsidR="00175E83" w:rsidRPr="00875D16">
        <w:rPr>
          <w:rFonts w:ascii="Times New Roman" w:hAnsi="Times New Roman"/>
          <w:szCs w:val="28"/>
        </w:rPr>
        <w:t xml:space="preserve"> занима</w:t>
      </w:r>
      <w:r w:rsidR="00255369">
        <w:rPr>
          <w:rFonts w:ascii="Times New Roman" w:hAnsi="Times New Roman"/>
          <w:szCs w:val="28"/>
        </w:rPr>
        <w:t>е</w:t>
      </w:r>
      <w:r w:rsidR="00175E83" w:rsidRPr="00875D16">
        <w:rPr>
          <w:rFonts w:ascii="Times New Roman" w:hAnsi="Times New Roman"/>
          <w:szCs w:val="28"/>
        </w:rPr>
        <w:t>тся оптовой</w:t>
      </w:r>
      <w:r w:rsidR="005B0FE1">
        <w:rPr>
          <w:rFonts w:ascii="Times New Roman" w:hAnsi="Times New Roman"/>
          <w:szCs w:val="28"/>
        </w:rPr>
        <w:t xml:space="preserve"> </w:t>
      </w:r>
      <w:r w:rsidR="00175E83" w:rsidRPr="00875D16">
        <w:rPr>
          <w:rFonts w:ascii="Times New Roman" w:hAnsi="Times New Roman"/>
          <w:szCs w:val="28"/>
        </w:rPr>
        <w:t>и розничной торговлей</w:t>
      </w:r>
      <w:r w:rsidR="008B3325">
        <w:rPr>
          <w:rFonts w:ascii="Times New Roman" w:hAnsi="Times New Roman"/>
          <w:szCs w:val="28"/>
        </w:rPr>
        <w:t xml:space="preserve"> </w:t>
      </w:r>
      <w:r w:rsidR="003F57F2">
        <w:rPr>
          <w:rFonts w:ascii="Times New Roman" w:hAnsi="Times New Roman"/>
          <w:szCs w:val="28"/>
        </w:rPr>
        <w:t>–</w:t>
      </w:r>
      <w:r w:rsidR="00255369">
        <w:rPr>
          <w:rFonts w:ascii="Times New Roman" w:hAnsi="Times New Roman"/>
          <w:szCs w:val="28"/>
        </w:rPr>
        <w:t xml:space="preserve"> </w:t>
      </w:r>
      <w:r w:rsidR="00255369" w:rsidRPr="00875D16">
        <w:rPr>
          <w:rFonts w:ascii="Times New Roman" w:hAnsi="Times New Roman"/>
          <w:szCs w:val="28"/>
        </w:rPr>
        <w:t>47,6%</w:t>
      </w:r>
      <w:r w:rsidR="00175E83" w:rsidRPr="00875D16">
        <w:rPr>
          <w:rFonts w:ascii="Times New Roman" w:hAnsi="Times New Roman"/>
          <w:szCs w:val="28"/>
        </w:rPr>
        <w:t xml:space="preserve">, в сфере услуг </w:t>
      </w:r>
      <w:r w:rsidR="003F57F2">
        <w:rPr>
          <w:rFonts w:ascii="Times New Roman" w:hAnsi="Times New Roman"/>
          <w:szCs w:val="28"/>
        </w:rPr>
        <w:t xml:space="preserve">– </w:t>
      </w:r>
      <w:r w:rsidR="003F57F2" w:rsidRPr="00875D16">
        <w:rPr>
          <w:rFonts w:ascii="Times New Roman" w:hAnsi="Times New Roman"/>
          <w:szCs w:val="28"/>
        </w:rPr>
        <w:t xml:space="preserve">16,4% </w:t>
      </w:r>
      <w:r w:rsidR="00175E83" w:rsidRPr="00875D16">
        <w:rPr>
          <w:rFonts w:ascii="Times New Roman" w:hAnsi="Times New Roman"/>
          <w:szCs w:val="28"/>
        </w:rPr>
        <w:t xml:space="preserve">(образование, здравоохранение </w:t>
      </w:r>
      <w:r w:rsidR="003F57F2">
        <w:rPr>
          <w:rFonts w:ascii="Times New Roman" w:hAnsi="Times New Roman"/>
          <w:szCs w:val="28"/>
        </w:rPr>
        <w:br/>
      </w:r>
      <w:r w:rsidR="00175E83" w:rsidRPr="00875D16">
        <w:rPr>
          <w:rFonts w:ascii="Times New Roman" w:hAnsi="Times New Roman"/>
          <w:szCs w:val="28"/>
        </w:rPr>
        <w:t>и предоставление социальных услуг, предоставление прочих коммунальных, с</w:t>
      </w:r>
      <w:r w:rsidR="00175E83" w:rsidRPr="00875D16">
        <w:rPr>
          <w:rFonts w:ascii="Times New Roman" w:hAnsi="Times New Roman"/>
          <w:szCs w:val="28"/>
        </w:rPr>
        <w:t>о</w:t>
      </w:r>
      <w:r w:rsidR="00175E83" w:rsidRPr="00875D16">
        <w:rPr>
          <w:rFonts w:ascii="Times New Roman" w:hAnsi="Times New Roman"/>
          <w:szCs w:val="28"/>
        </w:rPr>
        <w:t xml:space="preserve">циальных и персональных услуг, а также операции с недвижимым имуществом, </w:t>
      </w:r>
      <w:r w:rsidR="00C07570">
        <w:rPr>
          <w:rFonts w:ascii="Times New Roman" w:hAnsi="Times New Roman"/>
          <w:szCs w:val="28"/>
        </w:rPr>
        <w:t>аренда и предоставление услуг),</w:t>
      </w:r>
      <w:r w:rsidR="005B0FE1">
        <w:rPr>
          <w:rFonts w:ascii="Times New Roman" w:hAnsi="Times New Roman"/>
          <w:szCs w:val="28"/>
        </w:rPr>
        <w:t xml:space="preserve"> </w:t>
      </w:r>
      <w:r w:rsidR="00175E83" w:rsidRPr="00875D16">
        <w:rPr>
          <w:rFonts w:ascii="Times New Roman" w:hAnsi="Times New Roman"/>
          <w:szCs w:val="28"/>
        </w:rPr>
        <w:t>строительством</w:t>
      </w:r>
      <w:r w:rsidR="005B0FE1">
        <w:rPr>
          <w:rFonts w:ascii="Times New Roman" w:hAnsi="Times New Roman"/>
          <w:szCs w:val="28"/>
        </w:rPr>
        <w:t xml:space="preserve"> </w:t>
      </w:r>
      <w:r w:rsidR="00175E83" w:rsidRPr="00875D16">
        <w:rPr>
          <w:rFonts w:ascii="Times New Roman" w:hAnsi="Times New Roman"/>
          <w:szCs w:val="28"/>
        </w:rPr>
        <w:t>занимаются 14,1% малых</w:t>
      </w:r>
      <w:r w:rsidR="00C07570">
        <w:rPr>
          <w:rFonts w:ascii="Times New Roman" w:hAnsi="Times New Roman"/>
          <w:szCs w:val="28"/>
        </w:rPr>
        <w:t xml:space="preserve"> </w:t>
      </w:r>
      <w:r w:rsidR="00175E83" w:rsidRPr="00875D16">
        <w:rPr>
          <w:rFonts w:ascii="Times New Roman" w:hAnsi="Times New Roman"/>
          <w:szCs w:val="28"/>
        </w:rPr>
        <w:t>пре</w:t>
      </w:r>
      <w:r w:rsidR="00175E83" w:rsidRPr="00875D16">
        <w:rPr>
          <w:rFonts w:ascii="Times New Roman" w:hAnsi="Times New Roman"/>
          <w:szCs w:val="28"/>
        </w:rPr>
        <w:t>д</w:t>
      </w:r>
      <w:r w:rsidR="00175E83" w:rsidRPr="00875D16">
        <w:rPr>
          <w:rFonts w:ascii="Times New Roman" w:hAnsi="Times New Roman"/>
          <w:szCs w:val="28"/>
        </w:rPr>
        <w:t>приятий, сектор промышленного</w:t>
      </w:r>
      <w:r w:rsidR="00C07570">
        <w:rPr>
          <w:rFonts w:ascii="Times New Roman" w:hAnsi="Times New Roman"/>
          <w:szCs w:val="28"/>
        </w:rPr>
        <w:t xml:space="preserve"> </w:t>
      </w:r>
      <w:r w:rsidR="00175E83" w:rsidRPr="00875D16">
        <w:rPr>
          <w:rFonts w:ascii="Times New Roman" w:hAnsi="Times New Roman"/>
          <w:szCs w:val="28"/>
        </w:rPr>
        <w:t>производства</w:t>
      </w:r>
      <w:r w:rsidR="00C07570">
        <w:rPr>
          <w:rFonts w:ascii="Times New Roman" w:hAnsi="Times New Roman"/>
          <w:szCs w:val="28"/>
        </w:rPr>
        <w:t xml:space="preserve"> </w:t>
      </w:r>
      <w:r w:rsidR="00175E83" w:rsidRPr="00875D16">
        <w:rPr>
          <w:rFonts w:ascii="Times New Roman" w:hAnsi="Times New Roman"/>
          <w:szCs w:val="28"/>
        </w:rPr>
        <w:t xml:space="preserve">«малого» бизнеса представляют 11,2% от общего числа компаний, 5,3% составляют организации транспорта </w:t>
      </w:r>
      <w:r w:rsidR="003F57F2">
        <w:rPr>
          <w:rFonts w:ascii="Times New Roman" w:hAnsi="Times New Roman"/>
          <w:szCs w:val="28"/>
        </w:rPr>
        <w:br/>
      </w:r>
      <w:r w:rsidR="00175E83" w:rsidRPr="00875D16">
        <w:rPr>
          <w:rFonts w:ascii="Times New Roman" w:hAnsi="Times New Roman"/>
          <w:szCs w:val="28"/>
        </w:rPr>
        <w:t>и связи.</w:t>
      </w:r>
      <w:proofErr w:type="gramEnd"/>
    </w:p>
    <w:p w:rsidR="006A3717" w:rsidRDefault="006A3717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B44F76">
        <w:rPr>
          <w:rFonts w:ascii="Times New Roman" w:hAnsi="Times New Roman"/>
          <w:szCs w:val="28"/>
        </w:rPr>
        <w:t xml:space="preserve">Для потребительского рынка города </w:t>
      </w:r>
      <w:r>
        <w:rPr>
          <w:rFonts w:ascii="Times New Roman" w:hAnsi="Times New Roman"/>
          <w:szCs w:val="28"/>
        </w:rPr>
        <w:t xml:space="preserve">Перми </w:t>
      </w:r>
      <w:r w:rsidRPr="00B44F76">
        <w:rPr>
          <w:rFonts w:ascii="Times New Roman" w:hAnsi="Times New Roman"/>
          <w:szCs w:val="28"/>
        </w:rPr>
        <w:t xml:space="preserve">характерны положительные тенденции развития основных сфер рынка – розничной торговли, общественного питания, бытового обслуживания. </w:t>
      </w:r>
      <w:r>
        <w:rPr>
          <w:rFonts w:ascii="Times New Roman" w:hAnsi="Times New Roman"/>
          <w:szCs w:val="28"/>
        </w:rPr>
        <w:t>При этом происходит сокращение количества объектов нестационарной торговой сети и уменьшение количества розничных рынков.</w:t>
      </w:r>
    </w:p>
    <w:p w:rsidR="006A3717" w:rsidRDefault="006A3717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B44F76">
        <w:rPr>
          <w:rFonts w:ascii="Times New Roman" w:hAnsi="Times New Roman"/>
          <w:szCs w:val="28"/>
        </w:rPr>
        <w:t>Наиболь</w:t>
      </w:r>
      <w:r w:rsidR="00C07570">
        <w:rPr>
          <w:rFonts w:ascii="Times New Roman" w:hAnsi="Times New Roman"/>
          <w:szCs w:val="28"/>
        </w:rPr>
        <w:t>шая</w:t>
      </w:r>
      <w:r w:rsidR="005B0FE1">
        <w:rPr>
          <w:rFonts w:ascii="Times New Roman" w:hAnsi="Times New Roman"/>
          <w:szCs w:val="28"/>
        </w:rPr>
        <w:t xml:space="preserve"> </w:t>
      </w:r>
      <w:r w:rsidRPr="00B44F76">
        <w:rPr>
          <w:rFonts w:ascii="Times New Roman" w:hAnsi="Times New Roman"/>
          <w:szCs w:val="28"/>
        </w:rPr>
        <w:t>доля</w:t>
      </w:r>
      <w:r w:rsidR="005B0FE1">
        <w:rPr>
          <w:rFonts w:ascii="Times New Roman" w:hAnsi="Times New Roman"/>
          <w:szCs w:val="28"/>
        </w:rPr>
        <w:t xml:space="preserve"> </w:t>
      </w:r>
      <w:r w:rsidR="00C07570">
        <w:rPr>
          <w:rFonts w:ascii="Times New Roman" w:hAnsi="Times New Roman"/>
          <w:szCs w:val="28"/>
        </w:rPr>
        <w:t>приходится</w:t>
      </w:r>
      <w:r w:rsidR="005B0FE1">
        <w:rPr>
          <w:rFonts w:ascii="Times New Roman" w:hAnsi="Times New Roman"/>
          <w:szCs w:val="28"/>
        </w:rPr>
        <w:t xml:space="preserve"> </w:t>
      </w:r>
      <w:r w:rsidRPr="00B44F76">
        <w:rPr>
          <w:rFonts w:ascii="Times New Roman" w:hAnsi="Times New Roman"/>
          <w:szCs w:val="28"/>
        </w:rPr>
        <w:t xml:space="preserve">на </w:t>
      </w:r>
      <w:r w:rsidR="00C07570">
        <w:rPr>
          <w:rFonts w:ascii="Times New Roman" w:hAnsi="Times New Roman"/>
          <w:szCs w:val="28"/>
        </w:rPr>
        <w:t>предприятия</w:t>
      </w:r>
      <w:r w:rsidR="005B0FE1">
        <w:rPr>
          <w:rFonts w:ascii="Times New Roman" w:hAnsi="Times New Roman"/>
          <w:szCs w:val="28"/>
        </w:rPr>
        <w:t xml:space="preserve"> </w:t>
      </w:r>
      <w:r w:rsidRPr="00B44F76">
        <w:rPr>
          <w:rFonts w:ascii="Times New Roman" w:hAnsi="Times New Roman"/>
          <w:szCs w:val="28"/>
        </w:rPr>
        <w:t xml:space="preserve">розничной торговли (41,1% </w:t>
      </w:r>
      <w:r w:rsidR="003F57F2">
        <w:rPr>
          <w:rFonts w:ascii="Times New Roman" w:hAnsi="Times New Roman"/>
          <w:szCs w:val="28"/>
        </w:rPr>
        <w:t>–</w:t>
      </w:r>
      <w:r w:rsidRPr="00B44F76">
        <w:rPr>
          <w:rFonts w:ascii="Times New Roman" w:hAnsi="Times New Roman"/>
          <w:szCs w:val="28"/>
        </w:rPr>
        <w:t xml:space="preserve"> в 2012 году, 38</w:t>
      </w:r>
      <w:r w:rsidR="003F57F2">
        <w:rPr>
          <w:rFonts w:ascii="Times New Roman" w:hAnsi="Times New Roman"/>
          <w:szCs w:val="28"/>
        </w:rPr>
        <w:t>,0</w:t>
      </w:r>
      <w:r w:rsidRPr="00B44F76">
        <w:rPr>
          <w:rFonts w:ascii="Times New Roman" w:hAnsi="Times New Roman"/>
          <w:szCs w:val="28"/>
        </w:rPr>
        <w:t xml:space="preserve">% </w:t>
      </w:r>
      <w:r w:rsidR="003F57F2">
        <w:rPr>
          <w:rFonts w:ascii="Times New Roman" w:hAnsi="Times New Roman"/>
          <w:szCs w:val="28"/>
        </w:rPr>
        <w:t>–</w:t>
      </w:r>
      <w:r w:rsidRPr="00B44F76">
        <w:rPr>
          <w:rFonts w:ascii="Times New Roman" w:hAnsi="Times New Roman"/>
          <w:szCs w:val="28"/>
        </w:rPr>
        <w:t xml:space="preserve"> в 2011 году, 35,5% </w:t>
      </w:r>
      <w:r w:rsidR="003F57F2">
        <w:rPr>
          <w:rFonts w:ascii="Times New Roman" w:hAnsi="Times New Roman"/>
          <w:szCs w:val="28"/>
        </w:rPr>
        <w:t>–</w:t>
      </w:r>
      <w:r w:rsidRPr="00B44F76">
        <w:rPr>
          <w:rFonts w:ascii="Times New Roman" w:hAnsi="Times New Roman"/>
          <w:szCs w:val="28"/>
        </w:rPr>
        <w:t xml:space="preserve"> в 2010 году)</w:t>
      </w:r>
      <w:r w:rsidR="005B0FE1">
        <w:rPr>
          <w:rFonts w:ascii="Times New Roman" w:hAnsi="Times New Roman"/>
          <w:szCs w:val="28"/>
        </w:rPr>
        <w:t>.</w:t>
      </w:r>
      <w:r w:rsidRPr="00B44F76">
        <w:rPr>
          <w:rFonts w:ascii="Times New Roman" w:hAnsi="Times New Roman"/>
          <w:szCs w:val="28"/>
        </w:rPr>
        <w:t xml:space="preserve"> </w:t>
      </w:r>
    </w:p>
    <w:p w:rsidR="00C07570" w:rsidRDefault="00C07570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6A3717" w:rsidRPr="00B44F76" w:rsidRDefault="003F6ECC" w:rsidP="00717BAC">
      <w:pPr>
        <w:spacing w:line="240" w:lineRule="auto"/>
        <w:ind w:firstLine="70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325BE02B" wp14:editId="09B39BF4">
            <wp:extent cx="5516678" cy="2991481"/>
            <wp:effectExtent l="0" t="0" r="0" b="0"/>
            <wp:docPr id="16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A3717" w:rsidRDefault="006A3717" w:rsidP="00C07570">
      <w:pPr>
        <w:keepNext/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6A3717">
        <w:rPr>
          <w:rFonts w:ascii="Times New Roman" w:hAnsi="Times New Roman"/>
          <w:b/>
          <w:i/>
          <w:sz w:val="24"/>
          <w:szCs w:val="24"/>
        </w:rPr>
        <w:t>Рис. 3.2.1. Структура объектов потребительского рынка города</w:t>
      </w:r>
      <w:r w:rsidR="003F57F2">
        <w:rPr>
          <w:rFonts w:ascii="Times New Roman" w:hAnsi="Times New Roman"/>
          <w:b/>
          <w:i/>
          <w:sz w:val="24"/>
          <w:szCs w:val="24"/>
        </w:rPr>
        <w:t xml:space="preserve"> Перми в 2012 году</w:t>
      </w:r>
    </w:p>
    <w:p w:rsidR="00D3543A" w:rsidRPr="006A3717" w:rsidRDefault="00D3543A" w:rsidP="00717BAC">
      <w:pPr>
        <w:keepNext/>
        <w:spacing w:line="240" w:lineRule="auto"/>
        <w:ind w:firstLine="425"/>
        <w:rPr>
          <w:rFonts w:ascii="Times New Roman" w:hAnsi="Times New Roman"/>
          <w:b/>
          <w:i/>
          <w:sz w:val="24"/>
          <w:szCs w:val="24"/>
        </w:rPr>
      </w:pPr>
    </w:p>
    <w:p w:rsidR="006A3717" w:rsidRDefault="00175E83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DB04D4">
        <w:rPr>
          <w:rFonts w:ascii="Times New Roman" w:hAnsi="Times New Roman"/>
          <w:szCs w:val="28"/>
        </w:rPr>
        <w:t>Объем оборота</w:t>
      </w:r>
      <w:r w:rsidR="00C07570">
        <w:rPr>
          <w:rFonts w:ascii="Times New Roman" w:hAnsi="Times New Roman"/>
          <w:szCs w:val="28"/>
        </w:rPr>
        <w:t xml:space="preserve"> </w:t>
      </w:r>
      <w:r w:rsidRPr="00DB04D4">
        <w:rPr>
          <w:rFonts w:ascii="Times New Roman" w:hAnsi="Times New Roman"/>
          <w:szCs w:val="28"/>
        </w:rPr>
        <w:t>розничной</w:t>
      </w:r>
      <w:r w:rsidR="00C07570">
        <w:rPr>
          <w:rFonts w:ascii="Times New Roman" w:hAnsi="Times New Roman"/>
          <w:szCs w:val="28"/>
        </w:rPr>
        <w:t xml:space="preserve"> </w:t>
      </w:r>
      <w:r w:rsidRPr="00DB04D4">
        <w:rPr>
          <w:rFonts w:ascii="Times New Roman" w:hAnsi="Times New Roman"/>
          <w:szCs w:val="28"/>
        </w:rPr>
        <w:t>торговли</w:t>
      </w:r>
      <w:r w:rsidR="00D3543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 2012 г</w:t>
      </w:r>
      <w:r w:rsidR="00DB04D4">
        <w:rPr>
          <w:rFonts w:ascii="Times New Roman" w:hAnsi="Times New Roman"/>
          <w:szCs w:val="28"/>
        </w:rPr>
        <w:t>оду</w:t>
      </w:r>
      <w:r w:rsidR="00D3543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 сравнении с 2008</w:t>
      </w:r>
      <w:r w:rsidR="00D3543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</w:t>
      </w:r>
      <w:r w:rsidR="00DB04D4">
        <w:rPr>
          <w:rFonts w:ascii="Times New Roman" w:hAnsi="Times New Roman"/>
          <w:szCs w:val="28"/>
        </w:rPr>
        <w:t>одом</w:t>
      </w:r>
      <w:r>
        <w:rPr>
          <w:rFonts w:ascii="Times New Roman" w:hAnsi="Times New Roman"/>
          <w:szCs w:val="28"/>
        </w:rPr>
        <w:t xml:space="preserve"> в</w:t>
      </w:r>
      <w:r w:rsidR="00D3543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</w:t>
      </w:r>
      <w:r w:rsidR="00DB04D4">
        <w:rPr>
          <w:rFonts w:ascii="Times New Roman" w:hAnsi="Times New Roman"/>
          <w:szCs w:val="28"/>
        </w:rPr>
        <w:t>ороде</w:t>
      </w:r>
      <w:r>
        <w:rPr>
          <w:rFonts w:ascii="Times New Roman" w:hAnsi="Times New Roman"/>
          <w:szCs w:val="28"/>
        </w:rPr>
        <w:t xml:space="preserve"> Перми вырос на 34,7%</w:t>
      </w:r>
      <w:r w:rsidR="00D3543A">
        <w:rPr>
          <w:rFonts w:ascii="Times New Roman" w:hAnsi="Times New Roman"/>
          <w:szCs w:val="28"/>
        </w:rPr>
        <w:t xml:space="preserve"> </w:t>
      </w:r>
      <w:r w:rsidRPr="008D0817">
        <w:rPr>
          <w:rFonts w:ascii="Times New Roman" w:hAnsi="Times New Roman"/>
          <w:szCs w:val="28"/>
        </w:rPr>
        <w:t>(по</w:t>
      </w:r>
      <w:r w:rsidR="00D3543A">
        <w:rPr>
          <w:rFonts w:ascii="Times New Roman" w:hAnsi="Times New Roman"/>
          <w:szCs w:val="28"/>
        </w:rPr>
        <w:t xml:space="preserve"> </w:t>
      </w:r>
      <w:r w:rsidR="00C07570">
        <w:rPr>
          <w:rFonts w:ascii="Times New Roman" w:hAnsi="Times New Roman"/>
          <w:szCs w:val="28"/>
        </w:rPr>
        <w:t>Пермскому</w:t>
      </w:r>
      <w:r w:rsidR="00D3543A">
        <w:rPr>
          <w:rFonts w:ascii="Times New Roman" w:hAnsi="Times New Roman"/>
          <w:szCs w:val="28"/>
        </w:rPr>
        <w:t xml:space="preserve"> </w:t>
      </w:r>
      <w:r w:rsidRPr="008D0817">
        <w:rPr>
          <w:rFonts w:ascii="Times New Roman" w:hAnsi="Times New Roman"/>
          <w:szCs w:val="28"/>
        </w:rPr>
        <w:t xml:space="preserve">краю – </w:t>
      </w:r>
      <w:r w:rsidR="00DB04D4">
        <w:rPr>
          <w:rFonts w:ascii="Times New Roman" w:hAnsi="Times New Roman"/>
          <w:szCs w:val="28"/>
        </w:rPr>
        <w:t xml:space="preserve">на </w:t>
      </w:r>
      <w:r w:rsidRPr="008D0817">
        <w:rPr>
          <w:rFonts w:ascii="Times New Roman" w:hAnsi="Times New Roman"/>
          <w:szCs w:val="28"/>
        </w:rPr>
        <w:t xml:space="preserve">44,4%, </w:t>
      </w:r>
      <w:r w:rsidRPr="00C75170">
        <w:rPr>
          <w:rFonts w:ascii="Times New Roman" w:hAnsi="Times New Roman"/>
          <w:szCs w:val="28"/>
        </w:rPr>
        <w:t>по Р</w:t>
      </w:r>
      <w:r w:rsidR="008B3325">
        <w:rPr>
          <w:rFonts w:ascii="Times New Roman" w:hAnsi="Times New Roman"/>
          <w:szCs w:val="28"/>
        </w:rPr>
        <w:t>оссии</w:t>
      </w:r>
      <w:r w:rsidRPr="00C75170">
        <w:rPr>
          <w:rFonts w:ascii="Times New Roman" w:hAnsi="Times New Roman"/>
          <w:szCs w:val="28"/>
        </w:rPr>
        <w:t xml:space="preserve"> – </w:t>
      </w:r>
      <w:r w:rsidR="008B3325">
        <w:rPr>
          <w:rFonts w:ascii="Times New Roman" w:hAnsi="Times New Roman"/>
          <w:szCs w:val="28"/>
        </w:rPr>
        <w:br/>
      </w:r>
      <w:r w:rsidR="00DB04D4">
        <w:rPr>
          <w:rFonts w:ascii="Times New Roman" w:hAnsi="Times New Roman"/>
          <w:szCs w:val="28"/>
        </w:rPr>
        <w:t xml:space="preserve">на </w:t>
      </w:r>
      <w:r w:rsidRPr="00C75170">
        <w:rPr>
          <w:rFonts w:ascii="Times New Roman" w:hAnsi="Times New Roman"/>
          <w:szCs w:val="28"/>
        </w:rPr>
        <w:t>53,9%) и</w:t>
      </w:r>
      <w:r w:rsidR="00C07570">
        <w:rPr>
          <w:rFonts w:ascii="Times New Roman" w:hAnsi="Times New Roman"/>
          <w:szCs w:val="28"/>
        </w:rPr>
        <w:t xml:space="preserve"> составил 273,4 </w:t>
      </w:r>
      <w:proofErr w:type="spellStart"/>
      <w:r w:rsidR="00C07570">
        <w:rPr>
          <w:rFonts w:ascii="Times New Roman" w:hAnsi="Times New Roman"/>
          <w:szCs w:val="28"/>
        </w:rPr>
        <w:t>млрд</w:t>
      </w:r>
      <w:proofErr w:type="gramStart"/>
      <w:r w:rsidR="00C07570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>уб</w:t>
      </w:r>
      <w:proofErr w:type="spellEnd"/>
      <w:r>
        <w:rPr>
          <w:rFonts w:ascii="Times New Roman" w:hAnsi="Times New Roman"/>
          <w:szCs w:val="28"/>
        </w:rPr>
        <w:t xml:space="preserve">. (68,1% от объема Пермского края). </w:t>
      </w:r>
      <w:r w:rsidR="006A3717">
        <w:rPr>
          <w:rFonts w:ascii="Times New Roman" w:hAnsi="Times New Roman"/>
          <w:szCs w:val="28"/>
        </w:rPr>
        <w:t>В соп</w:t>
      </w:r>
      <w:r w:rsidR="006A3717">
        <w:rPr>
          <w:rFonts w:ascii="Times New Roman" w:hAnsi="Times New Roman"/>
          <w:szCs w:val="28"/>
        </w:rPr>
        <w:t>о</w:t>
      </w:r>
      <w:r w:rsidR="006A3717">
        <w:rPr>
          <w:rFonts w:ascii="Times New Roman" w:hAnsi="Times New Roman"/>
          <w:szCs w:val="28"/>
        </w:rPr>
        <w:t>ставимых ценах розничный товарооборот города Перми в 2008-2012 г</w:t>
      </w:r>
      <w:r w:rsidR="003F57F2">
        <w:rPr>
          <w:rFonts w:ascii="Times New Roman" w:hAnsi="Times New Roman"/>
          <w:szCs w:val="28"/>
        </w:rPr>
        <w:t>одах</w:t>
      </w:r>
      <w:r w:rsidR="006A3717">
        <w:rPr>
          <w:rFonts w:ascii="Times New Roman" w:hAnsi="Times New Roman"/>
          <w:szCs w:val="28"/>
        </w:rPr>
        <w:t xml:space="preserve"> вырос на 3,0%. </w:t>
      </w:r>
    </w:p>
    <w:p w:rsidR="00175E83" w:rsidRDefault="00175E83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 2010 года наблюда</w:t>
      </w:r>
      <w:r w:rsidR="006A3717">
        <w:rPr>
          <w:rFonts w:ascii="Times New Roman" w:hAnsi="Times New Roman"/>
          <w:szCs w:val="28"/>
        </w:rPr>
        <w:t>лось</w:t>
      </w:r>
      <w:r>
        <w:rPr>
          <w:rFonts w:ascii="Times New Roman" w:hAnsi="Times New Roman"/>
          <w:szCs w:val="28"/>
        </w:rPr>
        <w:t xml:space="preserve"> уменьшение доли г</w:t>
      </w:r>
      <w:r w:rsidR="00DB04D4">
        <w:rPr>
          <w:rFonts w:ascii="Times New Roman" w:hAnsi="Times New Roman"/>
          <w:szCs w:val="28"/>
        </w:rPr>
        <w:t>орода</w:t>
      </w:r>
      <w:r>
        <w:rPr>
          <w:rFonts w:ascii="Times New Roman" w:hAnsi="Times New Roman"/>
          <w:szCs w:val="28"/>
        </w:rPr>
        <w:t xml:space="preserve"> Перми в объеме ро</w:t>
      </w:r>
      <w:r>
        <w:rPr>
          <w:rFonts w:ascii="Times New Roman" w:hAnsi="Times New Roman"/>
          <w:szCs w:val="28"/>
        </w:rPr>
        <w:t>з</w:t>
      </w:r>
      <w:r>
        <w:rPr>
          <w:rFonts w:ascii="Times New Roman" w:hAnsi="Times New Roman"/>
          <w:szCs w:val="28"/>
        </w:rPr>
        <w:t>ничной торговли Пермского края (2010 г</w:t>
      </w:r>
      <w:r w:rsidR="00782325">
        <w:rPr>
          <w:rFonts w:ascii="Times New Roman" w:hAnsi="Times New Roman"/>
          <w:szCs w:val="28"/>
        </w:rPr>
        <w:t>од</w:t>
      </w:r>
      <w:r>
        <w:rPr>
          <w:rFonts w:ascii="Times New Roman" w:hAnsi="Times New Roman"/>
          <w:szCs w:val="28"/>
        </w:rPr>
        <w:t xml:space="preserve"> – 73,7%, 2011 </w:t>
      </w:r>
      <w:r w:rsidR="00782325">
        <w:rPr>
          <w:rFonts w:ascii="Times New Roman" w:hAnsi="Times New Roman"/>
          <w:szCs w:val="28"/>
        </w:rPr>
        <w:t>год</w:t>
      </w:r>
      <w:r>
        <w:rPr>
          <w:rFonts w:ascii="Times New Roman" w:hAnsi="Times New Roman"/>
          <w:szCs w:val="28"/>
        </w:rPr>
        <w:t xml:space="preserve"> – 69,8%, 2012 </w:t>
      </w:r>
      <w:r w:rsidR="00782325">
        <w:rPr>
          <w:rFonts w:ascii="Times New Roman" w:hAnsi="Times New Roman"/>
          <w:szCs w:val="28"/>
        </w:rPr>
        <w:t>год</w:t>
      </w:r>
      <w:r>
        <w:rPr>
          <w:rFonts w:ascii="Times New Roman" w:hAnsi="Times New Roman"/>
          <w:szCs w:val="28"/>
        </w:rPr>
        <w:t xml:space="preserve"> – 68,1%).</w:t>
      </w:r>
    </w:p>
    <w:p w:rsidR="001078E1" w:rsidRDefault="00175E83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86D85">
        <w:rPr>
          <w:rFonts w:ascii="Times New Roman" w:hAnsi="Times New Roman"/>
          <w:szCs w:val="28"/>
        </w:rPr>
        <w:t>Город Пермь занима</w:t>
      </w:r>
      <w:r w:rsidR="00412A8C">
        <w:rPr>
          <w:rFonts w:ascii="Times New Roman" w:hAnsi="Times New Roman"/>
          <w:szCs w:val="28"/>
        </w:rPr>
        <w:t>л</w:t>
      </w:r>
      <w:r w:rsidRPr="00186D85">
        <w:rPr>
          <w:rFonts w:ascii="Times New Roman" w:hAnsi="Times New Roman"/>
          <w:szCs w:val="28"/>
        </w:rPr>
        <w:t xml:space="preserve"> 3</w:t>
      </w:r>
      <w:r w:rsidR="00782325">
        <w:rPr>
          <w:rFonts w:ascii="Times New Roman" w:hAnsi="Times New Roman"/>
          <w:szCs w:val="28"/>
        </w:rPr>
        <w:t>-е</w:t>
      </w:r>
      <w:r w:rsidRPr="00186D85">
        <w:rPr>
          <w:rFonts w:ascii="Times New Roman" w:hAnsi="Times New Roman"/>
          <w:szCs w:val="28"/>
        </w:rPr>
        <w:t xml:space="preserve"> место по</w:t>
      </w:r>
      <w:r w:rsidR="00C07570">
        <w:rPr>
          <w:rFonts w:ascii="Times New Roman" w:hAnsi="Times New Roman"/>
          <w:szCs w:val="28"/>
        </w:rPr>
        <w:t xml:space="preserve"> </w:t>
      </w:r>
      <w:r w:rsidRPr="00186D85">
        <w:rPr>
          <w:rFonts w:ascii="Times New Roman" w:hAnsi="Times New Roman"/>
          <w:szCs w:val="28"/>
        </w:rPr>
        <w:t>обороту</w:t>
      </w:r>
      <w:r w:rsidR="00782325">
        <w:rPr>
          <w:rFonts w:ascii="Times New Roman" w:hAnsi="Times New Roman"/>
          <w:szCs w:val="28"/>
        </w:rPr>
        <w:t xml:space="preserve"> </w:t>
      </w:r>
      <w:r w:rsidRPr="00186D85">
        <w:rPr>
          <w:rFonts w:ascii="Times New Roman" w:hAnsi="Times New Roman"/>
          <w:szCs w:val="28"/>
        </w:rPr>
        <w:t xml:space="preserve">розничной торговли </w:t>
      </w:r>
      <w:r w:rsidR="00412A8C">
        <w:rPr>
          <w:rFonts w:ascii="Times New Roman" w:hAnsi="Times New Roman"/>
          <w:szCs w:val="28"/>
        </w:rPr>
        <w:t>в</w:t>
      </w:r>
      <w:r w:rsidRPr="00186D85">
        <w:rPr>
          <w:rFonts w:ascii="Times New Roman" w:hAnsi="Times New Roman"/>
          <w:szCs w:val="28"/>
        </w:rPr>
        <w:t xml:space="preserve"> 2012 г</w:t>
      </w:r>
      <w:r w:rsidRPr="00186D85">
        <w:rPr>
          <w:rFonts w:ascii="Times New Roman" w:hAnsi="Times New Roman"/>
          <w:szCs w:val="28"/>
        </w:rPr>
        <w:t>о</w:t>
      </w:r>
      <w:r w:rsidRPr="00186D85">
        <w:rPr>
          <w:rFonts w:ascii="Times New Roman" w:hAnsi="Times New Roman"/>
          <w:szCs w:val="28"/>
        </w:rPr>
        <w:t>д</w:t>
      </w:r>
      <w:r w:rsidR="00412A8C">
        <w:rPr>
          <w:rFonts w:ascii="Times New Roman" w:hAnsi="Times New Roman"/>
          <w:szCs w:val="28"/>
        </w:rPr>
        <w:t>у</w:t>
      </w:r>
      <w:r w:rsidRPr="00186D85">
        <w:rPr>
          <w:rFonts w:ascii="Times New Roman" w:hAnsi="Times New Roman"/>
          <w:szCs w:val="28"/>
        </w:rPr>
        <w:t xml:space="preserve"> среди городов-аналогов (1</w:t>
      </w:r>
      <w:r w:rsidR="00782325">
        <w:rPr>
          <w:rFonts w:ascii="Times New Roman" w:hAnsi="Times New Roman"/>
          <w:szCs w:val="28"/>
        </w:rPr>
        <w:t>-е</w:t>
      </w:r>
      <w:r w:rsidRPr="00186D85">
        <w:rPr>
          <w:rFonts w:ascii="Times New Roman" w:hAnsi="Times New Roman"/>
          <w:szCs w:val="28"/>
        </w:rPr>
        <w:t xml:space="preserve"> место –</w:t>
      </w:r>
      <w:r w:rsidR="00DB04D4">
        <w:rPr>
          <w:rFonts w:ascii="Times New Roman" w:hAnsi="Times New Roman"/>
          <w:szCs w:val="28"/>
        </w:rPr>
        <w:t xml:space="preserve"> </w:t>
      </w:r>
      <w:r w:rsidRPr="00186D85">
        <w:rPr>
          <w:rFonts w:ascii="Times New Roman" w:hAnsi="Times New Roman"/>
          <w:szCs w:val="28"/>
        </w:rPr>
        <w:t>Екатеринбург).</w:t>
      </w:r>
      <w:r w:rsidR="001078E1" w:rsidRPr="001078E1">
        <w:rPr>
          <w:rFonts w:ascii="Times New Roman" w:hAnsi="Times New Roman"/>
          <w:szCs w:val="28"/>
        </w:rPr>
        <w:t xml:space="preserve"> </w:t>
      </w:r>
      <w:r w:rsidR="001078E1">
        <w:rPr>
          <w:rFonts w:ascii="Times New Roman" w:hAnsi="Times New Roman"/>
          <w:szCs w:val="28"/>
        </w:rPr>
        <w:t>По темпам роста товар</w:t>
      </w:r>
      <w:r w:rsidR="001078E1">
        <w:rPr>
          <w:rFonts w:ascii="Times New Roman" w:hAnsi="Times New Roman"/>
          <w:szCs w:val="28"/>
        </w:rPr>
        <w:t>о</w:t>
      </w:r>
      <w:r w:rsidR="001078E1">
        <w:rPr>
          <w:rFonts w:ascii="Times New Roman" w:hAnsi="Times New Roman"/>
          <w:szCs w:val="28"/>
        </w:rPr>
        <w:t>оборота по итогам 2012 года Пермь находилась на последнем месте, продемо</w:t>
      </w:r>
      <w:r w:rsidR="001078E1">
        <w:rPr>
          <w:rFonts w:ascii="Times New Roman" w:hAnsi="Times New Roman"/>
          <w:szCs w:val="28"/>
        </w:rPr>
        <w:t>н</w:t>
      </w:r>
      <w:r w:rsidR="001078E1">
        <w:rPr>
          <w:rFonts w:ascii="Times New Roman" w:hAnsi="Times New Roman"/>
          <w:szCs w:val="28"/>
        </w:rPr>
        <w:t xml:space="preserve">стрировав </w:t>
      </w:r>
      <w:r w:rsidR="00782325">
        <w:rPr>
          <w:rFonts w:ascii="Times New Roman" w:hAnsi="Times New Roman"/>
          <w:szCs w:val="28"/>
        </w:rPr>
        <w:t>в</w:t>
      </w:r>
      <w:r w:rsidR="001078E1">
        <w:rPr>
          <w:rFonts w:ascii="Times New Roman" w:hAnsi="Times New Roman"/>
          <w:szCs w:val="28"/>
        </w:rPr>
        <w:t xml:space="preserve"> 2012 год</w:t>
      </w:r>
      <w:r w:rsidR="00782325">
        <w:rPr>
          <w:rFonts w:ascii="Times New Roman" w:hAnsi="Times New Roman"/>
          <w:szCs w:val="28"/>
        </w:rPr>
        <w:t>у</w:t>
      </w:r>
      <w:r w:rsidR="001078E1">
        <w:rPr>
          <w:rFonts w:ascii="Times New Roman" w:hAnsi="Times New Roman"/>
          <w:szCs w:val="28"/>
        </w:rPr>
        <w:t xml:space="preserve"> сокращение объемов торговли на фоне роста данного п</w:t>
      </w:r>
      <w:r w:rsidR="001078E1">
        <w:rPr>
          <w:rFonts w:ascii="Times New Roman" w:hAnsi="Times New Roman"/>
          <w:szCs w:val="28"/>
        </w:rPr>
        <w:t>о</w:t>
      </w:r>
      <w:r w:rsidR="001078E1">
        <w:rPr>
          <w:rFonts w:ascii="Times New Roman" w:hAnsi="Times New Roman"/>
          <w:szCs w:val="28"/>
        </w:rPr>
        <w:t>казателя в городах-аналогах.</w:t>
      </w:r>
    </w:p>
    <w:p w:rsidR="00BA2D0E" w:rsidRDefault="00175E83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DB04D4">
        <w:rPr>
          <w:rFonts w:ascii="Times New Roman" w:hAnsi="Times New Roman"/>
          <w:szCs w:val="28"/>
        </w:rPr>
        <w:t xml:space="preserve">Объем </w:t>
      </w:r>
      <w:r w:rsidR="00C07570">
        <w:rPr>
          <w:rFonts w:ascii="Times New Roman" w:hAnsi="Times New Roman"/>
          <w:szCs w:val="28"/>
        </w:rPr>
        <w:t>платных</w:t>
      </w:r>
      <w:r w:rsidR="00782325">
        <w:rPr>
          <w:rFonts w:ascii="Times New Roman" w:hAnsi="Times New Roman"/>
          <w:szCs w:val="28"/>
        </w:rPr>
        <w:t xml:space="preserve"> </w:t>
      </w:r>
      <w:r w:rsidRPr="00DB04D4">
        <w:rPr>
          <w:rFonts w:ascii="Times New Roman" w:hAnsi="Times New Roman"/>
          <w:szCs w:val="28"/>
        </w:rPr>
        <w:t>услуг</w:t>
      </w:r>
      <w:r w:rsidR="00782325">
        <w:rPr>
          <w:rFonts w:ascii="Times New Roman" w:hAnsi="Times New Roman"/>
          <w:szCs w:val="28"/>
        </w:rPr>
        <w:t xml:space="preserve"> </w:t>
      </w:r>
      <w:r w:rsidRPr="00DB04D4">
        <w:rPr>
          <w:rFonts w:ascii="Times New Roman" w:hAnsi="Times New Roman"/>
          <w:szCs w:val="28"/>
        </w:rPr>
        <w:t>населению</w:t>
      </w:r>
      <w:r>
        <w:rPr>
          <w:rFonts w:ascii="Times New Roman" w:hAnsi="Times New Roman"/>
          <w:szCs w:val="28"/>
        </w:rPr>
        <w:t xml:space="preserve"> в</w:t>
      </w:r>
      <w:r w:rsidR="0078232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2012</w:t>
      </w:r>
      <w:r w:rsidR="00782325">
        <w:rPr>
          <w:rFonts w:ascii="Times New Roman" w:hAnsi="Times New Roman"/>
          <w:szCs w:val="28"/>
        </w:rPr>
        <w:t xml:space="preserve"> </w:t>
      </w:r>
      <w:r w:rsidR="00DB04D4">
        <w:rPr>
          <w:rFonts w:ascii="Times New Roman" w:hAnsi="Times New Roman"/>
          <w:szCs w:val="28"/>
        </w:rPr>
        <w:t>году</w:t>
      </w:r>
      <w:r w:rsidR="0078232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 сравнении с 2008 г</w:t>
      </w:r>
      <w:r w:rsidR="00DB04D4">
        <w:rPr>
          <w:rFonts w:ascii="Times New Roman" w:hAnsi="Times New Roman"/>
          <w:szCs w:val="28"/>
        </w:rPr>
        <w:t>одом</w:t>
      </w:r>
      <w:r>
        <w:rPr>
          <w:rFonts w:ascii="Times New Roman" w:hAnsi="Times New Roman"/>
          <w:szCs w:val="28"/>
        </w:rPr>
        <w:t xml:space="preserve"> </w:t>
      </w:r>
      <w:r w:rsidR="00C07570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>в г</w:t>
      </w:r>
      <w:r w:rsidR="00DB04D4">
        <w:rPr>
          <w:rFonts w:ascii="Times New Roman" w:hAnsi="Times New Roman"/>
          <w:szCs w:val="28"/>
        </w:rPr>
        <w:t>ороде</w:t>
      </w:r>
      <w:r w:rsidR="0078232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Перми вырос на 56,5</w:t>
      </w:r>
      <w:r w:rsidR="00C07570">
        <w:rPr>
          <w:rFonts w:ascii="Times New Roman" w:hAnsi="Times New Roman"/>
          <w:szCs w:val="28"/>
        </w:rPr>
        <w:t>%</w:t>
      </w:r>
      <w:r w:rsidR="00782325">
        <w:rPr>
          <w:rFonts w:ascii="Times New Roman" w:hAnsi="Times New Roman"/>
          <w:szCs w:val="28"/>
        </w:rPr>
        <w:t xml:space="preserve"> </w:t>
      </w:r>
      <w:r w:rsidRPr="00394128">
        <w:rPr>
          <w:rFonts w:ascii="Times New Roman" w:hAnsi="Times New Roman"/>
          <w:szCs w:val="28"/>
        </w:rPr>
        <w:t xml:space="preserve">(по Пермскому краю – </w:t>
      </w:r>
      <w:r w:rsidR="00DB04D4">
        <w:rPr>
          <w:rFonts w:ascii="Times New Roman" w:hAnsi="Times New Roman"/>
          <w:szCs w:val="28"/>
        </w:rPr>
        <w:t xml:space="preserve">на </w:t>
      </w:r>
      <w:r w:rsidRPr="00394128">
        <w:rPr>
          <w:rFonts w:ascii="Times New Roman" w:hAnsi="Times New Roman"/>
          <w:szCs w:val="28"/>
        </w:rPr>
        <w:t>63,8%,</w:t>
      </w:r>
      <w:r w:rsidRPr="008D0817">
        <w:rPr>
          <w:rFonts w:ascii="Times New Roman" w:hAnsi="Times New Roman"/>
          <w:szCs w:val="28"/>
        </w:rPr>
        <w:t xml:space="preserve"> </w:t>
      </w:r>
      <w:r w:rsidRPr="00C75170">
        <w:rPr>
          <w:rFonts w:ascii="Times New Roman" w:hAnsi="Times New Roman"/>
          <w:szCs w:val="28"/>
        </w:rPr>
        <w:t>по Р</w:t>
      </w:r>
      <w:r w:rsidR="008B3325">
        <w:rPr>
          <w:rFonts w:ascii="Times New Roman" w:hAnsi="Times New Roman"/>
          <w:szCs w:val="28"/>
        </w:rPr>
        <w:t>оссии</w:t>
      </w:r>
      <w:r w:rsidRPr="00C75170">
        <w:rPr>
          <w:rFonts w:ascii="Times New Roman" w:hAnsi="Times New Roman"/>
          <w:szCs w:val="28"/>
        </w:rPr>
        <w:t xml:space="preserve"> – </w:t>
      </w:r>
      <w:r w:rsidR="008B3325">
        <w:rPr>
          <w:rFonts w:ascii="Times New Roman" w:hAnsi="Times New Roman"/>
          <w:szCs w:val="28"/>
        </w:rPr>
        <w:br/>
      </w:r>
      <w:r w:rsidR="00DB04D4">
        <w:rPr>
          <w:rFonts w:ascii="Times New Roman" w:hAnsi="Times New Roman"/>
          <w:szCs w:val="28"/>
        </w:rPr>
        <w:t xml:space="preserve">на </w:t>
      </w:r>
      <w:r w:rsidRPr="00C75170">
        <w:rPr>
          <w:rFonts w:ascii="Times New Roman" w:hAnsi="Times New Roman"/>
          <w:szCs w:val="28"/>
        </w:rPr>
        <w:t>44,9%) и составил</w:t>
      </w:r>
      <w:r w:rsidR="00C07570">
        <w:rPr>
          <w:rFonts w:ascii="Times New Roman" w:hAnsi="Times New Roman"/>
          <w:szCs w:val="28"/>
        </w:rPr>
        <w:t xml:space="preserve"> 83,8 </w:t>
      </w:r>
      <w:proofErr w:type="spellStart"/>
      <w:r w:rsidR="00C07570">
        <w:rPr>
          <w:rFonts w:ascii="Times New Roman" w:hAnsi="Times New Roman"/>
          <w:szCs w:val="28"/>
        </w:rPr>
        <w:t>млрд</w:t>
      </w:r>
      <w:proofErr w:type="gramStart"/>
      <w:r w:rsidR="00C07570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>уб</w:t>
      </w:r>
      <w:proofErr w:type="spellEnd"/>
      <w:r w:rsidRPr="00394128">
        <w:rPr>
          <w:rFonts w:ascii="Times New Roman" w:hAnsi="Times New Roman"/>
          <w:szCs w:val="28"/>
        </w:rPr>
        <w:t xml:space="preserve">. (74,5% от объема </w:t>
      </w:r>
      <w:r w:rsidR="00DB04D4">
        <w:rPr>
          <w:rFonts w:ascii="Times New Roman" w:hAnsi="Times New Roman"/>
          <w:szCs w:val="28"/>
        </w:rPr>
        <w:t>платных услуг по Пер</w:t>
      </w:r>
      <w:r w:rsidR="00DB04D4">
        <w:rPr>
          <w:rFonts w:ascii="Times New Roman" w:hAnsi="Times New Roman"/>
          <w:szCs w:val="28"/>
        </w:rPr>
        <w:t>м</w:t>
      </w:r>
      <w:r w:rsidR="00DB04D4">
        <w:rPr>
          <w:rFonts w:ascii="Times New Roman" w:hAnsi="Times New Roman"/>
          <w:szCs w:val="28"/>
        </w:rPr>
        <w:t>скому краю</w:t>
      </w:r>
      <w:r w:rsidRPr="00394128">
        <w:rPr>
          <w:rFonts w:ascii="Times New Roman" w:hAnsi="Times New Roman"/>
          <w:szCs w:val="28"/>
        </w:rPr>
        <w:t>).</w:t>
      </w:r>
      <w:r>
        <w:rPr>
          <w:rFonts w:ascii="Times New Roman" w:hAnsi="Times New Roman"/>
          <w:szCs w:val="28"/>
        </w:rPr>
        <w:t xml:space="preserve"> </w:t>
      </w:r>
    </w:p>
    <w:p w:rsidR="00175E83" w:rsidRDefault="00BA2D0E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 xml:space="preserve">В сопоставимых ценах </w:t>
      </w:r>
      <w:r w:rsidR="00C07570">
        <w:rPr>
          <w:rFonts w:ascii="Times New Roman" w:hAnsi="Times New Roman"/>
          <w:szCs w:val="28"/>
        </w:rPr>
        <w:t>объем</w:t>
      </w:r>
      <w:r w:rsidR="0078232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платных</w:t>
      </w:r>
      <w:r w:rsidR="00C07570">
        <w:rPr>
          <w:rFonts w:ascii="Times New Roman" w:hAnsi="Times New Roman"/>
          <w:szCs w:val="28"/>
        </w:rPr>
        <w:t xml:space="preserve"> услуг</w:t>
      </w:r>
      <w:r w:rsidR="0078232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города Перми в 2008-2012 </w:t>
      </w:r>
      <w:r w:rsidR="003F57F2">
        <w:rPr>
          <w:rFonts w:ascii="Times New Roman" w:hAnsi="Times New Roman"/>
          <w:szCs w:val="28"/>
        </w:rPr>
        <w:t>г</w:t>
      </w:r>
      <w:r w:rsidR="003F57F2">
        <w:rPr>
          <w:rFonts w:ascii="Times New Roman" w:hAnsi="Times New Roman"/>
          <w:szCs w:val="28"/>
        </w:rPr>
        <w:t>о</w:t>
      </w:r>
      <w:r w:rsidR="003F57F2">
        <w:rPr>
          <w:rFonts w:ascii="Times New Roman" w:hAnsi="Times New Roman"/>
          <w:szCs w:val="28"/>
        </w:rPr>
        <w:t>дах</w:t>
      </w:r>
      <w:r>
        <w:rPr>
          <w:rFonts w:ascii="Times New Roman" w:hAnsi="Times New Roman"/>
          <w:szCs w:val="28"/>
        </w:rPr>
        <w:t xml:space="preserve"> вырос на 10,0%. </w:t>
      </w:r>
      <w:r w:rsidR="00175E83">
        <w:rPr>
          <w:rFonts w:ascii="Times New Roman" w:hAnsi="Times New Roman"/>
          <w:szCs w:val="28"/>
        </w:rPr>
        <w:t>С 2008 г</w:t>
      </w:r>
      <w:r w:rsidR="00DB04D4">
        <w:rPr>
          <w:rFonts w:ascii="Times New Roman" w:hAnsi="Times New Roman"/>
          <w:szCs w:val="28"/>
        </w:rPr>
        <w:t>ода</w:t>
      </w:r>
      <w:r w:rsidR="00175E83">
        <w:rPr>
          <w:rFonts w:ascii="Times New Roman" w:hAnsi="Times New Roman"/>
          <w:szCs w:val="28"/>
        </w:rPr>
        <w:t xml:space="preserve"> наблюдалось замедление </w:t>
      </w:r>
      <w:r w:rsidR="00255369">
        <w:rPr>
          <w:rFonts w:ascii="Times New Roman" w:hAnsi="Times New Roman"/>
          <w:szCs w:val="28"/>
        </w:rPr>
        <w:t xml:space="preserve">темпов </w:t>
      </w:r>
      <w:r w:rsidR="00175E83">
        <w:rPr>
          <w:rFonts w:ascii="Times New Roman" w:hAnsi="Times New Roman"/>
          <w:szCs w:val="28"/>
        </w:rPr>
        <w:t>роста объема платных услуг (с 10,6% в 2008 г</w:t>
      </w:r>
      <w:r w:rsidR="00782325">
        <w:rPr>
          <w:rFonts w:ascii="Times New Roman" w:hAnsi="Times New Roman"/>
          <w:szCs w:val="28"/>
        </w:rPr>
        <w:t>оду</w:t>
      </w:r>
      <w:r w:rsidR="00175E83">
        <w:rPr>
          <w:rFonts w:ascii="Times New Roman" w:hAnsi="Times New Roman"/>
          <w:szCs w:val="28"/>
        </w:rPr>
        <w:t xml:space="preserve"> до 3,2% в 2012 г</w:t>
      </w:r>
      <w:r w:rsidR="00782325">
        <w:rPr>
          <w:rFonts w:ascii="Times New Roman" w:hAnsi="Times New Roman"/>
          <w:szCs w:val="28"/>
        </w:rPr>
        <w:t>оду</w:t>
      </w:r>
      <w:r w:rsidR="00175E83">
        <w:rPr>
          <w:rFonts w:ascii="Times New Roman" w:hAnsi="Times New Roman"/>
          <w:szCs w:val="28"/>
        </w:rPr>
        <w:t>).</w:t>
      </w:r>
      <w:proofErr w:type="gramEnd"/>
    </w:p>
    <w:p w:rsidR="00175E83" w:rsidRDefault="00175E83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  <w:r w:rsidRPr="00CE7BD7">
        <w:rPr>
          <w:rFonts w:ascii="Times New Roman" w:hAnsi="Times New Roman"/>
          <w:szCs w:val="28"/>
        </w:rPr>
        <w:t xml:space="preserve">В рейтинге среди городов-аналогов по объему </w:t>
      </w:r>
      <w:r w:rsidR="00412A8C">
        <w:rPr>
          <w:rFonts w:ascii="Times New Roman" w:hAnsi="Times New Roman"/>
          <w:szCs w:val="28"/>
        </w:rPr>
        <w:t>платных услуг</w:t>
      </w:r>
      <w:r w:rsidRPr="00CE7BD7">
        <w:rPr>
          <w:rFonts w:ascii="Times New Roman" w:hAnsi="Times New Roman"/>
          <w:szCs w:val="28"/>
        </w:rPr>
        <w:t xml:space="preserve"> за 2012 год Пермь занима</w:t>
      </w:r>
      <w:r w:rsidR="00412A8C">
        <w:rPr>
          <w:rFonts w:ascii="Times New Roman" w:hAnsi="Times New Roman"/>
          <w:szCs w:val="28"/>
        </w:rPr>
        <w:t>ла</w:t>
      </w:r>
      <w:r w:rsidRPr="00CE7BD7">
        <w:rPr>
          <w:rFonts w:ascii="Times New Roman" w:hAnsi="Times New Roman"/>
          <w:szCs w:val="28"/>
        </w:rPr>
        <w:t xml:space="preserve"> 1</w:t>
      </w:r>
      <w:r w:rsidR="00782325">
        <w:rPr>
          <w:rFonts w:ascii="Times New Roman" w:hAnsi="Times New Roman"/>
          <w:szCs w:val="28"/>
        </w:rPr>
        <w:t>-е</w:t>
      </w:r>
      <w:r w:rsidRPr="00CE7BD7">
        <w:rPr>
          <w:rFonts w:ascii="Times New Roman" w:hAnsi="Times New Roman"/>
          <w:szCs w:val="28"/>
        </w:rPr>
        <w:t xml:space="preserve"> место.</w:t>
      </w:r>
    </w:p>
    <w:p w:rsidR="00412A8C" w:rsidRDefault="00412A8C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2012 году в потребительском секторе экономики наблюдалось ускорение темпов инфляции по сравнению с предыдущим годом. С</w:t>
      </w:r>
      <w:r w:rsidRPr="00FA4C1B">
        <w:rPr>
          <w:rFonts w:ascii="Times New Roman" w:hAnsi="Times New Roman"/>
          <w:szCs w:val="28"/>
        </w:rPr>
        <w:t xml:space="preserve">тоимость всех товаров </w:t>
      </w:r>
      <w:r w:rsidR="00C07570">
        <w:rPr>
          <w:rFonts w:ascii="Times New Roman" w:hAnsi="Times New Roman"/>
          <w:szCs w:val="28"/>
        </w:rPr>
        <w:br/>
      </w:r>
      <w:r w:rsidRPr="00FA4C1B">
        <w:rPr>
          <w:rFonts w:ascii="Times New Roman" w:hAnsi="Times New Roman"/>
          <w:szCs w:val="28"/>
        </w:rPr>
        <w:t xml:space="preserve">и </w:t>
      </w:r>
      <w:r w:rsidR="00C07570">
        <w:rPr>
          <w:rFonts w:ascii="Times New Roman" w:hAnsi="Times New Roman"/>
          <w:szCs w:val="28"/>
        </w:rPr>
        <w:t>платных</w:t>
      </w:r>
      <w:r w:rsidR="00782325">
        <w:rPr>
          <w:rFonts w:ascii="Times New Roman" w:hAnsi="Times New Roman"/>
          <w:szCs w:val="28"/>
        </w:rPr>
        <w:t xml:space="preserve"> </w:t>
      </w:r>
      <w:r w:rsidRPr="00FA4C1B">
        <w:rPr>
          <w:rFonts w:ascii="Times New Roman" w:hAnsi="Times New Roman"/>
          <w:szCs w:val="28"/>
        </w:rPr>
        <w:t>услуг в</w:t>
      </w:r>
      <w:r w:rsidR="00782325">
        <w:rPr>
          <w:rFonts w:ascii="Times New Roman" w:hAnsi="Times New Roman"/>
          <w:szCs w:val="28"/>
        </w:rPr>
        <w:t xml:space="preserve"> </w:t>
      </w:r>
      <w:r w:rsidRPr="00FA4C1B">
        <w:rPr>
          <w:rFonts w:ascii="Times New Roman" w:hAnsi="Times New Roman"/>
          <w:szCs w:val="28"/>
        </w:rPr>
        <w:t>Пермском</w:t>
      </w:r>
      <w:r w:rsidR="00C07570">
        <w:rPr>
          <w:rFonts w:ascii="Times New Roman" w:hAnsi="Times New Roman"/>
          <w:szCs w:val="28"/>
        </w:rPr>
        <w:t xml:space="preserve"> крае</w:t>
      </w:r>
      <w:r w:rsidR="00782325">
        <w:rPr>
          <w:rFonts w:ascii="Times New Roman" w:hAnsi="Times New Roman"/>
          <w:szCs w:val="28"/>
        </w:rPr>
        <w:t xml:space="preserve"> </w:t>
      </w:r>
      <w:r w:rsidR="00C07570">
        <w:rPr>
          <w:rFonts w:ascii="Times New Roman" w:hAnsi="Times New Roman"/>
          <w:szCs w:val="28"/>
        </w:rPr>
        <w:t>возросла</w:t>
      </w:r>
      <w:r w:rsidR="00782325">
        <w:rPr>
          <w:rFonts w:ascii="Times New Roman" w:hAnsi="Times New Roman"/>
          <w:szCs w:val="28"/>
        </w:rPr>
        <w:t xml:space="preserve"> </w:t>
      </w:r>
      <w:r w:rsidRPr="00FA4C1B">
        <w:rPr>
          <w:rFonts w:ascii="Times New Roman" w:hAnsi="Times New Roman"/>
          <w:szCs w:val="28"/>
        </w:rPr>
        <w:t>на 7,3% по отн</w:t>
      </w:r>
      <w:r w:rsidRPr="00B72133">
        <w:rPr>
          <w:rFonts w:ascii="Times New Roman" w:hAnsi="Times New Roman"/>
          <w:szCs w:val="28"/>
        </w:rPr>
        <w:t xml:space="preserve">ошению к декабрю 2011 года, что на 0,6 </w:t>
      </w:r>
      <w:proofErr w:type="spellStart"/>
      <w:r w:rsidRPr="00B72133">
        <w:rPr>
          <w:rFonts w:ascii="Times New Roman" w:hAnsi="Times New Roman"/>
          <w:szCs w:val="28"/>
        </w:rPr>
        <w:t>п.п</w:t>
      </w:r>
      <w:proofErr w:type="spellEnd"/>
      <w:r w:rsidRPr="00B72133">
        <w:rPr>
          <w:rFonts w:ascii="Times New Roman" w:hAnsi="Times New Roman"/>
          <w:szCs w:val="28"/>
        </w:rPr>
        <w:t xml:space="preserve">. выше, чем в аналогичный период предыдущего года </w:t>
      </w:r>
      <w:r w:rsidR="00C07570">
        <w:rPr>
          <w:rFonts w:ascii="Times New Roman" w:hAnsi="Times New Roman"/>
          <w:szCs w:val="28"/>
        </w:rPr>
        <w:br/>
      </w:r>
      <w:r w:rsidR="00175E83">
        <w:rPr>
          <w:rFonts w:ascii="Times New Roman" w:hAnsi="Times New Roman"/>
          <w:szCs w:val="28"/>
        </w:rPr>
        <w:t xml:space="preserve">(по России – 106,6%). </w:t>
      </w:r>
    </w:p>
    <w:p w:rsidR="00412A8C" w:rsidRDefault="00412A8C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 сравнению с 2008 годом инфляция заметно сократилась (рис.3.1.1)</w:t>
      </w:r>
      <w:r w:rsidR="00782325">
        <w:rPr>
          <w:rFonts w:ascii="Times New Roman" w:hAnsi="Times New Roman"/>
          <w:szCs w:val="28"/>
        </w:rPr>
        <w:t>.</w:t>
      </w:r>
    </w:p>
    <w:p w:rsidR="00C07570" w:rsidRDefault="00C07570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</w:p>
    <w:p w:rsidR="00412A8C" w:rsidRDefault="003F6ECC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4A729A4F" wp14:editId="2996AB28">
            <wp:extent cx="5419788" cy="2567587"/>
            <wp:effectExtent l="0" t="0" r="0" b="0"/>
            <wp:docPr id="17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412A8C" w:rsidRDefault="00412A8C" w:rsidP="00C07570">
      <w:pPr>
        <w:pStyle w:val="ac"/>
        <w:spacing w:line="240" w:lineRule="auto"/>
        <w:ind w:firstLine="709"/>
        <w:rPr>
          <w:i/>
          <w:sz w:val="24"/>
          <w:szCs w:val="24"/>
        </w:rPr>
      </w:pPr>
      <w:r w:rsidRPr="00272DDF">
        <w:rPr>
          <w:i/>
          <w:sz w:val="24"/>
          <w:szCs w:val="24"/>
        </w:rPr>
        <w:t xml:space="preserve">Рис. </w:t>
      </w:r>
      <w:r>
        <w:rPr>
          <w:i/>
          <w:sz w:val="24"/>
          <w:szCs w:val="24"/>
        </w:rPr>
        <w:t>3</w:t>
      </w:r>
      <w:r w:rsidRPr="00272DDF">
        <w:rPr>
          <w:i/>
          <w:sz w:val="24"/>
          <w:szCs w:val="24"/>
        </w:rPr>
        <w:t>.</w:t>
      </w:r>
      <w:r w:rsidR="006A3717">
        <w:rPr>
          <w:i/>
          <w:sz w:val="24"/>
          <w:szCs w:val="24"/>
        </w:rPr>
        <w:t>2</w:t>
      </w:r>
      <w:r w:rsidRPr="00272DDF">
        <w:rPr>
          <w:i/>
          <w:sz w:val="24"/>
          <w:szCs w:val="24"/>
        </w:rPr>
        <w:t>.</w:t>
      </w:r>
      <w:r w:rsidR="006A3717">
        <w:rPr>
          <w:i/>
          <w:sz w:val="24"/>
          <w:szCs w:val="24"/>
        </w:rPr>
        <w:t>2</w:t>
      </w:r>
      <w:r w:rsidRPr="00272DDF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Динамика и</w:t>
      </w:r>
      <w:r w:rsidRPr="009F6592">
        <w:rPr>
          <w:i/>
          <w:sz w:val="24"/>
          <w:szCs w:val="24"/>
        </w:rPr>
        <w:t>ндекс</w:t>
      </w:r>
      <w:r>
        <w:rPr>
          <w:i/>
          <w:sz w:val="24"/>
          <w:szCs w:val="24"/>
        </w:rPr>
        <w:t>а</w:t>
      </w:r>
      <w:r w:rsidRPr="009F6592">
        <w:rPr>
          <w:i/>
          <w:sz w:val="24"/>
          <w:szCs w:val="24"/>
        </w:rPr>
        <w:t xml:space="preserve"> потребительских цен</w:t>
      </w:r>
      <w:r>
        <w:rPr>
          <w:i/>
          <w:sz w:val="24"/>
          <w:szCs w:val="24"/>
        </w:rPr>
        <w:t xml:space="preserve"> в 2008-2012 гг.</w:t>
      </w:r>
      <w:r w:rsidRPr="009F6592">
        <w:rPr>
          <w:i/>
          <w:sz w:val="24"/>
          <w:szCs w:val="24"/>
        </w:rPr>
        <w:t>, в % дек</w:t>
      </w:r>
      <w:r w:rsidR="00DD40BD">
        <w:rPr>
          <w:i/>
          <w:sz w:val="24"/>
          <w:szCs w:val="24"/>
        </w:rPr>
        <w:t>абрь к д</w:t>
      </w:r>
      <w:r w:rsidR="00DD40BD">
        <w:rPr>
          <w:i/>
          <w:sz w:val="24"/>
          <w:szCs w:val="24"/>
        </w:rPr>
        <w:t>е</w:t>
      </w:r>
      <w:r w:rsidR="00DD40BD">
        <w:rPr>
          <w:i/>
          <w:sz w:val="24"/>
          <w:szCs w:val="24"/>
        </w:rPr>
        <w:t>кабрю предыдущего года</w:t>
      </w:r>
    </w:p>
    <w:p w:rsidR="00DD40BD" w:rsidRPr="00DD40BD" w:rsidRDefault="00DD40BD" w:rsidP="00DD40BD"/>
    <w:p w:rsidR="00175E83" w:rsidRPr="00BE59BD" w:rsidRDefault="00175E83" w:rsidP="00717BAC">
      <w:pPr>
        <w:spacing w:line="240" w:lineRule="auto"/>
        <w:ind w:firstLine="72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Индекс потребительских цен на продовольственные товары в 2012 </w:t>
      </w:r>
      <w:r w:rsidR="00412A8C">
        <w:rPr>
          <w:rFonts w:ascii="Times New Roman" w:hAnsi="Times New Roman"/>
          <w:szCs w:val="28"/>
        </w:rPr>
        <w:t>году</w:t>
      </w:r>
      <w:r>
        <w:rPr>
          <w:rFonts w:ascii="Times New Roman" w:hAnsi="Times New Roman"/>
          <w:szCs w:val="28"/>
        </w:rPr>
        <w:t xml:space="preserve"> составил 108,2% (по </w:t>
      </w:r>
      <w:r w:rsidR="003F57F2">
        <w:rPr>
          <w:rFonts w:ascii="Times New Roman" w:hAnsi="Times New Roman"/>
          <w:szCs w:val="28"/>
        </w:rPr>
        <w:t>России</w:t>
      </w:r>
      <w:r>
        <w:rPr>
          <w:rFonts w:ascii="Times New Roman" w:hAnsi="Times New Roman"/>
          <w:szCs w:val="28"/>
        </w:rPr>
        <w:t xml:space="preserve"> – 107,5%), на непродовольственные товары – 106,2% (по </w:t>
      </w:r>
      <w:r w:rsidR="00C7557E">
        <w:rPr>
          <w:rFonts w:ascii="Times New Roman" w:hAnsi="Times New Roman"/>
          <w:szCs w:val="28"/>
        </w:rPr>
        <w:t>России</w:t>
      </w:r>
      <w:r>
        <w:rPr>
          <w:rFonts w:ascii="Times New Roman" w:hAnsi="Times New Roman"/>
          <w:szCs w:val="28"/>
        </w:rPr>
        <w:t xml:space="preserve"> – 105,2%), платные услуги населению – 107,5% (по Р</w:t>
      </w:r>
      <w:r w:rsidR="003F57F2">
        <w:rPr>
          <w:rFonts w:ascii="Times New Roman" w:hAnsi="Times New Roman"/>
          <w:szCs w:val="28"/>
        </w:rPr>
        <w:t>оссии</w:t>
      </w:r>
      <w:r>
        <w:rPr>
          <w:rFonts w:ascii="Times New Roman" w:hAnsi="Times New Roman"/>
          <w:szCs w:val="28"/>
        </w:rPr>
        <w:t xml:space="preserve"> – 107,3%).</w:t>
      </w:r>
    </w:p>
    <w:p w:rsidR="00DD40BD" w:rsidRDefault="00DD40BD" w:rsidP="00717BAC">
      <w:pPr>
        <w:pStyle w:val="1"/>
        <w:numPr>
          <w:ilvl w:val="0"/>
          <w:numId w:val="0"/>
        </w:numPr>
        <w:spacing w:before="0" w:after="0"/>
        <w:ind w:firstLine="720"/>
      </w:pPr>
    </w:p>
    <w:p w:rsidR="006669F9" w:rsidRDefault="005D3F07" w:rsidP="00717BAC">
      <w:pPr>
        <w:pStyle w:val="1"/>
        <w:numPr>
          <w:ilvl w:val="0"/>
          <w:numId w:val="0"/>
        </w:numPr>
        <w:spacing w:before="0" w:after="0"/>
        <w:ind w:firstLine="720"/>
      </w:pPr>
      <w:r>
        <w:t>3</w:t>
      </w:r>
      <w:r w:rsidR="006669F9">
        <w:t>.</w:t>
      </w:r>
      <w:r w:rsidR="00A03CEF">
        <w:t>3</w:t>
      </w:r>
      <w:r w:rsidR="006669F9">
        <w:t>.</w:t>
      </w:r>
      <w:bookmarkStart w:id="5" w:name="_Toc275268321"/>
      <w:r w:rsidR="006669F9" w:rsidRPr="006669F9">
        <w:t xml:space="preserve"> </w:t>
      </w:r>
      <w:r w:rsidR="006669F9">
        <w:t>Рынок труда и занятость населения</w:t>
      </w:r>
      <w:bookmarkEnd w:id="5"/>
    </w:p>
    <w:bookmarkEnd w:id="3"/>
    <w:bookmarkEnd w:id="4"/>
    <w:p w:rsidR="000C73F3" w:rsidRDefault="000C73F3" w:rsidP="00DD40BD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4B5F36">
        <w:rPr>
          <w:rFonts w:ascii="Times New Roman" w:hAnsi="Times New Roman"/>
          <w:szCs w:val="28"/>
        </w:rPr>
        <w:t>Уровень безработицы (по методологии Международной организации тр</w:t>
      </w:r>
      <w:r w:rsidRPr="004B5F36">
        <w:rPr>
          <w:rFonts w:ascii="Times New Roman" w:hAnsi="Times New Roman"/>
          <w:szCs w:val="28"/>
        </w:rPr>
        <w:t>у</w:t>
      </w:r>
      <w:r w:rsidRPr="004B5F36">
        <w:rPr>
          <w:rFonts w:ascii="Times New Roman" w:hAnsi="Times New Roman"/>
          <w:szCs w:val="28"/>
        </w:rPr>
        <w:t>да)</w:t>
      </w:r>
      <w:r>
        <w:rPr>
          <w:rFonts w:ascii="Times New Roman" w:hAnsi="Times New Roman"/>
          <w:szCs w:val="28"/>
        </w:rPr>
        <w:t xml:space="preserve"> </w:t>
      </w:r>
      <w:r w:rsidRPr="004B5F36">
        <w:rPr>
          <w:rFonts w:ascii="Times New Roman" w:hAnsi="Times New Roman"/>
          <w:szCs w:val="28"/>
        </w:rPr>
        <w:t xml:space="preserve">снизился с 2,2% в 2009 </w:t>
      </w:r>
      <w:r w:rsidR="00255369">
        <w:rPr>
          <w:rFonts w:ascii="Times New Roman" w:hAnsi="Times New Roman"/>
          <w:szCs w:val="28"/>
        </w:rPr>
        <w:t xml:space="preserve">году </w:t>
      </w:r>
      <w:r w:rsidRPr="004B5F36">
        <w:rPr>
          <w:rFonts w:ascii="Times New Roman" w:hAnsi="Times New Roman"/>
          <w:szCs w:val="28"/>
        </w:rPr>
        <w:t>до 0,61% в 2012 г</w:t>
      </w:r>
      <w:r w:rsidR="00255369">
        <w:rPr>
          <w:rFonts w:ascii="Times New Roman" w:hAnsi="Times New Roman"/>
          <w:szCs w:val="28"/>
        </w:rPr>
        <w:t>оду.</w:t>
      </w:r>
    </w:p>
    <w:p w:rsidR="001078E1" w:rsidRDefault="001078E1" w:rsidP="00717BAC">
      <w:pPr>
        <w:spacing w:line="24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Несмотря на 4-е место по уровню зарегистрированной безработицы среди</w:t>
      </w:r>
      <w:r w:rsidR="00DD40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городов-аналогов за</w:t>
      </w:r>
      <w:r w:rsidR="00DD40BD">
        <w:rPr>
          <w:rFonts w:ascii="Times New Roman" w:hAnsi="Times New Roman"/>
          <w:szCs w:val="28"/>
        </w:rPr>
        <w:t xml:space="preserve"> </w:t>
      </w:r>
      <w:r w:rsidR="00C07570">
        <w:rPr>
          <w:rFonts w:ascii="Times New Roman" w:hAnsi="Times New Roman"/>
          <w:szCs w:val="28"/>
        </w:rPr>
        <w:t>период</w:t>
      </w:r>
      <w:r w:rsidR="00DD40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2010</w:t>
      </w:r>
      <w:r w:rsidR="00255369">
        <w:rPr>
          <w:rFonts w:ascii="Times New Roman" w:hAnsi="Times New Roman"/>
          <w:szCs w:val="28"/>
        </w:rPr>
        <w:t>-</w:t>
      </w:r>
      <w:r w:rsidR="00C07570">
        <w:rPr>
          <w:rFonts w:ascii="Times New Roman" w:hAnsi="Times New Roman"/>
          <w:szCs w:val="28"/>
        </w:rPr>
        <w:t>2012</w:t>
      </w:r>
      <w:r w:rsidR="00DD40BD">
        <w:rPr>
          <w:rFonts w:ascii="Times New Roman" w:hAnsi="Times New Roman"/>
          <w:szCs w:val="28"/>
        </w:rPr>
        <w:t xml:space="preserve"> </w:t>
      </w:r>
      <w:r w:rsidR="00C07570">
        <w:rPr>
          <w:rFonts w:ascii="Times New Roman" w:hAnsi="Times New Roman"/>
          <w:szCs w:val="28"/>
        </w:rPr>
        <w:t>годов</w:t>
      </w:r>
      <w:r w:rsidR="00DD40B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значение показателя по Перми </w:t>
      </w:r>
      <w:r w:rsidR="00C07570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>за анализируемый период снижается.</w:t>
      </w:r>
    </w:p>
    <w:p w:rsidR="000C73F3" w:rsidRDefault="003F6ECC" w:rsidP="00717BAC">
      <w:pPr>
        <w:spacing w:line="240" w:lineRule="auto"/>
        <w:jc w:val="center"/>
        <w:rPr>
          <w:rFonts w:ascii="Times New Roman" w:hAnsi="Times New Roman"/>
          <w:szCs w:val="28"/>
        </w:rPr>
      </w:pPr>
      <w:r>
        <w:rPr>
          <w:noProof/>
        </w:rPr>
        <w:drawing>
          <wp:inline distT="0" distB="0" distL="0" distR="0" wp14:anchorId="74242864" wp14:editId="2A2E880E">
            <wp:extent cx="5286564" cy="2246638"/>
            <wp:effectExtent l="0" t="0" r="0" b="0"/>
            <wp:docPr id="18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55369" w:rsidRPr="00272DDF" w:rsidRDefault="00255369" w:rsidP="00C07570">
      <w:pPr>
        <w:pStyle w:val="ac"/>
        <w:spacing w:line="240" w:lineRule="auto"/>
        <w:ind w:firstLine="709"/>
        <w:rPr>
          <w:i/>
          <w:sz w:val="24"/>
          <w:szCs w:val="24"/>
        </w:rPr>
      </w:pPr>
      <w:r w:rsidRPr="00272DDF">
        <w:rPr>
          <w:i/>
          <w:sz w:val="24"/>
          <w:szCs w:val="24"/>
        </w:rPr>
        <w:t xml:space="preserve">Рис. </w:t>
      </w:r>
      <w:r>
        <w:rPr>
          <w:i/>
          <w:sz w:val="24"/>
          <w:szCs w:val="24"/>
        </w:rPr>
        <w:t>3</w:t>
      </w:r>
      <w:r w:rsidRPr="00272DDF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3</w:t>
      </w:r>
      <w:r w:rsidRPr="00272DDF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1</w:t>
      </w:r>
      <w:r w:rsidRPr="00272DDF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Уровень безработицы в городах-аналогах </w:t>
      </w:r>
      <w:proofErr w:type="gramStart"/>
      <w:r>
        <w:rPr>
          <w:i/>
          <w:sz w:val="24"/>
          <w:szCs w:val="24"/>
        </w:rPr>
        <w:t>на конец</w:t>
      </w:r>
      <w:proofErr w:type="gramEnd"/>
      <w:r>
        <w:rPr>
          <w:i/>
          <w:sz w:val="24"/>
          <w:szCs w:val="24"/>
        </w:rPr>
        <w:t xml:space="preserve"> 2012 года</w:t>
      </w:r>
    </w:p>
    <w:p w:rsidR="00255369" w:rsidRDefault="00255369" w:rsidP="00717BAC">
      <w:pPr>
        <w:spacing w:line="240" w:lineRule="auto"/>
        <w:rPr>
          <w:rFonts w:ascii="Times New Roman" w:hAnsi="Times New Roman"/>
          <w:szCs w:val="28"/>
        </w:rPr>
      </w:pPr>
    </w:p>
    <w:p w:rsidR="000C73F3" w:rsidRDefault="000C73F3" w:rsidP="00C07570">
      <w:pPr>
        <w:spacing w:line="240" w:lineRule="auto"/>
        <w:ind w:firstLine="709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>На конец</w:t>
      </w:r>
      <w:proofErr w:type="gramEnd"/>
      <w:r>
        <w:rPr>
          <w:rFonts w:ascii="Times New Roman" w:hAnsi="Times New Roman"/>
          <w:szCs w:val="28"/>
        </w:rPr>
        <w:t xml:space="preserve"> 2012 года в городе Перми ч</w:t>
      </w:r>
      <w:r w:rsidRPr="000E1360">
        <w:rPr>
          <w:rFonts w:ascii="Times New Roman" w:hAnsi="Times New Roman"/>
          <w:szCs w:val="28"/>
        </w:rPr>
        <w:t>исленность граждан, обратившихся</w:t>
      </w:r>
      <w:r>
        <w:rPr>
          <w:rFonts w:ascii="Times New Roman" w:hAnsi="Times New Roman"/>
          <w:szCs w:val="28"/>
        </w:rPr>
        <w:t xml:space="preserve"> </w:t>
      </w:r>
      <w:r w:rsidR="00C07570">
        <w:rPr>
          <w:rFonts w:ascii="Times New Roman" w:hAnsi="Times New Roman"/>
          <w:szCs w:val="28"/>
        </w:rPr>
        <w:br/>
      </w:r>
      <w:r w:rsidRPr="000E1360">
        <w:rPr>
          <w:rFonts w:ascii="Times New Roman" w:hAnsi="Times New Roman"/>
          <w:szCs w:val="28"/>
        </w:rPr>
        <w:t>за содействием в поиске подходящей работы в государственные учреждения службы занятости населения</w:t>
      </w:r>
      <w:r w:rsidR="00DD40BD">
        <w:rPr>
          <w:rFonts w:ascii="Times New Roman" w:hAnsi="Times New Roman"/>
          <w:szCs w:val="28"/>
        </w:rPr>
        <w:t>,</w:t>
      </w:r>
      <w:r w:rsidRPr="000E136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составила 3 387 чел., из них 3 253 чел. имели ст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 xml:space="preserve">тус безработного. </w:t>
      </w:r>
    </w:p>
    <w:p w:rsidR="00C7557E" w:rsidRDefault="00C7557E" w:rsidP="00C07570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0C73F3" w:rsidRDefault="003F6ECC" w:rsidP="00717BAC">
      <w:pPr>
        <w:spacing w:line="240" w:lineRule="auto"/>
        <w:jc w:val="center"/>
        <w:rPr>
          <w:rFonts w:ascii="Times New Roman" w:hAnsi="Times New Roman"/>
          <w:szCs w:val="28"/>
        </w:rPr>
      </w:pPr>
      <w:r>
        <w:rPr>
          <w:noProof/>
        </w:rPr>
        <w:drawing>
          <wp:inline distT="0" distB="0" distL="0" distR="0" wp14:anchorId="0409757E" wp14:editId="79ED1FD6">
            <wp:extent cx="5292620" cy="2282972"/>
            <wp:effectExtent l="0" t="0" r="0" b="0"/>
            <wp:docPr id="19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B38E8" w:rsidRPr="00272DDF" w:rsidRDefault="001B38E8" w:rsidP="00C07570">
      <w:pPr>
        <w:pStyle w:val="ac"/>
        <w:spacing w:line="240" w:lineRule="auto"/>
        <w:ind w:firstLine="709"/>
        <w:rPr>
          <w:i/>
          <w:sz w:val="24"/>
          <w:szCs w:val="24"/>
        </w:rPr>
      </w:pPr>
      <w:r w:rsidRPr="00272DDF">
        <w:rPr>
          <w:i/>
          <w:sz w:val="24"/>
          <w:szCs w:val="24"/>
        </w:rPr>
        <w:t xml:space="preserve">Рис. </w:t>
      </w:r>
      <w:r>
        <w:rPr>
          <w:i/>
          <w:sz w:val="24"/>
          <w:szCs w:val="24"/>
        </w:rPr>
        <w:t>3</w:t>
      </w:r>
      <w:r w:rsidRPr="00272DDF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3</w:t>
      </w:r>
      <w:r w:rsidRPr="00272DDF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2</w:t>
      </w:r>
      <w:r w:rsidRPr="00272DDF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Динамика численности безработных граждан в городе Перми</w:t>
      </w:r>
    </w:p>
    <w:p w:rsidR="001B38E8" w:rsidRDefault="001B38E8" w:rsidP="00717BAC">
      <w:pPr>
        <w:spacing w:line="240" w:lineRule="auto"/>
        <w:ind w:firstLine="567"/>
        <w:rPr>
          <w:rFonts w:ascii="Times New Roman" w:hAnsi="Times New Roman"/>
          <w:szCs w:val="28"/>
        </w:rPr>
      </w:pPr>
    </w:p>
    <w:p w:rsidR="000C73F3" w:rsidRDefault="000C73F3" w:rsidP="00430C3A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 численности официально зарегистрированных безработных </w:t>
      </w:r>
      <w:proofErr w:type="gramStart"/>
      <w:r>
        <w:rPr>
          <w:rFonts w:ascii="Times New Roman" w:hAnsi="Times New Roman"/>
          <w:szCs w:val="28"/>
        </w:rPr>
        <w:t>на конец</w:t>
      </w:r>
      <w:proofErr w:type="gramEnd"/>
      <w:r>
        <w:rPr>
          <w:rFonts w:ascii="Times New Roman" w:hAnsi="Times New Roman"/>
          <w:szCs w:val="28"/>
        </w:rPr>
        <w:t xml:space="preserve"> 2012 год среди городов-аналогов город Пермь занимала 2</w:t>
      </w:r>
      <w:r w:rsidR="00DD40BD">
        <w:rPr>
          <w:rFonts w:ascii="Times New Roman" w:hAnsi="Times New Roman"/>
          <w:szCs w:val="28"/>
        </w:rPr>
        <w:t>-е</w:t>
      </w:r>
      <w:r>
        <w:rPr>
          <w:rFonts w:ascii="Times New Roman" w:hAnsi="Times New Roman"/>
          <w:szCs w:val="28"/>
        </w:rPr>
        <w:t xml:space="preserve"> место.</w:t>
      </w:r>
    </w:p>
    <w:p w:rsidR="000C73F3" w:rsidRDefault="000C73F3" w:rsidP="00717BAC">
      <w:pPr>
        <w:spacing w:line="240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</w:t>
      </w:r>
    </w:p>
    <w:p w:rsidR="000C73F3" w:rsidRDefault="003F6ECC" w:rsidP="00717BAC">
      <w:pPr>
        <w:spacing w:line="240" w:lineRule="auto"/>
        <w:jc w:val="center"/>
        <w:rPr>
          <w:noProof/>
        </w:rPr>
      </w:pPr>
      <w:r>
        <w:rPr>
          <w:noProof/>
        </w:rPr>
        <w:drawing>
          <wp:inline distT="0" distB="0" distL="0" distR="0" wp14:anchorId="18EB565F" wp14:editId="175D3722">
            <wp:extent cx="5232064" cy="1980191"/>
            <wp:effectExtent l="0" t="0" r="0" b="0"/>
            <wp:docPr id="20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1B38E8" w:rsidRPr="00272DDF" w:rsidRDefault="001B38E8" w:rsidP="00C07570">
      <w:pPr>
        <w:pStyle w:val="ac"/>
        <w:spacing w:line="240" w:lineRule="auto"/>
        <w:ind w:firstLine="709"/>
        <w:rPr>
          <w:i/>
          <w:sz w:val="24"/>
          <w:szCs w:val="24"/>
        </w:rPr>
      </w:pPr>
      <w:r w:rsidRPr="00272DDF">
        <w:rPr>
          <w:i/>
          <w:sz w:val="24"/>
          <w:szCs w:val="24"/>
        </w:rPr>
        <w:t xml:space="preserve">Рис. </w:t>
      </w:r>
      <w:r>
        <w:rPr>
          <w:i/>
          <w:sz w:val="24"/>
          <w:szCs w:val="24"/>
        </w:rPr>
        <w:t>3</w:t>
      </w:r>
      <w:r w:rsidRPr="00272DDF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3</w:t>
      </w:r>
      <w:r w:rsidRPr="00272DDF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3</w:t>
      </w:r>
      <w:r w:rsidRPr="00272DDF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Численность официально зарегистрированных безработных в городах-аналогах </w:t>
      </w:r>
      <w:proofErr w:type="gramStart"/>
      <w:r>
        <w:rPr>
          <w:i/>
          <w:sz w:val="24"/>
          <w:szCs w:val="24"/>
        </w:rPr>
        <w:t>на конец</w:t>
      </w:r>
      <w:proofErr w:type="gramEnd"/>
      <w:r>
        <w:rPr>
          <w:i/>
          <w:sz w:val="24"/>
          <w:szCs w:val="24"/>
        </w:rPr>
        <w:t xml:space="preserve"> 2012 года</w:t>
      </w:r>
    </w:p>
    <w:p w:rsidR="001B38E8" w:rsidRDefault="001B38E8" w:rsidP="00430C3A">
      <w:pPr>
        <w:spacing w:line="240" w:lineRule="auto"/>
        <w:ind w:firstLine="709"/>
        <w:rPr>
          <w:rFonts w:ascii="Times New Roman" w:hAnsi="Times New Roman"/>
          <w:b/>
          <w:szCs w:val="28"/>
        </w:rPr>
      </w:pPr>
    </w:p>
    <w:p w:rsidR="000C73F3" w:rsidRDefault="000C73F3" w:rsidP="00430C3A">
      <w:pPr>
        <w:spacing w:line="240" w:lineRule="auto"/>
        <w:ind w:firstLine="709"/>
        <w:rPr>
          <w:rFonts w:ascii="Times New Roman" w:hAnsi="Times New Roman"/>
          <w:b/>
          <w:szCs w:val="28"/>
        </w:rPr>
      </w:pPr>
      <w:r w:rsidRPr="00E40388">
        <w:rPr>
          <w:rFonts w:ascii="Times New Roman" w:hAnsi="Times New Roman"/>
          <w:b/>
          <w:szCs w:val="28"/>
        </w:rPr>
        <w:t>3.</w:t>
      </w:r>
      <w:r>
        <w:rPr>
          <w:rFonts w:ascii="Times New Roman" w:hAnsi="Times New Roman"/>
          <w:b/>
          <w:szCs w:val="28"/>
        </w:rPr>
        <w:t>4.</w:t>
      </w:r>
      <w:r w:rsidRPr="00E40388">
        <w:rPr>
          <w:rFonts w:ascii="Times New Roman" w:hAnsi="Times New Roman"/>
          <w:b/>
          <w:szCs w:val="28"/>
        </w:rPr>
        <w:t xml:space="preserve"> Демографическая ситуация</w:t>
      </w:r>
    </w:p>
    <w:p w:rsidR="000C73F3" w:rsidRPr="00E40388" w:rsidRDefault="000C73F3" w:rsidP="00430C3A">
      <w:pPr>
        <w:spacing w:line="240" w:lineRule="auto"/>
        <w:ind w:firstLine="709"/>
        <w:rPr>
          <w:rFonts w:ascii="Times New Roman" w:hAnsi="Times New Roman"/>
          <w:b/>
          <w:szCs w:val="28"/>
        </w:rPr>
      </w:pPr>
      <w:r w:rsidRPr="00E40388">
        <w:rPr>
          <w:rFonts w:ascii="Times New Roman" w:hAnsi="Times New Roman"/>
          <w:b/>
          <w:szCs w:val="28"/>
        </w:rPr>
        <w:t>3.</w:t>
      </w:r>
      <w:r>
        <w:rPr>
          <w:rFonts w:ascii="Times New Roman" w:hAnsi="Times New Roman"/>
          <w:b/>
          <w:szCs w:val="28"/>
        </w:rPr>
        <w:t>4</w:t>
      </w:r>
      <w:r w:rsidRPr="00E40388">
        <w:rPr>
          <w:rFonts w:ascii="Times New Roman" w:hAnsi="Times New Roman"/>
          <w:b/>
          <w:szCs w:val="28"/>
        </w:rPr>
        <w:t>.1</w:t>
      </w:r>
      <w:r w:rsidR="00AB6D26">
        <w:rPr>
          <w:rFonts w:ascii="Times New Roman" w:hAnsi="Times New Roman"/>
          <w:b/>
          <w:szCs w:val="28"/>
        </w:rPr>
        <w:t>.</w:t>
      </w:r>
      <w:r w:rsidRPr="00E40388">
        <w:rPr>
          <w:rFonts w:ascii="Times New Roman" w:hAnsi="Times New Roman"/>
          <w:b/>
          <w:szCs w:val="28"/>
        </w:rPr>
        <w:t xml:space="preserve"> Естественный прирост</w:t>
      </w:r>
    </w:p>
    <w:p w:rsidR="001078E1" w:rsidRDefault="001078E1" w:rsidP="00430C3A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Положительная демографическая динамика по итогам 2010</w:t>
      </w:r>
      <w:r w:rsidR="00AB6D26">
        <w:rPr>
          <w:rFonts w:ascii="Times New Roman" w:hAnsi="Times New Roman"/>
          <w:szCs w:val="28"/>
        </w:rPr>
        <w:t>-</w:t>
      </w:r>
      <w:r>
        <w:rPr>
          <w:rFonts w:ascii="Times New Roman" w:hAnsi="Times New Roman"/>
          <w:szCs w:val="28"/>
        </w:rPr>
        <w:t>2012 годов х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 xml:space="preserve">рактеризуется ростом рождаемости и снижением смертности. </w:t>
      </w:r>
    </w:p>
    <w:p w:rsidR="000C73F3" w:rsidRDefault="000C73F3" w:rsidP="00430C3A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 период 2008-2012 </w:t>
      </w:r>
      <w:r w:rsidR="00C7557E">
        <w:rPr>
          <w:rFonts w:ascii="Times New Roman" w:hAnsi="Times New Roman"/>
          <w:szCs w:val="28"/>
        </w:rPr>
        <w:t>годов</w:t>
      </w:r>
      <w:r>
        <w:rPr>
          <w:rFonts w:ascii="Times New Roman" w:hAnsi="Times New Roman"/>
          <w:szCs w:val="28"/>
        </w:rPr>
        <w:t xml:space="preserve"> рождаемость в городе Перми выросла на 25</w:t>
      </w:r>
      <w:r w:rsidR="008C5309">
        <w:rPr>
          <w:rFonts w:ascii="Times New Roman" w:hAnsi="Times New Roman"/>
          <w:szCs w:val="28"/>
        </w:rPr>
        <w:t>,0</w:t>
      </w:r>
      <w:r>
        <w:rPr>
          <w:rFonts w:ascii="Times New Roman" w:hAnsi="Times New Roman"/>
          <w:szCs w:val="28"/>
        </w:rPr>
        <w:t xml:space="preserve">%. </w:t>
      </w:r>
      <w:r w:rsidR="00430C3A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В 2012 году родилось 13 902 человека, темп роста рождаемости составил – </w:t>
      </w:r>
      <w:r w:rsidR="00C07570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>109,2% к уровню 2011</w:t>
      </w:r>
      <w:r w:rsidR="00AB6D26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</w:t>
      </w:r>
      <w:r w:rsidR="00AB6D26">
        <w:rPr>
          <w:rFonts w:ascii="Times New Roman" w:hAnsi="Times New Roman"/>
          <w:szCs w:val="28"/>
        </w:rPr>
        <w:t>ода</w:t>
      </w:r>
      <w:r>
        <w:rPr>
          <w:rFonts w:ascii="Times New Roman" w:hAnsi="Times New Roman"/>
          <w:szCs w:val="28"/>
        </w:rPr>
        <w:t>.</w:t>
      </w:r>
    </w:p>
    <w:p w:rsidR="000C73F3" w:rsidRDefault="000C73F3" w:rsidP="00430C3A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 последние пять лет наблюдается незначительное снижение смертности. Число </w:t>
      </w:r>
      <w:proofErr w:type="gramStart"/>
      <w:r>
        <w:rPr>
          <w:rFonts w:ascii="Times New Roman" w:hAnsi="Times New Roman"/>
          <w:szCs w:val="28"/>
        </w:rPr>
        <w:t>умерших</w:t>
      </w:r>
      <w:proofErr w:type="gramEnd"/>
      <w:r>
        <w:rPr>
          <w:rFonts w:ascii="Times New Roman" w:hAnsi="Times New Roman"/>
          <w:szCs w:val="28"/>
        </w:rPr>
        <w:t xml:space="preserve"> </w:t>
      </w:r>
      <w:r w:rsidR="00C07570">
        <w:rPr>
          <w:rFonts w:ascii="Times New Roman" w:hAnsi="Times New Roman"/>
          <w:szCs w:val="28"/>
        </w:rPr>
        <w:t>в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городе Перми</w:t>
      </w:r>
      <w:r w:rsidR="008C5309">
        <w:rPr>
          <w:rFonts w:ascii="Times New Roman" w:hAnsi="Times New Roman"/>
          <w:szCs w:val="28"/>
        </w:rPr>
        <w:t xml:space="preserve"> </w:t>
      </w:r>
      <w:r w:rsidR="00C07570">
        <w:rPr>
          <w:rFonts w:ascii="Times New Roman" w:hAnsi="Times New Roman"/>
          <w:szCs w:val="28"/>
        </w:rPr>
        <w:t>уменьшилось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на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4,4% по отношению к уровню 2008 года.</w:t>
      </w:r>
    </w:p>
    <w:p w:rsidR="00E07E6F" w:rsidRDefault="003F6ECC" w:rsidP="00717BAC">
      <w:pPr>
        <w:spacing w:line="240" w:lineRule="auto"/>
        <w:ind w:firstLine="567"/>
        <w:rPr>
          <w:rFonts w:ascii="Times New Roman" w:hAnsi="Times New Roman"/>
          <w:szCs w:val="28"/>
        </w:rPr>
      </w:pPr>
      <w:r>
        <w:rPr>
          <w:noProof/>
        </w:rPr>
        <w:drawing>
          <wp:inline distT="0" distB="0" distL="0" distR="0" wp14:anchorId="6E18C4CD" wp14:editId="4742E82E">
            <wp:extent cx="5828364" cy="3251987"/>
            <wp:effectExtent l="0" t="0" r="0" b="0"/>
            <wp:docPr id="2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B6D26" w:rsidRPr="00272DDF" w:rsidRDefault="00AB6D26" w:rsidP="00C07570">
      <w:pPr>
        <w:pStyle w:val="ac"/>
        <w:spacing w:line="240" w:lineRule="auto"/>
        <w:ind w:firstLine="709"/>
        <w:rPr>
          <w:i/>
          <w:sz w:val="24"/>
          <w:szCs w:val="24"/>
        </w:rPr>
      </w:pPr>
      <w:r w:rsidRPr="00272DDF">
        <w:rPr>
          <w:i/>
          <w:sz w:val="24"/>
          <w:szCs w:val="24"/>
        </w:rPr>
        <w:t xml:space="preserve">Рис. </w:t>
      </w:r>
      <w:r>
        <w:rPr>
          <w:i/>
          <w:sz w:val="24"/>
          <w:szCs w:val="24"/>
        </w:rPr>
        <w:t>3</w:t>
      </w:r>
      <w:r w:rsidRPr="00272DDF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4</w:t>
      </w:r>
      <w:r w:rsidRPr="00272DDF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1.1</w:t>
      </w:r>
      <w:r w:rsidRPr="00272DDF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Демографическая ситуация в городе Перми за 2008-2012 годы</w:t>
      </w:r>
    </w:p>
    <w:p w:rsidR="00AB6D26" w:rsidRDefault="00AB6D26" w:rsidP="00430C3A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0C73F3" w:rsidRPr="00A97340" w:rsidRDefault="000C73F3" w:rsidP="00430C3A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A97340">
        <w:rPr>
          <w:rFonts w:ascii="Times New Roman" w:hAnsi="Times New Roman"/>
          <w:szCs w:val="28"/>
        </w:rPr>
        <w:t>Таким образом, естественный прирост обрел положительную динамику</w:t>
      </w:r>
      <w:r>
        <w:rPr>
          <w:rFonts w:ascii="Times New Roman" w:hAnsi="Times New Roman"/>
          <w:szCs w:val="28"/>
        </w:rPr>
        <w:t xml:space="preserve"> </w:t>
      </w:r>
      <w:r w:rsidR="00430C3A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с 2011 года </w:t>
      </w:r>
      <w:r w:rsidR="00C7557E">
        <w:rPr>
          <w:rFonts w:ascii="Times New Roman" w:hAnsi="Times New Roman"/>
          <w:szCs w:val="28"/>
        </w:rPr>
        <w:t xml:space="preserve">и составил в 2012 году 1,5 </w:t>
      </w:r>
      <w:proofErr w:type="spellStart"/>
      <w:r w:rsidR="00C7557E">
        <w:rPr>
          <w:rFonts w:ascii="Times New Roman" w:hAnsi="Times New Roman"/>
          <w:szCs w:val="28"/>
        </w:rPr>
        <w:t>тыс</w:t>
      </w:r>
      <w:proofErr w:type="gramStart"/>
      <w:r w:rsidR="00C7557E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ч</w:t>
      </w:r>
      <w:proofErr w:type="gramEnd"/>
      <w:r>
        <w:rPr>
          <w:rFonts w:ascii="Times New Roman" w:hAnsi="Times New Roman"/>
          <w:szCs w:val="28"/>
        </w:rPr>
        <w:t>ел</w:t>
      </w:r>
      <w:proofErr w:type="spellEnd"/>
      <w:r>
        <w:rPr>
          <w:rFonts w:ascii="Times New Roman" w:hAnsi="Times New Roman"/>
          <w:szCs w:val="28"/>
        </w:rPr>
        <w:t>.</w:t>
      </w:r>
    </w:p>
    <w:p w:rsidR="000C73F3" w:rsidRDefault="000C73F3" w:rsidP="00430C3A">
      <w:pPr>
        <w:widowControl w:val="0"/>
        <w:spacing w:line="240" w:lineRule="auto"/>
        <w:ind w:firstLine="709"/>
        <w:rPr>
          <w:rFonts w:ascii="Times New Roman" w:hAnsi="Times New Roman"/>
          <w:szCs w:val="28"/>
        </w:rPr>
      </w:pPr>
      <w:r w:rsidRPr="004C3418">
        <w:rPr>
          <w:rFonts w:ascii="Times New Roman" w:hAnsi="Times New Roman"/>
          <w:szCs w:val="28"/>
        </w:rPr>
        <w:t xml:space="preserve">Среди </w:t>
      </w:r>
      <w:r w:rsidR="00430C3A">
        <w:rPr>
          <w:rFonts w:ascii="Times New Roman" w:hAnsi="Times New Roman"/>
          <w:szCs w:val="28"/>
        </w:rPr>
        <w:t>городов-аналогов</w:t>
      </w:r>
      <w:r w:rsidR="008C5309">
        <w:rPr>
          <w:rFonts w:ascii="Times New Roman" w:hAnsi="Times New Roman"/>
          <w:szCs w:val="28"/>
        </w:rPr>
        <w:t xml:space="preserve"> </w:t>
      </w:r>
      <w:r w:rsidR="00430C3A">
        <w:rPr>
          <w:rFonts w:ascii="Times New Roman" w:hAnsi="Times New Roman"/>
          <w:szCs w:val="28"/>
        </w:rPr>
        <w:t>по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уровню</w:t>
      </w:r>
      <w:r w:rsidR="00430C3A">
        <w:rPr>
          <w:rFonts w:ascii="Times New Roman" w:hAnsi="Times New Roman"/>
          <w:szCs w:val="28"/>
        </w:rPr>
        <w:t xml:space="preserve"> рождаемости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на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1</w:t>
      </w:r>
      <w:r w:rsidR="008C5309">
        <w:rPr>
          <w:rFonts w:ascii="Times New Roman" w:hAnsi="Times New Roman"/>
          <w:szCs w:val="28"/>
        </w:rPr>
        <w:t xml:space="preserve"> </w:t>
      </w:r>
      <w:r w:rsidR="00430C3A">
        <w:rPr>
          <w:rFonts w:ascii="Times New Roman" w:hAnsi="Times New Roman"/>
          <w:szCs w:val="28"/>
        </w:rPr>
        <w:t>000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населения </w:t>
      </w:r>
      <w:r w:rsidR="00430C3A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>в 2012 году Пермь занимала 2</w:t>
      </w:r>
      <w:r w:rsidR="008C5309">
        <w:rPr>
          <w:rFonts w:ascii="Times New Roman" w:hAnsi="Times New Roman"/>
          <w:szCs w:val="28"/>
        </w:rPr>
        <w:t>-е</w:t>
      </w:r>
      <w:r>
        <w:rPr>
          <w:rFonts w:ascii="Times New Roman" w:hAnsi="Times New Roman"/>
          <w:szCs w:val="28"/>
        </w:rPr>
        <w:t xml:space="preserve"> место после Казани. По уровню смертности </w:t>
      </w:r>
      <w:r w:rsidR="00430C3A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>на 1</w:t>
      </w:r>
      <w:r w:rsidR="008C5309">
        <w:rPr>
          <w:rFonts w:ascii="Times New Roman" w:hAnsi="Times New Roman"/>
          <w:szCs w:val="28"/>
        </w:rPr>
        <w:t> </w:t>
      </w:r>
      <w:r>
        <w:rPr>
          <w:rFonts w:ascii="Times New Roman" w:hAnsi="Times New Roman"/>
          <w:szCs w:val="28"/>
        </w:rPr>
        <w:t>000</w:t>
      </w:r>
      <w:r w:rsidR="00430C3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населения – 3</w:t>
      </w:r>
      <w:r w:rsidR="008C5309">
        <w:rPr>
          <w:rFonts w:ascii="Times New Roman" w:hAnsi="Times New Roman"/>
          <w:szCs w:val="28"/>
        </w:rPr>
        <w:t>-е</w:t>
      </w:r>
      <w:r>
        <w:rPr>
          <w:rFonts w:ascii="Times New Roman" w:hAnsi="Times New Roman"/>
          <w:szCs w:val="28"/>
        </w:rPr>
        <w:t xml:space="preserve"> место (1</w:t>
      </w:r>
      <w:r w:rsidR="008C5309">
        <w:rPr>
          <w:rFonts w:ascii="Times New Roman" w:hAnsi="Times New Roman"/>
          <w:szCs w:val="28"/>
        </w:rPr>
        <w:t>-е</w:t>
      </w:r>
      <w:r>
        <w:rPr>
          <w:rFonts w:ascii="Times New Roman" w:hAnsi="Times New Roman"/>
          <w:szCs w:val="28"/>
        </w:rPr>
        <w:t xml:space="preserve"> место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–</w:t>
      </w:r>
      <w:r w:rsidR="008C5309">
        <w:rPr>
          <w:rFonts w:ascii="Times New Roman" w:hAnsi="Times New Roman"/>
          <w:szCs w:val="28"/>
        </w:rPr>
        <w:t xml:space="preserve"> </w:t>
      </w:r>
      <w:r w:rsidR="00430C3A">
        <w:rPr>
          <w:rFonts w:ascii="Times New Roman" w:hAnsi="Times New Roman"/>
          <w:szCs w:val="28"/>
        </w:rPr>
        <w:t>Казань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и Екатеринбург). По ест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 xml:space="preserve">ственному приросту Пермь </w:t>
      </w:r>
      <w:r w:rsidR="00C7557E">
        <w:rPr>
          <w:rFonts w:ascii="Times New Roman" w:hAnsi="Times New Roman"/>
          <w:szCs w:val="28"/>
        </w:rPr>
        <w:t>занимала</w:t>
      </w:r>
      <w:r>
        <w:rPr>
          <w:rFonts w:ascii="Times New Roman" w:hAnsi="Times New Roman"/>
          <w:szCs w:val="28"/>
        </w:rPr>
        <w:t xml:space="preserve"> 3</w:t>
      </w:r>
      <w:r w:rsidR="00C7557E">
        <w:rPr>
          <w:rFonts w:ascii="Times New Roman" w:hAnsi="Times New Roman"/>
          <w:szCs w:val="28"/>
        </w:rPr>
        <w:t>-е</w:t>
      </w:r>
      <w:r>
        <w:rPr>
          <w:rFonts w:ascii="Times New Roman" w:hAnsi="Times New Roman"/>
          <w:szCs w:val="28"/>
        </w:rPr>
        <w:t xml:space="preserve"> мест</w:t>
      </w:r>
      <w:r w:rsidR="00C7557E"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.</w:t>
      </w:r>
      <w:r w:rsidR="001078E1" w:rsidRPr="001078E1">
        <w:rPr>
          <w:rFonts w:ascii="Times New Roman" w:hAnsi="Times New Roman"/>
          <w:szCs w:val="28"/>
        </w:rPr>
        <w:t xml:space="preserve"> </w:t>
      </w:r>
      <w:r w:rsidR="001078E1">
        <w:rPr>
          <w:rFonts w:ascii="Times New Roman" w:hAnsi="Times New Roman"/>
          <w:szCs w:val="28"/>
        </w:rPr>
        <w:t>В 2012 году естественный пр</w:t>
      </w:r>
      <w:r w:rsidR="001078E1">
        <w:rPr>
          <w:rFonts w:ascii="Times New Roman" w:hAnsi="Times New Roman"/>
          <w:szCs w:val="28"/>
        </w:rPr>
        <w:t>и</w:t>
      </w:r>
      <w:r w:rsidR="001078E1">
        <w:rPr>
          <w:rFonts w:ascii="Times New Roman" w:hAnsi="Times New Roman"/>
          <w:szCs w:val="28"/>
        </w:rPr>
        <w:t>рост наблюдался в Казани, Екатеринбурге, Перми и Челябинске.</w:t>
      </w:r>
    </w:p>
    <w:p w:rsidR="000C73F3" w:rsidRPr="004C3418" w:rsidRDefault="000C73F3" w:rsidP="00430C3A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0C73F3" w:rsidRDefault="000C73F3" w:rsidP="00430C3A">
      <w:pPr>
        <w:spacing w:line="240" w:lineRule="auto"/>
        <w:ind w:firstLine="709"/>
        <w:rPr>
          <w:rFonts w:ascii="Times New Roman" w:hAnsi="Times New Roman"/>
          <w:b/>
          <w:szCs w:val="28"/>
        </w:rPr>
      </w:pPr>
      <w:r w:rsidRPr="00E40388">
        <w:rPr>
          <w:rFonts w:ascii="Times New Roman" w:hAnsi="Times New Roman"/>
          <w:b/>
          <w:szCs w:val="28"/>
        </w:rPr>
        <w:t>3.</w:t>
      </w:r>
      <w:r w:rsidR="00AB6D26">
        <w:rPr>
          <w:rFonts w:ascii="Times New Roman" w:hAnsi="Times New Roman"/>
          <w:b/>
          <w:szCs w:val="28"/>
        </w:rPr>
        <w:t>4</w:t>
      </w:r>
      <w:r w:rsidRPr="00E40388">
        <w:rPr>
          <w:rFonts w:ascii="Times New Roman" w:hAnsi="Times New Roman"/>
          <w:b/>
          <w:szCs w:val="28"/>
        </w:rPr>
        <w:t>.2</w:t>
      </w:r>
      <w:r w:rsidR="00AB6D26">
        <w:rPr>
          <w:rFonts w:ascii="Times New Roman" w:hAnsi="Times New Roman"/>
          <w:b/>
          <w:szCs w:val="28"/>
        </w:rPr>
        <w:t>.</w:t>
      </w:r>
      <w:r w:rsidRPr="00E40388">
        <w:rPr>
          <w:rFonts w:ascii="Times New Roman" w:hAnsi="Times New Roman"/>
          <w:b/>
          <w:szCs w:val="28"/>
        </w:rPr>
        <w:t xml:space="preserve"> Миграция</w:t>
      </w:r>
    </w:p>
    <w:p w:rsidR="000C73F3" w:rsidRDefault="000C73F3" w:rsidP="00430C3A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1F5619">
        <w:rPr>
          <w:rFonts w:ascii="Times New Roman" w:hAnsi="Times New Roman"/>
          <w:szCs w:val="28"/>
        </w:rPr>
        <w:t xml:space="preserve">За период 2008-2012 </w:t>
      </w:r>
      <w:r w:rsidR="00C7557E">
        <w:rPr>
          <w:rFonts w:ascii="Times New Roman" w:hAnsi="Times New Roman"/>
          <w:szCs w:val="28"/>
        </w:rPr>
        <w:t>годов</w:t>
      </w:r>
      <w:r>
        <w:rPr>
          <w:rFonts w:ascii="Times New Roman" w:hAnsi="Times New Roman"/>
          <w:szCs w:val="28"/>
        </w:rPr>
        <w:t xml:space="preserve"> миграционный прирост в городе Перми имел стабильно положительные значения. В 2012 г</w:t>
      </w:r>
      <w:r w:rsidR="001E3D89">
        <w:rPr>
          <w:rFonts w:ascii="Times New Roman" w:hAnsi="Times New Roman"/>
          <w:szCs w:val="28"/>
        </w:rPr>
        <w:t>оду</w:t>
      </w:r>
      <w:r>
        <w:rPr>
          <w:rFonts w:ascii="Times New Roman" w:hAnsi="Times New Roman"/>
          <w:szCs w:val="28"/>
        </w:rPr>
        <w:t xml:space="preserve"> миграционный прирост сост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вил 11 694 чел., что выше уровня 2008 года в 20,8 раз.</w:t>
      </w:r>
    </w:p>
    <w:p w:rsidR="000C73F3" w:rsidRDefault="000C73F3" w:rsidP="00430C3A">
      <w:pPr>
        <w:widowControl w:val="0"/>
        <w:spacing w:line="240" w:lineRule="auto"/>
        <w:ind w:firstLine="567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основном миграция происходила внутри региона</w:t>
      </w:r>
      <w:r w:rsidR="00C7557E">
        <w:rPr>
          <w:rFonts w:ascii="Times New Roman" w:hAnsi="Times New Roman"/>
          <w:szCs w:val="28"/>
        </w:rPr>
        <w:t>:</w:t>
      </w:r>
      <w:r>
        <w:rPr>
          <w:rFonts w:ascii="Times New Roman" w:hAnsi="Times New Roman"/>
          <w:szCs w:val="28"/>
        </w:rPr>
        <w:t xml:space="preserve"> 61,7% от общего м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 xml:space="preserve">грационного прироста приходится на </w:t>
      </w:r>
      <w:proofErr w:type="spellStart"/>
      <w:r>
        <w:rPr>
          <w:rFonts w:ascii="Times New Roman" w:hAnsi="Times New Roman"/>
          <w:szCs w:val="28"/>
        </w:rPr>
        <w:t>внутрирегиональную</w:t>
      </w:r>
      <w:proofErr w:type="spellEnd"/>
      <w:r>
        <w:rPr>
          <w:rFonts w:ascii="Times New Roman" w:hAnsi="Times New Roman"/>
          <w:szCs w:val="28"/>
        </w:rPr>
        <w:t xml:space="preserve"> миграцию и 39,4% </w:t>
      </w:r>
      <w:r w:rsidR="00C7557E">
        <w:rPr>
          <w:rFonts w:ascii="Times New Roman" w:hAnsi="Times New Roman"/>
          <w:szCs w:val="28"/>
        </w:rPr>
        <w:t>–</w:t>
      </w:r>
      <w:r>
        <w:rPr>
          <w:rFonts w:ascii="Times New Roman" w:hAnsi="Times New Roman"/>
          <w:szCs w:val="28"/>
        </w:rPr>
        <w:t xml:space="preserve"> на международную миграцию.</w:t>
      </w:r>
    </w:p>
    <w:p w:rsidR="00430C3A" w:rsidRDefault="00430C3A" w:rsidP="00430C3A">
      <w:pPr>
        <w:widowControl w:val="0"/>
        <w:spacing w:line="240" w:lineRule="auto"/>
        <w:ind w:firstLine="567"/>
        <w:rPr>
          <w:rFonts w:ascii="Times New Roman" w:hAnsi="Times New Roman"/>
          <w:szCs w:val="28"/>
        </w:rPr>
      </w:pPr>
    </w:p>
    <w:p w:rsidR="00C7557E" w:rsidRDefault="00C7557E" w:rsidP="00430C3A">
      <w:pPr>
        <w:widowControl w:val="0"/>
        <w:spacing w:line="240" w:lineRule="auto"/>
        <w:ind w:firstLine="567"/>
        <w:rPr>
          <w:rFonts w:ascii="Times New Roman" w:hAnsi="Times New Roman"/>
          <w:szCs w:val="28"/>
        </w:rPr>
      </w:pPr>
    </w:p>
    <w:p w:rsidR="00AB6D26" w:rsidRDefault="00AB6D26" w:rsidP="00717BAC">
      <w:pPr>
        <w:spacing w:line="240" w:lineRule="auto"/>
        <w:jc w:val="center"/>
        <w:rPr>
          <w:rFonts w:ascii="Times New Roman" w:hAnsi="Times New Roman"/>
          <w:szCs w:val="28"/>
        </w:rPr>
      </w:pPr>
      <w:r>
        <w:rPr>
          <w:noProof/>
        </w:rPr>
        <w:drawing>
          <wp:inline distT="0" distB="0" distL="0" distR="0" wp14:anchorId="6CD2025A" wp14:editId="4FB12823">
            <wp:extent cx="5160397" cy="2138901"/>
            <wp:effectExtent l="0" t="0" r="0" b="0"/>
            <wp:docPr id="1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B6D26" w:rsidRPr="00272DDF" w:rsidRDefault="00AB6D26" w:rsidP="00430C3A">
      <w:pPr>
        <w:pStyle w:val="ac"/>
        <w:spacing w:line="240" w:lineRule="auto"/>
        <w:ind w:firstLine="709"/>
        <w:rPr>
          <w:i/>
          <w:sz w:val="24"/>
          <w:szCs w:val="24"/>
        </w:rPr>
      </w:pPr>
      <w:r w:rsidRPr="00272DDF">
        <w:rPr>
          <w:i/>
          <w:sz w:val="24"/>
          <w:szCs w:val="24"/>
        </w:rPr>
        <w:t xml:space="preserve">Рис. </w:t>
      </w:r>
      <w:r>
        <w:rPr>
          <w:i/>
          <w:sz w:val="24"/>
          <w:szCs w:val="24"/>
        </w:rPr>
        <w:t>3</w:t>
      </w:r>
      <w:r w:rsidRPr="00272DDF"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4.2.1. Динамика миграционного прироста населения города Перми</w:t>
      </w:r>
    </w:p>
    <w:p w:rsidR="00AB6D26" w:rsidRDefault="00AB6D26" w:rsidP="00717BAC">
      <w:pPr>
        <w:spacing w:line="240" w:lineRule="auto"/>
        <w:ind w:firstLine="567"/>
        <w:rPr>
          <w:rFonts w:ascii="Times New Roman" w:hAnsi="Times New Roman"/>
          <w:szCs w:val="28"/>
        </w:rPr>
      </w:pPr>
    </w:p>
    <w:p w:rsidR="000C73F3" w:rsidRDefault="000C73F3" w:rsidP="00C7557E">
      <w:pPr>
        <w:spacing w:line="240" w:lineRule="auto"/>
        <w:ind w:firstLine="709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4</w:t>
      </w:r>
      <w:r w:rsidR="001E3D89">
        <w:rPr>
          <w:rFonts w:ascii="Times New Roman" w:hAnsi="Times New Roman"/>
          <w:b/>
          <w:szCs w:val="28"/>
        </w:rPr>
        <w:t>.</w:t>
      </w:r>
      <w:r w:rsidRPr="00E40388">
        <w:rPr>
          <w:rFonts w:ascii="Times New Roman" w:hAnsi="Times New Roman"/>
          <w:b/>
          <w:szCs w:val="28"/>
        </w:rPr>
        <w:t xml:space="preserve"> </w:t>
      </w:r>
      <w:r w:rsidR="00B075CF">
        <w:rPr>
          <w:rFonts w:ascii="Times New Roman" w:hAnsi="Times New Roman"/>
          <w:b/>
          <w:szCs w:val="28"/>
        </w:rPr>
        <w:t>Строительство</w:t>
      </w:r>
    </w:p>
    <w:p w:rsidR="008D0A2C" w:rsidRPr="00E40388" w:rsidRDefault="008D0A2C" w:rsidP="008C5309">
      <w:pPr>
        <w:spacing w:line="240" w:lineRule="auto"/>
        <w:ind w:firstLine="709"/>
        <w:rPr>
          <w:rFonts w:ascii="Times New Roman" w:hAnsi="Times New Roman"/>
          <w:b/>
          <w:szCs w:val="28"/>
        </w:rPr>
      </w:pPr>
    </w:p>
    <w:p w:rsidR="000C73F3" w:rsidRDefault="000C73F3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Объем работ, </w:t>
      </w:r>
      <w:r w:rsidR="00430C3A">
        <w:rPr>
          <w:rFonts w:ascii="Times New Roman" w:hAnsi="Times New Roman"/>
          <w:szCs w:val="28"/>
        </w:rPr>
        <w:t>выполненных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по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виду </w:t>
      </w:r>
      <w:r w:rsidR="00430C3A">
        <w:rPr>
          <w:rFonts w:ascii="Times New Roman" w:hAnsi="Times New Roman"/>
          <w:szCs w:val="28"/>
        </w:rPr>
        <w:t>деятельности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«Строительство» </w:t>
      </w:r>
      <w:r w:rsidR="00430C3A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>за 2012 год составил 17</w:t>
      </w:r>
      <w:r w:rsidR="001E3D89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>1 мл</w:t>
      </w:r>
      <w:r w:rsidR="001E3D89">
        <w:rPr>
          <w:rFonts w:ascii="Times New Roman" w:hAnsi="Times New Roman"/>
          <w:szCs w:val="28"/>
        </w:rPr>
        <w:t>рд</w:t>
      </w:r>
      <w:r>
        <w:rPr>
          <w:rFonts w:ascii="Times New Roman" w:hAnsi="Times New Roman"/>
          <w:szCs w:val="28"/>
        </w:rPr>
        <w:t xml:space="preserve">. руб. (21,4% от общего объема по Пермскому краю), или 98,2% к уровню 2008 года (по </w:t>
      </w:r>
      <w:r w:rsidR="001E3D89">
        <w:rPr>
          <w:rFonts w:ascii="Times New Roman" w:hAnsi="Times New Roman"/>
          <w:szCs w:val="28"/>
        </w:rPr>
        <w:t xml:space="preserve">Пермскому </w:t>
      </w:r>
      <w:r>
        <w:rPr>
          <w:rFonts w:ascii="Times New Roman" w:hAnsi="Times New Roman"/>
          <w:szCs w:val="28"/>
        </w:rPr>
        <w:t xml:space="preserve">краю – 132,8%). Среди </w:t>
      </w:r>
      <w:r w:rsidR="001E3D89">
        <w:rPr>
          <w:rFonts w:ascii="Times New Roman" w:hAnsi="Times New Roman"/>
          <w:szCs w:val="28"/>
        </w:rPr>
        <w:t>г</w:t>
      </w:r>
      <w:r w:rsidR="001E3D89">
        <w:rPr>
          <w:rFonts w:ascii="Times New Roman" w:hAnsi="Times New Roman"/>
          <w:szCs w:val="28"/>
        </w:rPr>
        <w:t>о</w:t>
      </w:r>
      <w:r w:rsidR="001E3D89">
        <w:rPr>
          <w:rFonts w:ascii="Times New Roman" w:hAnsi="Times New Roman"/>
          <w:szCs w:val="28"/>
        </w:rPr>
        <w:t>родов</w:t>
      </w:r>
      <w:r>
        <w:rPr>
          <w:rFonts w:ascii="Times New Roman" w:hAnsi="Times New Roman"/>
          <w:szCs w:val="28"/>
        </w:rPr>
        <w:t>-</w:t>
      </w:r>
      <w:r w:rsidR="001E3D89">
        <w:rPr>
          <w:rFonts w:ascii="Times New Roman" w:hAnsi="Times New Roman"/>
          <w:szCs w:val="28"/>
        </w:rPr>
        <w:t>аналогов</w:t>
      </w:r>
      <w:r>
        <w:rPr>
          <w:rFonts w:ascii="Times New Roman" w:hAnsi="Times New Roman"/>
          <w:szCs w:val="28"/>
        </w:rPr>
        <w:t xml:space="preserve"> Пермь по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темпу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роста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строительства в 2012 году занял</w:t>
      </w:r>
      <w:r w:rsidR="001E3D89"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 xml:space="preserve"> 2</w:t>
      </w:r>
      <w:r w:rsidR="008C5309">
        <w:rPr>
          <w:rFonts w:ascii="Times New Roman" w:hAnsi="Times New Roman"/>
          <w:szCs w:val="28"/>
        </w:rPr>
        <w:t>-е</w:t>
      </w:r>
      <w:r>
        <w:rPr>
          <w:rFonts w:ascii="Times New Roman" w:hAnsi="Times New Roman"/>
          <w:szCs w:val="28"/>
        </w:rPr>
        <w:t xml:space="preserve"> м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сто после Самары.</w:t>
      </w:r>
    </w:p>
    <w:p w:rsidR="000C73F3" w:rsidRPr="00BE59BD" w:rsidRDefault="00B66AE0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="000C73F3">
        <w:rPr>
          <w:rFonts w:ascii="Times New Roman" w:hAnsi="Times New Roman"/>
          <w:szCs w:val="28"/>
        </w:rPr>
        <w:t xml:space="preserve"> 2008-2012 г</w:t>
      </w:r>
      <w:r w:rsidR="00294967">
        <w:rPr>
          <w:rFonts w:ascii="Times New Roman" w:hAnsi="Times New Roman"/>
          <w:szCs w:val="28"/>
        </w:rPr>
        <w:t>одах</w:t>
      </w:r>
      <w:r w:rsidR="000C73F3">
        <w:rPr>
          <w:rFonts w:ascii="Times New Roman" w:hAnsi="Times New Roman"/>
          <w:szCs w:val="28"/>
        </w:rPr>
        <w:t xml:space="preserve"> введено в эксплуатацию 1 954,3 </w:t>
      </w:r>
      <w:proofErr w:type="spellStart"/>
      <w:r w:rsidR="000C73F3">
        <w:rPr>
          <w:rFonts w:ascii="Times New Roman" w:hAnsi="Times New Roman"/>
          <w:szCs w:val="28"/>
        </w:rPr>
        <w:t>тыс.кв</w:t>
      </w:r>
      <w:proofErr w:type="gramStart"/>
      <w:r w:rsidR="000C73F3">
        <w:rPr>
          <w:rFonts w:ascii="Times New Roman" w:hAnsi="Times New Roman"/>
          <w:szCs w:val="28"/>
        </w:rPr>
        <w:t>.м</w:t>
      </w:r>
      <w:proofErr w:type="spellEnd"/>
      <w:proofErr w:type="gramEnd"/>
      <w:r w:rsidR="000C73F3">
        <w:rPr>
          <w:rFonts w:ascii="Times New Roman" w:hAnsi="Times New Roman"/>
          <w:szCs w:val="28"/>
        </w:rPr>
        <w:t xml:space="preserve"> жилья, в том числе в</w:t>
      </w:r>
      <w:r w:rsidR="008C5309">
        <w:rPr>
          <w:rFonts w:ascii="Times New Roman" w:hAnsi="Times New Roman"/>
          <w:szCs w:val="28"/>
        </w:rPr>
        <w:t xml:space="preserve"> </w:t>
      </w:r>
      <w:r w:rsidR="000C73F3">
        <w:rPr>
          <w:rFonts w:ascii="Times New Roman" w:hAnsi="Times New Roman"/>
          <w:szCs w:val="28"/>
        </w:rPr>
        <w:t>2012</w:t>
      </w:r>
      <w:r w:rsidR="00430C3A">
        <w:rPr>
          <w:rFonts w:ascii="Times New Roman" w:hAnsi="Times New Roman"/>
          <w:szCs w:val="28"/>
        </w:rPr>
        <w:t xml:space="preserve"> </w:t>
      </w:r>
      <w:r w:rsidR="000C73F3">
        <w:rPr>
          <w:rFonts w:ascii="Times New Roman" w:hAnsi="Times New Roman"/>
          <w:szCs w:val="28"/>
        </w:rPr>
        <w:t>г</w:t>
      </w:r>
      <w:r>
        <w:rPr>
          <w:rFonts w:ascii="Times New Roman" w:hAnsi="Times New Roman"/>
          <w:szCs w:val="28"/>
        </w:rPr>
        <w:t>оду</w:t>
      </w:r>
      <w:r w:rsidR="008C5309">
        <w:rPr>
          <w:rFonts w:ascii="Times New Roman" w:hAnsi="Times New Roman"/>
          <w:szCs w:val="28"/>
        </w:rPr>
        <w:t xml:space="preserve"> </w:t>
      </w:r>
      <w:r w:rsidR="000C73F3">
        <w:rPr>
          <w:rFonts w:ascii="Times New Roman" w:hAnsi="Times New Roman"/>
          <w:szCs w:val="28"/>
        </w:rPr>
        <w:t>–</w:t>
      </w:r>
      <w:r w:rsidR="00430C3A">
        <w:rPr>
          <w:rFonts w:ascii="Times New Roman" w:hAnsi="Times New Roman"/>
          <w:szCs w:val="28"/>
        </w:rPr>
        <w:t xml:space="preserve"> 462,4</w:t>
      </w:r>
      <w:r w:rsidR="008C5309">
        <w:rPr>
          <w:rFonts w:ascii="Times New Roman" w:hAnsi="Times New Roman"/>
          <w:szCs w:val="28"/>
        </w:rPr>
        <w:t xml:space="preserve"> </w:t>
      </w:r>
      <w:proofErr w:type="spellStart"/>
      <w:r w:rsidR="000C73F3">
        <w:rPr>
          <w:rFonts w:ascii="Times New Roman" w:hAnsi="Times New Roman"/>
          <w:szCs w:val="28"/>
        </w:rPr>
        <w:t>тыс.кв.м</w:t>
      </w:r>
      <w:proofErr w:type="spellEnd"/>
      <w:r w:rsidR="000C73F3">
        <w:rPr>
          <w:rFonts w:ascii="Times New Roman" w:hAnsi="Times New Roman"/>
          <w:szCs w:val="28"/>
        </w:rPr>
        <w:t xml:space="preserve"> жилья, что составило 60</w:t>
      </w:r>
      <w:r w:rsidR="008C5309">
        <w:rPr>
          <w:rFonts w:ascii="Times New Roman" w:hAnsi="Times New Roman"/>
          <w:szCs w:val="28"/>
        </w:rPr>
        <w:t>,0</w:t>
      </w:r>
      <w:r w:rsidR="000C73F3">
        <w:rPr>
          <w:rFonts w:ascii="Times New Roman" w:hAnsi="Times New Roman"/>
          <w:szCs w:val="28"/>
        </w:rPr>
        <w:t xml:space="preserve">% от </w:t>
      </w:r>
      <w:proofErr w:type="spellStart"/>
      <w:r w:rsidR="000C73F3">
        <w:rPr>
          <w:rFonts w:ascii="Times New Roman" w:hAnsi="Times New Roman"/>
          <w:szCs w:val="28"/>
        </w:rPr>
        <w:t>общекраевого</w:t>
      </w:r>
      <w:proofErr w:type="spellEnd"/>
      <w:r w:rsidR="000C73F3">
        <w:rPr>
          <w:rFonts w:ascii="Times New Roman" w:hAnsi="Times New Roman"/>
          <w:szCs w:val="28"/>
        </w:rPr>
        <w:t xml:space="preserve"> показателя. Ввод в действие</w:t>
      </w:r>
      <w:r w:rsidR="008C5309">
        <w:rPr>
          <w:rFonts w:ascii="Times New Roman" w:hAnsi="Times New Roman"/>
          <w:szCs w:val="28"/>
        </w:rPr>
        <w:t xml:space="preserve"> </w:t>
      </w:r>
      <w:r w:rsidR="00430C3A">
        <w:rPr>
          <w:rFonts w:ascii="Times New Roman" w:hAnsi="Times New Roman"/>
          <w:szCs w:val="28"/>
        </w:rPr>
        <w:t>жилых</w:t>
      </w:r>
      <w:r w:rsidR="008C5309">
        <w:rPr>
          <w:rFonts w:ascii="Times New Roman" w:hAnsi="Times New Roman"/>
          <w:szCs w:val="28"/>
        </w:rPr>
        <w:t xml:space="preserve"> </w:t>
      </w:r>
      <w:r w:rsidR="00430C3A">
        <w:rPr>
          <w:rFonts w:ascii="Times New Roman" w:hAnsi="Times New Roman"/>
          <w:szCs w:val="28"/>
        </w:rPr>
        <w:t>домов</w:t>
      </w:r>
      <w:r w:rsidR="008C5309">
        <w:rPr>
          <w:rFonts w:ascii="Times New Roman" w:hAnsi="Times New Roman"/>
          <w:szCs w:val="28"/>
        </w:rPr>
        <w:t xml:space="preserve"> </w:t>
      </w:r>
      <w:r w:rsidR="000C73F3">
        <w:rPr>
          <w:rFonts w:ascii="Times New Roman" w:hAnsi="Times New Roman"/>
          <w:szCs w:val="28"/>
        </w:rPr>
        <w:t>в 2012 г</w:t>
      </w:r>
      <w:r>
        <w:rPr>
          <w:rFonts w:ascii="Times New Roman" w:hAnsi="Times New Roman"/>
          <w:szCs w:val="28"/>
        </w:rPr>
        <w:t>оду</w:t>
      </w:r>
      <w:r w:rsidR="000C73F3">
        <w:rPr>
          <w:rFonts w:ascii="Times New Roman" w:hAnsi="Times New Roman"/>
          <w:szCs w:val="28"/>
        </w:rPr>
        <w:t xml:space="preserve"> по отноше</w:t>
      </w:r>
      <w:r w:rsidR="00430C3A">
        <w:rPr>
          <w:rFonts w:ascii="Times New Roman" w:hAnsi="Times New Roman"/>
          <w:szCs w:val="28"/>
        </w:rPr>
        <w:t>нию</w:t>
      </w:r>
      <w:r w:rsidR="008C5309">
        <w:rPr>
          <w:rFonts w:ascii="Times New Roman" w:hAnsi="Times New Roman"/>
          <w:szCs w:val="28"/>
        </w:rPr>
        <w:t xml:space="preserve"> </w:t>
      </w:r>
      <w:r w:rsidR="00430C3A">
        <w:rPr>
          <w:rFonts w:ascii="Times New Roman" w:hAnsi="Times New Roman"/>
          <w:szCs w:val="28"/>
        </w:rPr>
        <w:t>к</w:t>
      </w:r>
      <w:r w:rsidR="008C5309">
        <w:rPr>
          <w:rFonts w:ascii="Times New Roman" w:hAnsi="Times New Roman"/>
          <w:szCs w:val="28"/>
        </w:rPr>
        <w:t xml:space="preserve"> </w:t>
      </w:r>
      <w:r w:rsidR="00430C3A">
        <w:rPr>
          <w:rFonts w:ascii="Times New Roman" w:hAnsi="Times New Roman"/>
          <w:szCs w:val="28"/>
        </w:rPr>
        <w:t>2008</w:t>
      </w:r>
      <w:r w:rsidR="008C5309">
        <w:rPr>
          <w:rFonts w:ascii="Times New Roman" w:hAnsi="Times New Roman"/>
          <w:szCs w:val="28"/>
        </w:rPr>
        <w:t xml:space="preserve"> </w:t>
      </w:r>
      <w:r w:rsidR="000C73F3">
        <w:rPr>
          <w:rFonts w:ascii="Times New Roman" w:hAnsi="Times New Roman"/>
          <w:szCs w:val="28"/>
        </w:rPr>
        <w:t>г</w:t>
      </w:r>
      <w:r>
        <w:rPr>
          <w:rFonts w:ascii="Times New Roman" w:hAnsi="Times New Roman"/>
          <w:szCs w:val="28"/>
        </w:rPr>
        <w:t>оду</w:t>
      </w:r>
      <w:r w:rsidR="000C73F3">
        <w:rPr>
          <w:rFonts w:ascii="Times New Roman" w:hAnsi="Times New Roman"/>
          <w:szCs w:val="28"/>
        </w:rPr>
        <w:t xml:space="preserve"> вырос на 7,8% (по </w:t>
      </w:r>
      <w:r w:rsidR="001E3D89">
        <w:rPr>
          <w:rFonts w:ascii="Times New Roman" w:hAnsi="Times New Roman"/>
          <w:szCs w:val="28"/>
        </w:rPr>
        <w:t xml:space="preserve">Пермскому </w:t>
      </w:r>
      <w:r w:rsidR="000C73F3">
        <w:rPr>
          <w:rFonts w:ascii="Times New Roman" w:hAnsi="Times New Roman"/>
          <w:szCs w:val="28"/>
        </w:rPr>
        <w:t>краю – снизился на 0,8%).</w:t>
      </w:r>
    </w:p>
    <w:p w:rsidR="007C5048" w:rsidRDefault="007C5048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 </w:t>
      </w:r>
      <w:r w:rsidR="00430C3A">
        <w:rPr>
          <w:rFonts w:ascii="Times New Roman" w:hAnsi="Times New Roman"/>
          <w:szCs w:val="28"/>
        </w:rPr>
        <w:t>темпам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роста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ввода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жилья</w:t>
      </w:r>
      <w:r w:rsidR="008C5309">
        <w:rPr>
          <w:rFonts w:ascii="Times New Roman" w:hAnsi="Times New Roman"/>
          <w:szCs w:val="28"/>
        </w:rPr>
        <w:t xml:space="preserve"> </w:t>
      </w:r>
      <w:r w:rsidR="00430C3A">
        <w:rPr>
          <w:rFonts w:ascii="Times New Roman" w:hAnsi="Times New Roman"/>
          <w:szCs w:val="28"/>
        </w:rPr>
        <w:t>Пермь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находилась</w:t>
      </w:r>
      <w:r w:rsidR="00430C3A">
        <w:rPr>
          <w:rFonts w:ascii="Times New Roman" w:hAnsi="Times New Roman"/>
          <w:szCs w:val="28"/>
        </w:rPr>
        <w:t xml:space="preserve"> в</w:t>
      </w:r>
      <w:r w:rsidR="008C5309">
        <w:rPr>
          <w:rFonts w:ascii="Times New Roman" w:hAnsi="Times New Roman"/>
          <w:szCs w:val="28"/>
        </w:rPr>
        <w:t xml:space="preserve"> </w:t>
      </w:r>
      <w:r w:rsidR="00430C3A">
        <w:rPr>
          <w:rFonts w:ascii="Times New Roman" w:hAnsi="Times New Roman"/>
          <w:szCs w:val="28"/>
        </w:rPr>
        <w:t>2012</w:t>
      </w:r>
      <w:r w:rsidR="008C530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году на четвертой позиции среди </w:t>
      </w:r>
      <w:proofErr w:type="gramStart"/>
      <w:r>
        <w:rPr>
          <w:rFonts w:ascii="Times New Roman" w:hAnsi="Times New Roman"/>
          <w:szCs w:val="28"/>
        </w:rPr>
        <w:t>городов-аналогов</w:t>
      </w:r>
      <w:proofErr w:type="gramEnd"/>
      <w:r>
        <w:rPr>
          <w:rFonts w:ascii="Times New Roman" w:hAnsi="Times New Roman"/>
          <w:szCs w:val="28"/>
        </w:rPr>
        <w:t xml:space="preserve"> как и в 2011 году.</w:t>
      </w:r>
    </w:p>
    <w:p w:rsidR="000C73F3" w:rsidRDefault="000C73F3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Инвестиции в строительную деятельность по итогам 2012 года составили</w:t>
      </w:r>
      <w:r w:rsidR="00FC79B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1,3% от</w:t>
      </w:r>
      <w:r w:rsidR="00FC79B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общего</w:t>
      </w:r>
      <w:r w:rsidR="00FC79B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объема </w:t>
      </w:r>
      <w:r w:rsidR="00430C3A">
        <w:rPr>
          <w:rFonts w:ascii="Times New Roman" w:hAnsi="Times New Roman"/>
          <w:szCs w:val="28"/>
        </w:rPr>
        <w:t>инвестиций,</w:t>
      </w:r>
      <w:r w:rsidR="00FC79B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снизившись по сравнению с 2008 годом </w:t>
      </w:r>
      <w:r w:rsidR="00430C3A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на 4 </w:t>
      </w:r>
      <w:proofErr w:type="spellStart"/>
      <w:r>
        <w:rPr>
          <w:rFonts w:ascii="Times New Roman" w:hAnsi="Times New Roman"/>
          <w:szCs w:val="28"/>
        </w:rPr>
        <w:t>п.п</w:t>
      </w:r>
      <w:proofErr w:type="spellEnd"/>
      <w:r>
        <w:rPr>
          <w:rFonts w:ascii="Times New Roman" w:hAnsi="Times New Roman"/>
          <w:szCs w:val="28"/>
        </w:rPr>
        <w:t xml:space="preserve">. </w:t>
      </w:r>
    </w:p>
    <w:p w:rsidR="00B66AE0" w:rsidRDefault="00B66AE0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Среднесписочная численность работников в строительстве по итогам </w:t>
      </w:r>
      <w:r w:rsidR="00430C3A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2012 года снизилась на 0,6% по отношению к предыдущему году, составив </w:t>
      </w:r>
      <w:r w:rsidR="00430C3A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 xml:space="preserve">11,7 </w:t>
      </w:r>
      <w:proofErr w:type="spellStart"/>
      <w:r w:rsidR="00430C3A">
        <w:rPr>
          <w:rFonts w:ascii="Times New Roman" w:hAnsi="Times New Roman"/>
          <w:szCs w:val="28"/>
        </w:rPr>
        <w:t>тыс</w:t>
      </w:r>
      <w:proofErr w:type="gramStart"/>
      <w:r w:rsidR="00430C3A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>ч</w:t>
      </w:r>
      <w:proofErr w:type="gramEnd"/>
      <w:r>
        <w:rPr>
          <w:rFonts w:ascii="Times New Roman" w:hAnsi="Times New Roman"/>
          <w:szCs w:val="28"/>
        </w:rPr>
        <w:t>еловек</w:t>
      </w:r>
      <w:proofErr w:type="spellEnd"/>
      <w:r>
        <w:rPr>
          <w:rFonts w:ascii="Times New Roman" w:hAnsi="Times New Roman"/>
          <w:szCs w:val="28"/>
        </w:rPr>
        <w:t>. По</w:t>
      </w:r>
      <w:r w:rsidR="00FC79B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сравнению с </w:t>
      </w:r>
      <w:r w:rsidR="00430C3A">
        <w:rPr>
          <w:rFonts w:ascii="Times New Roman" w:hAnsi="Times New Roman"/>
          <w:szCs w:val="28"/>
        </w:rPr>
        <w:t>2008</w:t>
      </w:r>
      <w:r w:rsidR="00FC79B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годом</w:t>
      </w:r>
      <w:r w:rsidR="00FC79B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численность работающих </w:t>
      </w:r>
      <w:r w:rsidR="00430C3A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>в 2012 году снизилась на 4,3% (на 530 человек).</w:t>
      </w:r>
    </w:p>
    <w:p w:rsidR="00B66AE0" w:rsidRDefault="00B66AE0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 фоне снижения численности </w:t>
      </w:r>
      <w:proofErr w:type="gramStart"/>
      <w:r>
        <w:rPr>
          <w:rFonts w:ascii="Times New Roman" w:hAnsi="Times New Roman"/>
          <w:szCs w:val="28"/>
        </w:rPr>
        <w:t>занятых</w:t>
      </w:r>
      <w:proofErr w:type="gramEnd"/>
      <w:r>
        <w:rPr>
          <w:rFonts w:ascii="Times New Roman" w:hAnsi="Times New Roman"/>
          <w:szCs w:val="28"/>
        </w:rPr>
        <w:t xml:space="preserve"> в строительстве наблюдался рост фонда оплаты труда и среднемесячной заработной платы.</w:t>
      </w:r>
    </w:p>
    <w:p w:rsidR="00B66AE0" w:rsidRDefault="00B66AE0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 </w:t>
      </w:r>
      <w:r w:rsidR="00430C3A">
        <w:rPr>
          <w:rFonts w:ascii="Times New Roman" w:hAnsi="Times New Roman"/>
          <w:szCs w:val="28"/>
        </w:rPr>
        <w:t>2008-2012</w:t>
      </w:r>
      <w:r w:rsidR="00FC79B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</w:t>
      </w:r>
      <w:r w:rsidR="00294967">
        <w:rPr>
          <w:rFonts w:ascii="Times New Roman" w:hAnsi="Times New Roman"/>
          <w:szCs w:val="28"/>
        </w:rPr>
        <w:t>оды</w:t>
      </w:r>
      <w:r>
        <w:rPr>
          <w:rFonts w:ascii="Times New Roman" w:hAnsi="Times New Roman"/>
          <w:szCs w:val="28"/>
        </w:rPr>
        <w:t xml:space="preserve"> фонд </w:t>
      </w:r>
      <w:r w:rsidR="00430C3A">
        <w:rPr>
          <w:rFonts w:ascii="Times New Roman" w:hAnsi="Times New Roman"/>
          <w:szCs w:val="28"/>
        </w:rPr>
        <w:t>заработной</w:t>
      </w:r>
      <w:r w:rsidR="00FC79B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платы в строительстве увеличился </w:t>
      </w:r>
      <w:r w:rsidR="00430C3A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>на 12,7%.</w:t>
      </w:r>
    </w:p>
    <w:p w:rsidR="00B66AE0" w:rsidRDefault="00B66AE0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Среднемесячная заработная плата в строительной отрасли по итогам </w:t>
      </w:r>
      <w:r w:rsidR="00430C3A">
        <w:rPr>
          <w:rFonts w:ascii="Times New Roman" w:hAnsi="Times New Roman"/>
          <w:szCs w:val="28"/>
        </w:rPr>
        <w:br/>
      </w:r>
      <w:r>
        <w:rPr>
          <w:rFonts w:ascii="Times New Roman" w:hAnsi="Times New Roman"/>
          <w:szCs w:val="28"/>
        </w:rPr>
        <w:t>2012 года составила 27 873,1 руб., что ниже средней заработной платы в целом по городу (29 476,9 руб.). За 2008-2012 г</w:t>
      </w:r>
      <w:r w:rsidR="00294967">
        <w:rPr>
          <w:rFonts w:ascii="Times New Roman" w:hAnsi="Times New Roman"/>
          <w:szCs w:val="28"/>
        </w:rPr>
        <w:t>оды</w:t>
      </w:r>
      <w:r>
        <w:rPr>
          <w:rFonts w:ascii="Times New Roman" w:hAnsi="Times New Roman"/>
          <w:szCs w:val="28"/>
        </w:rPr>
        <w:t xml:space="preserve"> заработная плата в данном виде д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ятельности выросла на 30,8%.</w:t>
      </w:r>
    </w:p>
    <w:p w:rsidR="00294967" w:rsidRDefault="00294967" w:rsidP="00AC3827">
      <w:pPr>
        <w:pStyle w:val="11"/>
        <w:rPr>
          <w:rStyle w:val="ae"/>
          <w:color w:val="auto"/>
          <w:u w:val="none"/>
        </w:rPr>
      </w:pPr>
    </w:p>
    <w:p w:rsidR="008B3325" w:rsidRPr="008B3325" w:rsidRDefault="008B3325" w:rsidP="008B3325">
      <w:pPr>
        <w:jc w:val="center"/>
        <w:rPr>
          <w:b/>
        </w:rPr>
      </w:pPr>
      <w:r w:rsidRPr="008B3325">
        <w:rPr>
          <w:b/>
        </w:rPr>
        <w:t>5. Общественная безопасность</w:t>
      </w:r>
    </w:p>
    <w:p w:rsidR="008B3325" w:rsidRPr="008B3325" w:rsidRDefault="008B3325" w:rsidP="008B3325"/>
    <w:p w:rsidR="0025307A" w:rsidRPr="001A0731" w:rsidRDefault="0025307A" w:rsidP="00AC3827">
      <w:pPr>
        <w:pStyle w:val="11"/>
        <w:rPr>
          <w:rStyle w:val="ae"/>
          <w:b w:val="0"/>
          <w:color w:val="auto"/>
          <w:u w:val="none"/>
        </w:rPr>
      </w:pPr>
      <w:r w:rsidRPr="001A0731">
        <w:rPr>
          <w:rStyle w:val="ae"/>
          <w:b w:val="0"/>
          <w:color w:val="auto"/>
          <w:u w:val="none"/>
        </w:rPr>
        <w:t>Город Пермь относится к числу городов с повышенным уровнем преступности</w:t>
      </w:r>
      <w:r w:rsidR="001A0731">
        <w:rPr>
          <w:rStyle w:val="ae"/>
          <w:b w:val="0"/>
          <w:color w:val="auto"/>
          <w:u w:val="none"/>
        </w:rPr>
        <w:t>.</w:t>
      </w:r>
      <w:r w:rsidR="00AC3827">
        <w:rPr>
          <w:rStyle w:val="ae"/>
          <w:b w:val="0"/>
          <w:color w:val="auto"/>
          <w:u w:val="none"/>
        </w:rPr>
        <w:t xml:space="preserve"> </w:t>
      </w:r>
    </w:p>
    <w:p w:rsidR="0025307A" w:rsidRPr="00564692" w:rsidRDefault="0025307A" w:rsidP="00717BA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A0731">
        <w:rPr>
          <w:sz w:val="28"/>
          <w:szCs w:val="28"/>
        </w:rPr>
        <w:t>Из общего</w:t>
      </w:r>
      <w:r w:rsidRPr="00C34A06">
        <w:rPr>
          <w:sz w:val="28"/>
          <w:szCs w:val="28"/>
        </w:rPr>
        <w:t xml:space="preserve"> числа преступлений, совершенных в Пермском крае, 38,7% б</w:t>
      </w:r>
      <w:r w:rsidRPr="00C34A06">
        <w:rPr>
          <w:sz w:val="28"/>
          <w:szCs w:val="28"/>
        </w:rPr>
        <w:t>ы</w:t>
      </w:r>
      <w:r w:rsidRPr="00C34A06">
        <w:rPr>
          <w:sz w:val="28"/>
          <w:szCs w:val="28"/>
        </w:rPr>
        <w:t xml:space="preserve">ло зарегистрировано в краевом центре. Уровень преступности за </w:t>
      </w:r>
      <w:r>
        <w:rPr>
          <w:sz w:val="28"/>
          <w:szCs w:val="28"/>
        </w:rPr>
        <w:t>2012</w:t>
      </w:r>
      <w:r w:rsidRPr="00C34A06">
        <w:rPr>
          <w:sz w:val="28"/>
          <w:szCs w:val="28"/>
        </w:rPr>
        <w:t xml:space="preserve"> год вырос с 211</w:t>
      </w:r>
      <w:r w:rsidRPr="00564692">
        <w:rPr>
          <w:sz w:val="28"/>
          <w:szCs w:val="28"/>
        </w:rPr>
        <w:t>,8 до 248,3 зарегистрир</w:t>
      </w:r>
      <w:r w:rsidR="00294967">
        <w:rPr>
          <w:sz w:val="28"/>
          <w:szCs w:val="28"/>
        </w:rPr>
        <w:t xml:space="preserve">ованных преступлений на 10 тысяч </w:t>
      </w:r>
      <w:r w:rsidRPr="00564692">
        <w:rPr>
          <w:sz w:val="28"/>
          <w:szCs w:val="28"/>
        </w:rPr>
        <w:t xml:space="preserve">населения </w:t>
      </w:r>
      <w:r w:rsidR="00294967">
        <w:rPr>
          <w:sz w:val="28"/>
          <w:szCs w:val="28"/>
        </w:rPr>
        <w:br/>
      </w:r>
      <w:r w:rsidRPr="00564692">
        <w:rPr>
          <w:sz w:val="28"/>
          <w:szCs w:val="28"/>
        </w:rPr>
        <w:t>(по Пермскому краю – 244</w:t>
      </w:r>
      <w:r w:rsidR="001E3D89">
        <w:rPr>
          <w:sz w:val="28"/>
          <w:szCs w:val="28"/>
        </w:rPr>
        <w:t xml:space="preserve"> случаев</w:t>
      </w:r>
      <w:r w:rsidRPr="00564692">
        <w:rPr>
          <w:sz w:val="28"/>
          <w:szCs w:val="28"/>
        </w:rPr>
        <w:t xml:space="preserve">). </w:t>
      </w:r>
    </w:p>
    <w:p w:rsidR="0025307A" w:rsidRPr="00C34A06" w:rsidRDefault="0025307A" w:rsidP="00717BA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4A06">
        <w:rPr>
          <w:sz w:val="28"/>
          <w:szCs w:val="28"/>
        </w:rPr>
        <w:t xml:space="preserve">За </w:t>
      </w:r>
      <w:r w:rsidRPr="009A5B3B">
        <w:rPr>
          <w:sz w:val="28"/>
          <w:szCs w:val="28"/>
        </w:rPr>
        <w:t xml:space="preserve">2012 год в городе Перми </w:t>
      </w:r>
      <w:r w:rsidRPr="00C34A06">
        <w:rPr>
          <w:sz w:val="28"/>
          <w:szCs w:val="28"/>
        </w:rPr>
        <w:t xml:space="preserve">зарегистрировано 24 849 преступлений, </w:t>
      </w:r>
      <w:r w:rsidR="00430C3A">
        <w:rPr>
          <w:sz w:val="28"/>
          <w:szCs w:val="28"/>
        </w:rPr>
        <w:br/>
      </w:r>
      <w:r w:rsidRPr="00C34A06">
        <w:rPr>
          <w:sz w:val="28"/>
          <w:szCs w:val="28"/>
        </w:rPr>
        <w:t xml:space="preserve">по сравнению с 2011 годом </w:t>
      </w:r>
      <w:r>
        <w:rPr>
          <w:sz w:val="28"/>
          <w:szCs w:val="28"/>
        </w:rPr>
        <w:t>рост числа преступлений составил</w:t>
      </w:r>
      <w:r w:rsidRPr="00C34A06">
        <w:rPr>
          <w:sz w:val="28"/>
          <w:szCs w:val="28"/>
        </w:rPr>
        <w:t xml:space="preserve"> 17,8%. </w:t>
      </w:r>
    </w:p>
    <w:p w:rsidR="0025307A" w:rsidRDefault="0025307A" w:rsidP="00717BAC">
      <w:pPr>
        <w:spacing w:line="240" w:lineRule="auto"/>
        <w:ind w:firstLine="709"/>
      </w:pPr>
      <w:r>
        <w:t>Тем не менее</w:t>
      </w:r>
      <w:r w:rsidR="001E3D89">
        <w:t>,</w:t>
      </w:r>
      <w:r>
        <w:t xml:space="preserve"> за период с 2008 по 2012 годы уровень преступности сокр</w:t>
      </w:r>
      <w:r>
        <w:t>а</w:t>
      </w:r>
      <w:r>
        <w:t>тился на 42,6%.</w:t>
      </w:r>
    </w:p>
    <w:p w:rsidR="00E36846" w:rsidRDefault="00E36846" w:rsidP="00717BAC">
      <w:pPr>
        <w:spacing w:line="240" w:lineRule="auto"/>
        <w:ind w:firstLine="709"/>
      </w:pPr>
    </w:p>
    <w:p w:rsidR="0025307A" w:rsidRPr="0025307A" w:rsidRDefault="0025307A" w:rsidP="00717BAC">
      <w:pPr>
        <w:keepNext/>
        <w:spacing w:line="240" w:lineRule="auto"/>
        <w:ind w:firstLine="425"/>
        <w:rPr>
          <w:rFonts w:ascii="Times New Roman" w:hAnsi="Times New Roman"/>
          <w:b/>
          <w:i/>
          <w:sz w:val="24"/>
          <w:szCs w:val="24"/>
        </w:rPr>
      </w:pPr>
      <w:r w:rsidRPr="00A03CEF">
        <w:rPr>
          <w:rFonts w:ascii="Times New Roman" w:hAnsi="Times New Roman"/>
          <w:b/>
          <w:i/>
          <w:sz w:val="24"/>
          <w:szCs w:val="24"/>
        </w:rPr>
        <w:t xml:space="preserve">Таблица </w:t>
      </w:r>
      <w:r w:rsidR="008D0A2C">
        <w:rPr>
          <w:rFonts w:ascii="Times New Roman" w:hAnsi="Times New Roman"/>
          <w:b/>
          <w:i/>
          <w:sz w:val="24"/>
          <w:szCs w:val="24"/>
        </w:rPr>
        <w:t>5</w:t>
      </w:r>
      <w:r w:rsidRPr="00A03CEF">
        <w:rPr>
          <w:rFonts w:ascii="Times New Roman" w:hAnsi="Times New Roman"/>
          <w:b/>
          <w:i/>
          <w:sz w:val="24"/>
          <w:szCs w:val="24"/>
        </w:rPr>
        <w:t xml:space="preserve">.1. </w:t>
      </w:r>
      <w:r w:rsidR="00E36846">
        <w:rPr>
          <w:rFonts w:ascii="Times New Roman" w:hAnsi="Times New Roman"/>
          <w:b/>
          <w:i/>
          <w:sz w:val="24"/>
          <w:szCs w:val="24"/>
        </w:rPr>
        <w:t>Динамика правонарушений</w:t>
      </w:r>
    </w:p>
    <w:tbl>
      <w:tblPr>
        <w:tblW w:w="9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039"/>
        <w:gridCol w:w="992"/>
        <w:gridCol w:w="992"/>
        <w:gridCol w:w="992"/>
        <w:gridCol w:w="993"/>
      </w:tblGrid>
      <w:tr w:rsidR="00430C3A" w:rsidRPr="00E36846" w:rsidTr="008D0A2C">
        <w:trPr>
          <w:trHeight w:val="481"/>
        </w:trPr>
        <w:tc>
          <w:tcPr>
            <w:tcW w:w="4928" w:type="dxa"/>
            <w:vAlign w:val="center"/>
          </w:tcPr>
          <w:p w:rsidR="00430C3A" w:rsidRPr="00E36846" w:rsidRDefault="00430C3A" w:rsidP="00E3684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36846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39" w:type="dxa"/>
            <w:vAlign w:val="center"/>
          </w:tcPr>
          <w:p w:rsidR="00430C3A" w:rsidRPr="00965D73" w:rsidRDefault="00430C3A" w:rsidP="006776F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430C3A" w:rsidRPr="00965D73" w:rsidRDefault="00430C3A" w:rsidP="006776F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430C3A" w:rsidRPr="00965D73" w:rsidRDefault="00430C3A" w:rsidP="006776F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430C3A" w:rsidRPr="00965D73" w:rsidRDefault="00430C3A" w:rsidP="006776F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430C3A" w:rsidRPr="00965D73" w:rsidRDefault="00430C3A" w:rsidP="006776F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5307A" w:rsidTr="00294967">
        <w:tc>
          <w:tcPr>
            <w:tcW w:w="4928" w:type="dxa"/>
          </w:tcPr>
          <w:p w:rsidR="0025307A" w:rsidRPr="00DB15F7" w:rsidRDefault="0025307A" w:rsidP="00717BAC">
            <w:pPr>
              <w:spacing w:line="240" w:lineRule="auto"/>
              <w:rPr>
                <w:sz w:val="24"/>
                <w:szCs w:val="24"/>
              </w:rPr>
            </w:pPr>
            <w:r w:rsidRPr="00DB15F7">
              <w:rPr>
                <w:sz w:val="24"/>
                <w:szCs w:val="24"/>
              </w:rPr>
              <w:t>Число зарегистрированных преступлений</w:t>
            </w:r>
          </w:p>
        </w:tc>
        <w:tc>
          <w:tcPr>
            <w:tcW w:w="1039" w:type="dxa"/>
            <w:vAlign w:val="bottom"/>
          </w:tcPr>
          <w:p w:rsidR="0025307A" w:rsidRPr="00DB15F7" w:rsidRDefault="0025307A" w:rsidP="00294967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B15F7">
              <w:rPr>
                <w:sz w:val="24"/>
                <w:szCs w:val="24"/>
              </w:rPr>
              <w:t>43 263</w:t>
            </w:r>
          </w:p>
        </w:tc>
        <w:tc>
          <w:tcPr>
            <w:tcW w:w="992" w:type="dxa"/>
            <w:vAlign w:val="bottom"/>
          </w:tcPr>
          <w:p w:rsidR="0025307A" w:rsidRPr="00DB15F7" w:rsidRDefault="0025307A" w:rsidP="00294967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B15F7">
              <w:rPr>
                <w:sz w:val="24"/>
                <w:szCs w:val="24"/>
              </w:rPr>
              <w:t>39 512</w:t>
            </w:r>
          </w:p>
        </w:tc>
        <w:tc>
          <w:tcPr>
            <w:tcW w:w="992" w:type="dxa"/>
            <w:vAlign w:val="bottom"/>
          </w:tcPr>
          <w:p w:rsidR="0025307A" w:rsidRPr="00DB15F7" w:rsidRDefault="0025307A" w:rsidP="00294967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B15F7">
              <w:rPr>
                <w:sz w:val="24"/>
                <w:szCs w:val="24"/>
              </w:rPr>
              <w:t>29 083</w:t>
            </w:r>
          </w:p>
        </w:tc>
        <w:tc>
          <w:tcPr>
            <w:tcW w:w="992" w:type="dxa"/>
            <w:vAlign w:val="bottom"/>
          </w:tcPr>
          <w:p w:rsidR="0025307A" w:rsidRPr="00DB15F7" w:rsidRDefault="0025307A" w:rsidP="00294967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B15F7">
              <w:rPr>
                <w:sz w:val="24"/>
                <w:szCs w:val="24"/>
              </w:rPr>
              <w:t>21 096</w:t>
            </w:r>
          </w:p>
        </w:tc>
        <w:tc>
          <w:tcPr>
            <w:tcW w:w="993" w:type="dxa"/>
            <w:vAlign w:val="bottom"/>
          </w:tcPr>
          <w:p w:rsidR="0025307A" w:rsidRPr="00DB15F7" w:rsidRDefault="0025307A" w:rsidP="00294967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B15F7">
              <w:rPr>
                <w:sz w:val="24"/>
                <w:szCs w:val="24"/>
              </w:rPr>
              <w:t>24 849</w:t>
            </w:r>
          </w:p>
        </w:tc>
      </w:tr>
      <w:tr w:rsidR="0025307A" w:rsidTr="00294967">
        <w:tc>
          <w:tcPr>
            <w:tcW w:w="4928" w:type="dxa"/>
          </w:tcPr>
          <w:p w:rsidR="0025307A" w:rsidRPr="00DB15F7" w:rsidRDefault="001A0731" w:rsidP="00717BAC">
            <w:pPr>
              <w:spacing w:line="240" w:lineRule="auto"/>
              <w:rPr>
                <w:sz w:val="24"/>
                <w:szCs w:val="24"/>
              </w:rPr>
            </w:pPr>
            <w:r w:rsidRPr="00DB15F7">
              <w:rPr>
                <w:sz w:val="24"/>
                <w:szCs w:val="24"/>
              </w:rPr>
              <w:t>Число лиц, совершивших преступления, ч</w:t>
            </w:r>
            <w:r w:rsidRPr="00DB15F7">
              <w:rPr>
                <w:sz w:val="24"/>
                <w:szCs w:val="24"/>
              </w:rPr>
              <w:t>е</w:t>
            </w:r>
            <w:r w:rsidRPr="00DB15F7">
              <w:rPr>
                <w:sz w:val="24"/>
                <w:szCs w:val="24"/>
              </w:rPr>
              <w:t>ловек</w:t>
            </w:r>
          </w:p>
        </w:tc>
        <w:tc>
          <w:tcPr>
            <w:tcW w:w="1039" w:type="dxa"/>
            <w:vAlign w:val="bottom"/>
          </w:tcPr>
          <w:p w:rsidR="0025307A" w:rsidRPr="00DB15F7" w:rsidRDefault="001A0731" w:rsidP="00294967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B15F7">
              <w:rPr>
                <w:sz w:val="24"/>
                <w:szCs w:val="24"/>
              </w:rPr>
              <w:t>9 624</w:t>
            </w:r>
          </w:p>
        </w:tc>
        <w:tc>
          <w:tcPr>
            <w:tcW w:w="992" w:type="dxa"/>
            <w:vAlign w:val="bottom"/>
          </w:tcPr>
          <w:p w:rsidR="0025307A" w:rsidRPr="00DB15F7" w:rsidRDefault="001A0731" w:rsidP="00294967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B15F7">
              <w:rPr>
                <w:sz w:val="24"/>
                <w:szCs w:val="24"/>
              </w:rPr>
              <w:t>9 854</w:t>
            </w:r>
          </w:p>
        </w:tc>
        <w:tc>
          <w:tcPr>
            <w:tcW w:w="992" w:type="dxa"/>
            <w:vAlign w:val="bottom"/>
          </w:tcPr>
          <w:p w:rsidR="0025307A" w:rsidRPr="00DB15F7" w:rsidRDefault="001A0731" w:rsidP="00294967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B15F7">
              <w:rPr>
                <w:sz w:val="24"/>
                <w:szCs w:val="24"/>
              </w:rPr>
              <w:t>8 351</w:t>
            </w:r>
          </w:p>
        </w:tc>
        <w:tc>
          <w:tcPr>
            <w:tcW w:w="992" w:type="dxa"/>
            <w:vAlign w:val="bottom"/>
          </w:tcPr>
          <w:p w:rsidR="0025307A" w:rsidRPr="00DB15F7" w:rsidRDefault="001A0731" w:rsidP="00294967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B15F7">
              <w:rPr>
                <w:sz w:val="24"/>
                <w:szCs w:val="24"/>
              </w:rPr>
              <w:t>7 633</w:t>
            </w:r>
          </w:p>
        </w:tc>
        <w:tc>
          <w:tcPr>
            <w:tcW w:w="993" w:type="dxa"/>
            <w:vAlign w:val="bottom"/>
          </w:tcPr>
          <w:p w:rsidR="0025307A" w:rsidRPr="00DB15F7" w:rsidRDefault="001A0731" w:rsidP="00294967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DB15F7">
              <w:rPr>
                <w:sz w:val="24"/>
                <w:szCs w:val="24"/>
              </w:rPr>
              <w:t>7 396</w:t>
            </w:r>
          </w:p>
        </w:tc>
      </w:tr>
    </w:tbl>
    <w:p w:rsidR="00E36846" w:rsidRPr="008B3325" w:rsidRDefault="00E36846" w:rsidP="00717BAC">
      <w:pPr>
        <w:spacing w:line="240" w:lineRule="auto"/>
        <w:ind w:firstLine="709"/>
      </w:pPr>
    </w:p>
    <w:p w:rsidR="0025307A" w:rsidRPr="008B3325" w:rsidRDefault="001A0731" w:rsidP="00717BAC">
      <w:pPr>
        <w:spacing w:line="240" w:lineRule="auto"/>
        <w:ind w:firstLine="709"/>
        <w:rPr>
          <w:szCs w:val="28"/>
        </w:rPr>
      </w:pPr>
      <w:r w:rsidRPr="008B3325">
        <w:rPr>
          <w:szCs w:val="28"/>
        </w:rPr>
        <w:t>В структуре преступлений почти половину (48,3%) составляют кражи – з</w:t>
      </w:r>
      <w:r w:rsidRPr="008B3325">
        <w:rPr>
          <w:szCs w:val="28"/>
        </w:rPr>
        <w:t>а</w:t>
      </w:r>
      <w:r w:rsidRPr="008B3325">
        <w:rPr>
          <w:szCs w:val="28"/>
        </w:rPr>
        <w:t>регистрировано 12 002</w:t>
      </w:r>
      <w:r w:rsidR="00E36846" w:rsidRPr="008B3325">
        <w:rPr>
          <w:szCs w:val="28"/>
        </w:rPr>
        <w:t xml:space="preserve"> </w:t>
      </w:r>
      <w:r w:rsidRPr="008B3325">
        <w:rPr>
          <w:szCs w:val="28"/>
        </w:rPr>
        <w:t>случая, на втором месте – мошенничество (10,2% от о</w:t>
      </w:r>
      <w:r w:rsidRPr="008B3325">
        <w:rPr>
          <w:szCs w:val="28"/>
        </w:rPr>
        <w:t>б</w:t>
      </w:r>
      <w:r w:rsidRPr="008B3325">
        <w:rPr>
          <w:szCs w:val="28"/>
        </w:rPr>
        <w:t xml:space="preserve">щего числа преступлений или 2 542 случая), на третьем – грабежи (7,0%, </w:t>
      </w:r>
      <w:r w:rsidR="000A3420" w:rsidRPr="008B3325">
        <w:rPr>
          <w:szCs w:val="28"/>
        </w:rPr>
        <w:t>–</w:t>
      </w:r>
      <w:r w:rsidR="008D0A2C" w:rsidRPr="008B3325">
        <w:rPr>
          <w:szCs w:val="28"/>
        </w:rPr>
        <w:br/>
      </w:r>
      <w:r w:rsidRPr="008B3325">
        <w:rPr>
          <w:szCs w:val="28"/>
        </w:rPr>
        <w:t>1 740 преступлений).</w:t>
      </w:r>
    </w:p>
    <w:p w:rsidR="001A0731" w:rsidRPr="008B3325" w:rsidRDefault="001A0731" w:rsidP="00717BA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B3325">
        <w:rPr>
          <w:sz w:val="28"/>
          <w:szCs w:val="28"/>
        </w:rPr>
        <w:t>Раскрываемость преступлений понизилась: за январь-декабрь 2012 года органами внутренних дел раскрыто 46,4% преступлений против 50,5% за тот же период 2011 года.</w:t>
      </w:r>
    </w:p>
    <w:p w:rsidR="001A0731" w:rsidRDefault="001A0731" w:rsidP="00717BAC">
      <w:pPr>
        <w:spacing w:line="240" w:lineRule="auto"/>
        <w:ind w:firstLine="709"/>
        <w:rPr>
          <w:szCs w:val="28"/>
        </w:rPr>
      </w:pPr>
      <w:r w:rsidRPr="008B3325">
        <w:rPr>
          <w:szCs w:val="28"/>
        </w:rPr>
        <w:t>За год правоохранительными органами выявлено 7,4</w:t>
      </w:r>
      <w:r w:rsidRPr="0078521A">
        <w:rPr>
          <w:szCs w:val="28"/>
        </w:rPr>
        <w:t xml:space="preserve"> </w:t>
      </w:r>
      <w:proofErr w:type="spellStart"/>
      <w:r w:rsidRPr="0078521A">
        <w:rPr>
          <w:szCs w:val="28"/>
        </w:rPr>
        <w:t>тыс</w:t>
      </w:r>
      <w:proofErr w:type="gramStart"/>
      <w:r>
        <w:rPr>
          <w:szCs w:val="28"/>
        </w:rPr>
        <w:t>.</w:t>
      </w:r>
      <w:r w:rsidRPr="0078521A">
        <w:rPr>
          <w:szCs w:val="28"/>
        </w:rPr>
        <w:t>л</w:t>
      </w:r>
      <w:proofErr w:type="gramEnd"/>
      <w:r w:rsidRPr="0078521A">
        <w:rPr>
          <w:szCs w:val="28"/>
        </w:rPr>
        <w:t>иц</w:t>
      </w:r>
      <w:proofErr w:type="spellEnd"/>
      <w:r w:rsidRPr="0078521A">
        <w:rPr>
          <w:szCs w:val="28"/>
        </w:rPr>
        <w:t>, соверши</w:t>
      </w:r>
      <w:r w:rsidRPr="0078521A">
        <w:rPr>
          <w:szCs w:val="28"/>
        </w:rPr>
        <w:t>в</w:t>
      </w:r>
      <w:r w:rsidRPr="0078521A">
        <w:rPr>
          <w:szCs w:val="28"/>
        </w:rPr>
        <w:t>ших преступления, что на 3,1% меньше, чем за предыдущий год.</w:t>
      </w:r>
    </w:p>
    <w:p w:rsidR="001A0731" w:rsidRDefault="001A0731" w:rsidP="00717BAC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Более половины лиц, совершивших преступления, не имели постоянного источника дохода (63,2% или 4 675 человек).</w:t>
      </w:r>
    </w:p>
    <w:p w:rsidR="0025307A" w:rsidRPr="0025307A" w:rsidRDefault="0025307A" w:rsidP="00717BAC">
      <w:pPr>
        <w:spacing w:line="240" w:lineRule="auto"/>
        <w:rPr>
          <w:b/>
        </w:rPr>
      </w:pPr>
    </w:p>
    <w:p w:rsidR="00A03CEF" w:rsidRDefault="008D0A2C" w:rsidP="00766CD9">
      <w:pPr>
        <w:pStyle w:val="11"/>
        <w:jc w:val="center"/>
        <w:rPr>
          <w:rStyle w:val="ae"/>
          <w:color w:val="auto"/>
          <w:u w:val="none"/>
        </w:rPr>
      </w:pPr>
      <w:r>
        <w:rPr>
          <w:rStyle w:val="ae"/>
          <w:color w:val="auto"/>
          <w:u w:val="none"/>
        </w:rPr>
        <w:t>6</w:t>
      </w:r>
      <w:r w:rsidR="00A03CEF" w:rsidRPr="0025307A">
        <w:rPr>
          <w:rStyle w:val="ae"/>
          <w:color w:val="auto"/>
          <w:u w:val="none"/>
        </w:rPr>
        <w:t>. Бюджетная сфера</w:t>
      </w:r>
      <w:r w:rsidR="00712C99">
        <w:rPr>
          <w:rStyle w:val="ae"/>
          <w:color w:val="auto"/>
          <w:u w:val="none"/>
        </w:rPr>
        <w:t xml:space="preserve"> </w:t>
      </w:r>
    </w:p>
    <w:p w:rsidR="009A18A9" w:rsidRPr="009A18A9" w:rsidRDefault="009A18A9" w:rsidP="009A18A9"/>
    <w:p w:rsidR="00A03CEF" w:rsidRPr="00FB7BB7" w:rsidRDefault="00A03CEF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F60226">
        <w:rPr>
          <w:rFonts w:ascii="Times New Roman" w:hAnsi="Times New Roman"/>
          <w:szCs w:val="28"/>
        </w:rPr>
        <w:t>В 2012 году в бюджет го</w:t>
      </w:r>
      <w:r w:rsidR="008D0A2C">
        <w:rPr>
          <w:rFonts w:ascii="Times New Roman" w:hAnsi="Times New Roman"/>
          <w:szCs w:val="28"/>
        </w:rPr>
        <w:t xml:space="preserve">рода Перми поступило 22,3 </w:t>
      </w:r>
      <w:proofErr w:type="spellStart"/>
      <w:r w:rsidR="008D0A2C">
        <w:rPr>
          <w:rFonts w:ascii="Times New Roman" w:hAnsi="Times New Roman"/>
          <w:szCs w:val="28"/>
        </w:rPr>
        <w:t>млрд</w:t>
      </w:r>
      <w:proofErr w:type="gramStart"/>
      <w:r w:rsidR="008D0A2C">
        <w:rPr>
          <w:rFonts w:ascii="Times New Roman" w:hAnsi="Times New Roman"/>
          <w:szCs w:val="28"/>
        </w:rPr>
        <w:t>.</w:t>
      </w:r>
      <w:r w:rsidRPr="00F60226">
        <w:rPr>
          <w:rFonts w:ascii="Times New Roman" w:hAnsi="Times New Roman"/>
          <w:szCs w:val="28"/>
        </w:rPr>
        <w:t>р</w:t>
      </w:r>
      <w:proofErr w:type="gramEnd"/>
      <w:r w:rsidRPr="00F60226">
        <w:rPr>
          <w:rFonts w:ascii="Times New Roman" w:hAnsi="Times New Roman"/>
          <w:szCs w:val="28"/>
        </w:rPr>
        <w:t>ублей</w:t>
      </w:r>
      <w:proofErr w:type="spellEnd"/>
      <w:r w:rsidRPr="00F60226">
        <w:rPr>
          <w:rFonts w:ascii="Times New Roman" w:hAnsi="Times New Roman"/>
          <w:szCs w:val="28"/>
        </w:rPr>
        <w:t xml:space="preserve"> налогов </w:t>
      </w:r>
      <w:r w:rsidR="008D0A2C">
        <w:rPr>
          <w:rFonts w:ascii="Times New Roman" w:hAnsi="Times New Roman"/>
          <w:szCs w:val="28"/>
        </w:rPr>
        <w:br/>
      </w:r>
      <w:r w:rsidRPr="00F60226">
        <w:rPr>
          <w:rFonts w:ascii="Times New Roman" w:hAnsi="Times New Roman"/>
          <w:szCs w:val="28"/>
        </w:rPr>
        <w:t xml:space="preserve">и </w:t>
      </w:r>
      <w:r w:rsidRPr="0022576D">
        <w:rPr>
          <w:rFonts w:ascii="Times New Roman" w:hAnsi="Times New Roman"/>
          <w:szCs w:val="28"/>
        </w:rPr>
        <w:t xml:space="preserve">сборов (без учета возврата межбюджетных </w:t>
      </w:r>
      <w:r w:rsidRPr="00FB7BB7">
        <w:rPr>
          <w:rFonts w:ascii="Times New Roman" w:hAnsi="Times New Roman"/>
          <w:szCs w:val="28"/>
        </w:rPr>
        <w:t>трансфертов), что на 19,7% выше поступлений 2011 года.</w:t>
      </w:r>
      <w:r w:rsidRPr="005B6765">
        <w:rPr>
          <w:rStyle w:val="a9"/>
        </w:rPr>
        <w:footnoteReference w:id="2"/>
      </w:r>
      <w:r w:rsidRPr="00FB7BB7">
        <w:rPr>
          <w:rFonts w:ascii="Times New Roman" w:hAnsi="Times New Roman"/>
          <w:szCs w:val="28"/>
        </w:rPr>
        <w:t xml:space="preserve"> </w:t>
      </w:r>
    </w:p>
    <w:p w:rsidR="00A03CEF" w:rsidRPr="00FB7BB7" w:rsidRDefault="00A03CEF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FB7BB7">
        <w:rPr>
          <w:rFonts w:ascii="Times New Roman" w:hAnsi="Times New Roman"/>
          <w:szCs w:val="28"/>
        </w:rPr>
        <w:t>Основная часть</w:t>
      </w:r>
      <w:r w:rsidR="005A068D">
        <w:rPr>
          <w:rFonts w:ascii="Times New Roman" w:hAnsi="Times New Roman"/>
          <w:szCs w:val="28"/>
        </w:rPr>
        <w:t xml:space="preserve"> </w:t>
      </w:r>
      <w:r w:rsidRPr="00FB7BB7">
        <w:rPr>
          <w:rFonts w:ascii="Times New Roman" w:hAnsi="Times New Roman"/>
          <w:szCs w:val="28"/>
        </w:rPr>
        <w:t xml:space="preserve">доходов бюджета </w:t>
      </w:r>
      <w:r w:rsidR="008D0A2C">
        <w:rPr>
          <w:rFonts w:ascii="Times New Roman" w:hAnsi="Times New Roman"/>
          <w:szCs w:val="28"/>
        </w:rPr>
        <w:t xml:space="preserve">города </w:t>
      </w:r>
      <w:r w:rsidR="005A068D">
        <w:rPr>
          <w:rFonts w:ascii="Times New Roman" w:hAnsi="Times New Roman"/>
          <w:szCs w:val="28"/>
        </w:rPr>
        <w:t xml:space="preserve">Перми </w:t>
      </w:r>
      <w:r w:rsidRPr="00FB7BB7">
        <w:rPr>
          <w:rFonts w:ascii="Times New Roman" w:hAnsi="Times New Roman"/>
          <w:szCs w:val="28"/>
        </w:rPr>
        <w:t xml:space="preserve">за январь-декабрь </w:t>
      </w:r>
      <w:r w:rsidR="008D0A2C">
        <w:rPr>
          <w:rFonts w:ascii="Times New Roman" w:hAnsi="Times New Roman"/>
          <w:szCs w:val="28"/>
        </w:rPr>
        <w:br/>
      </w:r>
      <w:r w:rsidRPr="00FB7BB7">
        <w:rPr>
          <w:rFonts w:ascii="Times New Roman" w:hAnsi="Times New Roman"/>
          <w:szCs w:val="28"/>
        </w:rPr>
        <w:t>2012</w:t>
      </w:r>
      <w:r w:rsidRPr="0022576D">
        <w:rPr>
          <w:rFonts w:ascii="Times New Roman" w:hAnsi="Times New Roman"/>
          <w:szCs w:val="28"/>
        </w:rPr>
        <w:t xml:space="preserve"> года </w:t>
      </w:r>
      <w:r w:rsidRPr="00FB7BB7">
        <w:rPr>
          <w:rFonts w:ascii="Times New Roman" w:hAnsi="Times New Roman"/>
          <w:szCs w:val="28"/>
        </w:rPr>
        <w:t>сформирована за счет поступлений налога на доходы физических лиц (далее – НДФЛ) и земельного налога, общая доля которых в доходах бюджета составила 47,9%.</w:t>
      </w:r>
    </w:p>
    <w:p w:rsidR="00A03CEF" w:rsidRDefault="00A03CEF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974657">
        <w:rPr>
          <w:rFonts w:ascii="Times New Roman" w:hAnsi="Times New Roman"/>
          <w:szCs w:val="28"/>
        </w:rPr>
        <w:t xml:space="preserve">Общая сумма налоговых доходов выросла за январь-декабрь 2012 года </w:t>
      </w:r>
      <w:r w:rsidR="000A3420">
        <w:rPr>
          <w:rFonts w:ascii="Times New Roman" w:hAnsi="Times New Roman"/>
          <w:szCs w:val="28"/>
        </w:rPr>
        <w:br/>
      </w:r>
      <w:r w:rsidRPr="00974657">
        <w:rPr>
          <w:rFonts w:ascii="Times New Roman" w:hAnsi="Times New Roman"/>
          <w:szCs w:val="28"/>
        </w:rPr>
        <w:t xml:space="preserve">на 11,9% по отношению к январю-декабрю </w:t>
      </w:r>
      <w:r w:rsidR="008D0A2C">
        <w:rPr>
          <w:rFonts w:ascii="Times New Roman" w:hAnsi="Times New Roman"/>
          <w:szCs w:val="28"/>
        </w:rPr>
        <w:t xml:space="preserve">2011 года, составив </w:t>
      </w:r>
      <w:r w:rsidR="000A3420">
        <w:rPr>
          <w:rFonts w:ascii="Times New Roman" w:hAnsi="Times New Roman"/>
          <w:szCs w:val="28"/>
        </w:rPr>
        <w:br/>
      </w:r>
      <w:r w:rsidR="008D0A2C">
        <w:rPr>
          <w:rFonts w:ascii="Times New Roman" w:hAnsi="Times New Roman"/>
          <w:szCs w:val="28"/>
        </w:rPr>
        <w:t xml:space="preserve">12,3 </w:t>
      </w:r>
      <w:proofErr w:type="spellStart"/>
      <w:r w:rsidR="008D0A2C">
        <w:rPr>
          <w:rFonts w:ascii="Times New Roman" w:hAnsi="Times New Roman"/>
          <w:szCs w:val="28"/>
        </w:rPr>
        <w:t>млрд</w:t>
      </w:r>
      <w:proofErr w:type="gramStart"/>
      <w:r w:rsidR="008D0A2C">
        <w:rPr>
          <w:rFonts w:ascii="Times New Roman" w:hAnsi="Times New Roman"/>
          <w:szCs w:val="28"/>
        </w:rPr>
        <w:t>.</w:t>
      </w:r>
      <w:r w:rsidR="000A3420">
        <w:rPr>
          <w:rFonts w:ascii="Times New Roman" w:hAnsi="Times New Roman"/>
          <w:szCs w:val="28"/>
        </w:rPr>
        <w:t>р</w:t>
      </w:r>
      <w:proofErr w:type="gramEnd"/>
      <w:r w:rsidR="000A3420">
        <w:rPr>
          <w:rFonts w:ascii="Times New Roman" w:hAnsi="Times New Roman"/>
          <w:szCs w:val="28"/>
        </w:rPr>
        <w:t>уб</w:t>
      </w:r>
      <w:proofErr w:type="spellEnd"/>
      <w:r w:rsidRPr="00974657">
        <w:rPr>
          <w:rFonts w:ascii="Times New Roman" w:hAnsi="Times New Roman"/>
          <w:szCs w:val="28"/>
        </w:rPr>
        <w:t>.</w:t>
      </w:r>
    </w:p>
    <w:p w:rsidR="008D0A2C" w:rsidRPr="00974657" w:rsidRDefault="008D0A2C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A03CEF" w:rsidRPr="00040F2F" w:rsidRDefault="00A03CEF" w:rsidP="00717BAC">
      <w:pPr>
        <w:spacing w:line="240" w:lineRule="auto"/>
        <w:ind w:left="709" w:firstLine="709"/>
        <w:rPr>
          <w:rFonts w:ascii="Times New Roman" w:hAnsi="Times New Roman"/>
          <w:i/>
          <w:sz w:val="24"/>
          <w:szCs w:val="24"/>
        </w:rPr>
      </w:pPr>
      <w:r w:rsidRPr="00040F2F">
        <w:rPr>
          <w:rFonts w:ascii="Times New Roman" w:hAnsi="Times New Roman"/>
          <w:b/>
          <w:i/>
          <w:sz w:val="24"/>
          <w:szCs w:val="24"/>
        </w:rPr>
        <w:t xml:space="preserve">   2011 год</w:t>
      </w:r>
      <w:r w:rsidRPr="00040F2F">
        <w:rPr>
          <w:rFonts w:ascii="Times New Roman" w:hAnsi="Times New Roman"/>
          <w:i/>
          <w:sz w:val="24"/>
          <w:szCs w:val="24"/>
        </w:rPr>
        <w:tab/>
      </w:r>
      <w:r w:rsidRPr="00040F2F">
        <w:rPr>
          <w:rFonts w:ascii="Times New Roman" w:hAnsi="Times New Roman"/>
          <w:i/>
          <w:sz w:val="24"/>
          <w:szCs w:val="24"/>
        </w:rPr>
        <w:tab/>
      </w:r>
      <w:r w:rsidRPr="00040F2F">
        <w:rPr>
          <w:rFonts w:ascii="Times New Roman" w:hAnsi="Times New Roman"/>
          <w:i/>
          <w:sz w:val="24"/>
          <w:szCs w:val="24"/>
        </w:rPr>
        <w:tab/>
      </w:r>
      <w:r w:rsidRPr="00040F2F">
        <w:rPr>
          <w:rFonts w:ascii="Times New Roman" w:hAnsi="Times New Roman"/>
          <w:i/>
          <w:sz w:val="24"/>
          <w:szCs w:val="24"/>
        </w:rPr>
        <w:tab/>
        <w:t xml:space="preserve">         </w:t>
      </w:r>
      <w:r w:rsidRPr="00040F2F">
        <w:rPr>
          <w:rFonts w:ascii="Times New Roman" w:hAnsi="Times New Roman"/>
          <w:b/>
          <w:i/>
          <w:sz w:val="24"/>
          <w:szCs w:val="24"/>
        </w:rPr>
        <w:t>2012 год</w:t>
      </w:r>
    </w:p>
    <w:p w:rsidR="00A03CEF" w:rsidRPr="00040F2F" w:rsidRDefault="005A068D" w:rsidP="00717BAC">
      <w:pPr>
        <w:spacing w:line="240" w:lineRule="auto"/>
        <w:rPr>
          <w:rFonts w:ascii="Times New Roman" w:hAnsi="Times New Roman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68304DC" wp14:editId="5B5E3593">
            <wp:simplePos x="0" y="0"/>
            <wp:positionH relativeFrom="column">
              <wp:posOffset>2467610</wp:posOffset>
            </wp:positionH>
            <wp:positionV relativeFrom="paragraph">
              <wp:posOffset>19685</wp:posOffset>
            </wp:positionV>
            <wp:extent cx="3815715" cy="1860550"/>
            <wp:effectExtent l="0" t="0" r="0" b="0"/>
            <wp:wrapNone/>
            <wp:docPr id="24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b="-4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715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87126A0" wp14:editId="67E3A5A2">
            <wp:simplePos x="0" y="0"/>
            <wp:positionH relativeFrom="column">
              <wp:posOffset>4445</wp:posOffset>
            </wp:positionH>
            <wp:positionV relativeFrom="paragraph">
              <wp:posOffset>96520</wp:posOffset>
            </wp:positionV>
            <wp:extent cx="2562860" cy="1603375"/>
            <wp:effectExtent l="0" t="0" r="0" b="0"/>
            <wp:wrapNone/>
            <wp:docPr id="2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b="-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860" cy="160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CEF" w:rsidRPr="00040F2F" w:rsidRDefault="00A03CEF" w:rsidP="00717BAC">
      <w:pPr>
        <w:spacing w:line="240" w:lineRule="auto"/>
        <w:rPr>
          <w:rFonts w:ascii="Times New Roman" w:hAnsi="Times New Roman"/>
          <w:szCs w:val="28"/>
        </w:rPr>
      </w:pPr>
    </w:p>
    <w:p w:rsidR="00A03CEF" w:rsidRPr="00040F2F" w:rsidRDefault="00A03CEF" w:rsidP="00717BAC">
      <w:pPr>
        <w:spacing w:line="240" w:lineRule="auto"/>
        <w:rPr>
          <w:rFonts w:ascii="Times New Roman" w:hAnsi="Times New Roman"/>
          <w:szCs w:val="28"/>
        </w:rPr>
      </w:pPr>
    </w:p>
    <w:p w:rsidR="00A03CEF" w:rsidRDefault="00A03CEF" w:rsidP="00717BAC">
      <w:pPr>
        <w:spacing w:line="240" w:lineRule="auto"/>
        <w:rPr>
          <w:rFonts w:ascii="Times New Roman" w:hAnsi="Times New Roman"/>
          <w:szCs w:val="28"/>
          <w:highlight w:val="yellow"/>
        </w:rPr>
      </w:pPr>
    </w:p>
    <w:p w:rsidR="00A03CEF" w:rsidRDefault="00A03CEF" w:rsidP="00717BAC">
      <w:pPr>
        <w:spacing w:line="240" w:lineRule="auto"/>
        <w:rPr>
          <w:rFonts w:ascii="Times New Roman" w:hAnsi="Times New Roman"/>
          <w:szCs w:val="28"/>
          <w:highlight w:val="yellow"/>
        </w:rPr>
      </w:pPr>
    </w:p>
    <w:p w:rsidR="00A03CEF" w:rsidRDefault="00A03CEF" w:rsidP="00717BAC">
      <w:pPr>
        <w:spacing w:line="240" w:lineRule="auto"/>
        <w:rPr>
          <w:rFonts w:ascii="Times New Roman" w:hAnsi="Times New Roman"/>
          <w:szCs w:val="28"/>
          <w:highlight w:val="yellow"/>
        </w:rPr>
      </w:pPr>
    </w:p>
    <w:p w:rsidR="00832FF9" w:rsidRDefault="00832FF9" w:rsidP="00717BAC">
      <w:pPr>
        <w:spacing w:line="240" w:lineRule="auto"/>
        <w:ind w:firstLine="425"/>
        <w:rPr>
          <w:rFonts w:ascii="Times New Roman" w:hAnsi="Times New Roman"/>
          <w:b/>
          <w:i/>
          <w:sz w:val="24"/>
          <w:szCs w:val="24"/>
        </w:rPr>
      </w:pPr>
    </w:p>
    <w:p w:rsidR="005A068D" w:rsidRDefault="005A068D" w:rsidP="00717BAC">
      <w:pPr>
        <w:spacing w:line="240" w:lineRule="auto"/>
        <w:ind w:firstLine="425"/>
        <w:rPr>
          <w:rFonts w:ascii="Times New Roman" w:hAnsi="Times New Roman"/>
          <w:b/>
          <w:i/>
          <w:sz w:val="24"/>
          <w:szCs w:val="24"/>
        </w:rPr>
      </w:pPr>
    </w:p>
    <w:p w:rsidR="005A068D" w:rsidRDefault="005A068D" w:rsidP="00717BAC">
      <w:pPr>
        <w:spacing w:line="240" w:lineRule="auto"/>
        <w:ind w:firstLine="425"/>
        <w:rPr>
          <w:rFonts w:ascii="Times New Roman" w:hAnsi="Times New Roman"/>
          <w:b/>
          <w:i/>
          <w:sz w:val="24"/>
          <w:szCs w:val="24"/>
        </w:rPr>
      </w:pPr>
    </w:p>
    <w:p w:rsidR="000A3420" w:rsidRDefault="000A3420" w:rsidP="008D0A2C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:rsidR="00A03CEF" w:rsidRPr="00A03CEF" w:rsidRDefault="00A03CEF" w:rsidP="008D0A2C">
      <w:pPr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A03CEF">
        <w:rPr>
          <w:rFonts w:ascii="Times New Roman" w:hAnsi="Times New Roman"/>
          <w:b/>
          <w:i/>
          <w:sz w:val="24"/>
          <w:szCs w:val="24"/>
        </w:rPr>
        <w:t xml:space="preserve">Рис. </w:t>
      </w:r>
      <w:r w:rsidR="008D0A2C">
        <w:rPr>
          <w:rFonts w:ascii="Times New Roman" w:hAnsi="Times New Roman"/>
          <w:b/>
          <w:i/>
          <w:sz w:val="24"/>
          <w:szCs w:val="24"/>
        </w:rPr>
        <w:t>6</w:t>
      </w:r>
      <w:r w:rsidRPr="00A03CEF">
        <w:rPr>
          <w:rFonts w:ascii="Times New Roman" w:hAnsi="Times New Roman"/>
          <w:b/>
          <w:i/>
          <w:sz w:val="24"/>
          <w:szCs w:val="24"/>
        </w:rPr>
        <w:t xml:space="preserve">.1. Структура налоговых поступлений в бюджет города Перми </w:t>
      </w:r>
      <w:r w:rsidR="008D0A2C">
        <w:rPr>
          <w:rFonts w:ascii="Times New Roman" w:hAnsi="Times New Roman"/>
          <w:b/>
          <w:i/>
          <w:sz w:val="24"/>
          <w:szCs w:val="24"/>
        </w:rPr>
        <w:br/>
      </w:r>
      <w:r w:rsidRPr="00A03CEF">
        <w:rPr>
          <w:rFonts w:ascii="Times New Roman" w:hAnsi="Times New Roman"/>
          <w:b/>
          <w:i/>
          <w:sz w:val="24"/>
          <w:szCs w:val="24"/>
        </w:rPr>
        <w:t>в 2011-2012 гг</w:t>
      </w:r>
      <w:r w:rsidR="005A068D">
        <w:rPr>
          <w:rFonts w:ascii="Times New Roman" w:hAnsi="Times New Roman"/>
          <w:b/>
          <w:i/>
          <w:sz w:val="24"/>
          <w:szCs w:val="24"/>
        </w:rPr>
        <w:t xml:space="preserve">., </w:t>
      </w:r>
      <w:proofErr w:type="gramStart"/>
      <w:r w:rsidR="005A068D">
        <w:rPr>
          <w:rFonts w:ascii="Times New Roman" w:hAnsi="Times New Roman"/>
          <w:b/>
          <w:i/>
          <w:sz w:val="24"/>
          <w:szCs w:val="24"/>
        </w:rPr>
        <w:t>в</w:t>
      </w:r>
      <w:proofErr w:type="gramEnd"/>
      <w:r w:rsidR="005A068D">
        <w:rPr>
          <w:rFonts w:ascii="Times New Roman" w:hAnsi="Times New Roman"/>
          <w:b/>
          <w:i/>
          <w:sz w:val="24"/>
          <w:szCs w:val="24"/>
        </w:rPr>
        <w:t xml:space="preserve"> % к итогу</w:t>
      </w:r>
    </w:p>
    <w:p w:rsidR="005A068D" w:rsidRDefault="005A068D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A03CEF" w:rsidRPr="00FB7BB7" w:rsidRDefault="00A03CEF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FB7BB7">
        <w:rPr>
          <w:rFonts w:ascii="Times New Roman" w:hAnsi="Times New Roman"/>
          <w:szCs w:val="28"/>
        </w:rPr>
        <w:t xml:space="preserve">Изменение структуры поступлений налогов в бюджет города за январь-декабрь </w:t>
      </w:r>
      <w:r w:rsidR="008D0A2C">
        <w:rPr>
          <w:rFonts w:ascii="Times New Roman" w:hAnsi="Times New Roman"/>
          <w:szCs w:val="28"/>
        </w:rPr>
        <w:t>2012</w:t>
      </w:r>
      <w:r w:rsidR="0053191F">
        <w:rPr>
          <w:rFonts w:ascii="Times New Roman" w:hAnsi="Times New Roman"/>
          <w:szCs w:val="28"/>
        </w:rPr>
        <w:t xml:space="preserve"> </w:t>
      </w:r>
      <w:r w:rsidRPr="00FB7BB7">
        <w:rPr>
          <w:rFonts w:ascii="Times New Roman" w:hAnsi="Times New Roman"/>
          <w:szCs w:val="28"/>
        </w:rPr>
        <w:t>года характеризуется</w:t>
      </w:r>
      <w:r w:rsidR="008D0A2C">
        <w:rPr>
          <w:rFonts w:ascii="Times New Roman" w:hAnsi="Times New Roman"/>
          <w:szCs w:val="28"/>
        </w:rPr>
        <w:t xml:space="preserve"> </w:t>
      </w:r>
      <w:r w:rsidRPr="00FB7BB7">
        <w:rPr>
          <w:rFonts w:ascii="Times New Roman" w:hAnsi="Times New Roman"/>
          <w:szCs w:val="28"/>
        </w:rPr>
        <w:t>увеличением</w:t>
      </w:r>
      <w:r w:rsidR="0053191F">
        <w:rPr>
          <w:rFonts w:ascii="Times New Roman" w:hAnsi="Times New Roman"/>
          <w:szCs w:val="28"/>
        </w:rPr>
        <w:t xml:space="preserve"> </w:t>
      </w:r>
      <w:r w:rsidRPr="00FB7BB7">
        <w:rPr>
          <w:rFonts w:ascii="Times New Roman" w:hAnsi="Times New Roman"/>
          <w:szCs w:val="28"/>
        </w:rPr>
        <w:t>удельного</w:t>
      </w:r>
      <w:r w:rsidR="0053191F">
        <w:rPr>
          <w:rFonts w:ascii="Times New Roman" w:hAnsi="Times New Roman"/>
          <w:szCs w:val="28"/>
        </w:rPr>
        <w:t xml:space="preserve"> </w:t>
      </w:r>
      <w:r w:rsidRPr="00FB7BB7">
        <w:rPr>
          <w:rFonts w:ascii="Times New Roman" w:hAnsi="Times New Roman"/>
          <w:szCs w:val="28"/>
        </w:rPr>
        <w:t xml:space="preserve">веса НДФЛ </w:t>
      </w:r>
      <w:r w:rsidR="000A3420">
        <w:rPr>
          <w:rFonts w:ascii="Times New Roman" w:hAnsi="Times New Roman"/>
          <w:szCs w:val="28"/>
        </w:rPr>
        <w:br/>
      </w:r>
      <w:r w:rsidRPr="00FB7BB7">
        <w:rPr>
          <w:rFonts w:ascii="Times New Roman" w:hAnsi="Times New Roman"/>
          <w:szCs w:val="28"/>
        </w:rPr>
        <w:t xml:space="preserve">(на 0,6 </w:t>
      </w:r>
      <w:proofErr w:type="spellStart"/>
      <w:r w:rsidRPr="00FB7BB7">
        <w:rPr>
          <w:rFonts w:ascii="Times New Roman" w:hAnsi="Times New Roman"/>
          <w:szCs w:val="28"/>
        </w:rPr>
        <w:t>п.п</w:t>
      </w:r>
      <w:proofErr w:type="spellEnd"/>
      <w:r w:rsidRPr="00FB7BB7">
        <w:rPr>
          <w:rFonts w:ascii="Times New Roman" w:hAnsi="Times New Roman"/>
          <w:szCs w:val="28"/>
        </w:rPr>
        <w:t>.), налог</w:t>
      </w:r>
      <w:r>
        <w:rPr>
          <w:rFonts w:ascii="Times New Roman" w:hAnsi="Times New Roman"/>
          <w:szCs w:val="28"/>
        </w:rPr>
        <w:t>а на имущество физических лиц (</w:t>
      </w:r>
      <w:r w:rsidRPr="00FB7BB7">
        <w:rPr>
          <w:rFonts w:ascii="Times New Roman" w:hAnsi="Times New Roman"/>
          <w:szCs w:val="28"/>
        </w:rPr>
        <w:t xml:space="preserve">на 0,8 </w:t>
      </w:r>
      <w:proofErr w:type="spellStart"/>
      <w:r w:rsidRPr="00FB7BB7">
        <w:rPr>
          <w:rFonts w:ascii="Times New Roman" w:hAnsi="Times New Roman"/>
          <w:szCs w:val="28"/>
        </w:rPr>
        <w:t>п.п</w:t>
      </w:r>
      <w:proofErr w:type="spellEnd"/>
      <w:r w:rsidRPr="00FB7BB7">
        <w:rPr>
          <w:rFonts w:ascii="Times New Roman" w:hAnsi="Times New Roman"/>
          <w:szCs w:val="28"/>
        </w:rPr>
        <w:t xml:space="preserve">.), транспортного налога (на 0,4 </w:t>
      </w:r>
      <w:proofErr w:type="spellStart"/>
      <w:r w:rsidRPr="00FB7BB7">
        <w:rPr>
          <w:rFonts w:ascii="Times New Roman" w:hAnsi="Times New Roman"/>
          <w:szCs w:val="28"/>
        </w:rPr>
        <w:t>п.п</w:t>
      </w:r>
      <w:proofErr w:type="spellEnd"/>
      <w:r w:rsidRPr="00FB7BB7">
        <w:rPr>
          <w:rFonts w:ascii="Times New Roman" w:hAnsi="Times New Roman"/>
          <w:szCs w:val="28"/>
        </w:rPr>
        <w:t xml:space="preserve">.) при снижении доли ЕНВД (на 0,8 </w:t>
      </w:r>
      <w:proofErr w:type="spellStart"/>
      <w:r w:rsidRPr="00FB7BB7">
        <w:rPr>
          <w:rFonts w:ascii="Times New Roman" w:hAnsi="Times New Roman"/>
          <w:szCs w:val="28"/>
        </w:rPr>
        <w:t>п.п</w:t>
      </w:r>
      <w:proofErr w:type="spellEnd"/>
      <w:r w:rsidRPr="00FB7BB7">
        <w:rPr>
          <w:rFonts w:ascii="Times New Roman" w:hAnsi="Times New Roman"/>
          <w:szCs w:val="28"/>
        </w:rPr>
        <w:t xml:space="preserve">.) и земельного налога </w:t>
      </w:r>
      <w:r w:rsidR="008D0A2C">
        <w:rPr>
          <w:rFonts w:ascii="Times New Roman" w:hAnsi="Times New Roman"/>
          <w:szCs w:val="28"/>
        </w:rPr>
        <w:br/>
      </w:r>
      <w:r w:rsidRPr="00FB7BB7">
        <w:rPr>
          <w:rFonts w:ascii="Times New Roman" w:hAnsi="Times New Roman"/>
          <w:szCs w:val="28"/>
        </w:rPr>
        <w:t xml:space="preserve">(на 2,1 </w:t>
      </w:r>
      <w:proofErr w:type="spellStart"/>
      <w:r w:rsidRPr="00FB7BB7">
        <w:rPr>
          <w:rFonts w:ascii="Times New Roman" w:hAnsi="Times New Roman"/>
          <w:szCs w:val="28"/>
        </w:rPr>
        <w:t>п.п</w:t>
      </w:r>
      <w:proofErr w:type="spellEnd"/>
      <w:r w:rsidRPr="00FB7BB7">
        <w:rPr>
          <w:rFonts w:ascii="Times New Roman" w:hAnsi="Times New Roman"/>
          <w:szCs w:val="28"/>
        </w:rPr>
        <w:t>.).</w:t>
      </w:r>
    </w:p>
    <w:p w:rsidR="00A03CEF" w:rsidRPr="0001065C" w:rsidRDefault="00A03CEF" w:rsidP="00717BAC">
      <w:pPr>
        <w:spacing w:line="240" w:lineRule="auto"/>
        <w:ind w:firstLine="709"/>
        <w:rPr>
          <w:rFonts w:ascii="Times New Roman" w:hAnsi="Times New Roman"/>
          <w:szCs w:val="28"/>
          <w:highlight w:val="yellow"/>
        </w:rPr>
      </w:pPr>
      <w:r w:rsidRPr="00FB7BB7">
        <w:rPr>
          <w:rFonts w:ascii="Times New Roman" w:hAnsi="Times New Roman"/>
          <w:szCs w:val="28"/>
        </w:rPr>
        <w:t>Налог на доходы</w:t>
      </w:r>
      <w:r w:rsidR="008D0A2C">
        <w:rPr>
          <w:rFonts w:ascii="Times New Roman" w:hAnsi="Times New Roman"/>
          <w:szCs w:val="28"/>
        </w:rPr>
        <w:t xml:space="preserve"> </w:t>
      </w:r>
      <w:r w:rsidRPr="00FB7BB7">
        <w:rPr>
          <w:rFonts w:ascii="Times New Roman" w:hAnsi="Times New Roman"/>
          <w:szCs w:val="28"/>
        </w:rPr>
        <w:t>физических</w:t>
      </w:r>
      <w:r w:rsidR="0053191F">
        <w:rPr>
          <w:rFonts w:ascii="Times New Roman" w:hAnsi="Times New Roman"/>
          <w:szCs w:val="28"/>
        </w:rPr>
        <w:t xml:space="preserve"> </w:t>
      </w:r>
      <w:r w:rsidRPr="00FB7BB7">
        <w:rPr>
          <w:rFonts w:ascii="Times New Roman" w:hAnsi="Times New Roman"/>
          <w:szCs w:val="28"/>
        </w:rPr>
        <w:t>лиц в 2012</w:t>
      </w:r>
      <w:r w:rsidR="008D0A2C">
        <w:rPr>
          <w:rFonts w:ascii="Times New Roman" w:hAnsi="Times New Roman"/>
          <w:szCs w:val="28"/>
        </w:rPr>
        <w:t xml:space="preserve"> </w:t>
      </w:r>
      <w:r w:rsidRPr="00FB7BB7">
        <w:rPr>
          <w:rFonts w:ascii="Times New Roman" w:hAnsi="Times New Roman"/>
          <w:szCs w:val="28"/>
        </w:rPr>
        <w:t>году</w:t>
      </w:r>
      <w:r w:rsidR="008D0A2C">
        <w:rPr>
          <w:rFonts w:ascii="Times New Roman" w:hAnsi="Times New Roman"/>
          <w:szCs w:val="28"/>
        </w:rPr>
        <w:t xml:space="preserve"> </w:t>
      </w:r>
      <w:r w:rsidRPr="00FB7BB7">
        <w:rPr>
          <w:rFonts w:ascii="Times New Roman" w:hAnsi="Times New Roman"/>
          <w:szCs w:val="28"/>
        </w:rPr>
        <w:t xml:space="preserve">поступил </w:t>
      </w:r>
      <w:r w:rsidR="008D0A2C">
        <w:rPr>
          <w:rFonts w:ascii="Times New Roman" w:hAnsi="Times New Roman"/>
          <w:szCs w:val="28"/>
        </w:rPr>
        <w:t>в</w:t>
      </w:r>
      <w:r w:rsidR="0053191F">
        <w:rPr>
          <w:rFonts w:ascii="Times New Roman" w:hAnsi="Times New Roman"/>
          <w:szCs w:val="28"/>
        </w:rPr>
        <w:t xml:space="preserve"> </w:t>
      </w:r>
      <w:r w:rsidRPr="00FB7BB7">
        <w:rPr>
          <w:rFonts w:ascii="Times New Roman" w:hAnsi="Times New Roman"/>
          <w:szCs w:val="28"/>
        </w:rPr>
        <w:t>сум</w:t>
      </w:r>
      <w:r w:rsidR="008D0A2C">
        <w:rPr>
          <w:rFonts w:ascii="Times New Roman" w:hAnsi="Times New Roman"/>
          <w:szCs w:val="28"/>
        </w:rPr>
        <w:t xml:space="preserve">ме </w:t>
      </w:r>
      <w:r w:rsidR="008D0A2C">
        <w:rPr>
          <w:rFonts w:ascii="Times New Roman" w:hAnsi="Times New Roman"/>
          <w:szCs w:val="28"/>
        </w:rPr>
        <w:br/>
        <w:t xml:space="preserve">7 324,5 </w:t>
      </w:r>
      <w:proofErr w:type="spellStart"/>
      <w:r w:rsidR="008D0A2C">
        <w:rPr>
          <w:rFonts w:ascii="Times New Roman" w:hAnsi="Times New Roman"/>
          <w:szCs w:val="28"/>
        </w:rPr>
        <w:t>млн</w:t>
      </w:r>
      <w:proofErr w:type="gramStart"/>
      <w:r w:rsidR="008D0A2C">
        <w:rPr>
          <w:rFonts w:ascii="Times New Roman" w:hAnsi="Times New Roman"/>
          <w:szCs w:val="28"/>
        </w:rPr>
        <w:t>.</w:t>
      </w:r>
      <w:r w:rsidRPr="00FB7BB7">
        <w:rPr>
          <w:rFonts w:ascii="Times New Roman" w:hAnsi="Times New Roman"/>
          <w:szCs w:val="28"/>
        </w:rPr>
        <w:t>р</w:t>
      </w:r>
      <w:proofErr w:type="gramEnd"/>
      <w:r w:rsidRPr="00FB7BB7">
        <w:rPr>
          <w:rFonts w:ascii="Times New Roman" w:hAnsi="Times New Roman"/>
          <w:szCs w:val="28"/>
        </w:rPr>
        <w:t>уб</w:t>
      </w:r>
      <w:proofErr w:type="spellEnd"/>
      <w:r w:rsidR="000A3420">
        <w:rPr>
          <w:rFonts w:ascii="Times New Roman" w:hAnsi="Times New Roman"/>
          <w:szCs w:val="28"/>
        </w:rPr>
        <w:t>.</w:t>
      </w:r>
      <w:r w:rsidRPr="00FB7BB7">
        <w:rPr>
          <w:rFonts w:ascii="Times New Roman" w:hAnsi="Times New Roman"/>
          <w:szCs w:val="28"/>
        </w:rPr>
        <w:t>,</w:t>
      </w:r>
      <w:r w:rsidRPr="004F4251">
        <w:rPr>
          <w:rFonts w:ascii="Times New Roman" w:hAnsi="Times New Roman"/>
          <w:szCs w:val="28"/>
        </w:rPr>
        <w:t xml:space="preserve"> это на 13,2% выше уровня 2011 года и на 3,4% выше уточне</w:t>
      </w:r>
      <w:r w:rsidRPr="004F4251">
        <w:rPr>
          <w:rFonts w:ascii="Times New Roman" w:hAnsi="Times New Roman"/>
          <w:szCs w:val="28"/>
        </w:rPr>
        <w:t>н</w:t>
      </w:r>
      <w:r w:rsidRPr="004F4251">
        <w:rPr>
          <w:rFonts w:ascii="Times New Roman" w:hAnsi="Times New Roman"/>
          <w:szCs w:val="28"/>
        </w:rPr>
        <w:t xml:space="preserve">ного годового плана. </w:t>
      </w:r>
    </w:p>
    <w:p w:rsidR="00A03CEF" w:rsidRPr="004F4251" w:rsidRDefault="00A03CEF" w:rsidP="00717BAC">
      <w:pPr>
        <w:suppressAutoHyphens/>
        <w:spacing w:line="240" w:lineRule="auto"/>
        <w:ind w:firstLine="709"/>
        <w:rPr>
          <w:rFonts w:ascii="Times New Roman" w:hAnsi="Times New Roman"/>
          <w:szCs w:val="28"/>
        </w:rPr>
      </w:pPr>
      <w:r w:rsidRPr="004F4251">
        <w:rPr>
          <w:rFonts w:ascii="Times New Roman" w:hAnsi="Times New Roman"/>
          <w:szCs w:val="28"/>
        </w:rPr>
        <w:t xml:space="preserve">Указанная динамика поступления НДФЛ связана с увеличением заработной платы работников крупных и средних предприятий. </w:t>
      </w:r>
      <w:r>
        <w:rPr>
          <w:rFonts w:ascii="Times New Roman" w:hAnsi="Times New Roman"/>
          <w:szCs w:val="28"/>
        </w:rPr>
        <w:t xml:space="preserve">Так, </w:t>
      </w:r>
      <w:r w:rsidRPr="00FB7BB7">
        <w:rPr>
          <w:rFonts w:ascii="Times New Roman" w:hAnsi="Times New Roman"/>
          <w:szCs w:val="28"/>
        </w:rPr>
        <w:t>среднемесячная заработная плата на крупных и средних предприяти</w:t>
      </w:r>
      <w:r>
        <w:rPr>
          <w:rFonts w:ascii="Times New Roman" w:hAnsi="Times New Roman"/>
          <w:szCs w:val="28"/>
        </w:rPr>
        <w:t>ях</w:t>
      </w:r>
      <w:r w:rsidRPr="00FB7BB7">
        <w:rPr>
          <w:rFonts w:ascii="Times New Roman" w:hAnsi="Times New Roman"/>
          <w:szCs w:val="28"/>
        </w:rPr>
        <w:t xml:space="preserve"> города </w:t>
      </w:r>
      <w:r w:rsidR="008D0A2C">
        <w:rPr>
          <w:rFonts w:ascii="Times New Roman" w:hAnsi="Times New Roman"/>
          <w:szCs w:val="28"/>
        </w:rPr>
        <w:br/>
      </w:r>
      <w:r w:rsidRPr="00FB7BB7">
        <w:rPr>
          <w:rFonts w:ascii="Times New Roman" w:hAnsi="Times New Roman"/>
          <w:szCs w:val="28"/>
        </w:rPr>
        <w:t>за 2012 год выросла на 14,7% по</w:t>
      </w:r>
      <w:r w:rsidRPr="004F4251">
        <w:rPr>
          <w:rFonts w:ascii="Times New Roman" w:hAnsi="Times New Roman"/>
          <w:szCs w:val="28"/>
        </w:rPr>
        <w:t xml:space="preserve"> отношению к </w:t>
      </w:r>
      <w:r>
        <w:rPr>
          <w:rFonts w:ascii="Times New Roman" w:hAnsi="Times New Roman"/>
          <w:szCs w:val="28"/>
        </w:rPr>
        <w:t xml:space="preserve">уровню </w:t>
      </w:r>
      <w:r w:rsidRPr="004F4251">
        <w:rPr>
          <w:rFonts w:ascii="Times New Roman" w:hAnsi="Times New Roman"/>
          <w:szCs w:val="28"/>
        </w:rPr>
        <w:t xml:space="preserve">2011 года. </w:t>
      </w:r>
    </w:p>
    <w:p w:rsidR="00A03CEF" w:rsidRPr="00C67EBB" w:rsidRDefault="00A03CEF" w:rsidP="00717BAC">
      <w:pPr>
        <w:autoSpaceDE w:val="0"/>
        <w:autoSpaceDN w:val="0"/>
        <w:spacing w:line="240" w:lineRule="auto"/>
        <w:ind w:firstLine="709"/>
        <w:rPr>
          <w:rFonts w:ascii="Times New Roman" w:hAnsi="Times New Roman"/>
          <w:szCs w:val="28"/>
        </w:rPr>
      </w:pPr>
      <w:r w:rsidRPr="00FD7FEE">
        <w:rPr>
          <w:rFonts w:ascii="Times New Roman" w:hAnsi="Times New Roman"/>
          <w:szCs w:val="28"/>
        </w:rPr>
        <w:t xml:space="preserve">Наибольший </w:t>
      </w:r>
      <w:r w:rsidR="008D0A2C">
        <w:rPr>
          <w:rFonts w:ascii="Times New Roman" w:hAnsi="Times New Roman"/>
          <w:szCs w:val="28"/>
        </w:rPr>
        <w:t>рост</w:t>
      </w:r>
      <w:r w:rsidR="0053191F">
        <w:rPr>
          <w:rFonts w:ascii="Times New Roman" w:hAnsi="Times New Roman"/>
          <w:szCs w:val="28"/>
        </w:rPr>
        <w:t xml:space="preserve"> </w:t>
      </w:r>
      <w:r w:rsidRPr="00FD7FEE">
        <w:rPr>
          <w:rFonts w:ascii="Times New Roman" w:hAnsi="Times New Roman"/>
          <w:szCs w:val="28"/>
        </w:rPr>
        <w:t>н</w:t>
      </w:r>
      <w:r w:rsidR="008D0A2C">
        <w:rPr>
          <w:rFonts w:ascii="Times New Roman" w:hAnsi="Times New Roman"/>
          <w:szCs w:val="28"/>
        </w:rPr>
        <w:t>алоговых</w:t>
      </w:r>
      <w:r w:rsidR="0053191F">
        <w:rPr>
          <w:rFonts w:ascii="Times New Roman" w:hAnsi="Times New Roman"/>
          <w:szCs w:val="28"/>
        </w:rPr>
        <w:t xml:space="preserve"> </w:t>
      </w:r>
      <w:r w:rsidR="008D0A2C">
        <w:rPr>
          <w:rFonts w:ascii="Times New Roman" w:hAnsi="Times New Roman"/>
          <w:szCs w:val="28"/>
        </w:rPr>
        <w:t>поступлений</w:t>
      </w:r>
      <w:r w:rsidR="0053191F">
        <w:rPr>
          <w:rFonts w:ascii="Times New Roman" w:hAnsi="Times New Roman"/>
          <w:szCs w:val="28"/>
        </w:rPr>
        <w:t xml:space="preserve"> </w:t>
      </w:r>
      <w:r w:rsidRPr="00FD7FEE">
        <w:rPr>
          <w:rFonts w:ascii="Times New Roman" w:hAnsi="Times New Roman"/>
          <w:szCs w:val="28"/>
        </w:rPr>
        <w:t xml:space="preserve">в бюджет </w:t>
      </w:r>
      <w:r w:rsidR="008D0A2C">
        <w:rPr>
          <w:rFonts w:ascii="Times New Roman" w:hAnsi="Times New Roman"/>
          <w:szCs w:val="28"/>
        </w:rPr>
        <w:t>города</w:t>
      </w:r>
      <w:r w:rsidR="0053191F">
        <w:rPr>
          <w:rFonts w:ascii="Times New Roman" w:hAnsi="Times New Roman"/>
          <w:szCs w:val="28"/>
        </w:rPr>
        <w:t xml:space="preserve"> </w:t>
      </w:r>
      <w:r w:rsidRPr="00FD7FEE">
        <w:rPr>
          <w:rFonts w:ascii="Times New Roman" w:hAnsi="Times New Roman"/>
          <w:szCs w:val="28"/>
        </w:rPr>
        <w:t xml:space="preserve">отмечен </w:t>
      </w:r>
      <w:r w:rsidR="008D0A2C">
        <w:rPr>
          <w:rFonts w:ascii="Times New Roman" w:hAnsi="Times New Roman"/>
          <w:szCs w:val="28"/>
        </w:rPr>
        <w:br/>
      </w:r>
      <w:r w:rsidRPr="00FD7FEE">
        <w:rPr>
          <w:rFonts w:ascii="Times New Roman" w:hAnsi="Times New Roman"/>
          <w:szCs w:val="28"/>
        </w:rPr>
        <w:t xml:space="preserve">по налогу </w:t>
      </w:r>
      <w:r w:rsidR="008D0A2C">
        <w:rPr>
          <w:rFonts w:ascii="Times New Roman" w:hAnsi="Times New Roman"/>
          <w:szCs w:val="28"/>
        </w:rPr>
        <w:t>на</w:t>
      </w:r>
      <w:r w:rsidR="0053191F">
        <w:rPr>
          <w:rFonts w:ascii="Times New Roman" w:hAnsi="Times New Roman"/>
          <w:szCs w:val="28"/>
        </w:rPr>
        <w:t xml:space="preserve"> </w:t>
      </w:r>
      <w:r w:rsidRPr="00FD7FEE">
        <w:rPr>
          <w:rFonts w:ascii="Times New Roman" w:hAnsi="Times New Roman"/>
          <w:szCs w:val="28"/>
        </w:rPr>
        <w:t>имущество</w:t>
      </w:r>
      <w:r w:rsidR="0053191F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>физических лиц – в</w:t>
      </w:r>
      <w:r w:rsidR="008D0A2C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>2,8 раза</w:t>
      </w:r>
      <w:r w:rsidR="0053191F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>по сравнению</w:t>
      </w:r>
      <w:r w:rsidR="0053191F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 xml:space="preserve">с 2011 годом. </w:t>
      </w:r>
    </w:p>
    <w:p w:rsidR="00A03CEF" w:rsidRPr="00C67EBB" w:rsidRDefault="00A03CEF" w:rsidP="00717BAC">
      <w:pPr>
        <w:pStyle w:val="a5"/>
        <w:spacing w:after="0" w:line="240" w:lineRule="auto"/>
        <w:ind w:left="0" w:firstLine="709"/>
        <w:rPr>
          <w:rFonts w:ascii="Times New Roman" w:hAnsi="Times New Roman"/>
          <w:szCs w:val="28"/>
        </w:rPr>
      </w:pPr>
      <w:r w:rsidRPr="00C67EBB">
        <w:rPr>
          <w:rFonts w:ascii="Times New Roman" w:hAnsi="Times New Roman"/>
          <w:szCs w:val="28"/>
        </w:rPr>
        <w:t>Земельный налог</w:t>
      </w:r>
      <w:r w:rsidR="0053191F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>в</w:t>
      </w:r>
      <w:r w:rsidR="008D0A2C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>январе-декабре</w:t>
      </w:r>
      <w:r w:rsidR="0053191F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>2012</w:t>
      </w:r>
      <w:r w:rsidR="0053191F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>года</w:t>
      </w:r>
      <w:r w:rsidR="0053191F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>поступил</w:t>
      </w:r>
      <w:r w:rsidR="0053191F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 xml:space="preserve">в сумме </w:t>
      </w:r>
      <w:r w:rsidR="008D0A2C">
        <w:rPr>
          <w:rFonts w:ascii="Times New Roman" w:hAnsi="Times New Roman"/>
          <w:szCs w:val="28"/>
        </w:rPr>
        <w:br/>
      </w:r>
      <w:r w:rsidRPr="00C67EBB">
        <w:rPr>
          <w:rFonts w:ascii="Times New Roman" w:hAnsi="Times New Roman"/>
          <w:szCs w:val="28"/>
        </w:rPr>
        <w:t xml:space="preserve">3 342,2 </w:t>
      </w:r>
      <w:proofErr w:type="spellStart"/>
      <w:r w:rsidRPr="00C67EBB">
        <w:rPr>
          <w:rFonts w:ascii="Times New Roman" w:hAnsi="Times New Roman"/>
          <w:szCs w:val="28"/>
        </w:rPr>
        <w:t>млн</w:t>
      </w:r>
      <w:proofErr w:type="gramStart"/>
      <w:r w:rsidRPr="00C67EBB">
        <w:rPr>
          <w:rFonts w:ascii="Times New Roman" w:hAnsi="Times New Roman"/>
          <w:szCs w:val="28"/>
        </w:rPr>
        <w:t>.р</w:t>
      </w:r>
      <w:proofErr w:type="gramEnd"/>
      <w:r w:rsidRPr="00C67EBB">
        <w:rPr>
          <w:rFonts w:ascii="Times New Roman" w:hAnsi="Times New Roman"/>
          <w:szCs w:val="28"/>
        </w:rPr>
        <w:t>уб</w:t>
      </w:r>
      <w:proofErr w:type="spellEnd"/>
      <w:r w:rsidR="000A3420">
        <w:rPr>
          <w:rFonts w:ascii="Times New Roman" w:hAnsi="Times New Roman"/>
          <w:szCs w:val="28"/>
        </w:rPr>
        <w:t>.</w:t>
      </w:r>
      <w:r w:rsidRPr="00C67EBB">
        <w:rPr>
          <w:rFonts w:ascii="Times New Roman" w:hAnsi="Times New Roman"/>
          <w:szCs w:val="28"/>
        </w:rPr>
        <w:t xml:space="preserve"> или</w:t>
      </w:r>
      <w:r w:rsidR="0053191F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>101,0% к плану</w:t>
      </w:r>
      <w:r w:rsidR="0053191F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>года. По сравнению с предыдущим годом сумма зе</w:t>
      </w:r>
      <w:r>
        <w:rPr>
          <w:rFonts w:ascii="Times New Roman" w:hAnsi="Times New Roman"/>
          <w:szCs w:val="28"/>
        </w:rPr>
        <w:t>мельного налога выросла на 4,0%</w:t>
      </w:r>
      <w:r w:rsidR="008D0A2C">
        <w:rPr>
          <w:rFonts w:ascii="Times New Roman" w:hAnsi="Times New Roman"/>
          <w:szCs w:val="28"/>
        </w:rPr>
        <w:t xml:space="preserve">. </w:t>
      </w:r>
      <w:r w:rsidRPr="00C67EBB">
        <w:rPr>
          <w:rFonts w:ascii="Times New Roman" w:hAnsi="Times New Roman"/>
          <w:szCs w:val="28"/>
        </w:rPr>
        <w:t xml:space="preserve">Задолженность по налогу снизилась на 2,1%. </w:t>
      </w:r>
    </w:p>
    <w:p w:rsidR="00A03CEF" w:rsidRPr="00C67EBB" w:rsidRDefault="00A03CEF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C67EBB">
        <w:rPr>
          <w:rFonts w:ascii="Times New Roman" w:hAnsi="Times New Roman"/>
          <w:szCs w:val="28"/>
        </w:rPr>
        <w:t xml:space="preserve">В 2012 году зафиксирован рост поступлений </w:t>
      </w:r>
      <w:r>
        <w:rPr>
          <w:rFonts w:ascii="Times New Roman" w:hAnsi="Times New Roman"/>
          <w:szCs w:val="28"/>
        </w:rPr>
        <w:t xml:space="preserve">по транспортному налогу </w:t>
      </w:r>
      <w:r w:rsidR="008D0A2C">
        <w:rPr>
          <w:rFonts w:ascii="Times New Roman" w:hAnsi="Times New Roman"/>
          <w:szCs w:val="28"/>
        </w:rPr>
        <w:br/>
      </w:r>
      <w:r w:rsidRPr="00C67EBB">
        <w:rPr>
          <w:rFonts w:ascii="Times New Roman" w:hAnsi="Times New Roman"/>
          <w:szCs w:val="28"/>
        </w:rPr>
        <w:t>по сравнению с 2011 годом в 1,2 раза. Транспортный на</w:t>
      </w:r>
      <w:r w:rsidR="008D0A2C">
        <w:rPr>
          <w:rFonts w:ascii="Times New Roman" w:hAnsi="Times New Roman"/>
          <w:szCs w:val="28"/>
        </w:rPr>
        <w:t xml:space="preserve">лог поступил в сумме 815,4 </w:t>
      </w:r>
      <w:proofErr w:type="spellStart"/>
      <w:r w:rsidR="008D0A2C">
        <w:rPr>
          <w:rFonts w:ascii="Times New Roman" w:hAnsi="Times New Roman"/>
          <w:szCs w:val="28"/>
        </w:rPr>
        <w:t>млн</w:t>
      </w:r>
      <w:proofErr w:type="gramStart"/>
      <w:r w:rsidR="008D0A2C">
        <w:rPr>
          <w:rFonts w:ascii="Times New Roman" w:hAnsi="Times New Roman"/>
          <w:szCs w:val="28"/>
        </w:rPr>
        <w:t>.</w:t>
      </w:r>
      <w:r w:rsidRPr="00C67EBB">
        <w:rPr>
          <w:rFonts w:ascii="Times New Roman" w:hAnsi="Times New Roman"/>
          <w:szCs w:val="28"/>
        </w:rPr>
        <w:t>р</w:t>
      </w:r>
      <w:proofErr w:type="gramEnd"/>
      <w:r w:rsidRPr="00C67EBB">
        <w:rPr>
          <w:rFonts w:ascii="Times New Roman" w:hAnsi="Times New Roman"/>
          <w:szCs w:val="28"/>
        </w:rPr>
        <w:t>уб</w:t>
      </w:r>
      <w:proofErr w:type="spellEnd"/>
      <w:r w:rsidR="000A3420">
        <w:rPr>
          <w:rFonts w:ascii="Times New Roman" w:hAnsi="Times New Roman"/>
          <w:szCs w:val="28"/>
        </w:rPr>
        <w:t>.</w:t>
      </w:r>
      <w:r w:rsidRPr="00C67EBB">
        <w:rPr>
          <w:rFonts w:ascii="Times New Roman" w:hAnsi="Times New Roman"/>
          <w:szCs w:val="28"/>
        </w:rPr>
        <w:t xml:space="preserve"> Задолженность по налогу выросла на 73,6% за счет значительного роста задолженности по транспортному налогу физических лиц.</w:t>
      </w:r>
    </w:p>
    <w:p w:rsidR="00A03CEF" w:rsidRDefault="00A03CEF" w:rsidP="00717BAC">
      <w:pPr>
        <w:suppressAutoHyphens/>
        <w:spacing w:line="240" w:lineRule="auto"/>
        <w:ind w:firstLine="709"/>
        <w:rPr>
          <w:rFonts w:ascii="Times New Roman" w:hAnsi="Times New Roman"/>
          <w:szCs w:val="28"/>
        </w:rPr>
      </w:pPr>
      <w:r w:rsidRPr="00C67EBB">
        <w:rPr>
          <w:rFonts w:ascii="Times New Roman" w:hAnsi="Times New Roman"/>
          <w:szCs w:val="28"/>
        </w:rPr>
        <w:t xml:space="preserve">Единый налог на вмененный доход для отдельных видов деятельности поступил </w:t>
      </w:r>
      <w:r w:rsidR="008D0A2C">
        <w:rPr>
          <w:rFonts w:ascii="Times New Roman" w:hAnsi="Times New Roman"/>
          <w:szCs w:val="28"/>
        </w:rPr>
        <w:t>в</w:t>
      </w:r>
      <w:r w:rsidR="0053191F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>2012</w:t>
      </w:r>
      <w:r w:rsidR="008D0A2C">
        <w:rPr>
          <w:rFonts w:ascii="Times New Roman" w:hAnsi="Times New Roman"/>
          <w:szCs w:val="28"/>
        </w:rPr>
        <w:t xml:space="preserve"> году</w:t>
      </w:r>
      <w:r w:rsidR="0053191F">
        <w:rPr>
          <w:rFonts w:ascii="Times New Roman" w:hAnsi="Times New Roman"/>
          <w:szCs w:val="28"/>
        </w:rPr>
        <w:t xml:space="preserve"> </w:t>
      </w:r>
      <w:r w:rsidRPr="00C67EBB">
        <w:rPr>
          <w:rFonts w:ascii="Times New Roman" w:hAnsi="Times New Roman"/>
          <w:szCs w:val="28"/>
        </w:rPr>
        <w:t>в сумме</w:t>
      </w:r>
      <w:r w:rsidR="0053191F">
        <w:rPr>
          <w:rFonts w:ascii="Times New Roman" w:hAnsi="Times New Roman"/>
          <w:szCs w:val="28"/>
        </w:rPr>
        <w:t xml:space="preserve"> </w:t>
      </w:r>
      <w:r w:rsidR="008D0A2C">
        <w:rPr>
          <w:rFonts w:ascii="Times New Roman" w:hAnsi="Times New Roman"/>
          <w:szCs w:val="28"/>
        </w:rPr>
        <w:t xml:space="preserve">570,8 </w:t>
      </w:r>
      <w:proofErr w:type="spellStart"/>
      <w:r w:rsidR="008D0A2C">
        <w:rPr>
          <w:rFonts w:ascii="Times New Roman" w:hAnsi="Times New Roman"/>
          <w:szCs w:val="28"/>
        </w:rPr>
        <w:t>млн</w:t>
      </w:r>
      <w:proofErr w:type="gramStart"/>
      <w:r w:rsidR="008D0A2C">
        <w:rPr>
          <w:rFonts w:ascii="Times New Roman" w:hAnsi="Times New Roman"/>
          <w:szCs w:val="28"/>
        </w:rPr>
        <w:t>.</w:t>
      </w:r>
      <w:r w:rsidRPr="00C67EBB">
        <w:rPr>
          <w:rFonts w:ascii="Times New Roman" w:hAnsi="Times New Roman"/>
          <w:szCs w:val="28"/>
        </w:rPr>
        <w:t>р</w:t>
      </w:r>
      <w:proofErr w:type="gramEnd"/>
      <w:r w:rsidRPr="00C67EBB">
        <w:rPr>
          <w:rFonts w:ascii="Times New Roman" w:hAnsi="Times New Roman"/>
          <w:szCs w:val="28"/>
        </w:rPr>
        <w:t>уб</w:t>
      </w:r>
      <w:proofErr w:type="spellEnd"/>
      <w:r w:rsidR="000A3420">
        <w:rPr>
          <w:rFonts w:ascii="Times New Roman" w:hAnsi="Times New Roman"/>
          <w:szCs w:val="28"/>
        </w:rPr>
        <w:t>.</w:t>
      </w:r>
      <w:r w:rsidRPr="00C67EBB">
        <w:rPr>
          <w:rFonts w:ascii="Times New Roman" w:hAnsi="Times New Roman"/>
          <w:szCs w:val="28"/>
        </w:rPr>
        <w:t xml:space="preserve"> или 103,4% к плану года. </w:t>
      </w:r>
      <w:r w:rsidR="000A3420">
        <w:rPr>
          <w:rFonts w:ascii="Times New Roman" w:hAnsi="Times New Roman"/>
          <w:szCs w:val="28"/>
        </w:rPr>
        <w:br/>
      </w:r>
      <w:r w:rsidRPr="00C67EBB">
        <w:rPr>
          <w:rFonts w:ascii="Times New Roman" w:hAnsi="Times New Roman"/>
          <w:szCs w:val="28"/>
        </w:rPr>
        <w:t xml:space="preserve">В отчетном периоде отмечено снижение поступлений данного налога на 3,4% </w:t>
      </w:r>
      <w:r w:rsidR="008D0A2C">
        <w:rPr>
          <w:rFonts w:ascii="Times New Roman" w:hAnsi="Times New Roman"/>
          <w:szCs w:val="28"/>
        </w:rPr>
        <w:br/>
      </w:r>
      <w:r w:rsidRPr="00C67EBB">
        <w:rPr>
          <w:rFonts w:ascii="Times New Roman" w:hAnsi="Times New Roman"/>
          <w:szCs w:val="28"/>
        </w:rPr>
        <w:t xml:space="preserve">по сравнению с 2011 годом. </w:t>
      </w:r>
    </w:p>
    <w:p w:rsidR="0053191F" w:rsidRPr="00C67EBB" w:rsidRDefault="0053191F" w:rsidP="00717BAC">
      <w:pPr>
        <w:suppressAutoHyphens/>
        <w:spacing w:line="240" w:lineRule="auto"/>
        <w:ind w:firstLine="709"/>
        <w:rPr>
          <w:rFonts w:ascii="Times New Roman" w:hAnsi="Times New Roman"/>
          <w:szCs w:val="28"/>
        </w:rPr>
      </w:pPr>
    </w:p>
    <w:p w:rsidR="008D0A2C" w:rsidRPr="00A03CEF" w:rsidRDefault="00A03CEF" w:rsidP="008B3325">
      <w:pPr>
        <w:keepNext/>
        <w:widowControl w:val="0"/>
        <w:spacing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A03CEF">
        <w:rPr>
          <w:rFonts w:ascii="Times New Roman" w:hAnsi="Times New Roman"/>
          <w:b/>
          <w:i/>
          <w:sz w:val="24"/>
          <w:szCs w:val="24"/>
        </w:rPr>
        <w:t xml:space="preserve">Таблица </w:t>
      </w:r>
      <w:r w:rsidR="008D0A2C">
        <w:rPr>
          <w:rFonts w:ascii="Times New Roman" w:hAnsi="Times New Roman"/>
          <w:b/>
          <w:i/>
          <w:sz w:val="24"/>
          <w:szCs w:val="24"/>
        </w:rPr>
        <w:t>6</w:t>
      </w:r>
      <w:r w:rsidRPr="00A03CEF">
        <w:rPr>
          <w:rFonts w:ascii="Times New Roman" w:hAnsi="Times New Roman"/>
          <w:b/>
          <w:i/>
          <w:sz w:val="24"/>
          <w:szCs w:val="24"/>
        </w:rPr>
        <w:t xml:space="preserve">.1. </w:t>
      </w:r>
      <w:r w:rsidR="00832FF9">
        <w:rPr>
          <w:rFonts w:ascii="Times New Roman" w:hAnsi="Times New Roman"/>
          <w:b/>
          <w:i/>
          <w:sz w:val="24"/>
          <w:szCs w:val="24"/>
        </w:rPr>
        <w:t>Структура</w:t>
      </w:r>
      <w:r w:rsidRPr="00A03CEF">
        <w:rPr>
          <w:rFonts w:ascii="Times New Roman" w:hAnsi="Times New Roman"/>
          <w:b/>
          <w:i/>
          <w:sz w:val="24"/>
          <w:szCs w:val="24"/>
        </w:rPr>
        <w:t xml:space="preserve"> налоговых поступле</w:t>
      </w:r>
      <w:r w:rsidR="008D0A2C">
        <w:rPr>
          <w:rFonts w:ascii="Times New Roman" w:hAnsi="Times New Roman"/>
          <w:b/>
          <w:i/>
          <w:sz w:val="24"/>
          <w:szCs w:val="24"/>
        </w:rPr>
        <w:t xml:space="preserve">ний в бюджет города Перми, </w:t>
      </w:r>
      <w:proofErr w:type="spellStart"/>
      <w:r w:rsidR="008D0A2C">
        <w:rPr>
          <w:rFonts w:ascii="Times New Roman" w:hAnsi="Times New Roman"/>
          <w:b/>
          <w:i/>
          <w:sz w:val="24"/>
          <w:szCs w:val="24"/>
        </w:rPr>
        <w:t>млн</w:t>
      </w:r>
      <w:proofErr w:type="gramStart"/>
      <w:r w:rsidR="008D0A2C">
        <w:rPr>
          <w:rFonts w:ascii="Times New Roman" w:hAnsi="Times New Roman"/>
          <w:b/>
          <w:i/>
          <w:sz w:val="24"/>
          <w:szCs w:val="24"/>
        </w:rPr>
        <w:t>.</w:t>
      </w:r>
      <w:r w:rsidRPr="00A03CEF">
        <w:rPr>
          <w:rFonts w:ascii="Times New Roman" w:hAnsi="Times New Roman"/>
          <w:b/>
          <w:i/>
          <w:sz w:val="24"/>
          <w:szCs w:val="24"/>
        </w:rPr>
        <w:t>р</w:t>
      </w:r>
      <w:proofErr w:type="gramEnd"/>
      <w:r w:rsidRPr="00A03CEF">
        <w:rPr>
          <w:rFonts w:ascii="Times New Roman" w:hAnsi="Times New Roman"/>
          <w:b/>
          <w:i/>
          <w:sz w:val="24"/>
          <w:szCs w:val="24"/>
        </w:rPr>
        <w:t>уб</w:t>
      </w:r>
      <w:proofErr w:type="spellEnd"/>
      <w:r w:rsidRPr="00A03CEF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986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1262"/>
        <w:gridCol w:w="1262"/>
        <w:gridCol w:w="1262"/>
        <w:gridCol w:w="1262"/>
        <w:gridCol w:w="1262"/>
      </w:tblGrid>
      <w:tr w:rsidR="00832FF9" w:rsidRPr="00A03CEF" w:rsidTr="008D0A2C">
        <w:trPr>
          <w:trHeight w:val="300"/>
          <w:tblHeader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832FF9" w:rsidRPr="00A03CEF" w:rsidRDefault="00832FF9" w:rsidP="008B3325">
            <w:pPr>
              <w:widowControl w:val="0"/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832FF9" w:rsidRPr="00A03CEF" w:rsidRDefault="0053191F" w:rsidP="008B332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дельный вес, </w:t>
            </w:r>
            <w:proofErr w:type="gramStart"/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</w:t>
            </w:r>
            <w:r w:rsidR="008D0A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к итогу 20</w:t>
            </w:r>
            <w:r w:rsidR="00832FF9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832FF9" w:rsidRPr="00A03CEF" w:rsidRDefault="0053191F" w:rsidP="008B332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дельный вес, </w:t>
            </w:r>
            <w:proofErr w:type="gramStart"/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</w:t>
            </w:r>
            <w:r w:rsidR="008D0A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к итогу 20</w:t>
            </w:r>
            <w:r w:rsidR="00832FF9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832FF9" w:rsidRPr="00A03CEF" w:rsidRDefault="0053191F" w:rsidP="008B332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дельный вес, </w:t>
            </w:r>
            <w:proofErr w:type="gramStart"/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</w:t>
            </w:r>
            <w:r w:rsidR="008D0A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к итогу 201</w:t>
            </w:r>
            <w:r w:rsidR="00832FF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832FF9" w:rsidRPr="00A03CEF" w:rsidRDefault="0053191F" w:rsidP="008B332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дельный вес, </w:t>
            </w:r>
            <w:proofErr w:type="gramStart"/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</w:t>
            </w:r>
            <w:r w:rsidR="008D0A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к итогу 2011 года</w:t>
            </w:r>
          </w:p>
        </w:tc>
        <w:tc>
          <w:tcPr>
            <w:tcW w:w="1262" w:type="dxa"/>
            <w:vAlign w:val="center"/>
          </w:tcPr>
          <w:p w:rsidR="00832FF9" w:rsidRPr="00A03CEF" w:rsidRDefault="0053191F" w:rsidP="008B332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дельный вес, </w:t>
            </w:r>
            <w:proofErr w:type="gramStart"/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</w:t>
            </w:r>
            <w:r w:rsidR="008D0A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832FF9"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к итогу 2012 года</w:t>
            </w:r>
          </w:p>
        </w:tc>
      </w:tr>
      <w:tr w:rsidR="00832FF9" w:rsidRPr="00A03CEF" w:rsidTr="000A3420">
        <w:trPr>
          <w:trHeight w:val="300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832FF9" w:rsidRPr="00A03CEF" w:rsidRDefault="00832FF9" w:rsidP="008B3325">
            <w:pPr>
              <w:widowControl w:val="0"/>
              <w:spacing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Налоговые доходы, всего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</w:tr>
      <w:tr w:rsidR="00832FF9" w:rsidRPr="00A03CEF" w:rsidTr="000A3420">
        <w:trPr>
          <w:trHeight w:val="300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832FF9" w:rsidRPr="00A03CEF" w:rsidRDefault="00832FF9" w:rsidP="008B3325">
            <w:pPr>
              <w:widowControl w:val="0"/>
              <w:spacing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32FF9" w:rsidRPr="00A03CEF" w:rsidTr="000A3420">
        <w:trPr>
          <w:trHeight w:val="300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832FF9" w:rsidRPr="00A03CEF" w:rsidRDefault="00CC294D" w:rsidP="008B3325">
            <w:pPr>
              <w:widowControl w:val="0"/>
              <w:spacing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НДФЛ</w:t>
            </w:r>
          </w:p>
        </w:tc>
        <w:tc>
          <w:tcPr>
            <w:tcW w:w="1262" w:type="dxa"/>
            <w:vAlign w:val="bottom"/>
          </w:tcPr>
          <w:p w:rsidR="00832FF9" w:rsidRPr="00CC294D" w:rsidRDefault="00CC294D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294D">
              <w:rPr>
                <w:rFonts w:ascii="Times New Roman" w:hAnsi="Times New Roman"/>
                <w:color w:val="000000"/>
                <w:sz w:val="24"/>
                <w:szCs w:val="24"/>
              </w:rPr>
              <w:t>63,3</w:t>
            </w:r>
          </w:p>
        </w:tc>
        <w:tc>
          <w:tcPr>
            <w:tcW w:w="1262" w:type="dxa"/>
            <w:vAlign w:val="bottom"/>
          </w:tcPr>
          <w:p w:rsidR="00832FF9" w:rsidRPr="00CC294D" w:rsidRDefault="00CC294D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294D">
              <w:rPr>
                <w:rFonts w:ascii="Times New Roman" w:hAnsi="Times New Roman"/>
                <w:color w:val="000000"/>
                <w:sz w:val="24"/>
                <w:szCs w:val="24"/>
              </w:rPr>
              <w:t>58,6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59,2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59,4</w:t>
            </w:r>
          </w:p>
        </w:tc>
      </w:tr>
      <w:tr w:rsidR="00832FF9" w:rsidRPr="00A03CEF" w:rsidTr="000A3420">
        <w:trPr>
          <w:trHeight w:val="300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832FF9" w:rsidRPr="00A03CEF" w:rsidRDefault="00CC294D" w:rsidP="008B3325">
            <w:pPr>
              <w:widowControl w:val="0"/>
              <w:spacing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ЕНВД</w:t>
            </w:r>
          </w:p>
        </w:tc>
        <w:tc>
          <w:tcPr>
            <w:tcW w:w="1262" w:type="dxa"/>
            <w:vAlign w:val="bottom"/>
          </w:tcPr>
          <w:p w:rsidR="00832FF9" w:rsidRPr="00CC294D" w:rsidRDefault="00CC294D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262" w:type="dxa"/>
            <w:vAlign w:val="bottom"/>
          </w:tcPr>
          <w:p w:rsidR="00832FF9" w:rsidRPr="00CC294D" w:rsidRDefault="00CC294D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</w:tr>
      <w:tr w:rsidR="00832FF9" w:rsidRPr="00A03CEF" w:rsidTr="000A3420">
        <w:trPr>
          <w:trHeight w:val="300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832FF9" w:rsidRPr="00A03CEF" w:rsidRDefault="00832FF9" w:rsidP="008B3325">
            <w:pPr>
              <w:widowControl w:val="0"/>
              <w:spacing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</w:t>
            </w: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ских лиц</w:t>
            </w:r>
          </w:p>
        </w:tc>
        <w:tc>
          <w:tcPr>
            <w:tcW w:w="1262" w:type="dxa"/>
            <w:vAlign w:val="bottom"/>
          </w:tcPr>
          <w:p w:rsidR="00832FF9" w:rsidRPr="00CC294D" w:rsidRDefault="00CC294D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62" w:type="dxa"/>
            <w:vAlign w:val="bottom"/>
          </w:tcPr>
          <w:p w:rsidR="00832FF9" w:rsidRPr="00CC294D" w:rsidRDefault="00CC294D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</w:tr>
      <w:tr w:rsidR="00832FF9" w:rsidRPr="00A03CEF" w:rsidTr="000A3420">
        <w:trPr>
          <w:trHeight w:val="300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832FF9" w:rsidRPr="00A03CEF" w:rsidRDefault="00832FF9" w:rsidP="008B3325">
            <w:pPr>
              <w:widowControl w:val="0"/>
              <w:spacing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262" w:type="dxa"/>
            <w:vAlign w:val="bottom"/>
          </w:tcPr>
          <w:p w:rsidR="00832FF9" w:rsidRPr="00A03CEF" w:rsidRDefault="00CC294D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62" w:type="dxa"/>
            <w:vAlign w:val="bottom"/>
          </w:tcPr>
          <w:p w:rsidR="00832FF9" w:rsidRPr="00A03CEF" w:rsidRDefault="00CC294D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6,6</w:t>
            </w:r>
          </w:p>
        </w:tc>
      </w:tr>
      <w:tr w:rsidR="00832FF9" w:rsidRPr="00A03CEF" w:rsidTr="000A3420">
        <w:trPr>
          <w:trHeight w:val="300"/>
        </w:trPr>
        <w:tc>
          <w:tcPr>
            <w:tcW w:w="3559" w:type="dxa"/>
            <w:shd w:val="clear" w:color="auto" w:fill="auto"/>
            <w:noWrap/>
            <w:vAlign w:val="bottom"/>
            <w:hideMark/>
          </w:tcPr>
          <w:p w:rsidR="00832FF9" w:rsidRPr="00A03CEF" w:rsidRDefault="00832FF9" w:rsidP="008B3325">
            <w:pPr>
              <w:widowControl w:val="0"/>
              <w:spacing w:line="240" w:lineRule="auto"/>
              <w:ind w:left="4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262" w:type="dxa"/>
            <w:vAlign w:val="bottom"/>
          </w:tcPr>
          <w:p w:rsidR="00832FF9" w:rsidRPr="00A03CEF" w:rsidRDefault="00CC294D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62" w:type="dxa"/>
            <w:vAlign w:val="bottom"/>
          </w:tcPr>
          <w:p w:rsidR="00832FF9" w:rsidRPr="00A03CEF" w:rsidRDefault="00CC294D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28,7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262" w:type="dxa"/>
            <w:vAlign w:val="bottom"/>
          </w:tcPr>
          <w:p w:rsidR="00832FF9" w:rsidRPr="00A03CEF" w:rsidRDefault="00832FF9" w:rsidP="008B3325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3CEF">
              <w:rPr>
                <w:rFonts w:ascii="Times New Roman" w:hAnsi="Times New Roman"/>
                <w:color w:val="000000"/>
                <w:sz w:val="24"/>
                <w:szCs w:val="24"/>
              </w:rPr>
              <w:t>27,1</w:t>
            </w:r>
          </w:p>
        </w:tc>
      </w:tr>
    </w:tbl>
    <w:p w:rsidR="008D0A2C" w:rsidRDefault="008D0A2C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</w:p>
    <w:p w:rsidR="00A03CEF" w:rsidRDefault="00A03CEF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C67EBB">
        <w:rPr>
          <w:rFonts w:ascii="Times New Roman" w:hAnsi="Times New Roman"/>
          <w:szCs w:val="28"/>
        </w:rPr>
        <w:t>Неналоговые доходы возросли на 15,5</w:t>
      </w:r>
      <w:r w:rsidR="008D0A2C">
        <w:rPr>
          <w:rFonts w:ascii="Times New Roman" w:hAnsi="Times New Roman"/>
          <w:szCs w:val="28"/>
        </w:rPr>
        <w:t xml:space="preserve">% или на 355,3 </w:t>
      </w:r>
      <w:proofErr w:type="spellStart"/>
      <w:r w:rsidR="008D0A2C">
        <w:rPr>
          <w:rFonts w:ascii="Times New Roman" w:hAnsi="Times New Roman"/>
          <w:szCs w:val="28"/>
        </w:rPr>
        <w:t>млн</w:t>
      </w:r>
      <w:proofErr w:type="gramStart"/>
      <w:r w:rsidR="008D0A2C">
        <w:rPr>
          <w:rFonts w:ascii="Times New Roman" w:hAnsi="Times New Roman"/>
          <w:szCs w:val="28"/>
        </w:rPr>
        <w:t>.</w:t>
      </w:r>
      <w:r w:rsidRPr="00C67EBB">
        <w:rPr>
          <w:rFonts w:ascii="Times New Roman" w:hAnsi="Times New Roman"/>
          <w:szCs w:val="28"/>
        </w:rPr>
        <w:t>р</w:t>
      </w:r>
      <w:proofErr w:type="gramEnd"/>
      <w:r w:rsidRPr="00C67EBB">
        <w:rPr>
          <w:rFonts w:ascii="Times New Roman" w:hAnsi="Times New Roman"/>
          <w:szCs w:val="28"/>
        </w:rPr>
        <w:t>уб</w:t>
      </w:r>
      <w:proofErr w:type="spellEnd"/>
      <w:r w:rsidR="000A3420">
        <w:rPr>
          <w:rFonts w:ascii="Times New Roman" w:hAnsi="Times New Roman"/>
          <w:szCs w:val="28"/>
        </w:rPr>
        <w:t>.</w:t>
      </w:r>
      <w:r w:rsidRPr="00C67EBB">
        <w:rPr>
          <w:rFonts w:ascii="Times New Roman" w:hAnsi="Times New Roman"/>
          <w:szCs w:val="28"/>
        </w:rPr>
        <w:t xml:space="preserve">, составив </w:t>
      </w:r>
      <w:r w:rsidR="000A3420">
        <w:rPr>
          <w:rFonts w:ascii="Times New Roman" w:hAnsi="Times New Roman"/>
          <w:szCs w:val="28"/>
        </w:rPr>
        <w:br/>
      </w:r>
      <w:r w:rsidRPr="00C67EBB">
        <w:rPr>
          <w:rFonts w:ascii="Times New Roman" w:hAnsi="Times New Roman"/>
          <w:szCs w:val="28"/>
        </w:rPr>
        <w:t>по и</w:t>
      </w:r>
      <w:r w:rsidR="008D0A2C">
        <w:rPr>
          <w:rFonts w:ascii="Times New Roman" w:hAnsi="Times New Roman"/>
          <w:szCs w:val="28"/>
        </w:rPr>
        <w:t xml:space="preserve">тогам прошедшего года 2,6 </w:t>
      </w:r>
      <w:proofErr w:type="spellStart"/>
      <w:r w:rsidR="008D0A2C">
        <w:rPr>
          <w:rFonts w:ascii="Times New Roman" w:hAnsi="Times New Roman"/>
          <w:szCs w:val="28"/>
        </w:rPr>
        <w:t>млрд.</w:t>
      </w:r>
      <w:r w:rsidRPr="00C67EBB">
        <w:rPr>
          <w:rFonts w:ascii="Times New Roman" w:hAnsi="Times New Roman"/>
          <w:szCs w:val="28"/>
        </w:rPr>
        <w:t>руб</w:t>
      </w:r>
      <w:proofErr w:type="spellEnd"/>
      <w:r w:rsidR="000A3420">
        <w:rPr>
          <w:rFonts w:ascii="Times New Roman" w:hAnsi="Times New Roman"/>
          <w:szCs w:val="28"/>
        </w:rPr>
        <w:t>.</w:t>
      </w:r>
      <w:r w:rsidRPr="00C67EBB">
        <w:rPr>
          <w:rFonts w:ascii="Times New Roman" w:hAnsi="Times New Roman"/>
          <w:szCs w:val="28"/>
        </w:rPr>
        <w:t xml:space="preserve"> </w:t>
      </w:r>
    </w:p>
    <w:p w:rsidR="00A03CEF" w:rsidRPr="00394D70" w:rsidRDefault="00A03CEF" w:rsidP="00717BAC">
      <w:pPr>
        <w:suppressAutoHyphens/>
        <w:spacing w:line="240" w:lineRule="auto"/>
        <w:ind w:firstLine="709"/>
        <w:rPr>
          <w:rFonts w:ascii="Times New Roman" w:hAnsi="Times New Roman"/>
          <w:szCs w:val="28"/>
        </w:rPr>
      </w:pPr>
      <w:r w:rsidRPr="00394D70">
        <w:rPr>
          <w:rFonts w:ascii="Times New Roman" w:hAnsi="Times New Roman"/>
          <w:szCs w:val="28"/>
        </w:rPr>
        <w:t xml:space="preserve">Межбюджетные трансферты от бюджетов других уровней за 2012 год поступили в сумме </w:t>
      </w:r>
      <w:r w:rsidR="008D0A2C">
        <w:rPr>
          <w:rFonts w:ascii="Times New Roman" w:hAnsi="Times New Roman"/>
          <w:szCs w:val="28"/>
        </w:rPr>
        <w:t xml:space="preserve">7 309,9 </w:t>
      </w:r>
      <w:proofErr w:type="spellStart"/>
      <w:r w:rsidR="008D0A2C">
        <w:rPr>
          <w:rFonts w:ascii="Times New Roman" w:hAnsi="Times New Roman"/>
          <w:szCs w:val="28"/>
        </w:rPr>
        <w:t>млн</w:t>
      </w:r>
      <w:proofErr w:type="gramStart"/>
      <w:r w:rsidR="008D0A2C">
        <w:rPr>
          <w:rFonts w:ascii="Times New Roman" w:hAnsi="Times New Roman"/>
          <w:szCs w:val="28"/>
        </w:rPr>
        <w:t>.</w:t>
      </w:r>
      <w:r w:rsidRPr="00394D70">
        <w:rPr>
          <w:rFonts w:ascii="Times New Roman" w:hAnsi="Times New Roman"/>
          <w:szCs w:val="28"/>
        </w:rPr>
        <w:t>р</w:t>
      </w:r>
      <w:proofErr w:type="gramEnd"/>
      <w:r w:rsidRPr="00394D70">
        <w:rPr>
          <w:rFonts w:ascii="Times New Roman" w:hAnsi="Times New Roman"/>
          <w:szCs w:val="28"/>
        </w:rPr>
        <w:t>уб</w:t>
      </w:r>
      <w:proofErr w:type="spellEnd"/>
      <w:r w:rsidR="000A3420">
        <w:rPr>
          <w:rFonts w:ascii="Times New Roman" w:hAnsi="Times New Roman"/>
          <w:szCs w:val="28"/>
        </w:rPr>
        <w:t>.</w:t>
      </w:r>
      <w:r w:rsidRPr="00394D70">
        <w:rPr>
          <w:rFonts w:ascii="Times New Roman" w:hAnsi="Times New Roman"/>
          <w:szCs w:val="28"/>
        </w:rPr>
        <w:t>, увеличившись за отчетный</w:t>
      </w:r>
      <w:r>
        <w:rPr>
          <w:rFonts w:ascii="Times New Roman" w:hAnsi="Times New Roman"/>
          <w:szCs w:val="28"/>
        </w:rPr>
        <w:t xml:space="preserve"> период</w:t>
      </w:r>
      <w:r w:rsidRPr="00394D70">
        <w:rPr>
          <w:rFonts w:ascii="Times New Roman" w:hAnsi="Times New Roman"/>
          <w:szCs w:val="28"/>
        </w:rPr>
        <w:t xml:space="preserve"> </w:t>
      </w:r>
      <w:r w:rsidR="000A3420">
        <w:rPr>
          <w:rFonts w:ascii="Times New Roman" w:hAnsi="Times New Roman"/>
          <w:szCs w:val="28"/>
        </w:rPr>
        <w:br/>
      </w:r>
      <w:r w:rsidRPr="00394D70">
        <w:rPr>
          <w:rFonts w:ascii="Times New Roman" w:hAnsi="Times New Roman"/>
          <w:szCs w:val="28"/>
        </w:rPr>
        <w:t xml:space="preserve">на 37,5%. </w:t>
      </w:r>
      <w:r w:rsidRPr="00394D70">
        <w:rPr>
          <w:rFonts w:ascii="Times New Roman" w:hAnsi="Times New Roman"/>
          <w:bCs/>
          <w:szCs w:val="28"/>
        </w:rPr>
        <w:t>Сложившийся рост по межбюджетным трансфертам обусловлен тем, что с 2012 года в бюджет города Перми поступали следующие виды:</w:t>
      </w:r>
    </w:p>
    <w:p w:rsidR="00A03CEF" w:rsidRDefault="00A03CEF" w:rsidP="00717BAC">
      <w:pPr>
        <w:spacing w:line="240" w:lineRule="auto"/>
        <w:ind w:left="709"/>
        <w:contextualSpacing/>
        <w:rPr>
          <w:rFonts w:ascii="Times New Roman" w:hAnsi="Times New Roman"/>
          <w:bCs/>
          <w:szCs w:val="28"/>
        </w:rPr>
      </w:pPr>
      <w:r w:rsidRPr="00394D70">
        <w:rPr>
          <w:rFonts w:ascii="Times New Roman" w:hAnsi="Times New Roman"/>
          <w:bCs/>
          <w:szCs w:val="28"/>
        </w:rPr>
        <w:t>дотации, передаваемые из бюджета Пермского края</w:t>
      </w:r>
      <w:r w:rsidR="000A3420">
        <w:rPr>
          <w:rFonts w:ascii="Times New Roman" w:hAnsi="Times New Roman"/>
          <w:bCs/>
          <w:szCs w:val="28"/>
        </w:rPr>
        <w:t>,</w:t>
      </w:r>
    </w:p>
    <w:p w:rsidR="00A03CEF" w:rsidRPr="004106A1" w:rsidRDefault="008D0A2C" w:rsidP="00717BAC">
      <w:pPr>
        <w:spacing w:line="240" w:lineRule="auto"/>
        <w:ind w:firstLine="709"/>
        <w:contextualSpacing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субвенция</w:t>
      </w:r>
      <w:r w:rsidR="0053191F">
        <w:rPr>
          <w:rFonts w:ascii="Times New Roman" w:hAnsi="Times New Roman"/>
          <w:bCs/>
          <w:szCs w:val="28"/>
        </w:rPr>
        <w:t xml:space="preserve"> </w:t>
      </w:r>
      <w:r w:rsidR="00A03CEF" w:rsidRPr="00394D70">
        <w:rPr>
          <w:rFonts w:ascii="Times New Roman" w:hAnsi="Times New Roman"/>
          <w:bCs/>
          <w:szCs w:val="28"/>
        </w:rPr>
        <w:t>на организацию оказания медицинской помощи на территории Пермского края в соответствии с территориальной программой государственных гарантий оказания гражданам Российской Федерации бесплатной медицинской помощи.</w:t>
      </w:r>
    </w:p>
    <w:p w:rsidR="00A03CEF" w:rsidRDefault="00A03CEF" w:rsidP="00717BAC">
      <w:pPr>
        <w:spacing w:line="240" w:lineRule="auto"/>
        <w:ind w:firstLine="709"/>
        <w:rPr>
          <w:rFonts w:ascii="Times New Roman" w:hAnsi="Times New Roman"/>
          <w:szCs w:val="28"/>
        </w:rPr>
      </w:pPr>
      <w:r w:rsidRPr="00394D70">
        <w:rPr>
          <w:rFonts w:ascii="Times New Roman" w:hAnsi="Times New Roman"/>
          <w:szCs w:val="28"/>
        </w:rPr>
        <w:t xml:space="preserve">Расходы бюджета </w:t>
      </w:r>
      <w:r w:rsidR="0053191F">
        <w:rPr>
          <w:rFonts w:ascii="Times New Roman" w:hAnsi="Times New Roman"/>
          <w:szCs w:val="28"/>
        </w:rPr>
        <w:t xml:space="preserve">города </w:t>
      </w:r>
      <w:r w:rsidRPr="00394D70">
        <w:rPr>
          <w:rFonts w:ascii="Times New Roman" w:hAnsi="Times New Roman"/>
          <w:szCs w:val="28"/>
        </w:rPr>
        <w:t>з</w:t>
      </w:r>
      <w:r w:rsidR="008D0A2C">
        <w:rPr>
          <w:rFonts w:ascii="Times New Roman" w:hAnsi="Times New Roman"/>
          <w:szCs w:val="28"/>
        </w:rPr>
        <w:t xml:space="preserve">а 2012 год составили 21,8 </w:t>
      </w:r>
      <w:proofErr w:type="spellStart"/>
      <w:r w:rsidR="008D0A2C">
        <w:rPr>
          <w:rFonts w:ascii="Times New Roman" w:hAnsi="Times New Roman"/>
          <w:szCs w:val="28"/>
        </w:rPr>
        <w:t>млрд</w:t>
      </w:r>
      <w:proofErr w:type="gramStart"/>
      <w:r w:rsidR="008D0A2C">
        <w:rPr>
          <w:rFonts w:ascii="Times New Roman" w:hAnsi="Times New Roman"/>
          <w:szCs w:val="28"/>
        </w:rPr>
        <w:t>.</w:t>
      </w:r>
      <w:r w:rsidRPr="00394D70">
        <w:rPr>
          <w:rFonts w:ascii="Times New Roman" w:hAnsi="Times New Roman"/>
          <w:szCs w:val="28"/>
        </w:rPr>
        <w:t>р</w:t>
      </w:r>
      <w:proofErr w:type="gramEnd"/>
      <w:r w:rsidRPr="00394D70">
        <w:rPr>
          <w:rFonts w:ascii="Times New Roman" w:hAnsi="Times New Roman"/>
          <w:szCs w:val="28"/>
        </w:rPr>
        <w:t>уб</w:t>
      </w:r>
      <w:proofErr w:type="spellEnd"/>
      <w:r w:rsidR="000A3420">
        <w:rPr>
          <w:rFonts w:ascii="Times New Roman" w:hAnsi="Times New Roman"/>
          <w:szCs w:val="28"/>
        </w:rPr>
        <w:t>.</w:t>
      </w:r>
      <w:r w:rsidRPr="00394D70">
        <w:rPr>
          <w:rFonts w:ascii="Times New Roman" w:hAnsi="Times New Roman"/>
          <w:szCs w:val="28"/>
        </w:rPr>
        <w:t xml:space="preserve"> или 91,4% от асс</w:t>
      </w:r>
      <w:r w:rsidR="006776F2">
        <w:rPr>
          <w:rFonts w:ascii="Times New Roman" w:hAnsi="Times New Roman"/>
          <w:szCs w:val="28"/>
        </w:rPr>
        <w:t xml:space="preserve">игнований 2012 года (23,9 </w:t>
      </w:r>
      <w:proofErr w:type="spellStart"/>
      <w:r w:rsidR="006776F2">
        <w:rPr>
          <w:rFonts w:ascii="Times New Roman" w:hAnsi="Times New Roman"/>
          <w:szCs w:val="28"/>
        </w:rPr>
        <w:t>млрд.</w:t>
      </w:r>
      <w:r w:rsidRPr="00394D70">
        <w:rPr>
          <w:rFonts w:ascii="Times New Roman" w:hAnsi="Times New Roman"/>
          <w:szCs w:val="28"/>
        </w:rPr>
        <w:t>руб</w:t>
      </w:r>
      <w:proofErr w:type="spellEnd"/>
      <w:r w:rsidR="000A3420">
        <w:rPr>
          <w:rFonts w:ascii="Times New Roman" w:hAnsi="Times New Roman"/>
          <w:szCs w:val="28"/>
        </w:rPr>
        <w:t>.</w:t>
      </w:r>
      <w:r w:rsidRPr="00394D70">
        <w:rPr>
          <w:rFonts w:ascii="Times New Roman" w:hAnsi="Times New Roman"/>
          <w:szCs w:val="28"/>
        </w:rPr>
        <w:t xml:space="preserve">) и сократились по сравнению </w:t>
      </w:r>
      <w:r w:rsidR="000A3420">
        <w:rPr>
          <w:rFonts w:ascii="Times New Roman" w:hAnsi="Times New Roman"/>
          <w:szCs w:val="28"/>
        </w:rPr>
        <w:br/>
      </w:r>
      <w:r w:rsidRPr="00394D70">
        <w:rPr>
          <w:rFonts w:ascii="Times New Roman" w:hAnsi="Times New Roman"/>
          <w:szCs w:val="28"/>
        </w:rPr>
        <w:t>с 2011 годом на 0,3%.</w:t>
      </w:r>
      <w:r>
        <w:rPr>
          <w:rFonts w:ascii="Times New Roman" w:hAnsi="Times New Roman"/>
          <w:szCs w:val="28"/>
        </w:rPr>
        <w:t xml:space="preserve"> </w:t>
      </w:r>
    </w:p>
    <w:p w:rsidR="00A03CEF" w:rsidRPr="00867A7B" w:rsidRDefault="00A03CEF" w:rsidP="00717BAC">
      <w:pPr>
        <w:suppressAutoHyphens/>
        <w:spacing w:line="240" w:lineRule="auto"/>
        <w:ind w:firstLine="709"/>
        <w:rPr>
          <w:rFonts w:ascii="Times New Roman" w:hAnsi="Times New Roman"/>
          <w:szCs w:val="28"/>
        </w:rPr>
      </w:pPr>
      <w:r w:rsidRPr="00AD7EAD">
        <w:rPr>
          <w:rFonts w:ascii="Times New Roman" w:hAnsi="Times New Roman"/>
          <w:szCs w:val="28"/>
        </w:rPr>
        <w:t>По результатам испо</w:t>
      </w:r>
      <w:r w:rsidRPr="00394D70">
        <w:rPr>
          <w:rFonts w:ascii="Times New Roman" w:hAnsi="Times New Roman"/>
          <w:szCs w:val="28"/>
        </w:rPr>
        <w:t>лнения бюджета города за 2012 год сложи</w:t>
      </w:r>
      <w:r w:rsidR="006776F2">
        <w:rPr>
          <w:rFonts w:ascii="Times New Roman" w:hAnsi="Times New Roman"/>
          <w:szCs w:val="28"/>
        </w:rPr>
        <w:t xml:space="preserve">лся профицит в сумме 441,9 </w:t>
      </w:r>
      <w:proofErr w:type="spellStart"/>
      <w:r w:rsidR="006776F2">
        <w:rPr>
          <w:rFonts w:ascii="Times New Roman" w:hAnsi="Times New Roman"/>
          <w:szCs w:val="28"/>
        </w:rPr>
        <w:t>млн</w:t>
      </w:r>
      <w:proofErr w:type="gramStart"/>
      <w:r w:rsidR="006776F2">
        <w:rPr>
          <w:rFonts w:ascii="Times New Roman" w:hAnsi="Times New Roman"/>
          <w:szCs w:val="28"/>
        </w:rPr>
        <w:t>.</w:t>
      </w:r>
      <w:r w:rsidRPr="00394D70">
        <w:rPr>
          <w:rFonts w:ascii="Times New Roman" w:hAnsi="Times New Roman"/>
          <w:szCs w:val="28"/>
        </w:rPr>
        <w:t>р</w:t>
      </w:r>
      <w:proofErr w:type="gramEnd"/>
      <w:r w:rsidRPr="00394D70">
        <w:rPr>
          <w:rFonts w:ascii="Times New Roman" w:hAnsi="Times New Roman"/>
          <w:szCs w:val="28"/>
        </w:rPr>
        <w:t>уб</w:t>
      </w:r>
      <w:proofErr w:type="spellEnd"/>
      <w:r w:rsidRPr="00394D70">
        <w:rPr>
          <w:rFonts w:ascii="Times New Roman" w:hAnsi="Times New Roman"/>
          <w:szCs w:val="28"/>
        </w:rPr>
        <w:t>.</w:t>
      </w:r>
    </w:p>
    <w:p w:rsidR="00A03CEF" w:rsidRDefault="00A03CEF" w:rsidP="00717BAC">
      <w:pPr>
        <w:pStyle w:val="standardtext"/>
        <w:spacing w:after="0"/>
      </w:pPr>
    </w:p>
    <w:p w:rsidR="00C85A1B" w:rsidRDefault="006776F2" w:rsidP="000A3420">
      <w:pPr>
        <w:pStyle w:val="ac"/>
        <w:keepNext/>
        <w:spacing w:line="240" w:lineRule="auto"/>
        <w:ind w:firstLine="720"/>
        <w:jc w:val="center"/>
        <w:rPr>
          <w:rStyle w:val="ae"/>
          <w:noProof/>
          <w:color w:val="auto"/>
          <w:u w:val="none"/>
        </w:rPr>
      </w:pPr>
      <w:r>
        <w:t>7</w:t>
      </w:r>
      <w:r w:rsidR="00C85A1B" w:rsidRPr="00201FF8">
        <w:t>.</w:t>
      </w:r>
      <w:r w:rsidR="00C85A1B" w:rsidRPr="00201FF8">
        <w:rPr>
          <w:rStyle w:val="ae"/>
          <w:noProof/>
          <w:color w:val="auto"/>
          <w:u w:val="none"/>
        </w:rPr>
        <w:t xml:space="preserve"> Город Пермь в</w:t>
      </w:r>
      <w:r>
        <w:rPr>
          <w:rStyle w:val="ae"/>
          <w:noProof/>
          <w:color w:val="auto"/>
          <w:u w:val="none"/>
        </w:rPr>
        <w:t xml:space="preserve"> экономике Российской Федерации</w:t>
      </w:r>
    </w:p>
    <w:p w:rsidR="006776F2" w:rsidRPr="006776F2" w:rsidRDefault="006776F2" w:rsidP="006776F2"/>
    <w:p w:rsidR="0053191F" w:rsidRDefault="006776F2" w:rsidP="0053191F">
      <w:pPr>
        <w:pStyle w:val="standardtext"/>
        <w:spacing w:after="0"/>
        <w:rPr>
          <w:rStyle w:val="ae"/>
          <w:b/>
          <w:color w:val="auto"/>
          <w:u w:val="none"/>
        </w:rPr>
      </w:pPr>
      <w:r>
        <w:rPr>
          <w:rStyle w:val="ae"/>
          <w:b/>
          <w:color w:val="auto"/>
          <w:u w:val="none"/>
        </w:rPr>
        <w:t>7</w:t>
      </w:r>
      <w:r w:rsidR="0053191F">
        <w:rPr>
          <w:rStyle w:val="ae"/>
          <w:b/>
          <w:color w:val="auto"/>
          <w:u w:val="none"/>
        </w:rPr>
        <w:t>.</w:t>
      </w:r>
      <w:r w:rsidR="00000258">
        <w:rPr>
          <w:rStyle w:val="ae"/>
          <w:b/>
          <w:color w:val="auto"/>
          <w:u w:val="none"/>
        </w:rPr>
        <w:t>1</w:t>
      </w:r>
      <w:r w:rsidR="0053191F">
        <w:rPr>
          <w:rStyle w:val="ae"/>
          <w:b/>
          <w:color w:val="auto"/>
          <w:u w:val="none"/>
        </w:rPr>
        <w:t>. Сравнение социально-экономического развития города Перми, Пермского края и Российской Федерации</w:t>
      </w:r>
    </w:p>
    <w:p w:rsidR="0053191F" w:rsidRDefault="0053191F" w:rsidP="006776F2">
      <w:pPr>
        <w:ind w:firstLine="709"/>
      </w:pPr>
      <w:r w:rsidRPr="00E73CD1">
        <w:t>Сравнивая</w:t>
      </w:r>
      <w:r>
        <w:t xml:space="preserve"> </w:t>
      </w:r>
      <w:r w:rsidRPr="00E73CD1">
        <w:t>социально-экономическое развитие города Перми с развитием Пермского края и Российской Федерации, можно отметить, что тенденции ра</w:t>
      </w:r>
      <w:r w:rsidRPr="00E73CD1">
        <w:t>з</w:t>
      </w:r>
      <w:r w:rsidRPr="00E73CD1">
        <w:t xml:space="preserve">вития Перми в целом схожи с </w:t>
      </w:r>
      <w:proofErr w:type="gramStart"/>
      <w:r w:rsidRPr="00E73CD1">
        <w:t>краевыми</w:t>
      </w:r>
      <w:proofErr w:type="gramEnd"/>
      <w:r w:rsidRPr="00E73CD1">
        <w:t xml:space="preserve"> и общероссийскими. Тем не </w:t>
      </w:r>
      <w:proofErr w:type="gramStart"/>
      <w:r w:rsidRPr="00E73CD1">
        <w:t>менее</w:t>
      </w:r>
      <w:proofErr w:type="gramEnd"/>
      <w:r w:rsidRPr="00E73CD1">
        <w:t xml:space="preserve"> </w:t>
      </w:r>
      <w:r w:rsidR="000A3420">
        <w:t xml:space="preserve">город </w:t>
      </w:r>
      <w:r w:rsidRPr="00E73CD1">
        <w:t>Пермь по многим среднедушевы</w:t>
      </w:r>
      <w:r>
        <w:t>м</w:t>
      </w:r>
      <w:r w:rsidRPr="00E73CD1">
        <w:t xml:space="preserve"> показател</w:t>
      </w:r>
      <w:r>
        <w:t>ям</w:t>
      </w:r>
      <w:r w:rsidRPr="00E73CD1">
        <w:t xml:space="preserve"> превышает </w:t>
      </w:r>
      <w:proofErr w:type="spellStart"/>
      <w:r w:rsidRPr="00000258">
        <w:t>среднекраевые</w:t>
      </w:r>
      <w:proofErr w:type="spellEnd"/>
      <w:r w:rsidRPr="00000258">
        <w:t xml:space="preserve"> </w:t>
      </w:r>
      <w:r w:rsidR="006776F2">
        <w:br/>
      </w:r>
      <w:r w:rsidRPr="00000258">
        <w:t xml:space="preserve">и </w:t>
      </w:r>
      <w:r w:rsidR="000A3420">
        <w:t>среднероссийские значения (рис.</w:t>
      </w:r>
      <w:r w:rsidR="006776F2">
        <w:t>7</w:t>
      </w:r>
      <w:r w:rsidRPr="00000258">
        <w:t>.</w:t>
      </w:r>
      <w:r w:rsidR="008C3C97">
        <w:t>1</w:t>
      </w:r>
      <w:r w:rsidRPr="00000258">
        <w:t xml:space="preserve">.1. – </w:t>
      </w:r>
      <w:r w:rsidR="006776F2">
        <w:t>7</w:t>
      </w:r>
      <w:r w:rsidRPr="00000258">
        <w:t>.</w:t>
      </w:r>
      <w:r w:rsidR="008C3C97">
        <w:t>1</w:t>
      </w:r>
      <w:r w:rsidRPr="00000258">
        <w:t>.6.).</w:t>
      </w:r>
    </w:p>
    <w:p w:rsidR="00000258" w:rsidRPr="00000258" w:rsidRDefault="00000258" w:rsidP="00000258"/>
    <w:p w:rsidR="0053191F" w:rsidRPr="00000258" w:rsidRDefault="0053191F" w:rsidP="00BC082B">
      <w:pPr>
        <w:ind w:firstLine="567"/>
      </w:pPr>
      <w:r w:rsidRPr="00000258">
        <w:rPr>
          <w:noProof/>
        </w:rPr>
        <w:drawing>
          <wp:inline distT="0" distB="0" distL="0" distR="0" wp14:anchorId="450D91A5" wp14:editId="3499511E">
            <wp:extent cx="5456122" cy="2482808"/>
            <wp:effectExtent l="0" t="0" r="0" b="0"/>
            <wp:docPr id="3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53191F" w:rsidRDefault="0053191F" w:rsidP="006776F2">
      <w:pPr>
        <w:ind w:firstLine="709"/>
        <w:rPr>
          <w:b/>
          <w:i/>
          <w:sz w:val="24"/>
        </w:rPr>
      </w:pPr>
      <w:r w:rsidRPr="00000258">
        <w:rPr>
          <w:b/>
          <w:i/>
          <w:sz w:val="24"/>
        </w:rPr>
        <w:t xml:space="preserve">Рис. </w:t>
      </w:r>
      <w:r w:rsidR="006776F2">
        <w:rPr>
          <w:b/>
          <w:i/>
          <w:sz w:val="24"/>
        </w:rPr>
        <w:t>7</w:t>
      </w:r>
      <w:r w:rsidRPr="00000258">
        <w:rPr>
          <w:b/>
          <w:i/>
          <w:sz w:val="24"/>
        </w:rPr>
        <w:t>.</w:t>
      </w:r>
      <w:r w:rsidR="00000258">
        <w:rPr>
          <w:b/>
          <w:i/>
          <w:sz w:val="24"/>
        </w:rPr>
        <w:t>1</w:t>
      </w:r>
      <w:r w:rsidRPr="00000258">
        <w:rPr>
          <w:b/>
          <w:i/>
          <w:sz w:val="24"/>
        </w:rPr>
        <w:t>.1. Сальдированный финансовый результат</w:t>
      </w:r>
      <w:r w:rsidR="006776F2">
        <w:rPr>
          <w:b/>
          <w:i/>
          <w:sz w:val="24"/>
        </w:rPr>
        <w:t xml:space="preserve">, </w:t>
      </w:r>
      <w:proofErr w:type="spellStart"/>
      <w:r w:rsidR="006776F2">
        <w:rPr>
          <w:b/>
          <w:i/>
          <w:sz w:val="24"/>
        </w:rPr>
        <w:t>тыс</w:t>
      </w:r>
      <w:proofErr w:type="gramStart"/>
      <w:r w:rsidR="006776F2">
        <w:rPr>
          <w:b/>
          <w:i/>
          <w:sz w:val="24"/>
        </w:rPr>
        <w:t>.</w:t>
      </w:r>
      <w:r w:rsidR="00000258">
        <w:rPr>
          <w:b/>
          <w:i/>
          <w:sz w:val="24"/>
        </w:rPr>
        <w:t>р</w:t>
      </w:r>
      <w:proofErr w:type="gramEnd"/>
      <w:r w:rsidR="00000258">
        <w:rPr>
          <w:b/>
          <w:i/>
          <w:sz w:val="24"/>
        </w:rPr>
        <w:t>уб</w:t>
      </w:r>
      <w:proofErr w:type="spellEnd"/>
      <w:r w:rsidR="00BC082B">
        <w:rPr>
          <w:b/>
          <w:i/>
          <w:sz w:val="24"/>
        </w:rPr>
        <w:t>.</w:t>
      </w:r>
      <w:r w:rsidR="00000258">
        <w:rPr>
          <w:b/>
          <w:i/>
          <w:sz w:val="24"/>
        </w:rPr>
        <w:t xml:space="preserve"> на душу населения</w:t>
      </w:r>
    </w:p>
    <w:p w:rsidR="006776F2" w:rsidRPr="00000258" w:rsidRDefault="006776F2" w:rsidP="006776F2">
      <w:pPr>
        <w:ind w:firstLine="709"/>
        <w:rPr>
          <w:b/>
          <w:i/>
          <w:sz w:val="24"/>
        </w:rPr>
      </w:pPr>
    </w:p>
    <w:p w:rsidR="0053191F" w:rsidRPr="00E73CD1" w:rsidRDefault="0053191F" w:rsidP="00BC082B">
      <w:pPr>
        <w:pStyle w:val="a5"/>
        <w:keepNext/>
        <w:spacing w:after="0" w:line="240" w:lineRule="auto"/>
        <w:ind w:left="0" w:firstLine="567"/>
        <w:jc w:val="center"/>
        <w:rPr>
          <w:rFonts w:ascii="Times New Roman" w:hAnsi="Times New Roman"/>
          <w:szCs w:val="28"/>
          <w:lang w:val="en-US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5A8733D4" wp14:editId="0FDC3C90">
            <wp:extent cx="5758903" cy="2894591"/>
            <wp:effectExtent l="0" t="0" r="0" b="0"/>
            <wp:docPr id="4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53191F" w:rsidRDefault="0053191F" w:rsidP="006776F2">
      <w:pPr>
        <w:pStyle w:val="a5"/>
        <w:spacing w:after="0" w:line="240" w:lineRule="auto"/>
        <w:ind w:left="0"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Рис. </w:t>
      </w:r>
      <w:r w:rsidR="006776F2">
        <w:rPr>
          <w:rFonts w:ascii="Times New Roman" w:hAnsi="Times New Roman"/>
          <w:b/>
          <w:i/>
          <w:sz w:val="24"/>
          <w:szCs w:val="24"/>
        </w:rPr>
        <w:t>7</w:t>
      </w:r>
      <w:r>
        <w:rPr>
          <w:rFonts w:ascii="Times New Roman" w:hAnsi="Times New Roman"/>
          <w:b/>
          <w:i/>
          <w:sz w:val="24"/>
          <w:szCs w:val="24"/>
        </w:rPr>
        <w:t>.</w:t>
      </w:r>
      <w:r w:rsidR="00000258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.2</w:t>
      </w:r>
      <w:r w:rsidRPr="0025574E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6776F2">
        <w:rPr>
          <w:rFonts w:ascii="Times New Roman" w:hAnsi="Times New Roman"/>
          <w:b/>
          <w:i/>
          <w:sz w:val="24"/>
          <w:szCs w:val="24"/>
        </w:rPr>
        <w:t xml:space="preserve">Оборот розничной торговли, </w:t>
      </w:r>
      <w:proofErr w:type="spellStart"/>
      <w:r w:rsidR="006776F2">
        <w:rPr>
          <w:rFonts w:ascii="Times New Roman" w:hAnsi="Times New Roman"/>
          <w:b/>
          <w:i/>
          <w:sz w:val="24"/>
          <w:szCs w:val="24"/>
        </w:rPr>
        <w:t>тыс</w:t>
      </w:r>
      <w:proofErr w:type="gramStart"/>
      <w:r w:rsidR="006776F2">
        <w:rPr>
          <w:rFonts w:ascii="Times New Roman" w:hAnsi="Times New Roman"/>
          <w:b/>
          <w:i/>
          <w:sz w:val="24"/>
          <w:szCs w:val="24"/>
        </w:rPr>
        <w:t>.</w:t>
      </w:r>
      <w:r w:rsidRPr="0025574E">
        <w:rPr>
          <w:rFonts w:ascii="Times New Roman" w:hAnsi="Times New Roman"/>
          <w:b/>
          <w:i/>
          <w:sz w:val="24"/>
          <w:szCs w:val="24"/>
        </w:rPr>
        <w:t>р</w:t>
      </w:r>
      <w:proofErr w:type="gramEnd"/>
      <w:r w:rsidRPr="0025574E">
        <w:rPr>
          <w:rFonts w:ascii="Times New Roman" w:hAnsi="Times New Roman"/>
          <w:b/>
          <w:i/>
          <w:sz w:val="24"/>
          <w:szCs w:val="24"/>
        </w:rPr>
        <w:t>уб</w:t>
      </w:r>
      <w:proofErr w:type="spellEnd"/>
      <w:r w:rsidR="00BC082B">
        <w:rPr>
          <w:rFonts w:ascii="Times New Roman" w:hAnsi="Times New Roman"/>
          <w:b/>
          <w:i/>
          <w:sz w:val="24"/>
          <w:szCs w:val="24"/>
        </w:rPr>
        <w:t>.</w:t>
      </w:r>
      <w:r w:rsidRPr="0025574E">
        <w:rPr>
          <w:rFonts w:ascii="Times New Roman" w:hAnsi="Times New Roman"/>
          <w:b/>
          <w:i/>
          <w:sz w:val="24"/>
          <w:szCs w:val="24"/>
        </w:rPr>
        <w:t xml:space="preserve"> на душу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00258">
        <w:rPr>
          <w:rFonts w:ascii="Times New Roman" w:hAnsi="Times New Roman"/>
          <w:b/>
          <w:i/>
          <w:sz w:val="24"/>
          <w:szCs w:val="24"/>
        </w:rPr>
        <w:t>населения</w:t>
      </w:r>
    </w:p>
    <w:p w:rsidR="006776F2" w:rsidRDefault="006776F2" w:rsidP="006776F2">
      <w:pPr>
        <w:pStyle w:val="a5"/>
        <w:spacing w:after="0" w:line="240" w:lineRule="auto"/>
        <w:ind w:left="0" w:firstLine="709"/>
        <w:rPr>
          <w:rFonts w:ascii="Times New Roman" w:hAnsi="Times New Roman"/>
          <w:b/>
          <w:i/>
          <w:sz w:val="24"/>
          <w:szCs w:val="24"/>
        </w:rPr>
      </w:pPr>
    </w:p>
    <w:p w:rsidR="0053191F" w:rsidRPr="0025574E" w:rsidRDefault="0053191F" w:rsidP="00BC082B">
      <w:pPr>
        <w:pStyle w:val="a5"/>
        <w:spacing w:after="0" w:line="240" w:lineRule="auto"/>
        <w:ind w:left="0" w:firstLine="567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0F0C0D0C" wp14:editId="5C5D49B1">
            <wp:extent cx="5577235" cy="2652366"/>
            <wp:effectExtent l="0" t="0" r="0" b="0"/>
            <wp:docPr id="5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53191F" w:rsidRPr="0025574E" w:rsidRDefault="0053191F" w:rsidP="006776F2">
      <w:pPr>
        <w:pStyle w:val="a5"/>
        <w:spacing w:after="0" w:line="240" w:lineRule="auto"/>
        <w:ind w:left="0" w:firstLine="709"/>
        <w:jc w:val="lef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Рис.</w:t>
      </w:r>
      <w:r w:rsidR="008C3C9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776F2">
        <w:rPr>
          <w:rFonts w:ascii="Times New Roman" w:hAnsi="Times New Roman"/>
          <w:b/>
          <w:i/>
          <w:sz w:val="24"/>
          <w:szCs w:val="24"/>
        </w:rPr>
        <w:t>7</w:t>
      </w:r>
      <w:r>
        <w:rPr>
          <w:rFonts w:ascii="Times New Roman" w:hAnsi="Times New Roman"/>
          <w:b/>
          <w:i/>
          <w:sz w:val="24"/>
          <w:szCs w:val="24"/>
        </w:rPr>
        <w:t>.</w:t>
      </w:r>
      <w:r w:rsidR="00000258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.3</w:t>
      </w:r>
      <w:r w:rsidRPr="0025574E">
        <w:rPr>
          <w:rFonts w:ascii="Times New Roman" w:hAnsi="Times New Roman"/>
          <w:b/>
          <w:i/>
          <w:sz w:val="24"/>
          <w:szCs w:val="24"/>
        </w:rPr>
        <w:t>. Оборот общ</w:t>
      </w:r>
      <w:r w:rsidR="006776F2">
        <w:rPr>
          <w:rFonts w:ascii="Times New Roman" w:hAnsi="Times New Roman"/>
          <w:b/>
          <w:i/>
          <w:sz w:val="24"/>
          <w:szCs w:val="24"/>
        </w:rPr>
        <w:t xml:space="preserve">ественного питания, </w:t>
      </w:r>
      <w:proofErr w:type="spellStart"/>
      <w:r w:rsidR="006776F2">
        <w:rPr>
          <w:rFonts w:ascii="Times New Roman" w:hAnsi="Times New Roman"/>
          <w:b/>
          <w:i/>
          <w:sz w:val="24"/>
          <w:szCs w:val="24"/>
        </w:rPr>
        <w:t>тыс</w:t>
      </w:r>
      <w:proofErr w:type="gramStart"/>
      <w:r w:rsidR="006776F2">
        <w:rPr>
          <w:rFonts w:ascii="Times New Roman" w:hAnsi="Times New Roman"/>
          <w:b/>
          <w:i/>
          <w:sz w:val="24"/>
          <w:szCs w:val="24"/>
        </w:rPr>
        <w:t>.р</w:t>
      </w:r>
      <w:proofErr w:type="gramEnd"/>
      <w:r w:rsidR="006776F2">
        <w:rPr>
          <w:rFonts w:ascii="Times New Roman" w:hAnsi="Times New Roman"/>
          <w:b/>
          <w:i/>
          <w:sz w:val="24"/>
          <w:szCs w:val="24"/>
        </w:rPr>
        <w:t>уб</w:t>
      </w:r>
      <w:proofErr w:type="spellEnd"/>
      <w:r w:rsidR="00BC082B">
        <w:rPr>
          <w:rFonts w:ascii="Times New Roman" w:hAnsi="Times New Roman"/>
          <w:b/>
          <w:i/>
          <w:sz w:val="24"/>
          <w:szCs w:val="24"/>
        </w:rPr>
        <w:t>.</w:t>
      </w:r>
      <w:r w:rsidRPr="0025574E">
        <w:rPr>
          <w:rFonts w:ascii="Times New Roman" w:hAnsi="Times New Roman"/>
          <w:b/>
          <w:i/>
          <w:sz w:val="24"/>
          <w:szCs w:val="24"/>
        </w:rPr>
        <w:t xml:space="preserve"> на душу населения </w:t>
      </w:r>
    </w:p>
    <w:p w:rsidR="0053191F" w:rsidRPr="00E73CD1" w:rsidRDefault="0053191F" w:rsidP="00BC082B">
      <w:pPr>
        <w:pStyle w:val="a5"/>
        <w:keepNext/>
        <w:spacing w:after="0" w:line="240" w:lineRule="auto"/>
        <w:ind w:left="0" w:firstLine="567"/>
        <w:jc w:val="center"/>
        <w:rPr>
          <w:rFonts w:ascii="Times New Roman" w:hAnsi="Times New Roman"/>
          <w:szCs w:val="28"/>
          <w:highlight w:val="yellow"/>
          <w:lang w:val="en-US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01E0FE52" wp14:editId="2F893C4C">
            <wp:extent cx="5668069" cy="2955147"/>
            <wp:effectExtent l="0" t="0" r="0" b="0"/>
            <wp:docPr id="6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53191F" w:rsidRDefault="0053191F" w:rsidP="006776F2">
      <w:pPr>
        <w:pStyle w:val="a5"/>
        <w:spacing w:after="0" w:line="240" w:lineRule="auto"/>
        <w:ind w:left="0"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Рис. </w:t>
      </w:r>
      <w:r w:rsidR="006776F2">
        <w:rPr>
          <w:rFonts w:ascii="Times New Roman" w:hAnsi="Times New Roman"/>
          <w:b/>
          <w:i/>
          <w:sz w:val="24"/>
          <w:szCs w:val="24"/>
        </w:rPr>
        <w:t>7</w:t>
      </w:r>
      <w:r>
        <w:rPr>
          <w:rFonts w:ascii="Times New Roman" w:hAnsi="Times New Roman"/>
          <w:b/>
          <w:i/>
          <w:sz w:val="24"/>
          <w:szCs w:val="24"/>
        </w:rPr>
        <w:t>.</w:t>
      </w:r>
      <w:r w:rsidR="00000258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.4</w:t>
      </w:r>
      <w:r w:rsidRPr="0025574E">
        <w:rPr>
          <w:rFonts w:ascii="Times New Roman" w:hAnsi="Times New Roman"/>
          <w:b/>
          <w:i/>
          <w:sz w:val="24"/>
          <w:szCs w:val="24"/>
        </w:rPr>
        <w:t xml:space="preserve">. Среднемесячная заработная </w:t>
      </w:r>
      <w:r w:rsidR="006776F2">
        <w:rPr>
          <w:rFonts w:ascii="Times New Roman" w:hAnsi="Times New Roman"/>
          <w:b/>
          <w:i/>
          <w:sz w:val="24"/>
          <w:szCs w:val="24"/>
        </w:rPr>
        <w:t xml:space="preserve">плата, </w:t>
      </w:r>
      <w:proofErr w:type="spellStart"/>
      <w:r w:rsidR="006776F2">
        <w:rPr>
          <w:rFonts w:ascii="Times New Roman" w:hAnsi="Times New Roman"/>
          <w:b/>
          <w:i/>
          <w:sz w:val="24"/>
          <w:szCs w:val="24"/>
        </w:rPr>
        <w:t>тыс</w:t>
      </w:r>
      <w:proofErr w:type="gramStart"/>
      <w:r w:rsidR="006776F2">
        <w:rPr>
          <w:rFonts w:ascii="Times New Roman" w:hAnsi="Times New Roman"/>
          <w:b/>
          <w:i/>
          <w:sz w:val="24"/>
          <w:szCs w:val="24"/>
        </w:rPr>
        <w:t>.</w:t>
      </w:r>
      <w:r w:rsidR="00000258">
        <w:rPr>
          <w:rFonts w:ascii="Times New Roman" w:hAnsi="Times New Roman"/>
          <w:b/>
          <w:i/>
          <w:sz w:val="24"/>
          <w:szCs w:val="24"/>
        </w:rPr>
        <w:t>р</w:t>
      </w:r>
      <w:proofErr w:type="gramEnd"/>
      <w:r w:rsidR="00000258">
        <w:rPr>
          <w:rFonts w:ascii="Times New Roman" w:hAnsi="Times New Roman"/>
          <w:b/>
          <w:i/>
          <w:sz w:val="24"/>
          <w:szCs w:val="24"/>
        </w:rPr>
        <w:t>уб</w:t>
      </w:r>
      <w:proofErr w:type="spellEnd"/>
      <w:r w:rsidR="00BC082B">
        <w:rPr>
          <w:rFonts w:ascii="Times New Roman" w:hAnsi="Times New Roman"/>
          <w:b/>
          <w:i/>
          <w:sz w:val="24"/>
          <w:szCs w:val="24"/>
        </w:rPr>
        <w:t>.</w:t>
      </w:r>
    </w:p>
    <w:p w:rsidR="006776F2" w:rsidRPr="0025574E" w:rsidRDefault="006776F2" w:rsidP="006776F2">
      <w:pPr>
        <w:pStyle w:val="a5"/>
        <w:spacing w:after="0" w:line="240" w:lineRule="auto"/>
        <w:ind w:left="0" w:firstLine="709"/>
        <w:rPr>
          <w:rFonts w:ascii="Times New Roman" w:hAnsi="Times New Roman"/>
          <w:b/>
          <w:i/>
          <w:sz w:val="24"/>
          <w:szCs w:val="24"/>
        </w:rPr>
      </w:pPr>
    </w:p>
    <w:p w:rsidR="0053191F" w:rsidRDefault="0053191F" w:rsidP="0053191F">
      <w:pPr>
        <w:pStyle w:val="a5"/>
        <w:keepNext/>
        <w:spacing w:after="0" w:line="240" w:lineRule="auto"/>
        <w:ind w:left="0"/>
        <w:jc w:val="center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drawing>
          <wp:inline distT="0" distB="0" distL="0" distR="0" wp14:anchorId="3EDB0568" wp14:editId="736B306F">
            <wp:extent cx="5652770" cy="2600960"/>
            <wp:effectExtent l="0" t="0" r="0" b="0"/>
            <wp:docPr id="7" name="Диаграмма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53191F" w:rsidRDefault="0053191F" w:rsidP="006776F2">
      <w:pPr>
        <w:pStyle w:val="a5"/>
        <w:spacing w:after="0" w:line="240" w:lineRule="auto"/>
        <w:ind w:left="0" w:firstLine="709"/>
        <w:rPr>
          <w:rFonts w:ascii="Times New Roman" w:hAnsi="Times New Roman"/>
          <w:b/>
          <w:i/>
          <w:noProof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Рис. </w:t>
      </w:r>
      <w:r w:rsidR="006776F2">
        <w:rPr>
          <w:rFonts w:ascii="Times New Roman" w:hAnsi="Times New Roman"/>
          <w:b/>
          <w:i/>
          <w:sz w:val="24"/>
          <w:szCs w:val="24"/>
        </w:rPr>
        <w:t>7</w:t>
      </w:r>
      <w:r>
        <w:rPr>
          <w:rFonts w:ascii="Times New Roman" w:hAnsi="Times New Roman"/>
          <w:b/>
          <w:i/>
          <w:sz w:val="24"/>
          <w:szCs w:val="24"/>
        </w:rPr>
        <w:t>.</w:t>
      </w:r>
      <w:r w:rsidR="00000258">
        <w:rPr>
          <w:rFonts w:ascii="Times New Roman" w:hAnsi="Times New Roman"/>
          <w:b/>
          <w:i/>
          <w:sz w:val="24"/>
          <w:szCs w:val="24"/>
        </w:rPr>
        <w:t>1</w:t>
      </w:r>
      <w:r>
        <w:rPr>
          <w:rFonts w:ascii="Times New Roman" w:hAnsi="Times New Roman"/>
          <w:b/>
          <w:i/>
          <w:sz w:val="24"/>
          <w:szCs w:val="24"/>
        </w:rPr>
        <w:t>.5</w:t>
      </w:r>
      <w:r w:rsidRPr="0025574E">
        <w:rPr>
          <w:rFonts w:ascii="Times New Roman" w:hAnsi="Times New Roman"/>
          <w:b/>
          <w:i/>
          <w:sz w:val="24"/>
          <w:szCs w:val="24"/>
        </w:rPr>
        <w:t xml:space="preserve">. Ввод в действие жилья, </w:t>
      </w:r>
      <w:proofErr w:type="spellStart"/>
      <w:r w:rsidRPr="0025574E">
        <w:rPr>
          <w:rFonts w:ascii="Times New Roman" w:hAnsi="Times New Roman"/>
          <w:b/>
          <w:i/>
          <w:sz w:val="24"/>
          <w:szCs w:val="24"/>
        </w:rPr>
        <w:t>кв</w:t>
      </w:r>
      <w:proofErr w:type="gramStart"/>
      <w:r w:rsidRPr="0025574E">
        <w:rPr>
          <w:rFonts w:ascii="Times New Roman" w:hAnsi="Times New Roman"/>
          <w:b/>
          <w:i/>
          <w:sz w:val="24"/>
          <w:szCs w:val="24"/>
        </w:rPr>
        <w:t>.м</w:t>
      </w:r>
      <w:proofErr w:type="spellEnd"/>
      <w:proofErr w:type="gramEnd"/>
      <w:r w:rsidRPr="0025574E">
        <w:rPr>
          <w:rFonts w:ascii="Times New Roman" w:hAnsi="Times New Roman"/>
          <w:b/>
          <w:i/>
          <w:sz w:val="24"/>
          <w:szCs w:val="24"/>
        </w:rPr>
        <w:t xml:space="preserve"> на 1 000 населения</w:t>
      </w:r>
      <w:r w:rsidRPr="0025574E">
        <w:rPr>
          <w:rFonts w:ascii="Times New Roman" w:hAnsi="Times New Roman"/>
          <w:b/>
          <w:i/>
          <w:noProof/>
          <w:sz w:val="24"/>
          <w:szCs w:val="24"/>
        </w:rPr>
        <w:t xml:space="preserve"> </w:t>
      </w:r>
    </w:p>
    <w:p w:rsidR="006776F2" w:rsidRPr="0025574E" w:rsidRDefault="006776F2" w:rsidP="006776F2">
      <w:pPr>
        <w:pStyle w:val="a5"/>
        <w:spacing w:after="0" w:line="240" w:lineRule="auto"/>
        <w:ind w:left="0" w:firstLine="709"/>
        <w:rPr>
          <w:rFonts w:ascii="Times New Roman" w:hAnsi="Times New Roman"/>
          <w:b/>
          <w:i/>
          <w:noProof/>
          <w:sz w:val="24"/>
          <w:szCs w:val="24"/>
        </w:rPr>
      </w:pPr>
    </w:p>
    <w:p w:rsidR="0053191F" w:rsidRPr="0073489B" w:rsidRDefault="0053191F" w:rsidP="0053191F">
      <w:pPr>
        <w:pStyle w:val="a5"/>
        <w:keepNext/>
        <w:spacing w:after="0" w:line="240" w:lineRule="auto"/>
        <w:ind w:left="0"/>
        <w:jc w:val="center"/>
        <w:rPr>
          <w:rFonts w:ascii="Times New Roman" w:hAnsi="Times New Roman"/>
          <w:noProof/>
          <w:szCs w:val="28"/>
          <w:lang w:val="en-US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722E015D" wp14:editId="69F75454">
            <wp:extent cx="5328953" cy="2609976"/>
            <wp:effectExtent l="0" t="0" r="0" b="0"/>
            <wp:docPr id="8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53191F" w:rsidRPr="0025574E" w:rsidRDefault="0053191F" w:rsidP="0053191F">
      <w:pPr>
        <w:pStyle w:val="a5"/>
        <w:spacing w:after="0" w:line="240" w:lineRule="auto"/>
        <w:ind w:left="0" w:firstLine="42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</w:rPr>
        <w:t xml:space="preserve">Рис. </w:t>
      </w:r>
      <w:r w:rsidR="006776F2">
        <w:rPr>
          <w:rFonts w:ascii="Times New Roman" w:hAnsi="Times New Roman"/>
          <w:b/>
          <w:i/>
          <w:noProof/>
          <w:sz w:val="24"/>
          <w:szCs w:val="24"/>
        </w:rPr>
        <w:t>7</w:t>
      </w:r>
      <w:r w:rsidR="00000258">
        <w:rPr>
          <w:rFonts w:ascii="Times New Roman" w:hAnsi="Times New Roman"/>
          <w:b/>
          <w:i/>
          <w:noProof/>
          <w:sz w:val="24"/>
          <w:szCs w:val="24"/>
        </w:rPr>
        <w:t>.1</w:t>
      </w:r>
      <w:r>
        <w:rPr>
          <w:rFonts w:ascii="Times New Roman" w:hAnsi="Times New Roman"/>
          <w:b/>
          <w:i/>
          <w:noProof/>
          <w:sz w:val="24"/>
          <w:szCs w:val="24"/>
        </w:rPr>
        <w:t>.6</w:t>
      </w:r>
      <w:r w:rsidRPr="0025574E">
        <w:rPr>
          <w:rFonts w:ascii="Times New Roman" w:hAnsi="Times New Roman"/>
          <w:b/>
          <w:i/>
          <w:noProof/>
          <w:sz w:val="24"/>
          <w:szCs w:val="24"/>
        </w:rPr>
        <w:t xml:space="preserve">. </w:t>
      </w:r>
      <w:r w:rsidRPr="0025574E">
        <w:rPr>
          <w:rFonts w:ascii="Times New Roman" w:hAnsi="Times New Roman"/>
          <w:b/>
          <w:i/>
          <w:sz w:val="24"/>
          <w:szCs w:val="24"/>
        </w:rPr>
        <w:t>Уровень за</w:t>
      </w:r>
      <w:r w:rsidR="00000258">
        <w:rPr>
          <w:rFonts w:ascii="Times New Roman" w:hAnsi="Times New Roman"/>
          <w:b/>
          <w:i/>
          <w:sz w:val="24"/>
          <w:szCs w:val="24"/>
        </w:rPr>
        <w:t>регистрированной безработицы, %</w:t>
      </w:r>
    </w:p>
    <w:p w:rsidR="0053191F" w:rsidRDefault="0053191F" w:rsidP="0053191F">
      <w:pPr>
        <w:pStyle w:val="a5"/>
        <w:spacing w:after="0" w:line="240" w:lineRule="auto"/>
        <w:ind w:left="0" w:firstLine="709"/>
        <w:rPr>
          <w:rFonts w:ascii="Times New Roman" w:hAnsi="Times New Roman"/>
          <w:noProof/>
          <w:szCs w:val="28"/>
        </w:rPr>
      </w:pPr>
    </w:p>
    <w:p w:rsidR="0053191F" w:rsidRDefault="0053191F" w:rsidP="0053191F">
      <w:pPr>
        <w:pStyle w:val="a5"/>
        <w:spacing w:after="0" w:line="240" w:lineRule="auto"/>
        <w:ind w:left="0" w:firstLine="709"/>
        <w:rPr>
          <w:rFonts w:ascii="Times New Roman" w:hAnsi="Times New Roman"/>
          <w:noProof/>
          <w:szCs w:val="28"/>
        </w:rPr>
      </w:pPr>
      <w:r w:rsidRPr="00A23A51">
        <w:rPr>
          <w:rFonts w:ascii="Times New Roman" w:hAnsi="Times New Roman"/>
          <w:noProof/>
          <w:szCs w:val="28"/>
        </w:rPr>
        <w:t xml:space="preserve">Уровень смертности в </w:t>
      </w:r>
      <w:r w:rsidR="005F332E">
        <w:rPr>
          <w:rFonts w:ascii="Times New Roman" w:hAnsi="Times New Roman"/>
          <w:noProof/>
          <w:szCs w:val="28"/>
        </w:rPr>
        <w:t xml:space="preserve">городе </w:t>
      </w:r>
      <w:r w:rsidRPr="00A23A51">
        <w:rPr>
          <w:rFonts w:ascii="Times New Roman" w:hAnsi="Times New Roman"/>
          <w:noProof/>
          <w:szCs w:val="28"/>
        </w:rPr>
        <w:t xml:space="preserve">Перми на протяжении </w:t>
      </w:r>
      <w:r>
        <w:rPr>
          <w:rFonts w:ascii="Times New Roman" w:hAnsi="Times New Roman"/>
          <w:noProof/>
          <w:szCs w:val="28"/>
        </w:rPr>
        <w:t>последних лет</w:t>
      </w:r>
      <w:r w:rsidRPr="00A23A51">
        <w:rPr>
          <w:rFonts w:ascii="Times New Roman" w:hAnsi="Times New Roman"/>
          <w:noProof/>
          <w:szCs w:val="28"/>
        </w:rPr>
        <w:t xml:space="preserve"> был ниже, чем по Пермскому краю и России. Рождаемость в Перми ниже, чем </w:t>
      </w:r>
      <w:r w:rsidR="00716446">
        <w:rPr>
          <w:rFonts w:ascii="Times New Roman" w:hAnsi="Times New Roman"/>
          <w:noProof/>
          <w:szCs w:val="28"/>
        </w:rPr>
        <w:br/>
      </w:r>
      <w:r w:rsidRPr="00A23A51">
        <w:rPr>
          <w:rFonts w:ascii="Times New Roman" w:hAnsi="Times New Roman"/>
          <w:noProof/>
          <w:szCs w:val="28"/>
        </w:rPr>
        <w:t>по краю, но выше российского значения. Таким образом, Пермь демонстрирует лучшие значения по естественному приросту (убыли).</w:t>
      </w:r>
    </w:p>
    <w:p w:rsidR="006776F2" w:rsidRPr="0025574E" w:rsidRDefault="006776F2" w:rsidP="0053191F">
      <w:pPr>
        <w:pStyle w:val="a5"/>
        <w:spacing w:after="0" w:line="240" w:lineRule="auto"/>
        <w:ind w:left="0" w:firstLine="709"/>
        <w:rPr>
          <w:rFonts w:ascii="Times New Roman" w:hAnsi="Times New Roman"/>
          <w:szCs w:val="28"/>
        </w:rPr>
      </w:pPr>
    </w:p>
    <w:p w:rsidR="0053191F" w:rsidRPr="00A23A51" w:rsidRDefault="0053191F" w:rsidP="0053191F">
      <w:pPr>
        <w:pStyle w:val="a5"/>
        <w:keepNext/>
        <w:spacing w:after="0" w:line="240" w:lineRule="auto"/>
        <w:ind w:left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506B0AFB" wp14:editId="359131AD">
            <wp:extent cx="5830570" cy="2826385"/>
            <wp:effectExtent l="0" t="0" r="0" b="0"/>
            <wp:docPr id="9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53191F" w:rsidRDefault="0053191F" w:rsidP="006776F2">
      <w:pPr>
        <w:pStyle w:val="a5"/>
        <w:spacing w:after="0" w:line="240" w:lineRule="auto"/>
        <w:ind w:left="0" w:firstLine="709"/>
        <w:rPr>
          <w:rFonts w:ascii="Times New Roman" w:hAnsi="Times New Roman"/>
          <w:b/>
          <w:i/>
          <w:sz w:val="24"/>
          <w:szCs w:val="24"/>
        </w:rPr>
      </w:pPr>
      <w:r w:rsidRPr="0025574E">
        <w:rPr>
          <w:rFonts w:ascii="Times New Roman" w:hAnsi="Times New Roman"/>
          <w:b/>
          <w:i/>
          <w:sz w:val="24"/>
          <w:szCs w:val="24"/>
        </w:rPr>
        <w:t xml:space="preserve">Рис. </w:t>
      </w:r>
      <w:r w:rsidR="006776F2">
        <w:rPr>
          <w:rFonts w:ascii="Times New Roman" w:hAnsi="Times New Roman"/>
          <w:b/>
          <w:i/>
          <w:sz w:val="24"/>
          <w:szCs w:val="24"/>
        </w:rPr>
        <w:t>7</w:t>
      </w:r>
      <w:r w:rsidRPr="0025574E">
        <w:rPr>
          <w:rFonts w:ascii="Times New Roman" w:hAnsi="Times New Roman"/>
          <w:b/>
          <w:i/>
          <w:sz w:val="24"/>
          <w:szCs w:val="24"/>
        </w:rPr>
        <w:t>.</w:t>
      </w:r>
      <w:r w:rsidR="00000258">
        <w:rPr>
          <w:rFonts w:ascii="Times New Roman" w:hAnsi="Times New Roman"/>
          <w:b/>
          <w:i/>
          <w:sz w:val="24"/>
          <w:szCs w:val="24"/>
        </w:rPr>
        <w:t>1</w:t>
      </w:r>
      <w:r w:rsidRPr="0025574E">
        <w:rPr>
          <w:rFonts w:ascii="Times New Roman" w:hAnsi="Times New Roman"/>
          <w:b/>
          <w:i/>
          <w:sz w:val="24"/>
          <w:szCs w:val="24"/>
        </w:rPr>
        <w:t>.7. Естественный прирост (убыль) населения, ‰</w:t>
      </w:r>
    </w:p>
    <w:p w:rsidR="00000258" w:rsidRPr="0025574E" w:rsidRDefault="00000258" w:rsidP="0053191F">
      <w:pPr>
        <w:pStyle w:val="a5"/>
        <w:spacing w:after="0" w:line="240" w:lineRule="auto"/>
        <w:ind w:left="0" w:firstLine="426"/>
        <w:rPr>
          <w:rFonts w:ascii="Times New Roman" w:hAnsi="Times New Roman"/>
          <w:b/>
          <w:szCs w:val="28"/>
        </w:rPr>
      </w:pPr>
    </w:p>
    <w:p w:rsidR="0053191F" w:rsidRDefault="0053191F" w:rsidP="0053191F">
      <w:pPr>
        <w:pStyle w:val="a5"/>
        <w:spacing w:after="0" w:line="240" w:lineRule="auto"/>
        <w:ind w:left="0" w:firstLine="709"/>
        <w:rPr>
          <w:rFonts w:ascii="Times New Roman" w:hAnsi="Times New Roman"/>
          <w:szCs w:val="28"/>
        </w:rPr>
      </w:pPr>
      <w:r w:rsidRPr="000132D0">
        <w:rPr>
          <w:rFonts w:ascii="Times New Roman" w:hAnsi="Times New Roman"/>
          <w:szCs w:val="28"/>
        </w:rPr>
        <w:t xml:space="preserve">По итогам 2012 </w:t>
      </w:r>
      <w:r w:rsidRPr="00812884">
        <w:rPr>
          <w:rFonts w:ascii="Times New Roman" w:hAnsi="Times New Roman"/>
          <w:szCs w:val="28"/>
        </w:rPr>
        <w:t>года индекс промышленного производства был ниже ан</w:t>
      </w:r>
      <w:r w:rsidRPr="00812884">
        <w:rPr>
          <w:rFonts w:ascii="Times New Roman" w:hAnsi="Times New Roman"/>
          <w:szCs w:val="28"/>
        </w:rPr>
        <w:t>а</w:t>
      </w:r>
      <w:r w:rsidRPr="00812884">
        <w:rPr>
          <w:rFonts w:ascii="Times New Roman" w:hAnsi="Times New Roman"/>
          <w:szCs w:val="28"/>
        </w:rPr>
        <w:t>логичных значений показателей по Пермскому краю и Российской Федерации большей частью за счет значительного снижения промышленного производства на машиностроительных предприятиях</w:t>
      </w:r>
      <w:r>
        <w:rPr>
          <w:rFonts w:ascii="Times New Roman" w:hAnsi="Times New Roman"/>
          <w:szCs w:val="28"/>
        </w:rPr>
        <w:t xml:space="preserve"> города</w:t>
      </w:r>
      <w:r w:rsidRPr="00812884">
        <w:rPr>
          <w:rFonts w:ascii="Times New Roman" w:hAnsi="Times New Roman"/>
          <w:szCs w:val="28"/>
        </w:rPr>
        <w:t>.</w:t>
      </w:r>
    </w:p>
    <w:p w:rsidR="006776F2" w:rsidRPr="00812884" w:rsidRDefault="006776F2" w:rsidP="0053191F">
      <w:pPr>
        <w:pStyle w:val="a5"/>
        <w:spacing w:after="0" w:line="240" w:lineRule="auto"/>
        <w:ind w:left="0" w:firstLine="709"/>
        <w:rPr>
          <w:rFonts w:ascii="Times New Roman" w:hAnsi="Times New Roman"/>
          <w:szCs w:val="28"/>
        </w:rPr>
      </w:pPr>
    </w:p>
    <w:p w:rsidR="0053191F" w:rsidRPr="0001065C" w:rsidRDefault="0053191F" w:rsidP="0053191F">
      <w:pPr>
        <w:pStyle w:val="a5"/>
        <w:keepNext/>
        <w:spacing w:after="0" w:line="240" w:lineRule="auto"/>
        <w:ind w:left="0"/>
        <w:jc w:val="center"/>
        <w:rPr>
          <w:rFonts w:ascii="Times New Roman" w:hAnsi="Times New Roman"/>
          <w:szCs w:val="28"/>
          <w:highlight w:val="yellow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 wp14:anchorId="1E2B824E" wp14:editId="0632B69E">
            <wp:extent cx="5973445" cy="3004185"/>
            <wp:effectExtent l="0" t="0" r="0" b="0"/>
            <wp:docPr id="10" name="Диаграм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53191F" w:rsidRPr="00104FAA" w:rsidRDefault="0053191F" w:rsidP="006776F2">
      <w:pPr>
        <w:pStyle w:val="a5"/>
        <w:spacing w:after="0" w:line="240" w:lineRule="auto"/>
        <w:ind w:left="0" w:firstLine="709"/>
        <w:rPr>
          <w:rFonts w:ascii="Times New Roman" w:hAnsi="Times New Roman"/>
          <w:b/>
          <w:i/>
          <w:sz w:val="24"/>
          <w:szCs w:val="24"/>
        </w:rPr>
      </w:pPr>
      <w:r w:rsidRPr="00104FAA">
        <w:rPr>
          <w:rFonts w:ascii="Times New Roman" w:hAnsi="Times New Roman"/>
          <w:b/>
          <w:i/>
          <w:sz w:val="24"/>
          <w:szCs w:val="24"/>
        </w:rPr>
        <w:t xml:space="preserve">Рис. </w:t>
      </w:r>
      <w:r w:rsidR="006776F2">
        <w:rPr>
          <w:rFonts w:ascii="Times New Roman" w:hAnsi="Times New Roman"/>
          <w:b/>
          <w:i/>
          <w:sz w:val="24"/>
          <w:szCs w:val="24"/>
        </w:rPr>
        <w:t>7</w:t>
      </w:r>
      <w:r w:rsidRPr="00104FAA">
        <w:rPr>
          <w:rFonts w:ascii="Times New Roman" w:hAnsi="Times New Roman"/>
          <w:b/>
          <w:i/>
          <w:sz w:val="24"/>
          <w:szCs w:val="24"/>
        </w:rPr>
        <w:t>.</w:t>
      </w:r>
      <w:r w:rsidR="00000258">
        <w:rPr>
          <w:rFonts w:ascii="Times New Roman" w:hAnsi="Times New Roman"/>
          <w:b/>
          <w:i/>
          <w:sz w:val="24"/>
          <w:szCs w:val="24"/>
        </w:rPr>
        <w:t>1</w:t>
      </w:r>
      <w:r w:rsidRPr="00104FAA">
        <w:rPr>
          <w:rFonts w:ascii="Times New Roman" w:hAnsi="Times New Roman"/>
          <w:b/>
          <w:i/>
          <w:sz w:val="24"/>
          <w:szCs w:val="24"/>
        </w:rPr>
        <w:t>.8. Динамика индекса промышленного про</w:t>
      </w:r>
      <w:r w:rsidR="00000258">
        <w:rPr>
          <w:rFonts w:ascii="Times New Roman" w:hAnsi="Times New Roman"/>
          <w:b/>
          <w:i/>
          <w:sz w:val="24"/>
          <w:szCs w:val="24"/>
        </w:rPr>
        <w:t>изводства, % к предыдущему году</w:t>
      </w:r>
    </w:p>
    <w:p w:rsidR="00000258" w:rsidRDefault="00000258" w:rsidP="00000258"/>
    <w:p w:rsidR="006776F2" w:rsidRDefault="006776F2" w:rsidP="00000258"/>
    <w:p w:rsidR="006776F2" w:rsidRPr="00000258" w:rsidRDefault="006776F2" w:rsidP="00000258"/>
    <w:p w:rsidR="0053191F" w:rsidRPr="00000258" w:rsidRDefault="0053191F" w:rsidP="006776F2">
      <w:pPr>
        <w:spacing w:line="240" w:lineRule="auto"/>
        <w:ind w:firstLine="709"/>
        <w:rPr>
          <w:b/>
          <w:i/>
          <w:sz w:val="24"/>
        </w:rPr>
      </w:pPr>
      <w:r w:rsidRPr="00000258">
        <w:rPr>
          <w:b/>
          <w:i/>
          <w:sz w:val="24"/>
        </w:rPr>
        <w:t xml:space="preserve">Таблица </w:t>
      </w:r>
      <w:r w:rsidR="006776F2">
        <w:rPr>
          <w:b/>
          <w:i/>
          <w:sz w:val="24"/>
        </w:rPr>
        <w:t>7</w:t>
      </w:r>
      <w:r w:rsidRPr="00000258">
        <w:rPr>
          <w:b/>
          <w:i/>
          <w:sz w:val="24"/>
        </w:rPr>
        <w:t>.</w:t>
      </w:r>
      <w:r w:rsidR="00000258">
        <w:rPr>
          <w:b/>
          <w:i/>
          <w:sz w:val="24"/>
        </w:rPr>
        <w:t>1</w:t>
      </w:r>
      <w:r w:rsidRPr="00000258">
        <w:rPr>
          <w:b/>
          <w:i/>
          <w:sz w:val="24"/>
        </w:rPr>
        <w:t>.1. Основные показатели социально-экономического развития города Перми, Пермского края и Российской Федерации в 2008-2012 гг.</w:t>
      </w:r>
    </w:p>
    <w:tbl>
      <w:tblPr>
        <w:tblW w:w="981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2"/>
        <w:gridCol w:w="1912"/>
        <w:gridCol w:w="992"/>
        <w:gridCol w:w="993"/>
        <w:gridCol w:w="992"/>
        <w:gridCol w:w="992"/>
        <w:gridCol w:w="947"/>
      </w:tblGrid>
      <w:tr w:rsidR="006776F2" w:rsidRPr="00104FAA" w:rsidTr="006776F2">
        <w:trPr>
          <w:trHeight w:val="300"/>
          <w:tblHeader/>
        </w:trPr>
        <w:tc>
          <w:tcPr>
            <w:tcW w:w="2982" w:type="dxa"/>
            <w:shd w:val="clear" w:color="000000" w:fill="auto"/>
            <w:noWrap/>
            <w:vAlign w:val="bottom"/>
            <w:hideMark/>
          </w:tcPr>
          <w:p w:rsidR="006776F2" w:rsidRPr="00104FAA" w:rsidRDefault="006776F2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2" w:type="dxa"/>
            <w:shd w:val="clear" w:color="000000" w:fill="auto"/>
            <w:noWrap/>
            <w:vAlign w:val="bottom"/>
            <w:hideMark/>
          </w:tcPr>
          <w:p w:rsidR="006776F2" w:rsidRPr="00104FAA" w:rsidRDefault="006776F2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000000" w:fill="auto"/>
            <w:noWrap/>
            <w:vAlign w:val="center"/>
            <w:hideMark/>
          </w:tcPr>
          <w:p w:rsidR="006776F2" w:rsidRPr="00965D73" w:rsidRDefault="006776F2" w:rsidP="006776F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2008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shd w:val="clear" w:color="000000" w:fill="auto"/>
            <w:noWrap/>
            <w:vAlign w:val="center"/>
            <w:hideMark/>
          </w:tcPr>
          <w:p w:rsidR="006776F2" w:rsidRPr="00965D73" w:rsidRDefault="006776F2" w:rsidP="006776F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000000" w:fill="auto"/>
            <w:noWrap/>
            <w:vAlign w:val="center"/>
            <w:hideMark/>
          </w:tcPr>
          <w:p w:rsidR="006776F2" w:rsidRPr="00965D73" w:rsidRDefault="006776F2" w:rsidP="006776F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000000" w:fill="auto"/>
            <w:noWrap/>
            <w:vAlign w:val="center"/>
            <w:hideMark/>
          </w:tcPr>
          <w:p w:rsidR="006776F2" w:rsidRPr="00965D73" w:rsidRDefault="006776F2" w:rsidP="006776F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947" w:type="dxa"/>
            <w:shd w:val="clear" w:color="000000" w:fill="auto"/>
            <w:vAlign w:val="center"/>
          </w:tcPr>
          <w:p w:rsidR="006776F2" w:rsidRPr="00965D73" w:rsidRDefault="006776F2" w:rsidP="006776F2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65D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2012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Индекс промышленного производства, %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103,6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88,3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114,8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97,8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100,3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85,5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117,8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108,9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98,9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100,6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90,7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108,2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102,6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Сальдированный фина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совый ре</w:t>
            </w:r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зультат на душу населения, </w:t>
            </w:r>
            <w:proofErr w:type="spellStart"/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82,3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86,2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122,8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64,7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49,3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78,3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55,1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темп роста, %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126,8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129,3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117,4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179,8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137,7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139,2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118,4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69,1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124,1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144,1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119,8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112,0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Инвестиции в основной капитал на душу насел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ния, </w:t>
            </w:r>
            <w:proofErr w:type="spellStart"/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66,2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63,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79,95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56,2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49,3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50,9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60,2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61,8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56,2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64,1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75,3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85,7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темп роста, % (в соп</w:t>
            </w:r>
            <w:r w:rsidRPr="00104FA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104FA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ставимых ценах)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104,9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89,5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104,5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109,9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106,7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Ввод жилья на 1000 нас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ления, </w:t>
            </w:r>
            <w:proofErr w:type="spellStart"/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>кв</w:t>
            </w:r>
            <w:proofErr w:type="gramStart"/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spellEnd"/>
            <w:proofErr w:type="gramEnd"/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434,6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294,6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367,5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406,6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461,7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306,9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257,0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288,4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277,9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312,6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451,4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422,1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408,8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435,5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434,8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темп роста, %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67,8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125,3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111,6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113,1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109,9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106,7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105,3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Оборот розничной торго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 на душу населения, </w:t>
            </w:r>
            <w:proofErr w:type="spellStart"/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205,8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213,9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235,2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281,5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102,6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107,3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119,9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151,13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98,1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115,2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133,4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148,8</w:t>
            </w:r>
          </w:p>
        </w:tc>
      </w:tr>
      <w:tr w:rsidR="00716446" w:rsidRPr="00104FAA" w:rsidTr="00716446">
        <w:trPr>
          <w:trHeight w:val="315"/>
        </w:trPr>
        <w:tc>
          <w:tcPr>
            <w:tcW w:w="2982" w:type="dxa"/>
            <w:vMerge w:val="restart"/>
            <w:shd w:val="clear" w:color="auto" w:fill="auto"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темп роста, % (в соп</w:t>
            </w:r>
            <w:r w:rsidRPr="00104FA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104FA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ставимых ценах)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106,1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98,1</w:t>
            </w:r>
          </w:p>
        </w:tc>
      </w:tr>
      <w:tr w:rsidR="0053191F" w:rsidRPr="00104FAA" w:rsidTr="00716446">
        <w:trPr>
          <w:trHeight w:val="315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107,9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105,8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102,5</w:t>
            </w:r>
          </w:p>
        </w:tc>
      </w:tr>
      <w:tr w:rsidR="0053191F" w:rsidRPr="00104FAA" w:rsidTr="00716446">
        <w:trPr>
          <w:trHeight w:val="315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113,6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107,2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105,9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Оборот общественного питания на душу насел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ния, </w:t>
            </w:r>
            <w:proofErr w:type="spellStart"/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 w:rsidR="006776F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18,1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9,2</w:t>
            </w:r>
          </w:p>
        </w:tc>
      </w:tr>
      <w:tr w:rsidR="0053191F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53191F" w:rsidRPr="00104FAA" w:rsidRDefault="0053191F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947" w:type="dxa"/>
            <w:vAlign w:val="bottom"/>
          </w:tcPr>
          <w:p w:rsidR="0053191F" w:rsidRPr="00104FAA" w:rsidRDefault="0053191F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7,1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темп роста, % (в соп</w:t>
            </w:r>
            <w:r w:rsidRPr="00104FA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104FA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ставимых ценах)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138,3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93,9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129,7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93,4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112,3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105,7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106,3</w:t>
            </w:r>
          </w:p>
        </w:tc>
      </w:tr>
      <w:tr w:rsidR="00716446" w:rsidRPr="00104FAA" w:rsidTr="00716446">
        <w:trPr>
          <w:trHeight w:val="315"/>
        </w:trPr>
        <w:tc>
          <w:tcPr>
            <w:tcW w:w="2982" w:type="dxa"/>
            <w:vMerge w:val="restart"/>
            <w:shd w:val="clear" w:color="auto" w:fill="auto"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Среднемесячная зарабо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ная плата,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уб</w:t>
            </w:r>
            <w:proofErr w:type="spellEnd"/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25,7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29,5</w:t>
            </w:r>
          </w:p>
        </w:tc>
      </w:tr>
      <w:tr w:rsidR="00716446" w:rsidRPr="00104FAA" w:rsidTr="00716446">
        <w:trPr>
          <w:trHeight w:val="315"/>
        </w:trPr>
        <w:tc>
          <w:tcPr>
            <w:tcW w:w="2982" w:type="dxa"/>
            <w:vMerge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15,2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17,4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21,8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26,7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Уровень зарегистрирова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ной безработицы, %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0,61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1,46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1,4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Коэффициент рождаем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сти, </w:t>
            </w:r>
            <w:r w:rsidRPr="00104FAA">
              <w:rPr>
                <w:rFonts w:ascii="Times New Roman" w:hAnsi="Times New Roman"/>
                <w:i/>
                <w:sz w:val="24"/>
                <w:szCs w:val="24"/>
              </w:rPr>
              <w:t>‰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13,9</w:t>
            </w:r>
          </w:p>
        </w:tc>
      </w:tr>
      <w:tr w:rsidR="00716446" w:rsidRPr="00104FAA" w:rsidTr="0053191F">
        <w:trPr>
          <w:trHeight w:val="300"/>
        </w:trPr>
        <w:tc>
          <w:tcPr>
            <w:tcW w:w="2982" w:type="dxa"/>
            <w:vMerge/>
            <w:vAlign w:val="center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14,8</w:t>
            </w:r>
          </w:p>
        </w:tc>
      </w:tr>
      <w:tr w:rsidR="00716446" w:rsidRPr="00104FAA" w:rsidTr="0053191F">
        <w:trPr>
          <w:trHeight w:val="300"/>
        </w:trPr>
        <w:tc>
          <w:tcPr>
            <w:tcW w:w="2982" w:type="dxa"/>
            <w:vMerge/>
            <w:vAlign w:val="center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13,3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Коэффициент смертности, </w:t>
            </w:r>
            <w:r w:rsidRPr="00104FAA">
              <w:rPr>
                <w:rFonts w:ascii="Times New Roman" w:hAnsi="Times New Roman"/>
                <w:i/>
                <w:sz w:val="24"/>
                <w:szCs w:val="24"/>
              </w:rPr>
              <w:t>‰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13,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12,4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14,2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13,3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Коэффициент естестве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ного прироста</w:t>
            </w:r>
            <w:proofErr w:type="gramStart"/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(- </w:t>
            </w:r>
            <w:proofErr w:type="gramEnd"/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убыли),</w:t>
            </w:r>
            <w:r w:rsidRPr="00104FAA">
              <w:rPr>
                <w:rFonts w:ascii="Times New Roman" w:hAnsi="Times New Roman"/>
                <w:i/>
                <w:sz w:val="24"/>
                <w:szCs w:val="24"/>
              </w:rPr>
              <w:t xml:space="preserve"> ‰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-2,0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-1,1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-0,2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-2,5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-1,7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-1,2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-0,7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-2,5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-1,8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-1,7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-1,0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-0,02</w:t>
            </w:r>
          </w:p>
        </w:tc>
      </w:tr>
      <w:tr w:rsidR="00716446" w:rsidRPr="00104FAA" w:rsidTr="00716446">
        <w:trPr>
          <w:trHeight w:val="300"/>
        </w:trPr>
        <w:tc>
          <w:tcPr>
            <w:tcW w:w="2982" w:type="dxa"/>
            <w:vMerge w:val="restart"/>
            <w:shd w:val="clear" w:color="auto" w:fill="auto"/>
            <w:hideMark/>
          </w:tcPr>
          <w:p w:rsidR="00716446" w:rsidRPr="00104FAA" w:rsidRDefault="00716446" w:rsidP="0071644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Численнос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ть населения на 01 января, тысяч </w:t>
            </w: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987,2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985,8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990,1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991,5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1 000,7</w:t>
            </w:r>
          </w:p>
        </w:tc>
      </w:tr>
      <w:tr w:rsidR="00716446" w:rsidRPr="00104FAA" w:rsidTr="0053191F">
        <w:trPr>
          <w:trHeight w:val="300"/>
        </w:trPr>
        <w:tc>
          <w:tcPr>
            <w:tcW w:w="2982" w:type="dxa"/>
            <w:vMerge/>
            <w:vAlign w:val="center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2 718,2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2 708,4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2 640,4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2 633,6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2631,1</w:t>
            </w:r>
          </w:p>
        </w:tc>
      </w:tr>
      <w:tr w:rsidR="00716446" w:rsidRPr="00104FAA" w:rsidTr="0053191F">
        <w:trPr>
          <w:trHeight w:val="300"/>
        </w:trPr>
        <w:tc>
          <w:tcPr>
            <w:tcW w:w="2982" w:type="dxa"/>
            <w:vMerge/>
            <w:vAlign w:val="center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FAA">
              <w:rPr>
                <w:rFonts w:ascii="Times New Roman" w:hAnsi="Times New Roman"/>
                <w:color w:val="000000"/>
                <w:sz w:val="24"/>
                <w:szCs w:val="24"/>
              </w:rPr>
              <w:t>РФ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4FAA">
              <w:rPr>
                <w:rFonts w:ascii="Times New Roman" w:hAnsi="Times New Roman"/>
                <w:color w:val="000000"/>
                <w:sz w:val="22"/>
                <w:szCs w:val="22"/>
              </w:rPr>
              <w:t>142 000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4FAA">
              <w:rPr>
                <w:rFonts w:ascii="Times New Roman" w:hAnsi="Times New Roman"/>
                <w:color w:val="000000"/>
                <w:sz w:val="22"/>
                <w:szCs w:val="22"/>
              </w:rPr>
              <w:t>141 900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4FAA">
              <w:rPr>
                <w:rFonts w:ascii="Times New Roman" w:hAnsi="Times New Roman"/>
                <w:color w:val="000000"/>
                <w:sz w:val="22"/>
                <w:szCs w:val="22"/>
              </w:rPr>
              <w:t>142 865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4FAA">
              <w:rPr>
                <w:rFonts w:ascii="Times New Roman" w:hAnsi="Times New Roman"/>
                <w:color w:val="000000"/>
                <w:sz w:val="22"/>
                <w:szCs w:val="22"/>
              </w:rPr>
              <w:t>143 056</w:t>
            </w:r>
          </w:p>
        </w:tc>
        <w:tc>
          <w:tcPr>
            <w:tcW w:w="947" w:type="dxa"/>
            <w:vAlign w:val="bottom"/>
          </w:tcPr>
          <w:p w:rsidR="00716446" w:rsidRPr="00104FAA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04FAA">
              <w:rPr>
                <w:rFonts w:ascii="Times New Roman" w:hAnsi="Times New Roman"/>
                <w:color w:val="000000"/>
                <w:sz w:val="22"/>
                <w:szCs w:val="22"/>
              </w:rPr>
              <w:t>143 300</w:t>
            </w:r>
          </w:p>
        </w:tc>
      </w:tr>
    </w:tbl>
    <w:p w:rsidR="0053191F" w:rsidRPr="00201FF8" w:rsidRDefault="0053191F" w:rsidP="0053191F">
      <w:pPr>
        <w:pStyle w:val="standardtext"/>
        <w:spacing w:after="0"/>
        <w:rPr>
          <w:rStyle w:val="ae"/>
          <w:b/>
          <w:color w:val="auto"/>
          <w:u w:val="none"/>
        </w:rPr>
      </w:pPr>
    </w:p>
    <w:p w:rsidR="0053191F" w:rsidRDefault="0053191F" w:rsidP="0053191F">
      <w:pPr>
        <w:pStyle w:val="standardtext"/>
        <w:spacing w:after="0"/>
      </w:pPr>
    </w:p>
    <w:p w:rsidR="00000258" w:rsidRDefault="00000258" w:rsidP="00000258"/>
    <w:p w:rsidR="00000258" w:rsidRDefault="00000258" w:rsidP="00000258">
      <w:pPr>
        <w:sectPr w:rsidR="00000258" w:rsidSect="00070EA6">
          <w:headerReference w:type="even" r:id="rId32"/>
          <w:headerReference w:type="default" r:id="rId33"/>
          <w:pgSz w:w="11906" w:h="16838"/>
          <w:pgMar w:top="1134" w:right="707" w:bottom="1276" w:left="1418" w:header="709" w:footer="709" w:gutter="0"/>
          <w:cols w:space="708"/>
          <w:titlePg/>
          <w:docGrid w:linePitch="360"/>
        </w:sectPr>
      </w:pPr>
    </w:p>
    <w:p w:rsidR="00C85A1B" w:rsidRPr="00716446" w:rsidRDefault="006776F2" w:rsidP="006776F2">
      <w:pPr>
        <w:ind w:firstLine="709"/>
        <w:rPr>
          <w:b/>
          <w:szCs w:val="28"/>
        </w:rPr>
      </w:pPr>
      <w:r w:rsidRPr="00716446">
        <w:rPr>
          <w:b/>
          <w:szCs w:val="28"/>
        </w:rPr>
        <w:t>7</w:t>
      </w:r>
      <w:r w:rsidR="00C85A1B" w:rsidRPr="00716446">
        <w:rPr>
          <w:b/>
          <w:szCs w:val="28"/>
        </w:rPr>
        <w:t>.</w:t>
      </w:r>
      <w:r w:rsidR="00000258" w:rsidRPr="00716446">
        <w:rPr>
          <w:b/>
          <w:szCs w:val="28"/>
        </w:rPr>
        <w:t>2</w:t>
      </w:r>
      <w:r w:rsidR="00C85A1B" w:rsidRPr="00716446">
        <w:rPr>
          <w:b/>
          <w:szCs w:val="28"/>
        </w:rPr>
        <w:t>. Рейтинг города Перми среди городов-аналогов по показателям социально-экономического развития</w:t>
      </w:r>
    </w:p>
    <w:p w:rsidR="00C85A1B" w:rsidRPr="00000258" w:rsidRDefault="00C85A1B" w:rsidP="0086189D">
      <w:pPr>
        <w:ind w:firstLine="709"/>
        <w:rPr>
          <w:b/>
          <w:i/>
          <w:sz w:val="24"/>
        </w:rPr>
      </w:pPr>
      <w:r w:rsidRPr="00000258">
        <w:rPr>
          <w:b/>
          <w:i/>
          <w:sz w:val="24"/>
        </w:rPr>
        <w:t xml:space="preserve">Таблица </w:t>
      </w:r>
      <w:r w:rsidR="0086189D">
        <w:rPr>
          <w:b/>
          <w:i/>
          <w:sz w:val="24"/>
        </w:rPr>
        <w:t>7</w:t>
      </w:r>
      <w:r w:rsidR="00000258">
        <w:rPr>
          <w:b/>
          <w:i/>
          <w:sz w:val="24"/>
        </w:rPr>
        <w:t>.2.1.</w:t>
      </w:r>
      <w:r w:rsidRPr="00000258">
        <w:rPr>
          <w:b/>
          <w:i/>
          <w:sz w:val="24"/>
        </w:rPr>
        <w:t xml:space="preserve"> Показатели социально-экономического развития и место города Перми в 2010-2012 годах</w:t>
      </w:r>
    </w:p>
    <w:tbl>
      <w:tblPr>
        <w:tblW w:w="14903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5"/>
        <w:gridCol w:w="4394"/>
        <w:gridCol w:w="1417"/>
        <w:gridCol w:w="1441"/>
        <w:gridCol w:w="1441"/>
        <w:gridCol w:w="1441"/>
        <w:gridCol w:w="1441"/>
        <w:gridCol w:w="1441"/>
        <w:gridCol w:w="1442"/>
      </w:tblGrid>
      <w:tr w:rsidR="00C85A1B" w:rsidRPr="00CD5886" w:rsidTr="0086189D">
        <w:trPr>
          <w:trHeight w:val="366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000258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Период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CD5886">
              <w:rPr>
                <w:rFonts w:ascii="Times New Roman" w:hAnsi="Times New Roman"/>
                <w:bCs/>
                <w:sz w:val="20"/>
              </w:rPr>
              <w:t>Пермь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CD5886">
              <w:rPr>
                <w:rFonts w:ascii="Times New Roman" w:hAnsi="Times New Roman"/>
                <w:bCs/>
                <w:sz w:val="20"/>
              </w:rPr>
              <w:t>Казань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CD5886">
              <w:rPr>
                <w:rFonts w:ascii="Times New Roman" w:hAnsi="Times New Roman"/>
                <w:bCs/>
                <w:sz w:val="20"/>
              </w:rPr>
              <w:t xml:space="preserve">Нижний </w:t>
            </w:r>
            <w:r w:rsidR="00716446" w:rsidRPr="00CD5886">
              <w:rPr>
                <w:rFonts w:ascii="Times New Roman" w:hAnsi="Times New Roman"/>
                <w:bCs/>
                <w:sz w:val="20"/>
              </w:rPr>
              <w:br/>
            </w:r>
            <w:r w:rsidRPr="00CD5886">
              <w:rPr>
                <w:rFonts w:ascii="Times New Roman" w:hAnsi="Times New Roman"/>
                <w:bCs/>
                <w:sz w:val="20"/>
              </w:rPr>
              <w:t>Новгород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CD5886">
              <w:rPr>
                <w:rFonts w:ascii="Times New Roman" w:hAnsi="Times New Roman"/>
                <w:bCs/>
                <w:sz w:val="20"/>
              </w:rPr>
              <w:t>Самара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CD5886">
              <w:rPr>
                <w:rFonts w:ascii="Times New Roman" w:hAnsi="Times New Roman"/>
                <w:bCs/>
                <w:sz w:val="20"/>
              </w:rPr>
              <w:t>Екатеринбург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 w:rsidRPr="00CD5886">
              <w:rPr>
                <w:rFonts w:ascii="Times New Roman" w:hAnsi="Times New Roman"/>
                <w:bCs/>
                <w:sz w:val="20"/>
              </w:rPr>
              <w:t>Челябинск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Численность постоянного населения на начало года, чел.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на 01.01.2010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990 084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1 136 566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1 278 803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1 133 798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1 375 400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1 126 750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на 01.01.2011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991 524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1 145 435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1 261 549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1 166 823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1 350 100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1 131 249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на 01.01.2012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1 000 679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1 161 308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1 263 621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1 169 284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1 411 100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1 143 500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на 01.01.2013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1 013 890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1 176 187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1 268 840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1 171 685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1 429 400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1 156 200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Оборот организаций (по крупным и средним)</w:t>
            </w:r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 xml:space="preserve">, </w:t>
            </w:r>
            <w:proofErr w:type="spell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млрд</w:t>
            </w:r>
            <w:proofErr w:type="gram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р</w:t>
            </w:r>
            <w:proofErr w:type="gram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уб</w:t>
            </w:r>
            <w:proofErr w:type="spell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685,0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554,3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703,0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537,3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877,6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713,1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846,8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627,3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940,7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830,8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903,3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700,8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Объем отгруженных товаров собственного пр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о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изводства по видам деятельности «Добыча п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о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 xml:space="preserve">лезных ископаемых», </w:t>
            </w:r>
            <w:r w:rsidR="00000258" w:rsidRPr="00CD5886">
              <w:rPr>
                <w:rFonts w:ascii="Times New Roman" w:hAnsi="Times New Roman"/>
                <w:bCs/>
                <w:color w:val="000000"/>
                <w:sz w:val="20"/>
              </w:rPr>
              <w:t>«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Обрабатывающие прои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з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водства», «Производство и распределение эле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к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троэнергии, газа и воды»</w:t>
            </w:r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 xml:space="preserve">, </w:t>
            </w:r>
            <w:proofErr w:type="spell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млн</w:t>
            </w:r>
            <w:proofErr w:type="gram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р</w:t>
            </w:r>
            <w:proofErr w:type="gram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уб</w:t>
            </w:r>
            <w:proofErr w:type="spell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370 097,3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145 368,4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192 404,2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173 561,3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207 881,5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307 766,5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CD5886">
              <w:rPr>
                <w:rFonts w:ascii="Times New Roman" w:hAnsi="Times New Roman"/>
                <w:sz w:val="20"/>
              </w:rPr>
              <w:t>501 776,4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171 585,8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245 561,0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199 566,3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177 900,0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374 645,5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sz w:val="20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sz w:val="20"/>
              </w:rPr>
              <w:t>5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sz w:val="20"/>
              </w:rPr>
              <w:t>2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532 511,9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193 212,9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265 027,4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210 947,2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274 036,0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375 770,0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Индекс промышленного производства, 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107,7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114,9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110,6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114,8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103,8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104,7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105,5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110,1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97,8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112,1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106,4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114,8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100,4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Ввод в действие жилых домов</w:t>
            </w:r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 xml:space="preserve">, </w:t>
            </w:r>
            <w:proofErr w:type="spell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тыс.кв</w:t>
            </w:r>
            <w:proofErr w:type="gram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314,1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771,8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365,4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588,7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1 026,80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487,4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406,6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942,7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393,8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746,5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1 050,0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752,4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462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1 000,0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574,1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904,1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1 075,4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1 002,6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proofErr w:type="gramStart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в</w:t>
            </w:r>
            <w:proofErr w:type="gram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 xml:space="preserve"> % </w:t>
            </w:r>
            <w:proofErr w:type="gramStart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к</w:t>
            </w:r>
            <w:proofErr w:type="gram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 xml:space="preserve"> предыдущему году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108,1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106,7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75,6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14,1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125,7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91,7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111,6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122,1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108,5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126,8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102,3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154,5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1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113,1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106,1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144,4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121,1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102,4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133,8</w:t>
            </w:r>
          </w:p>
        </w:tc>
      </w:tr>
      <w:tr w:rsidR="00773917" w:rsidRPr="00CD5886" w:rsidTr="00FE5877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917" w:rsidRPr="00CD5886" w:rsidRDefault="00773917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917" w:rsidRPr="00CD5886" w:rsidRDefault="00773917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773917" w:rsidRPr="00FE5877" w:rsidRDefault="00773917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FE5877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73917" w:rsidRPr="00FE5877" w:rsidRDefault="00773917" w:rsidP="00390DA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FE5877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3917" w:rsidRPr="00FE5877" w:rsidRDefault="00773917" w:rsidP="00390DA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FE5877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3917" w:rsidRPr="00FE5877" w:rsidRDefault="00773917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FE5877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73917" w:rsidRPr="00FE5877" w:rsidRDefault="00773917" w:rsidP="00390DA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FE5877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3917" w:rsidRPr="00FE5877" w:rsidRDefault="00773917" w:rsidP="00390DA0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FE5877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3917" w:rsidRPr="00FE5877" w:rsidRDefault="00773917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FE5877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Инвестиции в основной капитал</w:t>
            </w:r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 xml:space="preserve">, </w:t>
            </w:r>
            <w:proofErr w:type="spell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млн</w:t>
            </w:r>
            <w:proofErr w:type="gram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р</w:t>
            </w:r>
            <w:proofErr w:type="gram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уб</w:t>
            </w:r>
            <w:proofErr w:type="spell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55 585,6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76 179,7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44 328,3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45 600,0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53 900,0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62 472,9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107 694,9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70 980,8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53 685,6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100 816,6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80 010,7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184 843,2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70 508,8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57 107,2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131 908,1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75 980,9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индекс физического объема, 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95,5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108,1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80,4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103,9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102,3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99,6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121,0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146,3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109,1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135,3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104,9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107,0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105,2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108,2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104,1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91,1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Оборот розничной торговли</w:t>
            </w:r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 xml:space="preserve">, </w:t>
            </w:r>
            <w:proofErr w:type="spell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млн</w:t>
            </w:r>
            <w:proofErr w:type="gram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р</w:t>
            </w:r>
            <w:proofErr w:type="gram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уб</w:t>
            </w:r>
            <w:proofErr w:type="spell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225 690,6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259 004,2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203 960,2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200 628,1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450 678,7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231 500,0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270 450,2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301 354,6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241 180,7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560 000,0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259 840,8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281 652,7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373 415,4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210 617,8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607 987,7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276 848,2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</w:tr>
      <w:tr w:rsidR="00716446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446" w:rsidRPr="00CD5886" w:rsidRDefault="00716446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446" w:rsidRPr="00CD5886" w:rsidRDefault="00716446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индекс физического объема, 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99,8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108,8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103,4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121,8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112,6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98,9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6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106,1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107,8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113,5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112,6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101,7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98,1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116,5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103,3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106,4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102,2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Оборот общественного питания</w:t>
            </w:r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 xml:space="preserve">, </w:t>
            </w:r>
            <w:proofErr w:type="spell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млн</w:t>
            </w:r>
            <w:proofErr w:type="gram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р</w:t>
            </w:r>
            <w:proofErr w:type="gram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уб</w:t>
            </w:r>
            <w:proofErr w:type="spell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13 823,5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11 212,4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8 413,8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10 635,8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9 800,0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17 763,0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12 485,5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10 161,6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18 500,0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9 343,5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18 087,3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13 754,3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10 500,0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28 649,9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10 739,6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</w:tr>
      <w:tr w:rsidR="00716446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446" w:rsidRPr="00CD5886" w:rsidRDefault="00716446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6446" w:rsidRPr="00CD5886" w:rsidRDefault="00716446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индекс физического объема, 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83,8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110,5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99,9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133,2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6446" w:rsidRPr="00CD5886" w:rsidRDefault="00716446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94,6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101,4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106,6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107,1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118,6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81,0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93,9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106,8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96,0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107,2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97,1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Среднемесячная заработная плата работников крупных и средних организаций,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22 866,7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19 390,4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21 821,2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20 722,2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26 112,2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20 501,1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25 686,7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21 878,0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21 821,2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20 722,2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26 112,2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23 419,9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3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29 476,9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25 387,2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27 935,10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26 214,8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33 429,0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26 232,3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</w:t>
            </w:r>
            <w:r w:rsidRPr="00CD5886">
              <w:rPr>
                <w:rFonts w:ascii="Times New Roman" w:hAnsi="Times New Roman"/>
                <w:color w:val="000000"/>
                <w:sz w:val="20"/>
                <w:lang w:val="en-US"/>
              </w:rPr>
              <w:t>0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Стоимость минимального набора основных продуктов питания,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2 744,4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2 235,5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2 526,6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2 661,1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2 411,3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2 058,3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2 293,6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2 505,3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2 597,9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2 393,9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6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2 597,7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2 234,8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2 421,5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2 621,3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2 913,6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2 640,8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 xml:space="preserve">Сальдированный финансовый результат </w:t>
            </w:r>
            <w:r w:rsidR="00716446" w:rsidRPr="00CD5886">
              <w:rPr>
                <w:rFonts w:ascii="Times New Roman" w:hAnsi="Times New Roman"/>
                <w:bCs/>
                <w:color w:val="000000"/>
                <w:sz w:val="20"/>
              </w:rPr>
              <w:br/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(по крупным и средним предприятиям)</w:t>
            </w:r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 xml:space="preserve">, </w:t>
            </w:r>
            <w:proofErr w:type="spell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млн</w:t>
            </w:r>
            <w:proofErr w:type="gramStart"/>
            <w:r w:rsidR="0086189D" w:rsidRPr="00CD5886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р</w:t>
            </w:r>
            <w:proofErr w:type="gram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уб</w:t>
            </w:r>
            <w:proofErr w:type="spell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82 078,1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42 002,8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27 477,4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66 733,0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39 032,7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114 053,8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46 137,5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31 398,5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82 917,6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122 918,1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57 594,3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85 413,3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93 261,9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26 717,0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proofErr w:type="gramStart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в</w:t>
            </w:r>
            <w:proofErr w:type="gram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 xml:space="preserve"> % </w:t>
            </w:r>
            <w:proofErr w:type="gramStart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к</w:t>
            </w:r>
            <w:proofErr w:type="gramEnd"/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 xml:space="preserve"> предыдущему году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115,3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187,4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211,6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128,8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165,0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000258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000258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129,3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109,7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154,6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126,3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000258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000258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117,4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146,3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242,2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113,1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000258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Удельный вес убыточных организаций, 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24,4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21,9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30,3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27,3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27,2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25,4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iCs/>
                <w:color w:val="000000"/>
                <w:sz w:val="20"/>
              </w:rPr>
              <w:t>-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22,0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21,6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24,2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21,5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19,0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22,6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Уровень зарегистрированной безработицы, 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1,22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1,58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1,20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1,06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1,13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1,60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6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0,98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1,26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0,94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0,65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0,77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1,04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0,61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0,85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0,58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0,52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0,49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0,79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i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i/>
                <w:color w:val="000000"/>
                <w:sz w:val="20"/>
              </w:rPr>
              <w:t>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Родившиеся на 1000 населения, 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12,7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14,4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10,9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13,2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12,3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17,7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13,9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13,4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Умершие на 1000 населения, 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16,3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16,1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н/д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12,5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-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color w:val="000000"/>
                <w:sz w:val="20"/>
              </w:rPr>
              <w:t>1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14,5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14,6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11,6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12,2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14,8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13,9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11,6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12,4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5A1B" w:rsidRPr="00CD5886" w:rsidRDefault="00C85A1B" w:rsidP="00716446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Естественный прирост/убыль на 1000 насел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е</w:t>
            </w:r>
            <w:r w:rsidRPr="00CD5886">
              <w:rPr>
                <w:rFonts w:ascii="Times New Roman" w:hAnsi="Times New Roman"/>
                <w:bCs/>
                <w:color w:val="000000"/>
                <w:sz w:val="20"/>
              </w:rPr>
              <w:t>ния, 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-0,3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-5,6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-4,8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1,2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0,2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000258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000258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-3,7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-3,7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1,6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0,1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000258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000258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2012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1,5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6,1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-3,1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-2,3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2,3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color w:val="000000"/>
                <w:sz w:val="20"/>
              </w:rPr>
              <w:t>1,0</w:t>
            </w:r>
          </w:p>
        </w:tc>
      </w:tr>
      <w:tr w:rsidR="00C85A1B" w:rsidRPr="00CD5886" w:rsidTr="00716446">
        <w:trPr>
          <w:trHeight w:val="317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A1B" w:rsidRPr="00CD5886" w:rsidRDefault="00C85A1B" w:rsidP="00000258">
            <w:pPr>
              <w:spacing w:line="240" w:lineRule="auto"/>
              <w:jc w:val="left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sz w:val="20"/>
              </w:rPr>
              <w:t>рейтинг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1B" w:rsidRPr="00CD5886" w:rsidRDefault="00C85A1B" w:rsidP="0053191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</w:pPr>
            <w:r w:rsidRPr="00CD5886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</w:rPr>
              <w:t>4</w:t>
            </w:r>
          </w:p>
        </w:tc>
      </w:tr>
    </w:tbl>
    <w:p w:rsidR="00C85A1B" w:rsidRDefault="00C85A1B" w:rsidP="00C85A1B">
      <w:pPr>
        <w:pStyle w:val="standardtext"/>
        <w:spacing w:after="0"/>
        <w:rPr>
          <w:rStyle w:val="ae"/>
          <w:b/>
          <w:color w:val="auto"/>
          <w:u w:val="none"/>
          <w:lang w:val="en-US"/>
        </w:rPr>
      </w:pPr>
    </w:p>
    <w:sectPr w:rsidR="00C85A1B" w:rsidSect="00000258">
      <w:pgSz w:w="16838" w:h="11906" w:orient="landscape"/>
      <w:pgMar w:top="155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8A9" w:rsidRDefault="009A18A9">
      <w:r>
        <w:separator/>
      </w:r>
    </w:p>
  </w:endnote>
  <w:endnote w:type="continuationSeparator" w:id="0">
    <w:p w:rsidR="009A18A9" w:rsidRDefault="009A1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8A9" w:rsidRDefault="009A18A9">
      <w:r>
        <w:separator/>
      </w:r>
    </w:p>
  </w:footnote>
  <w:footnote w:type="continuationSeparator" w:id="0">
    <w:p w:rsidR="009A18A9" w:rsidRDefault="009A18A9">
      <w:r>
        <w:continuationSeparator/>
      </w:r>
    </w:p>
  </w:footnote>
  <w:footnote w:id="1">
    <w:p w:rsidR="009A18A9" w:rsidRDefault="009A18A9">
      <w:pPr>
        <w:pStyle w:val="a7"/>
      </w:pPr>
      <w:r w:rsidRPr="005B6765">
        <w:rPr>
          <w:rStyle w:val="a9"/>
        </w:rPr>
        <w:footnoteRef/>
      </w:r>
      <w:r>
        <w:t xml:space="preserve"> Города-аналоги: Казань, Нижний Новгород, Самара, Екатеринбург, Челябинск</w:t>
      </w:r>
    </w:p>
  </w:footnote>
  <w:footnote w:id="2">
    <w:p w:rsidR="009A18A9" w:rsidRPr="00974657" w:rsidRDefault="009A18A9" w:rsidP="00A03CEF">
      <w:pPr>
        <w:pStyle w:val="a7"/>
      </w:pPr>
      <w:r w:rsidRPr="005B6765">
        <w:rPr>
          <w:rStyle w:val="a9"/>
        </w:rPr>
        <w:footnoteRef/>
      </w:r>
      <w:r>
        <w:t xml:space="preserve"> </w:t>
      </w:r>
      <w:proofErr w:type="gramStart"/>
      <w:r w:rsidRPr="00974657">
        <w:t>В связи с изменениями с 2012 года в бюджетном и налоговом законодательстве в настоящем анализе объем д</w:t>
      </w:r>
      <w:r w:rsidRPr="00974657">
        <w:t>о</w:t>
      </w:r>
      <w:r w:rsidRPr="00974657">
        <w:t>ходов бюджета 2011 года приведен в условиях</w:t>
      </w:r>
      <w:r>
        <w:t>,</w:t>
      </w:r>
      <w:r w:rsidRPr="00974657">
        <w:t xml:space="preserve"> сопоставимых с 2012 годом (без налога на имущество организ</w:t>
      </w:r>
      <w:r w:rsidRPr="00974657">
        <w:t>а</w:t>
      </w:r>
      <w:r w:rsidRPr="00974657">
        <w:t>ций, госпошлины за регистрацию транспортных средств, штрафов за правонарушения в области дорожного дв</w:t>
      </w:r>
      <w:r w:rsidRPr="00974657">
        <w:t>и</w:t>
      </w:r>
      <w:r w:rsidRPr="00974657">
        <w:t>жения, а также с учетом норматива зачисления по НДФЛ - 40%).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8A9" w:rsidRDefault="009A18A9" w:rsidP="00C519BC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A18A9" w:rsidRDefault="009A18A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8A9" w:rsidRPr="00F527C7" w:rsidRDefault="009A18A9" w:rsidP="00C519BC">
    <w:pPr>
      <w:pStyle w:val="aa"/>
      <w:framePr w:wrap="around" w:vAnchor="text" w:hAnchor="margin" w:xAlign="center" w:y="1"/>
      <w:rPr>
        <w:rStyle w:val="ab"/>
        <w:sz w:val="20"/>
      </w:rPr>
    </w:pPr>
    <w:r w:rsidRPr="00F527C7">
      <w:rPr>
        <w:rStyle w:val="ab"/>
        <w:sz w:val="20"/>
      </w:rPr>
      <w:fldChar w:fldCharType="begin"/>
    </w:r>
    <w:r w:rsidRPr="00F527C7">
      <w:rPr>
        <w:rStyle w:val="ab"/>
        <w:sz w:val="20"/>
      </w:rPr>
      <w:instrText xml:space="preserve">PAGE  </w:instrText>
    </w:r>
    <w:r w:rsidRPr="00F527C7">
      <w:rPr>
        <w:rStyle w:val="ab"/>
        <w:sz w:val="20"/>
      </w:rPr>
      <w:fldChar w:fldCharType="separate"/>
    </w:r>
    <w:r w:rsidR="0072366E">
      <w:rPr>
        <w:rStyle w:val="ab"/>
        <w:noProof/>
        <w:sz w:val="20"/>
      </w:rPr>
      <w:t>2</w:t>
    </w:r>
    <w:r w:rsidRPr="00F527C7">
      <w:rPr>
        <w:rStyle w:val="ab"/>
        <w:sz w:val="20"/>
      </w:rPr>
      <w:fldChar w:fldCharType="end"/>
    </w:r>
  </w:p>
  <w:p w:rsidR="009A18A9" w:rsidRDefault="009A18A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6BE9"/>
    <w:multiLevelType w:val="multilevel"/>
    <w:tmpl w:val="235AA96E"/>
    <w:lvl w:ilvl="0">
      <w:start w:val="1"/>
      <w:numFmt w:val="decimal"/>
      <w:pStyle w:val="1"/>
      <w:lvlText w:val="%1."/>
      <w:lvlJc w:val="left"/>
      <w:pPr>
        <w:ind w:left="716" w:hanging="432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2B627972"/>
    <w:multiLevelType w:val="hybridMultilevel"/>
    <w:tmpl w:val="AACA7E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DFC6334"/>
    <w:multiLevelType w:val="hybridMultilevel"/>
    <w:tmpl w:val="34C287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3E90637"/>
    <w:multiLevelType w:val="hybridMultilevel"/>
    <w:tmpl w:val="1E1673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E3392B"/>
    <w:multiLevelType w:val="hybridMultilevel"/>
    <w:tmpl w:val="E4E24208"/>
    <w:lvl w:ilvl="0" w:tplc="9F9E21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D46485D"/>
    <w:multiLevelType w:val="hybridMultilevel"/>
    <w:tmpl w:val="F2B82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7119EB"/>
    <w:multiLevelType w:val="hybridMultilevel"/>
    <w:tmpl w:val="F462E4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WTa8VISqBSXz6ERTNP7RwRSz6AU=" w:salt="PZdE6A7DhWijVlhJRdhLUA==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DFB"/>
    <w:rsid w:val="00000258"/>
    <w:rsid w:val="000322E8"/>
    <w:rsid w:val="00040BF1"/>
    <w:rsid w:val="0004499B"/>
    <w:rsid w:val="00046F02"/>
    <w:rsid w:val="000532BE"/>
    <w:rsid w:val="00067D21"/>
    <w:rsid w:val="00070EA6"/>
    <w:rsid w:val="00071DEF"/>
    <w:rsid w:val="00084B3E"/>
    <w:rsid w:val="000A3420"/>
    <w:rsid w:val="000A7D42"/>
    <w:rsid w:val="000C04E4"/>
    <w:rsid w:val="000C73F3"/>
    <w:rsid w:val="000E4B0F"/>
    <w:rsid w:val="00100F61"/>
    <w:rsid w:val="00104FAA"/>
    <w:rsid w:val="001078E1"/>
    <w:rsid w:val="00135017"/>
    <w:rsid w:val="001353EE"/>
    <w:rsid w:val="00136EE4"/>
    <w:rsid w:val="0015335A"/>
    <w:rsid w:val="00175E83"/>
    <w:rsid w:val="00180345"/>
    <w:rsid w:val="00180FC0"/>
    <w:rsid w:val="0018704D"/>
    <w:rsid w:val="001A0731"/>
    <w:rsid w:val="001B1108"/>
    <w:rsid w:val="001B38E8"/>
    <w:rsid w:val="001C45F5"/>
    <w:rsid w:val="001E32A3"/>
    <w:rsid w:val="001E3D89"/>
    <w:rsid w:val="001E7FBB"/>
    <w:rsid w:val="00201FF8"/>
    <w:rsid w:val="002213F8"/>
    <w:rsid w:val="0023487D"/>
    <w:rsid w:val="002414B4"/>
    <w:rsid w:val="00244CC0"/>
    <w:rsid w:val="0025307A"/>
    <w:rsid w:val="00253DFB"/>
    <w:rsid w:val="00255369"/>
    <w:rsid w:val="0025574E"/>
    <w:rsid w:val="00272DDF"/>
    <w:rsid w:val="002833CE"/>
    <w:rsid w:val="0029396F"/>
    <w:rsid w:val="00293DB5"/>
    <w:rsid w:val="00294967"/>
    <w:rsid w:val="002963E9"/>
    <w:rsid w:val="002A2ADC"/>
    <w:rsid w:val="002B1A0E"/>
    <w:rsid w:val="002B46C1"/>
    <w:rsid w:val="002E6936"/>
    <w:rsid w:val="002F2746"/>
    <w:rsid w:val="002F2C36"/>
    <w:rsid w:val="002F5510"/>
    <w:rsid w:val="0031201B"/>
    <w:rsid w:val="00342469"/>
    <w:rsid w:val="0035518D"/>
    <w:rsid w:val="00370043"/>
    <w:rsid w:val="003762C8"/>
    <w:rsid w:val="00376FE4"/>
    <w:rsid w:val="00390997"/>
    <w:rsid w:val="00390DA0"/>
    <w:rsid w:val="003A40C4"/>
    <w:rsid w:val="003A45E7"/>
    <w:rsid w:val="003D54CC"/>
    <w:rsid w:val="003F1CA8"/>
    <w:rsid w:val="003F57F2"/>
    <w:rsid w:val="003F6ECC"/>
    <w:rsid w:val="0041196C"/>
    <w:rsid w:val="00412A8C"/>
    <w:rsid w:val="00413B6C"/>
    <w:rsid w:val="004263F0"/>
    <w:rsid w:val="0042678C"/>
    <w:rsid w:val="00430C3A"/>
    <w:rsid w:val="00435710"/>
    <w:rsid w:val="00452D25"/>
    <w:rsid w:val="004536D0"/>
    <w:rsid w:val="00466406"/>
    <w:rsid w:val="0048166C"/>
    <w:rsid w:val="00493328"/>
    <w:rsid w:val="004B011E"/>
    <w:rsid w:val="004F537A"/>
    <w:rsid w:val="00500C24"/>
    <w:rsid w:val="005234A0"/>
    <w:rsid w:val="0053191F"/>
    <w:rsid w:val="00534F66"/>
    <w:rsid w:val="005407DD"/>
    <w:rsid w:val="00550ED0"/>
    <w:rsid w:val="005771FE"/>
    <w:rsid w:val="00587F3E"/>
    <w:rsid w:val="005A068D"/>
    <w:rsid w:val="005A5037"/>
    <w:rsid w:val="005B0FE1"/>
    <w:rsid w:val="005B6765"/>
    <w:rsid w:val="005C422D"/>
    <w:rsid w:val="005D2449"/>
    <w:rsid w:val="005D3F07"/>
    <w:rsid w:val="005D7AD1"/>
    <w:rsid w:val="005F332E"/>
    <w:rsid w:val="005F456E"/>
    <w:rsid w:val="0060137E"/>
    <w:rsid w:val="00607405"/>
    <w:rsid w:val="00610673"/>
    <w:rsid w:val="00626C2D"/>
    <w:rsid w:val="00633EF2"/>
    <w:rsid w:val="006408AF"/>
    <w:rsid w:val="006572A4"/>
    <w:rsid w:val="006669F9"/>
    <w:rsid w:val="00667AA9"/>
    <w:rsid w:val="00670B00"/>
    <w:rsid w:val="006771DD"/>
    <w:rsid w:val="006776F2"/>
    <w:rsid w:val="006A3717"/>
    <w:rsid w:val="006B1EC7"/>
    <w:rsid w:val="006D054D"/>
    <w:rsid w:val="006D528E"/>
    <w:rsid w:val="006E75DA"/>
    <w:rsid w:val="006F603D"/>
    <w:rsid w:val="00703233"/>
    <w:rsid w:val="00712C99"/>
    <w:rsid w:val="00716446"/>
    <w:rsid w:val="00717BAC"/>
    <w:rsid w:val="0072366E"/>
    <w:rsid w:val="00737551"/>
    <w:rsid w:val="00737953"/>
    <w:rsid w:val="00746946"/>
    <w:rsid w:val="00761CD4"/>
    <w:rsid w:val="00766CD9"/>
    <w:rsid w:val="00773917"/>
    <w:rsid w:val="00782325"/>
    <w:rsid w:val="00786B06"/>
    <w:rsid w:val="007B7EB7"/>
    <w:rsid w:val="007C5048"/>
    <w:rsid w:val="0080081D"/>
    <w:rsid w:val="00815C14"/>
    <w:rsid w:val="00831157"/>
    <w:rsid w:val="00832FF9"/>
    <w:rsid w:val="00834720"/>
    <w:rsid w:val="00854819"/>
    <w:rsid w:val="0086189D"/>
    <w:rsid w:val="00863AB3"/>
    <w:rsid w:val="00867A2D"/>
    <w:rsid w:val="00880036"/>
    <w:rsid w:val="0088623F"/>
    <w:rsid w:val="0089605E"/>
    <w:rsid w:val="008A16D7"/>
    <w:rsid w:val="008B3325"/>
    <w:rsid w:val="008C3C53"/>
    <w:rsid w:val="008C3C97"/>
    <w:rsid w:val="008C5028"/>
    <w:rsid w:val="008C510E"/>
    <w:rsid w:val="008C5309"/>
    <w:rsid w:val="008D0A2C"/>
    <w:rsid w:val="008E483F"/>
    <w:rsid w:val="008F7750"/>
    <w:rsid w:val="0091297F"/>
    <w:rsid w:val="00913ED6"/>
    <w:rsid w:val="009213C4"/>
    <w:rsid w:val="00965D73"/>
    <w:rsid w:val="00987001"/>
    <w:rsid w:val="009A18A9"/>
    <w:rsid w:val="009B4F07"/>
    <w:rsid w:val="009C14C6"/>
    <w:rsid w:val="009C79D2"/>
    <w:rsid w:val="009E660E"/>
    <w:rsid w:val="009F6238"/>
    <w:rsid w:val="00A03CEF"/>
    <w:rsid w:val="00A055B2"/>
    <w:rsid w:val="00A076B9"/>
    <w:rsid w:val="00A130EE"/>
    <w:rsid w:val="00A26219"/>
    <w:rsid w:val="00A428FB"/>
    <w:rsid w:val="00A541CB"/>
    <w:rsid w:val="00A61E91"/>
    <w:rsid w:val="00A67B9F"/>
    <w:rsid w:val="00A87F2B"/>
    <w:rsid w:val="00A92DA3"/>
    <w:rsid w:val="00AA6919"/>
    <w:rsid w:val="00AB6D26"/>
    <w:rsid w:val="00AC0166"/>
    <w:rsid w:val="00AC07B2"/>
    <w:rsid w:val="00AC12D8"/>
    <w:rsid w:val="00AC1B7A"/>
    <w:rsid w:val="00AC3827"/>
    <w:rsid w:val="00AD7621"/>
    <w:rsid w:val="00AF0D0D"/>
    <w:rsid w:val="00B075CF"/>
    <w:rsid w:val="00B125DC"/>
    <w:rsid w:val="00B200F3"/>
    <w:rsid w:val="00B26416"/>
    <w:rsid w:val="00B33EF0"/>
    <w:rsid w:val="00B66AE0"/>
    <w:rsid w:val="00B87CBB"/>
    <w:rsid w:val="00BA2D0E"/>
    <w:rsid w:val="00BA3807"/>
    <w:rsid w:val="00BB73C9"/>
    <w:rsid w:val="00BC082B"/>
    <w:rsid w:val="00BC52B7"/>
    <w:rsid w:val="00BD28F6"/>
    <w:rsid w:val="00BE59BD"/>
    <w:rsid w:val="00C07570"/>
    <w:rsid w:val="00C108F0"/>
    <w:rsid w:val="00C24FE2"/>
    <w:rsid w:val="00C32676"/>
    <w:rsid w:val="00C35EA8"/>
    <w:rsid w:val="00C519BC"/>
    <w:rsid w:val="00C540FF"/>
    <w:rsid w:val="00C62A73"/>
    <w:rsid w:val="00C66A10"/>
    <w:rsid w:val="00C74098"/>
    <w:rsid w:val="00C7557E"/>
    <w:rsid w:val="00C85A1B"/>
    <w:rsid w:val="00C87B26"/>
    <w:rsid w:val="00CB32B6"/>
    <w:rsid w:val="00CB4231"/>
    <w:rsid w:val="00CC294D"/>
    <w:rsid w:val="00CD5886"/>
    <w:rsid w:val="00CD65B7"/>
    <w:rsid w:val="00CE00B0"/>
    <w:rsid w:val="00CE6E1F"/>
    <w:rsid w:val="00CF5F00"/>
    <w:rsid w:val="00D25FD6"/>
    <w:rsid w:val="00D30191"/>
    <w:rsid w:val="00D329D7"/>
    <w:rsid w:val="00D3543A"/>
    <w:rsid w:val="00D4559A"/>
    <w:rsid w:val="00D625F4"/>
    <w:rsid w:val="00D93225"/>
    <w:rsid w:val="00DB04D4"/>
    <w:rsid w:val="00DB15F7"/>
    <w:rsid w:val="00DC5E7A"/>
    <w:rsid w:val="00DD0809"/>
    <w:rsid w:val="00DD40BD"/>
    <w:rsid w:val="00DD55BD"/>
    <w:rsid w:val="00DE141B"/>
    <w:rsid w:val="00DE6ED2"/>
    <w:rsid w:val="00E06CBE"/>
    <w:rsid w:val="00E07E6F"/>
    <w:rsid w:val="00E138C2"/>
    <w:rsid w:val="00E1542D"/>
    <w:rsid w:val="00E17981"/>
    <w:rsid w:val="00E245A7"/>
    <w:rsid w:val="00E36846"/>
    <w:rsid w:val="00E542C5"/>
    <w:rsid w:val="00E55B1C"/>
    <w:rsid w:val="00E60DF8"/>
    <w:rsid w:val="00E705D0"/>
    <w:rsid w:val="00E73F61"/>
    <w:rsid w:val="00E75A0E"/>
    <w:rsid w:val="00E84C12"/>
    <w:rsid w:val="00E870C0"/>
    <w:rsid w:val="00E9024A"/>
    <w:rsid w:val="00E91180"/>
    <w:rsid w:val="00E9539C"/>
    <w:rsid w:val="00EA6FE4"/>
    <w:rsid w:val="00EB1361"/>
    <w:rsid w:val="00EB1E63"/>
    <w:rsid w:val="00EB2663"/>
    <w:rsid w:val="00EC0328"/>
    <w:rsid w:val="00EC4FED"/>
    <w:rsid w:val="00ED233E"/>
    <w:rsid w:val="00ED5EF0"/>
    <w:rsid w:val="00EE2453"/>
    <w:rsid w:val="00EF3D4A"/>
    <w:rsid w:val="00F162D7"/>
    <w:rsid w:val="00F23E6C"/>
    <w:rsid w:val="00F3771B"/>
    <w:rsid w:val="00F527C7"/>
    <w:rsid w:val="00F71541"/>
    <w:rsid w:val="00F75975"/>
    <w:rsid w:val="00FB05A7"/>
    <w:rsid w:val="00FB4193"/>
    <w:rsid w:val="00FC134E"/>
    <w:rsid w:val="00FC1818"/>
    <w:rsid w:val="00FC79B1"/>
    <w:rsid w:val="00FE1EE3"/>
    <w:rsid w:val="00FE5877"/>
    <w:rsid w:val="00FF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uiPriority="35" w:qFormat="1"/>
    <w:lsdException w:name="Title" w:qFormat="1"/>
    <w:lsdException w:name="Subtitle" w:qFormat="1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253DFB"/>
    <w:pPr>
      <w:spacing w:line="360" w:lineRule="atLeast"/>
      <w:jc w:val="both"/>
    </w:pPr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rsid w:val="00253DFB"/>
    <w:pPr>
      <w:keepNext/>
      <w:numPr>
        <w:numId w:val="1"/>
      </w:numPr>
      <w:tabs>
        <w:tab w:val="left" w:pos="709"/>
      </w:tabs>
      <w:spacing w:before="240" w:after="60" w:line="240" w:lineRule="auto"/>
      <w:ind w:left="709" w:hanging="709"/>
      <w:outlineLvl w:val="0"/>
    </w:pPr>
    <w:rPr>
      <w:rFonts w:ascii="Times New Roman" w:hAnsi="Times New Roman"/>
      <w:b/>
      <w:bCs/>
      <w:kern w:val="32"/>
      <w:szCs w:val="32"/>
    </w:rPr>
  </w:style>
  <w:style w:type="paragraph" w:styleId="2">
    <w:name w:val="heading 2"/>
    <w:basedOn w:val="a"/>
    <w:next w:val="a"/>
    <w:qFormat/>
    <w:rsid w:val="00253DFB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qFormat/>
    <w:rsid w:val="00253DFB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253DFB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a"/>
    <w:next w:val="a"/>
    <w:qFormat/>
    <w:rsid w:val="00253DF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53DFB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qFormat/>
    <w:rsid w:val="00253DFB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qFormat/>
    <w:rsid w:val="00253DF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qFormat/>
    <w:rsid w:val="00253DF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3DFB"/>
    <w:rPr>
      <w:b/>
      <w:bCs/>
      <w:kern w:val="32"/>
      <w:sz w:val="28"/>
      <w:szCs w:val="32"/>
      <w:lang w:val="ru-RU" w:eastAsia="ru-RU" w:bidi="ar-SA"/>
    </w:rPr>
  </w:style>
  <w:style w:type="paragraph" w:styleId="20">
    <w:name w:val="Body Text 2"/>
    <w:basedOn w:val="a"/>
    <w:rsid w:val="00253DFB"/>
    <w:pPr>
      <w:spacing w:before="60" w:line="360" w:lineRule="auto"/>
    </w:pPr>
    <w:rPr>
      <w:rFonts w:ascii="Times New Roman" w:hAnsi="Times New Roman"/>
      <w:sz w:val="26"/>
    </w:rPr>
  </w:style>
  <w:style w:type="paragraph" w:styleId="a3">
    <w:name w:val="No Spacing"/>
    <w:link w:val="a4"/>
    <w:uiPriority w:val="1"/>
    <w:qFormat/>
    <w:rsid w:val="00253DFB"/>
    <w:rPr>
      <w:rFonts w:ascii="Calibri" w:hAnsi="Calibri"/>
      <w:sz w:val="22"/>
      <w:szCs w:val="22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253DFB"/>
    <w:rPr>
      <w:rFonts w:ascii="Calibri" w:hAnsi="Calibri"/>
      <w:sz w:val="22"/>
      <w:szCs w:val="22"/>
      <w:lang w:val="ru-RU" w:eastAsia="en-US" w:bidi="ar-SA"/>
    </w:rPr>
  </w:style>
  <w:style w:type="paragraph" w:styleId="a5">
    <w:name w:val="Body Text Indent"/>
    <w:basedOn w:val="a"/>
    <w:rsid w:val="00253DFB"/>
    <w:pPr>
      <w:spacing w:after="120"/>
      <w:ind w:left="283"/>
    </w:pPr>
  </w:style>
  <w:style w:type="paragraph" w:styleId="a6">
    <w:name w:val="Body Text"/>
    <w:basedOn w:val="a"/>
    <w:rsid w:val="00253DFB"/>
    <w:pPr>
      <w:spacing w:after="120"/>
    </w:pPr>
  </w:style>
  <w:style w:type="paragraph" w:styleId="a7">
    <w:name w:val="footnote text"/>
    <w:basedOn w:val="a"/>
    <w:link w:val="a8"/>
    <w:semiHidden/>
    <w:rsid w:val="00253DFB"/>
    <w:pPr>
      <w:spacing w:line="240" w:lineRule="auto"/>
      <w:jc w:val="left"/>
    </w:pPr>
    <w:rPr>
      <w:rFonts w:ascii="Times New Roman" w:hAnsi="Times New Roman"/>
      <w:sz w:val="20"/>
    </w:rPr>
  </w:style>
  <w:style w:type="character" w:styleId="a9">
    <w:name w:val="footnote reference"/>
    <w:basedOn w:val="a0"/>
    <w:semiHidden/>
    <w:rsid w:val="00253DFB"/>
    <w:rPr>
      <w:vertAlign w:val="superscript"/>
    </w:rPr>
  </w:style>
  <w:style w:type="paragraph" w:styleId="aa">
    <w:name w:val="header"/>
    <w:basedOn w:val="a"/>
    <w:rsid w:val="00253DF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53DFB"/>
  </w:style>
  <w:style w:type="paragraph" w:styleId="ac">
    <w:name w:val="caption"/>
    <w:basedOn w:val="a"/>
    <w:next w:val="a"/>
    <w:uiPriority w:val="35"/>
    <w:qFormat/>
    <w:rsid w:val="00253DFB"/>
    <w:rPr>
      <w:rFonts w:ascii="Times New Roman" w:hAnsi="Times New Roman"/>
      <w:b/>
      <w:bCs/>
      <w:szCs w:val="28"/>
    </w:rPr>
  </w:style>
  <w:style w:type="paragraph" w:customStyle="1" w:styleId="standardtext">
    <w:name w:val="standard_text"/>
    <w:basedOn w:val="a5"/>
    <w:qFormat/>
    <w:rsid w:val="00253DFB"/>
    <w:pPr>
      <w:spacing w:line="240" w:lineRule="auto"/>
      <w:ind w:left="0" w:firstLine="709"/>
    </w:pPr>
    <w:rPr>
      <w:rFonts w:ascii="Times New Roman" w:hAnsi="Times New Roman"/>
    </w:rPr>
  </w:style>
  <w:style w:type="paragraph" w:styleId="ad">
    <w:name w:val="TOC Heading"/>
    <w:basedOn w:val="1"/>
    <w:next w:val="a"/>
    <w:qFormat/>
    <w:rsid w:val="00253DFB"/>
    <w:pPr>
      <w:keepLines/>
      <w:numPr>
        <w:numId w:val="0"/>
      </w:numPr>
      <w:tabs>
        <w:tab w:val="clear" w:pos="709"/>
      </w:tabs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11">
    <w:name w:val="toc 1"/>
    <w:basedOn w:val="a"/>
    <w:next w:val="a"/>
    <w:autoRedefine/>
    <w:rsid w:val="00AC3827"/>
    <w:pPr>
      <w:widowControl w:val="0"/>
      <w:tabs>
        <w:tab w:val="left" w:pos="660"/>
        <w:tab w:val="right" w:leader="dot" w:pos="10194"/>
      </w:tabs>
      <w:spacing w:line="240" w:lineRule="auto"/>
      <w:ind w:firstLine="709"/>
    </w:pPr>
    <w:rPr>
      <w:b/>
      <w:noProof/>
      <w:szCs w:val="28"/>
    </w:rPr>
  </w:style>
  <w:style w:type="character" w:styleId="ae">
    <w:name w:val="Hyperlink"/>
    <w:basedOn w:val="a0"/>
    <w:uiPriority w:val="99"/>
    <w:unhideWhenUsed/>
    <w:rsid w:val="00253DFB"/>
    <w:rPr>
      <w:color w:val="0000FF"/>
      <w:u w:val="single"/>
    </w:rPr>
  </w:style>
  <w:style w:type="paragraph" w:customStyle="1" w:styleId="tabletext">
    <w:name w:val="table_text"/>
    <w:basedOn w:val="standardtext"/>
    <w:qFormat/>
    <w:rsid w:val="00253DFB"/>
    <w:pPr>
      <w:spacing w:after="0"/>
      <w:ind w:firstLine="0"/>
    </w:pPr>
  </w:style>
  <w:style w:type="table" w:styleId="af">
    <w:name w:val="Table Grid"/>
    <w:basedOn w:val="a1"/>
    <w:uiPriority w:val="59"/>
    <w:rsid w:val="00253DFB"/>
    <w:pPr>
      <w:spacing w:line="36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Таблица"/>
    <w:basedOn w:val="af1"/>
    <w:rsid w:val="00071DE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20" w:lineRule="exact"/>
      <w:ind w:left="0" w:firstLine="0"/>
      <w:jc w:val="left"/>
    </w:pPr>
    <w:rPr>
      <w:rFonts w:cs="Times New Roman"/>
      <w:sz w:val="20"/>
      <w:szCs w:val="20"/>
    </w:rPr>
  </w:style>
  <w:style w:type="paragraph" w:styleId="af1">
    <w:name w:val="Message Header"/>
    <w:basedOn w:val="a"/>
    <w:rsid w:val="00071D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2">
    <w:name w:val="Normal (Web)"/>
    <w:basedOn w:val="a"/>
    <w:uiPriority w:val="99"/>
    <w:unhideWhenUsed/>
    <w:rsid w:val="00CB32B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af3">
    <w:name w:val="Strong"/>
    <w:basedOn w:val="a0"/>
    <w:uiPriority w:val="22"/>
    <w:qFormat/>
    <w:rsid w:val="00CB32B6"/>
    <w:rPr>
      <w:b/>
      <w:bCs/>
    </w:rPr>
  </w:style>
  <w:style w:type="paragraph" w:styleId="af4">
    <w:name w:val="List Paragraph"/>
    <w:basedOn w:val="a"/>
    <w:uiPriority w:val="34"/>
    <w:qFormat/>
    <w:rsid w:val="00D4559A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1"/>
    <w:uiPriority w:val="99"/>
    <w:unhideWhenUsed/>
    <w:rsid w:val="009C79D2"/>
    <w:pPr>
      <w:spacing w:after="120" w:line="240" w:lineRule="auto"/>
      <w:ind w:left="283" w:firstLine="720"/>
    </w:pPr>
    <w:rPr>
      <w:rFonts w:ascii="Calibri" w:eastAsia="Calibri" w:hAnsi="Calibri"/>
      <w:sz w:val="16"/>
      <w:szCs w:val="16"/>
      <w:lang w:eastAsia="en-US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9C79D2"/>
    <w:rPr>
      <w:rFonts w:ascii="Calibri" w:eastAsia="Calibri" w:hAnsi="Calibri"/>
      <w:sz w:val="16"/>
      <w:szCs w:val="16"/>
      <w:lang w:eastAsia="en-US"/>
    </w:rPr>
  </w:style>
  <w:style w:type="paragraph" w:styleId="21">
    <w:name w:val="Body Text Indent 2"/>
    <w:basedOn w:val="a"/>
    <w:link w:val="22"/>
    <w:rsid w:val="006E75D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E75DA"/>
    <w:rPr>
      <w:rFonts w:ascii="Times New Roman CYR" w:hAnsi="Times New Roman CYR"/>
      <w:sz w:val="28"/>
    </w:rPr>
  </w:style>
  <w:style w:type="character" w:customStyle="1" w:styleId="apple-converted-space">
    <w:name w:val="apple-converted-space"/>
    <w:basedOn w:val="a0"/>
    <w:rsid w:val="006E75DA"/>
  </w:style>
  <w:style w:type="character" w:customStyle="1" w:styleId="a8">
    <w:name w:val="Текст сноски Знак"/>
    <w:basedOn w:val="a0"/>
    <w:link w:val="a7"/>
    <w:semiHidden/>
    <w:rsid w:val="00A03CEF"/>
  </w:style>
  <w:style w:type="paragraph" w:styleId="af5">
    <w:name w:val="Balloon Text"/>
    <w:basedOn w:val="a"/>
    <w:link w:val="af6"/>
    <w:rsid w:val="00BE59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BE59BD"/>
    <w:rPr>
      <w:rFonts w:ascii="Tahoma" w:hAnsi="Tahoma" w:cs="Tahoma"/>
      <w:sz w:val="16"/>
      <w:szCs w:val="16"/>
    </w:rPr>
  </w:style>
  <w:style w:type="character" w:styleId="af7">
    <w:name w:val="endnote reference"/>
    <w:basedOn w:val="a0"/>
    <w:rsid w:val="005B6765"/>
    <w:rPr>
      <w:vertAlign w:val="superscript"/>
    </w:rPr>
  </w:style>
  <w:style w:type="paragraph" w:styleId="af8">
    <w:name w:val="footer"/>
    <w:basedOn w:val="a"/>
    <w:link w:val="af9"/>
    <w:rsid w:val="00F527C7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rsid w:val="00F527C7"/>
    <w:rPr>
      <w:rFonts w:ascii="Times New Roman CYR" w:hAnsi="Times New Roman CYR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chart" Target="charts/chart15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chart" Target="charts/chart14.xm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chart" Target="charts/chart11.xml"/><Relationship Id="rId29" Type="http://schemas.openxmlformats.org/officeDocument/2006/relationships/chart" Target="charts/chart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chart" Target="charts/chart13.xm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23" Type="http://schemas.openxmlformats.org/officeDocument/2006/relationships/image" Target="media/image3.png"/><Relationship Id="rId28" Type="http://schemas.openxmlformats.org/officeDocument/2006/relationships/chart" Target="charts/chart17.xml"/><Relationship Id="rId10" Type="http://schemas.openxmlformats.org/officeDocument/2006/relationships/image" Target="media/image1.jpeg"/><Relationship Id="rId19" Type="http://schemas.openxmlformats.org/officeDocument/2006/relationships/chart" Target="charts/chart10.xml"/><Relationship Id="rId31" Type="http://schemas.openxmlformats.org/officeDocument/2006/relationships/chart" Target="charts/chart20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5.xml"/><Relationship Id="rId22" Type="http://schemas.openxmlformats.org/officeDocument/2006/relationships/image" Target="media/image2.png"/><Relationship Id="rId27" Type="http://schemas.openxmlformats.org/officeDocument/2006/relationships/chart" Target="charts/chart16.xml"/><Relationship Id="rId30" Type="http://schemas.openxmlformats.org/officeDocument/2006/relationships/chart" Target="charts/chart19.xml"/><Relationship Id="rId35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3;&#1088;&#1072;&#1092;&#1080;&#1082;&#1080;\&#1055;&#1088;&#1086;&#1084;&#1099;&#1096;&#1083;&#1077;&#1085;&#1085;&#1086;&#1089;&#1090;&#1100;.xls" TargetMode="Externa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ksenova-tl\Desktop\&#1057;&#1090;&#1088;&#1072;&#1090;&#1077;&#1075;&#1080;&#1103;%20&#1055;&#1077;&#1088;&#1084;&#1100;\&#1057;&#1090;&#1072;&#1090;&#1080;&#1089;&#1090;&#1080;&#1082;&#1072;2.xls" TargetMode="External"/><Relationship Id="rId1" Type="http://schemas.openxmlformats.org/officeDocument/2006/relationships/themeOverride" Target="../theme/themeOverride3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ksenova-tl\Desktop\&#1057;&#1090;&#1088;&#1072;&#1090;&#1077;&#1075;&#1080;&#1103;%20&#1055;&#1077;&#1088;&#1084;&#1100;\&#1057;&#1090;&#1072;&#1090;&#1080;&#1089;&#1090;&#1080;&#1082;&#1072;2.xls" TargetMode="External"/><Relationship Id="rId1" Type="http://schemas.openxmlformats.org/officeDocument/2006/relationships/themeOverride" Target="../theme/themeOverride4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ksenova-tl\Desktop\&#1057;&#1090;&#1088;&#1072;&#1090;&#1077;&#1075;&#1080;&#1103;%20&#1055;&#1077;&#1088;&#1084;&#1100;\&#1057;&#1090;&#1072;&#1090;&#1080;&#1089;&#1090;&#1080;&#1082;&#1072;2.xls" TargetMode="External"/><Relationship Id="rId1" Type="http://schemas.openxmlformats.org/officeDocument/2006/relationships/themeOverride" Target="../theme/themeOverride5.xm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peu12\&#1056;&#1072;&#1073;&#1086;&#1095;&#1080;&#1081;%20&#1089;&#1090;&#1086;&#1083;\&#1054;&#1083;&#1077;&#1085;&#1077;&#1074;&#1072;\&#1055;&#1069;&#1044;\&#1043;&#1054;&#1044;&#1054;&#1042;&#1054;&#1049;%20&#1044;&#1054;&#1050;&#1051;&#1040;&#1044;\2013\&#1044;&#1080;&#1072;&#1075;&#1088;&#1072;&#1084;&#1084;&#1099;%20&#1076;&#1083;&#1103;%20&#1087;&#1086;&#1076;&#1088;&#1103;&#1076;&#1095;&#1080;&#1082;&#1072;.xlsx" TargetMode="Externa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ksenova-tl\Desktop\&#1057;&#1090;&#1088;&#1072;&#1090;&#1077;&#1075;&#1080;&#1103;%20&#1055;&#1077;&#1088;&#1084;&#1100;\&#1057;&#1090;&#1072;&#1090;&#1080;&#1089;&#1090;&#1080;&#1082;&#1072;2.xls" TargetMode="External"/><Relationship Id="rId1" Type="http://schemas.openxmlformats.org/officeDocument/2006/relationships/themeOverride" Target="../theme/themeOverride1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ksenova-tl\Desktop\&#1057;&#1090;&#1088;&#1072;&#1090;&#1077;&#1075;&#1080;&#1103;%20&#1055;&#1077;&#1088;&#1084;&#1100;\&#1057;&#1090;&#1072;&#1090;&#1080;&#1089;&#1090;&#1080;&#1082;&#1072;2.xls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8724120649967357"/>
          <c:y val="0.15338839731764556"/>
          <c:w val="0.54691996024768752"/>
          <c:h val="0.76297168246288583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Лист1!$B$33</c:f>
              <c:strCache>
                <c:ptCount val="1"/>
                <c:pt idx="0">
                  <c:v>2 008</c:v>
                </c:pt>
              </c:strCache>
            </c:strRef>
          </c:tx>
          <c:marker>
            <c:symbol val="none"/>
          </c:marker>
          <c:cat>
            <c:strRef>
              <c:f>Лист1!$A$34:$A$38</c:f>
              <c:strCache>
                <c:ptCount val="5"/>
                <c:pt idx="0">
                  <c:v>Промышленное производство</c:v>
                </c:pt>
                <c:pt idx="1">
                  <c:v>Инвестиции в основной капитал</c:v>
                </c:pt>
                <c:pt idx="2">
                  <c:v>Оборот розничной торговли</c:v>
                </c:pt>
                <c:pt idx="3">
                  <c:v>Реальные доходы населения</c:v>
                </c:pt>
                <c:pt idx="4">
                  <c:v>Прибыль</c:v>
                </c:pt>
              </c:strCache>
            </c:strRef>
          </c:cat>
          <c:val>
            <c:numRef>
              <c:f>Лист1!$B$34:$B$38</c:f>
              <c:numCache>
                <c:formatCode>General</c:formatCode>
                <c:ptCount val="5"/>
                <c:pt idx="0" formatCode="#,##0">
                  <c:v>103.6</c:v>
                </c:pt>
                <c:pt idx="1">
                  <c:v>96.2</c:v>
                </c:pt>
                <c:pt idx="2">
                  <c:v>104.2</c:v>
                </c:pt>
                <c:pt idx="3">
                  <c:v>99.5</c:v>
                </c:pt>
                <c:pt idx="4">
                  <c:v>132.6</c:v>
                </c:pt>
              </c:numCache>
            </c:numRef>
          </c:val>
        </c:ser>
        <c:ser>
          <c:idx val="1"/>
          <c:order val="1"/>
          <c:tx>
            <c:strRef>
              <c:f>Лист1!$C$33</c:f>
              <c:strCache>
                <c:ptCount val="1"/>
                <c:pt idx="0">
                  <c:v>2009</c:v>
                </c:pt>
              </c:strCache>
            </c:strRef>
          </c:tx>
          <c:marker>
            <c:symbol val="none"/>
          </c:marker>
          <c:cat>
            <c:strRef>
              <c:f>Лист1!$A$34:$A$38</c:f>
              <c:strCache>
                <c:ptCount val="5"/>
                <c:pt idx="0">
                  <c:v>Промышленное производство</c:v>
                </c:pt>
                <c:pt idx="1">
                  <c:v>Инвестиции в основной капитал</c:v>
                </c:pt>
                <c:pt idx="2">
                  <c:v>Оборот розничной торговли</c:v>
                </c:pt>
                <c:pt idx="3">
                  <c:v>Реальные доходы населения</c:v>
                </c:pt>
                <c:pt idx="4">
                  <c:v>Прибыль</c:v>
                </c:pt>
              </c:strCache>
            </c:strRef>
          </c:cat>
          <c:val>
            <c:numRef>
              <c:f>Лист1!$C$34:$C$38</c:f>
              <c:numCache>
                <c:formatCode>General</c:formatCode>
                <c:ptCount val="5"/>
                <c:pt idx="0">
                  <c:v>88.3</c:v>
                </c:pt>
                <c:pt idx="1">
                  <c:v>80</c:v>
                </c:pt>
                <c:pt idx="2">
                  <c:v>93.4</c:v>
                </c:pt>
                <c:pt idx="3">
                  <c:v>95</c:v>
                </c:pt>
                <c:pt idx="4">
                  <c:v>79.900000000000006</c:v>
                </c:pt>
              </c:numCache>
            </c:numRef>
          </c:val>
        </c:ser>
        <c:ser>
          <c:idx val="2"/>
          <c:order val="2"/>
          <c:tx>
            <c:strRef>
              <c:f>Лист1!$D$33</c:f>
              <c:strCache>
                <c:ptCount val="1"/>
                <c:pt idx="0">
                  <c:v>2010</c:v>
                </c:pt>
              </c:strCache>
            </c:strRef>
          </c:tx>
          <c:marker>
            <c:symbol val="none"/>
          </c:marker>
          <c:cat>
            <c:strRef>
              <c:f>Лист1!$A$34:$A$38</c:f>
              <c:strCache>
                <c:ptCount val="5"/>
                <c:pt idx="0">
                  <c:v>Промышленное производство</c:v>
                </c:pt>
                <c:pt idx="1">
                  <c:v>Инвестиции в основной капитал</c:v>
                </c:pt>
                <c:pt idx="2">
                  <c:v>Оборот розничной торговли</c:v>
                </c:pt>
                <c:pt idx="3">
                  <c:v>Реальные доходы населения</c:v>
                </c:pt>
                <c:pt idx="4">
                  <c:v>Прибыль</c:v>
                </c:pt>
              </c:strCache>
            </c:strRef>
          </c:cat>
          <c:val>
            <c:numRef>
              <c:f>Лист1!$D$34:$D$38</c:f>
              <c:numCache>
                <c:formatCode>General</c:formatCode>
                <c:ptCount val="5"/>
                <c:pt idx="0">
                  <c:v>107.7</c:v>
                </c:pt>
                <c:pt idx="1">
                  <c:v>95.5</c:v>
                </c:pt>
                <c:pt idx="2">
                  <c:v>103.1</c:v>
                </c:pt>
                <c:pt idx="3">
                  <c:v>100.6</c:v>
                </c:pt>
                <c:pt idx="4">
                  <c:v>121.6</c:v>
                </c:pt>
              </c:numCache>
            </c:numRef>
          </c:val>
        </c:ser>
        <c:ser>
          <c:idx val="3"/>
          <c:order val="3"/>
          <c:tx>
            <c:strRef>
              <c:f>Лист1!$E$33</c:f>
              <c:strCache>
                <c:ptCount val="1"/>
                <c:pt idx="0">
                  <c:v>2011</c:v>
                </c:pt>
              </c:strCache>
            </c:strRef>
          </c:tx>
          <c:marker>
            <c:symbol val="none"/>
          </c:marker>
          <c:cat>
            <c:strRef>
              <c:f>Лист1!$A$34:$A$38</c:f>
              <c:strCache>
                <c:ptCount val="5"/>
                <c:pt idx="0">
                  <c:v>Промышленное производство</c:v>
                </c:pt>
                <c:pt idx="1">
                  <c:v>Инвестиции в основной капитал</c:v>
                </c:pt>
                <c:pt idx="2">
                  <c:v>Оборот розничной торговли</c:v>
                </c:pt>
                <c:pt idx="3">
                  <c:v>Реальные доходы населения</c:v>
                </c:pt>
                <c:pt idx="4">
                  <c:v>Прибыль</c:v>
                </c:pt>
              </c:strCache>
            </c:strRef>
          </c:cat>
          <c:val>
            <c:numRef>
              <c:f>Лист1!$E$34:$E$38</c:f>
              <c:numCache>
                <c:formatCode>General</c:formatCode>
                <c:ptCount val="5"/>
                <c:pt idx="0">
                  <c:v>114.8</c:v>
                </c:pt>
                <c:pt idx="1">
                  <c:v>101.6</c:v>
                </c:pt>
                <c:pt idx="2">
                  <c:v>106.1</c:v>
                </c:pt>
                <c:pt idx="3">
                  <c:v>95.9</c:v>
                </c:pt>
                <c:pt idx="4">
                  <c:v>129.30000000000001</c:v>
                </c:pt>
              </c:numCache>
            </c:numRef>
          </c:val>
        </c:ser>
        <c:ser>
          <c:idx val="4"/>
          <c:order val="4"/>
          <c:tx>
            <c:strRef>
              <c:f>Лист1!$F$33</c:f>
              <c:strCache>
                <c:ptCount val="1"/>
                <c:pt idx="0">
                  <c:v>2012</c:v>
                </c:pt>
              </c:strCache>
            </c:strRef>
          </c:tx>
          <c:marker>
            <c:symbol val="none"/>
          </c:marker>
          <c:cat>
            <c:strRef>
              <c:f>Лист1!$A$34:$A$38</c:f>
              <c:strCache>
                <c:ptCount val="5"/>
                <c:pt idx="0">
                  <c:v>Промышленное производство</c:v>
                </c:pt>
                <c:pt idx="1">
                  <c:v>Инвестиции в основной капитал</c:v>
                </c:pt>
                <c:pt idx="2">
                  <c:v>Оборот розничной торговли</c:v>
                </c:pt>
                <c:pt idx="3">
                  <c:v>Реальные доходы населения</c:v>
                </c:pt>
                <c:pt idx="4">
                  <c:v>Прибыль</c:v>
                </c:pt>
              </c:strCache>
            </c:strRef>
          </c:cat>
          <c:val>
            <c:numRef>
              <c:f>Лист1!$F$34:$F$38</c:f>
              <c:numCache>
                <c:formatCode>General</c:formatCode>
                <c:ptCount val="5"/>
                <c:pt idx="0">
                  <c:v>97.8</c:v>
                </c:pt>
                <c:pt idx="1">
                  <c:v>104.9</c:v>
                </c:pt>
                <c:pt idx="2">
                  <c:v>100.8</c:v>
                </c:pt>
                <c:pt idx="3">
                  <c:v>102.4</c:v>
                </c:pt>
                <c:pt idx="4">
                  <c:v>117.4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7798528"/>
        <c:axId val="107800064"/>
      </c:radarChart>
      <c:catAx>
        <c:axId val="10779852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7800064"/>
        <c:crosses val="autoZero"/>
        <c:auto val="0"/>
        <c:lblAlgn val="ctr"/>
        <c:lblOffset val="100"/>
        <c:noMultiLvlLbl val="0"/>
      </c:catAx>
      <c:valAx>
        <c:axId val="107800064"/>
        <c:scaling>
          <c:orientation val="minMax"/>
          <c:max val="140"/>
          <c:min val="40"/>
        </c:scaling>
        <c:delete val="0"/>
        <c:axPos val="l"/>
        <c:majorGridlines/>
        <c:numFmt formatCode="#,##0" sourceLinked="1"/>
        <c:majorTickMark val="cross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7798528"/>
        <c:crosses val="autoZero"/>
        <c:crossBetween val="between"/>
        <c:majorUnit val="20"/>
      </c:valAx>
    </c:plotArea>
    <c:legend>
      <c:legendPos val="r"/>
      <c:layout>
        <c:manualLayout>
          <c:xMode val="edge"/>
          <c:yMode val="edge"/>
          <c:x val="0.84492184745563714"/>
          <c:y val="0.40036961059594683"/>
          <c:w val="0.12200052663320018"/>
          <c:h val="0.37498198871166338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0429687148671413E-3"/>
          <c:y val="5.6381695506868154E-2"/>
          <c:w val="0.98257449473501457"/>
          <c:h val="0.79829013235913404"/>
        </c:manualLayout>
      </c:layout>
      <c:barChart>
        <c:barDir val="col"/>
        <c:grouping val="clustered"/>
        <c:varyColors val="0"/>
        <c:ser>
          <c:idx val="1"/>
          <c:order val="0"/>
          <c:spPr>
            <a:gradFill rotWithShape="1">
              <a:gsLst>
                <a:gs pos="0">
                  <a:srgbClr val="9BBB59">
                    <a:shade val="51000"/>
                    <a:satMod val="130000"/>
                  </a:srgbClr>
                </a:gs>
                <a:gs pos="80000">
                  <a:srgbClr val="9BBB59">
                    <a:shade val="93000"/>
                    <a:satMod val="130000"/>
                  </a:srgbClr>
                </a:gs>
                <a:gs pos="100000">
                  <a:srgbClr val="9BBB59">
                    <a:shade val="94000"/>
                    <a:satMod val="135000"/>
                  </a:srgbClr>
                </a:gs>
              </a:gsLst>
              <a:lin ang="16200000" scaled="0"/>
            </a:gradFill>
            <a:ln w="9525" cap="flat" cmpd="sng" algn="ctr">
              <a:solidFill>
                <a:srgbClr val="9BBB59">
                  <a:shade val="95000"/>
                  <a:satMod val="105000"/>
                </a:srgbClr>
              </a:solidFill>
              <a:prstDash val="solid"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Pt>
            <c:idx val="1"/>
            <c:invertIfNegative val="0"/>
            <c:bubble3D val="0"/>
            <c:spPr>
              <a:gradFill rotWithShape="1">
                <a:gsLst>
                  <a:gs pos="0">
                    <a:srgbClr val="C0504D">
                      <a:shade val="51000"/>
                      <a:satMod val="130000"/>
                    </a:srgbClr>
                  </a:gs>
                  <a:gs pos="80000">
                    <a:srgbClr val="C0504D">
                      <a:shade val="93000"/>
                      <a:satMod val="130000"/>
                    </a:srgbClr>
                  </a:gs>
                  <a:gs pos="100000">
                    <a:srgbClr val="C0504D">
                      <a:shade val="94000"/>
                      <a:satMod val="135000"/>
                    </a:srgbClr>
                  </a:gs>
                </a:gsLst>
                <a:lin ang="16200000" scaled="0"/>
              </a:gradFill>
              <a:ln w="9525" cap="flat" cmpd="sng" algn="ctr">
                <a:solidFill>
                  <a:srgbClr val="C0504D">
                    <a:shade val="95000"/>
                    <a:satMod val="105000"/>
                  </a:srgb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dPt>
          <c:dLbls>
            <c:dLbl>
              <c:idx val="0"/>
              <c:layout>
                <c:manualLayout>
                  <c:x val="1.6098975028612697E-3"/>
                  <c:y val="-3.2415477902513604E-3"/>
                </c:manualLayout>
              </c:layout>
              <c:numFmt formatCode="#,##0.0" sourceLinked="0"/>
              <c:spPr>
                <a:noFill/>
                <a:ln>
                  <a:noFill/>
                </a:ln>
              </c:spPr>
              <c:txPr>
                <a:bodyPr/>
                <a:lstStyle/>
                <a:p>
                  <a:pPr algn="ctr" rtl="0">
                    <a:defRPr lang="en-US" sz="1050" b="1" i="0" u="none" strike="noStrike" kern="1200" baseline="0">
                      <a:solidFill>
                        <a:srgbClr val="1A743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365618150983561E-3"/>
                  <c:y val="-1.98081026490134E-3"/>
                </c:manualLayout>
              </c:layout>
              <c:numFmt formatCode="#,##0.0" sourceLinked="0"/>
              <c:spPr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sz="1050" b="1" u="none" baseline="0">
                      <a:solidFill>
                        <a:schemeClr val="accent2">
                          <a:lumMod val="75000"/>
                        </a:schemeClr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9856171896135616E-5"/>
                  <c:y val="-9.779970993680044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857540855245957E-4"/>
                  <c:y val="-2.594702786925598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0502748842879974E-4"/>
                  <c:y val="-1.5032840605593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1899933299989961E-3"/>
                  <c:y val="-3.993352548833749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2965994597813365E-2"/>
                  <c:y val="1.5594537123133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0805052064392501E-2"/>
                  <c:y val="1.169590284234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0799112611850497E-2"/>
                  <c:y val="1.16959028423500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07758638976147E-2"/>
                  <c:y val="7.79726856156670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1.5086209456660581E-2"/>
                  <c:y val="1.5594537123133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1.07758638976147E-2"/>
                  <c:y val="3.898634280783359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1050" b="1" u="none" baseline="0">
                    <a:solidFill>
                      <a:srgbClr val="1A7432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'Труд и безработица'!$F$62:$K$62</c:f>
              <c:strCache>
                <c:ptCount val="6"/>
                <c:pt idx="0">
                  <c:v>Самара</c:v>
                </c:pt>
                <c:pt idx="1">
                  <c:v>Пермь</c:v>
                </c:pt>
                <c:pt idx="2">
                  <c:v>Екатеринбург</c:v>
                </c:pt>
                <c:pt idx="3">
                  <c:v>Н.Новгород</c:v>
                </c:pt>
                <c:pt idx="4">
                  <c:v>Челябинск</c:v>
                </c:pt>
                <c:pt idx="5">
                  <c:v>Казань</c:v>
                </c:pt>
              </c:strCache>
            </c:strRef>
          </c:cat>
          <c:val>
            <c:numRef>
              <c:f>'Труд и безработица'!$F$63:$K$63</c:f>
              <c:numCache>
                <c:formatCode>General</c:formatCode>
                <c:ptCount val="6"/>
                <c:pt idx="0">
                  <c:v>3.234</c:v>
                </c:pt>
                <c:pt idx="1">
                  <c:v>3.2530000000000001</c:v>
                </c:pt>
                <c:pt idx="2" formatCode="#,##0.0">
                  <c:v>3.8369999999999957</c:v>
                </c:pt>
                <c:pt idx="3" formatCode="#,##0.0">
                  <c:v>4.0030000000000001</c:v>
                </c:pt>
                <c:pt idx="4" formatCode="0.0">
                  <c:v>4.8159999999999945</c:v>
                </c:pt>
                <c:pt idx="5" formatCode="#,##0.0">
                  <c:v>5.3289999999999909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844800"/>
        <c:axId val="112846336"/>
      </c:barChart>
      <c:catAx>
        <c:axId val="112844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2846336"/>
        <c:crosses val="autoZero"/>
        <c:auto val="1"/>
        <c:lblAlgn val="ctr"/>
        <c:lblOffset val="100"/>
        <c:noMultiLvlLbl val="0"/>
      </c:catAx>
      <c:valAx>
        <c:axId val="112846336"/>
        <c:scaling>
          <c:orientation val="minMax"/>
          <c:max val="7"/>
          <c:min val="1.5"/>
        </c:scaling>
        <c:delete val="1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тыс. человек</a:t>
                </a:r>
              </a:p>
            </c:rich>
          </c:tx>
          <c:layout>
            <c:manualLayout>
              <c:xMode val="edge"/>
              <c:yMode val="edge"/>
              <c:x val="5.0452062396886162E-3"/>
              <c:y val="0.22661950258026081"/>
            </c:manualLayout>
          </c:layout>
          <c:overlay val="0"/>
        </c:title>
        <c:numFmt formatCode="General" sourceLinked="1"/>
        <c:majorTickMark val="out"/>
        <c:minorTickMark val="none"/>
        <c:tickLblPos val="none"/>
        <c:crossAx val="11284480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710403000670896E-2"/>
          <c:y val="1.9527436047646944E-2"/>
          <c:w val="0.91889060452166027"/>
          <c:h val="0.765147962420426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демогр!$A$3</c:f>
              <c:strCache>
                <c:ptCount val="1"/>
                <c:pt idx="0">
                  <c:v>родившихся</c:v>
                </c:pt>
              </c:strCache>
            </c:strRef>
          </c:tx>
          <c:spPr>
            <a:gradFill rotWithShape="1">
              <a:gsLst>
                <a:gs pos="0">
                  <a:srgbClr val="4F81BD">
                    <a:shade val="51000"/>
                    <a:satMod val="130000"/>
                  </a:srgbClr>
                </a:gs>
                <a:gs pos="80000">
                  <a:srgbClr val="4F81BD">
                    <a:shade val="93000"/>
                    <a:satMod val="130000"/>
                  </a:srgbClr>
                </a:gs>
                <a:gs pos="100000">
                  <a:srgbClr val="4F81BD">
                    <a:shade val="94000"/>
                    <a:satMod val="135000"/>
                  </a:srgbClr>
                </a:gs>
              </a:gsLst>
              <a:lin ang="16200000" scaled="0"/>
            </a:gradFill>
            <a:ln w="9525" cap="flat" cmpd="sng" algn="ctr">
              <a:solidFill>
                <a:srgbClr val="4F81BD">
                  <a:shade val="95000"/>
                  <a:satMod val="105000"/>
                </a:srgbClr>
              </a:solidFill>
              <a:prstDash val="solid"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0"/>
              <c:layout>
                <c:manualLayout>
                  <c:x val="0"/>
                  <c:y val="-2.1592439585799202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1.7993699654832669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103049421661415E-3"/>
                  <c:y val="-2.1592439585799202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7.7110921335642491E-17"/>
                  <c:y val="-2.1592439585799202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-2.1592439585799192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демогр!$B$24:$F$24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демогр!$B$3:$F$3</c:f>
              <c:numCache>
                <c:formatCode>General</c:formatCode>
                <c:ptCount val="5"/>
                <c:pt idx="0">
                  <c:v>11.122</c:v>
                </c:pt>
                <c:pt idx="1">
                  <c:v>11.926</c:v>
                </c:pt>
                <c:pt idx="2">
                  <c:v>12.652000000000006</c:v>
                </c:pt>
                <c:pt idx="3">
                  <c:v>12.731999999999999</c:v>
                </c:pt>
                <c:pt idx="4">
                  <c:v>13.902000000000006</c:v>
                </c:pt>
              </c:numCache>
            </c:numRef>
          </c:val>
        </c:ser>
        <c:ser>
          <c:idx val="1"/>
          <c:order val="1"/>
          <c:tx>
            <c:strRef>
              <c:f>демогр!$A$4</c:f>
              <c:strCache>
                <c:ptCount val="1"/>
                <c:pt idx="0">
                  <c:v>умерших</c:v>
                </c:pt>
              </c:strCache>
            </c:strRef>
          </c:tx>
          <c:spPr>
            <a:gradFill rotWithShape="1">
              <a:gsLst>
                <a:gs pos="0">
                  <a:srgbClr val="C0504D">
                    <a:shade val="51000"/>
                    <a:satMod val="130000"/>
                  </a:srgbClr>
                </a:gs>
                <a:gs pos="80000">
                  <a:srgbClr val="C0504D">
                    <a:shade val="93000"/>
                    <a:satMod val="130000"/>
                  </a:srgbClr>
                </a:gs>
                <a:gs pos="100000">
                  <a:srgbClr val="C0504D">
                    <a:shade val="94000"/>
                    <a:satMod val="135000"/>
                  </a:srgbClr>
                </a:gs>
              </a:gsLst>
              <a:lin ang="16200000" scaled="0"/>
            </a:gradFill>
            <a:ln w="9525" cap="flat" cmpd="sng" algn="ctr">
              <a:solidFill>
                <a:srgbClr val="C0504D">
                  <a:shade val="95000"/>
                  <a:satMod val="105000"/>
                </a:srgbClr>
              </a:solidFill>
              <a:prstDash val="solid"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0"/>
              <c:layout>
                <c:manualLayout>
                  <c:x val="0"/>
                  <c:y val="-2.1592439585799202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2.1592439585799202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-2.8789919447732272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7110921335642491E-17"/>
                  <c:y val="-2.8789919447732272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-2.1592439585799202E-2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демогр!$B$24:$F$24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демогр!$B$4:$F$4</c:f>
              <c:numCache>
                <c:formatCode>General</c:formatCode>
                <c:ptCount val="5"/>
                <c:pt idx="0">
                  <c:v>13.019</c:v>
                </c:pt>
                <c:pt idx="1">
                  <c:v>12.984</c:v>
                </c:pt>
                <c:pt idx="2">
                  <c:v>12.922000000000002</c:v>
                </c:pt>
                <c:pt idx="3">
                  <c:v>12.427</c:v>
                </c:pt>
                <c:pt idx="4">
                  <c:v>12.444000000000001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909312"/>
        <c:axId val="113255168"/>
      </c:barChart>
      <c:catAx>
        <c:axId val="112909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13255168"/>
        <c:crosses val="autoZero"/>
        <c:auto val="1"/>
        <c:lblAlgn val="ctr"/>
        <c:lblOffset val="100"/>
        <c:noMultiLvlLbl val="0"/>
      </c:catAx>
      <c:valAx>
        <c:axId val="113255168"/>
        <c:scaling>
          <c:orientation val="minMax"/>
          <c:max val="14.5"/>
          <c:min val="10"/>
        </c:scaling>
        <c:delete val="1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тыс. человек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one"/>
        <c:crossAx val="11290931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0976484053208475E-2"/>
          <c:y val="0.22339830878891806"/>
          <c:w val="0.89906580086469801"/>
          <c:h val="0.694700615771828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'Демография (СЭИ МЕС) (2)'!$B$152</c:f>
              <c:strCache>
                <c:ptCount val="1"/>
              </c:strCache>
            </c:strRef>
          </c:tx>
          <c:spPr>
            <a:solidFill>
              <a:schemeClr val="accent2">
                <a:lumMod val="75000"/>
              </a:schemeClr>
            </a:solidFill>
            <a:ln w="31750">
              <a:solidFill>
                <a:srgbClr val="C00000"/>
              </a:solidFill>
            </a:ln>
          </c:spPr>
          <c:invertIfNegative val="0"/>
          <c:dPt>
            <c:idx val="0"/>
            <c:invertIfNegative val="0"/>
            <c:bubble3D val="0"/>
            <c:spPr>
              <a:gradFill rotWithShape="1">
                <a:gsLst>
                  <a:gs pos="0">
                    <a:srgbClr val="C0504D">
                      <a:shade val="51000"/>
                      <a:satMod val="130000"/>
                    </a:srgbClr>
                  </a:gs>
                  <a:gs pos="80000">
                    <a:srgbClr val="C0504D">
                      <a:shade val="93000"/>
                      <a:satMod val="130000"/>
                    </a:srgbClr>
                  </a:gs>
                  <a:gs pos="100000">
                    <a:srgbClr val="C0504D">
                      <a:shade val="94000"/>
                      <a:satMod val="135000"/>
                    </a:srgbClr>
                  </a:gs>
                </a:gsLst>
                <a:lin ang="16200000" scaled="0"/>
              </a:gradFill>
              <a:ln w="9525" cap="flat" cmpd="sng" algn="ctr">
                <a:solidFill>
                  <a:srgbClr val="C0504D">
                    <a:shade val="95000"/>
                    <a:satMod val="105000"/>
                  </a:srgb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dPt>
          <c:dPt>
            <c:idx val="1"/>
            <c:invertIfNegative val="0"/>
            <c:bubble3D val="0"/>
            <c:spPr>
              <a:gradFill rotWithShape="1">
                <a:gsLst>
                  <a:gs pos="0">
                    <a:srgbClr val="C0504D">
                      <a:shade val="51000"/>
                      <a:satMod val="130000"/>
                    </a:srgbClr>
                  </a:gs>
                  <a:gs pos="80000">
                    <a:srgbClr val="C0504D">
                      <a:shade val="93000"/>
                      <a:satMod val="130000"/>
                    </a:srgbClr>
                  </a:gs>
                  <a:gs pos="100000">
                    <a:srgbClr val="C0504D">
                      <a:shade val="94000"/>
                      <a:satMod val="135000"/>
                    </a:srgbClr>
                  </a:gs>
                </a:gsLst>
                <a:lin ang="16200000" scaled="0"/>
              </a:gradFill>
              <a:ln w="9525" cap="flat" cmpd="sng" algn="ctr">
                <a:solidFill>
                  <a:srgbClr val="C0504D">
                    <a:shade val="95000"/>
                    <a:satMod val="105000"/>
                  </a:srgb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dPt>
          <c:dPt>
            <c:idx val="2"/>
            <c:invertIfNegative val="0"/>
            <c:bubble3D val="0"/>
            <c:spPr>
              <a:gradFill rotWithShape="1">
                <a:gsLst>
                  <a:gs pos="0">
                    <a:srgbClr val="C0504D">
                      <a:shade val="51000"/>
                      <a:satMod val="130000"/>
                    </a:srgbClr>
                  </a:gs>
                  <a:gs pos="80000">
                    <a:srgbClr val="C0504D">
                      <a:shade val="93000"/>
                      <a:satMod val="130000"/>
                    </a:srgbClr>
                  </a:gs>
                  <a:gs pos="100000">
                    <a:srgbClr val="C0504D">
                      <a:shade val="94000"/>
                      <a:satMod val="135000"/>
                    </a:srgbClr>
                  </a:gs>
                </a:gsLst>
                <a:lin ang="16200000" scaled="0"/>
              </a:gradFill>
              <a:ln w="9525" cap="flat" cmpd="sng" algn="ctr">
                <a:solidFill>
                  <a:srgbClr val="C0504D">
                    <a:shade val="95000"/>
                    <a:satMod val="105000"/>
                  </a:srgb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dPt>
          <c:dPt>
            <c:idx val="3"/>
            <c:invertIfNegative val="0"/>
            <c:bubble3D val="0"/>
            <c:spPr>
              <a:gradFill rotWithShape="1">
                <a:gsLst>
                  <a:gs pos="0">
                    <a:srgbClr val="4F81BD">
                      <a:shade val="51000"/>
                      <a:satMod val="130000"/>
                    </a:srgbClr>
                  </a:gs>
                  <a:gs pos="80000">
                    <a:srgbClr val="4F81BD">
                      <a:shade val="93000"/>
                      <a:satMod val="130000"/>
                    </a:srgbClr>
                  </a:gs>
                  <a:gs pos="100000">
                    <a:srgbClr val="4F81BD">
                      <a:shade val="94000"/>
                      <a:satMod val="135000"/>
                    </a:srgbClr>
                  </a:gs>
                </a:gsLst>
                <a:lin ang="16200000" scaled="0"/>
              </a:gradFill>
              <a:ln w="9525" cap="flat" cmpd="sng" algn="ctr">
                <a:solidFill>
                  <a:srgbClr val="4F81BD">
                    <a:shade val="95000"/>
                    <a:satMod val="105000"/>
                  </a:srgb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dPt>
          <c:dPt>
            <c:idx val="4"/>
            <c:invertIfNegative val="0"/>
            <c:bubble3D val="0"/>
            <c:spPr>
              <a:gradFill rotWithShape="1">
                <a:gsLst>
                  <a:gs pos="0">
                    <a:srgbClr val="4F81BD">
                      <a:shade val="51000"/>
                      <a:satMod val="130000"/>
                    </a:srgbClr>
                  </a:gs>
                  <a:gs pos="80000">
                    <a:srgbClr val="4F81BD">
                      <a:shade val="93000"/>
                      <a:satMod val="130000"/>
                    </a:srgbClr>
                  </a:gs>
                  <a:gs pos="100000">
                    <a:srgbClr val="4F81BD">
                      <a:shade val="94000"/>
                      <a:satMod val="135000"/>
                    </a:srgbClr>
                  </a:gs>
                </a:gsLst>
                <a:lin ang="16200000" scaled="0"/>
              </a:gradFill>
              <a:ln w="9525" cap="flat" cmpd="sng" algn="ctr">
                <a:solidFill>
                  <a:srgbClr val="4F81BD">
                    <a:shade val="95000"/>
                    <a:satMod val="105000"/>
                  </a:srgb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dPt>
          <c:dLbls>
            <c:numFmt formatCode="#,##0.00" sourceLinked="0"/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'Демография (СЭИ МЕС) (2)'!$A$153:$A$157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'Демография (СЭИ МЕС) (2)'!$B$153:$B$157</c:f>
              <c:numCache>
                <c:formatCode>General</c:formatCode>
                <c:ptCount val="5"/>
                <c:pt idx="0">
                  <c:v>-1.8970000000000002</c:v>
                </c:pt>
                <c:pt idx="1">
                  <c:v>-1.0579999999999961</c:v>
                </c:pt>
                <c:pt idx="2">
                  <c:v>-0.27000000000000135</c:v>
                </c:pt>
                <c:pt idx="3">
                  <c:v>0.30500000000000038</c:v>
                </c:pt>
                <c:pt idx="4">
                  <c:v>1.4579999999999931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13291264"/>
        <c:axId val="113300224"/>
      </c:barChart>
      <c:catAx>
        <c:axId val="113291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high"/>
        <c:txPr>
          <a:bodyPr/>
          <a:lstStyle/>
          <a:p>
            <a:pPr>
              <a:defRPr sz="1200" b="1" baseline="0"/>
            </a:pPr>
            <a:endParaRPr lang="ru-RU"/>
          </a:p>
        </c:txPr>
        <c:crossAx val="113300224"/>
        <c:crosses val="autoZero"/>
        <c:auto val="1"/>
        <c:lblAlgn val="ctr"/>
        <c:lblOffset val="100"/>
        <c:noMultiLvlLbl val="0"/>
      </c:catAx>
      <c:valAx>
        <c:axId val="113300224"/>
        <c:scaling>
          <c:orientation val="minMax"/>
        </c:scaling>
        <c:delete val="1"/>
        <c:axPos val="l"/>
        <c:majorGridlines>
          <c:spPr>
            <a:ln>
              <a:noFill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тыс. человек</a:t>
                </a:r>
              </a:p>
            </c:rich>
          </c:tx>
          <c:layout>
            <c:manualLayout>
              <c:xMode val="edge"/>
              <c:yMode val="edge"/>
              <c:x val="1.3576291565372739E-2"/>
              <c:y val="0.29184492168623338"/>
            </c:manualLayout>
          </c:layout>
          <c:overlay val="0"/>
        </c:title>
        <c:numFmt formatCode="General" sourceLinked="1"/>
        <c:majorTickMark val="none"/>
        <c:minorTickMark val="none"/>
        <c:tickLblPos val="none"/>
        <c:crossAx val="113291264"/>
        <c:crosses val="autoZero"/>
        <c:crossBetween val="between"/>
      </c:valAx>
      <c:spPr>
        <a:noFill/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1093748702402292E-2"/>
          <c:y val="4.7653418766100505E-2"/>
          <c:w val="0.94843750317190556"/>
          <c:h val="0.739489299982534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'9. Пермь, ПК, РФ'!$A$3</c:f>
              <c:strCache>
                <c:ptCount val="1"/>
                <c:pt idx="0">
                  <c:v>Пермь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 b="1">
                    <a:solidFill>
                      <a:srgbClr val="0070C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РФ'!$D$2:$H$2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РФ'!$D$3:$H$3</c:f>
              <c:numCache>
                <c:formatCode>0.0</c:formatCode>
                <c:ptCount val="5"/>
                <c:pt idx="0">
                  <c:v>82.299350921654778</c:v>
                </c:pt>
                <c:pt idx="1">
                  <c:v>68.451494513119201</c:v>
                </c:pt>
                <c:pt idx="2">
                  <c:v>86.155194912754325</c:v>
                </c:pt>
                <c:pt idx="3">
                  <c:v>115.02878397295429</c:v>
                </c:pt>
                <c:pt idx="4" formatCode="General">
                  <c:v>122.8</c:v>
                </c:pt>
              </c:numCache>
            </c:numRef>
          </c:val>
        </c:ser>
        <c:ser>
          <c:idx val="1"/>
          <c:order val="1"/>
          <c:tx>
            <c:strRef>
              <c:f>'9. Пермь, ПК, РФ'!$A$4</c:f>
              <c:strCache>
                <c:ptCount val="1"/>
                <c:pt idx="0">
                  <c:v>Пермский край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1111111111111141E-2"/>
                  <c:y val="-4.6332035063500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5555555555555558E-3"/>
                  <c:y val="-1.38996105190501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88888888888910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3333333333333506E-3"/>
                  <c:y val="-4.6332035063500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5.5555555555555558E-3"/>
                  <c:y val="-6.0231645582550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5.5555555555555558E-3"/>
                  <c:y val="-7.413125610160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РФ'!$D$2:$H$2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РФ'!$D$4:$H$4</c:f>
              <c:numCache>
                <c:formatCode>0.0</c:formatCode>
                <c:ptCount val="5"/>
                <c:pt idx="0">
                  <c:v>64.68771739814224</c:v>
                </c:pt>
                <c:pt idx="1">
                  <c:v>35.551220102945543</c:v>
                </c:pt>
                <c:pt idx="2">
                  <c:v>49.309415124659012</c:v>
                </c:pt>
                <c:pt idx="3">
                  <c:v>70.764215602513985</c:v>
                </c:pt>
                <c:pt idx="4" formatCode="General">
                  <c:v>78.3</c:v>
                </c:pt>
              </c:numCache>
            </c:numRef>
          </c:val>
        </c:ser>
        <c:ser>
          <c:idx val="2"/>
          <c:order val="2"/>
          <c:tx>
            <c:strRef>
              <c:f>'9. Пермь, ПК, РФ'!$A$5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5555555555555558E-3"/>
                  <c:y val="-3.7065628050800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3333333333333506E-3"/>
                  <c:y val="-5.5598442076200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88888888888905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6666666666666725E-2"/>
                  <c:y val="9.2664070127001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388888888888914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888888888888947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rgbClr val="00B05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РФ'!$D$2:$H$2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РФ'!$D$5:$H$5</c:f>
              <c:numCache>
                <c:formatCode>0.0</c:formatCode>
                <c:ptCount val="5"/>
                <c:pt idx="0">
                  <c:v>26.767605633802816</c:v>
                </c:pt>
                <c:pt idx="1">
                  <c:v>31.233262861169763</c:v>
                </c:pt>
                <c:pt idx="2">
                  <c:v>44.314428389405997</c:v>
                </c:pt>
                <c:pt idx="3">
                  <c:v>50.651357514050943</c:v>
                </c:pt>
                <c:pt idx="4" formatCode="General">
                  <c:v>55.1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335296"/>
        <c:axId val="113365760"/>
      </c:barChart>
      <c:catAx>
        <c:axId val="113335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3365760"/>
        <c:crosses val="autoZero"/>
        <c:auto val="1"/>
        <c:lblAlgn val="ctr"/>
        <c:lblOffset val="100"/>
        <c:noMultiLvlLbl val="0"/>
      </c:catAx>
      <c:valAx>
        <c:axId val="113365760"/>
        <c:scaling>
          <c:orientation val="minMax"/>
          <c:max val="125"/>
          <c:min val="20"/>
        </c:scaling>
        <c:delete val="1"/>
        <c:axPos val="l"/>
        <c:majorGridlines/>
        <c:numFmt formatCode="0.0" sourceLinked="1"/>
        <c:majorTickMark val="out"/>
        <c:minorTickMark val="none"/>
        <c:tickLblPos val="none"/>
        <c:crossAx val="113335296"/>
        <c:crosses val="autoZero"/>
        <c:crossBetween val="between"/>
        <c:majorUnit val="120"/>
      </c:valAx>
    </c:plotArea>
    <c:legend>
      <c:legendPos val="b"/>
      <c:layout>
        <c:manualLayout>
          <c:xMode val="edge"/>
          <c:yMode val="edge"/>
          <c:x val="0.30692953708998666"/>
          <c:y val="0.907658650776761"/>
          <c:w val="0.38614092582002668"/>
          <c:h val="9.2341452784833397E-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3655913978494866E-2"/>
          <c:y val="5.3136537540929132E-2"/>
          <c:w val="0.95268817204301615"/>
          <c:h val="0.733721443905215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'9. Пермь, ПК, РФ'!$A$20</c:f>
              <c:strCache>
                <c:ptCount val="1"/>
                <c:pt idx="0">
                  <c:v>Пермь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 b="1">
                    <a:solidFill>
                      <a:srgbClr val="0070C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РФ'!$D$19:$H$19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РФ'!$D$20:$H$20</c:f>
              <c:numCache>
                <c:formatCode>0.0</c:formatCode>
                <c:ptCount val="5"/>
                <c:pt idx="0">
                  <c:v>205.82200000000054</c:v>
                </c:pt>
                <c:pt idx="1">
                  <c:v>213.85100000000048</c:v>
                </c:pt>
                <c:pt idx="2">
                  <c:v>235.221</c:v>
                </c:pt>
                <c:pt idx="3" formatCode="General">
                  <c:v>272.7</c:v>
                </c:pt>
                <c:pt idx="4">
                  <c:v>281.46158758203183</c:v>
                </c:pt>
              </c:numCache>
            </c:numRef>
          </c:val>
        </c:ser>
        <c:ser>
          <c:idx val="1"/>
          <c:order val="1"/>
          <c:tx>
            <c:strRef>
              <c:f>'9. Пермь, ПК, РФ'!$A$21</c:f>
              <c:strCache>
                <c:ptCount val="1"/>
                <c:pt idx="0">
                  <c:v>Пермский край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6021505376344728E-3"/>
                  <c:y val="-1.3284134385232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1.7977528089887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655502392344562E-3"/>
                  <c:y val="-2.247191011236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50503767674202E-3"/>
                  <c:y val="-9.3205112962213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3.8277511961722749E-3"/>
                  <c:y val="-4.49438202247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9138755980861364E-3"/>
                  <c:y val="-4.0449438202247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РФ'!$D$19:$H$19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РФ'!$D$21:$H$21</c:f>
              <c:numCache>
                <c:formatCode>0.0</c:formatCode>
                <c:ptCount val="5"/>
                <c:pt idx="0">
                  <c:v>102.554</c:v>
                </c:pt>
                <c:pt idx="1">
                  <c:v>107.289</c:v>
                </c:pt>
                <c:pt idx="2">
                  <c:v>119.864</c:v>
                </c:pt>
                <c:pt idx="3">
                  <c:v>138.92874636897059</c:v>
                </c:pt>
                <c:pt idx="4" formatCode="General">
                  <c:v>151.1</c:v>
                </c:pt>
              </c:numCache>
            </c:numRef>
          </c:val>
        </c:ser>
        <c:ser>
          <c:idx val="2"/>
          <c:order val="2"/>
          <c:tx>
            <c:strRef>
              <c:f>'9. Пермь, ПК, РФ'!$A$22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8.6021505376344728E-3"/>
                  <c:y val="1.34169757290845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429938193209719E-2"/>
                  <c:y val="1.34169757290845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5693779904306216E-3"/>
                  <c:y val="1.7977528089887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7416267942584235E-3"/>
                  <c:y val="8.98876404494382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7.655502392344562E-3"/>
                  <c:y val="8.98876404494382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7.65550239234456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rgbClr val="00B05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РФ'!$D$19:$H$19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РФ'!$D$22:$H$22</c:f>
              <c:numCache>
                <c:formatCode>0.0</c:formatCode>
                <c:ptCount val="5"/>
                <c:pt idx="0">
                  <c:v>98.093000000000004</c:v>
                </c:pt>
                <c:pt idx="1">
                  <c:v>102.77500000000001</c:v>
                </c:pt>
                <c:pt idx="2">
                  <c:v>115.215</c:v>
                </c:pt>
                <c:pt idx="3">
                  <c:v>133.441</c:v>
                </c:pt>
                <c:pt idx="4" formatCode="General">
                  <c:v>148.80000000000001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404928"/>
        <c:axId val="113427200"/>
      </c:barChart>
      <c:catAx>
        <c:axId val="113404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3427200"/>
        <c:crosses val="autoZero"/>
        <c:auto val="1"/>
        <c:lblAlgn val="ctr"/>
        <c:lblOffset val="100"/>
        <c:noMultiLvlLbl val="0"/>
      </c:catAx>
      <c:valAx>
        <c:axId val="113427200"/>
        <c:scaling>
          <c:orientation val="minMax"/>
          <c:max val="282"/>
          <c:min val="50"/>
        </c:scaling>
        <c:delete val="1"/>
        <c:axPos val="l"/>
        <c:majorGridlines/>
        <c:numFmt formatCode="0.0" sourceLinked="1"/>
        <c:majorTickMark val="out"/>
        <c:minorTickMark val="none"/>
        <c:tickLblPos val="none"/>
        <c:crossAx val="113404928"/>
        <c:crosses val="autoZero"/>
        <c:crossBetween val="between"/>
        <c:majorUnit val="280"/>
      </c:valAx>
    </c:plotArea>
    <c:legend>
      <c:legendPos val="b"/>
      <c:layout>
        <c:manualLayout>
          <c:xMode val="edge"/>
          <c:yMode val="edge"/>
          <c:x val="0.29915201748106846"/>
          <c:y val="0.88846081200656435"/>
          <c:w val="0.38900245533824651"/>
          <c:h val="8.2423734475786048E-2"/>
        </c:manualLayout>
      </c:layout>
      <c:overlay val="0"/>
      <c:spPr>
        <a:ln>
          <a:noFill/>
        </a:ln>
      </c:sp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'9. Пермь, ПК, РФ'!$A$36</c:f>
              <c:strCache>
                <c:ptCount val="1"/>
                <c:pt idx="0">
                  <c:v>Пермь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 b="1">
                    <a:solidFill>
                      <a:srgbClr val="0070C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РФ'!$D$35:$H$35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РФ'!$D$36:$H$36</c:f>
              <c:numCache>
                <c:formatCode>0.0</c:formatCode>
                <c:ptCount val="5"/>
                <c:pt idx="0">
                  <c:v>14.126896437159532</c:v>
                </c:pt>
                <c:pt idx="1">
                  <c:v>14.923108603518338</c:v>
                </c:pt>
                <c:pt idx="2">
                  <c:v>15.753337090590296</c:v>
                </c:pt>
                <c:pt idx="3">
                  <c:v>17.899999999999999</c:v>
                </c:pt>
                <c:pt idx="4">
                  <c:v>18.075027056628549</c:v>
                </c:pt>
              </c:numCache>
            </c:numRef>
          </c:val>
        </c:ser>
        <c:ser>
          <c:idx val="1"/>
          <c:order val="1"/>
          <c:tx>
            <c:strRef>
              <c:f>'9. Пермь, ПК, РФ'!$A$37</c:f>
              <c:strCache>
                <c:ptCount val="1"/>
                <c:pt idx="0">
                  <c:v>Пермский край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РФ'!$D$35:$H$35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РФ'!$D$37:$H$37</c:f>
              <c:numCache>
                <c:formatCode>0.0</c:formatCode>
                <c:ptCount val="5"/>
                <c:pt idx="0">
                  <c:v>6.7694493506245124</c:v>
                </c:pt>
                <c:pt idx="1">
                  <c:v>7.116070297837946</c:v>
                </c:pt>
                <c:pt idx="2">
                  <c:v>7.9536274784193424</c:v>
                </c:pt>
                <c:pt idx="3">
                  <c:v>9.0835184446849304</c:v>
                </c:pt>
                <c:pt idx="4" formatCode="General">
                  <c:v>9.2000000000000011</c:v>
                </c:pt>
              </c:numCache>
            </c:numRef>
          </c:val>
        </c:ser>
        <c:ser>
          <c:idx val="2"/>
          <c:order val="2"/>
          <c:tx>
            <c:strRef>
              <c:f>'9. Пермь, ПК, РФ'!$A$38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 b="1">
                    <a:solidFill>
                      <a:srgbClr val="00B05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РФ'!$D$35:$H$35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РФ'!$D$38:$H$38</c:f>
              <c:numCache>
                <c:formatCode>0.0</c:formatCode>
                <c:ptCount val="5"/>
                <c:pt idx="0">
                  <c:v>5.0954929577464645</c:v>
                </c:pt>
                <c:pt idx="1">
                  <c:v>5.0135236081747712</c:v>
                </c:pt>
                <c:pt idx="2">
                  <c:v>5.4560993770970478</c:v>
                </c:pt>
                <c:pt idx="3">
                  <c:v>6.2674588941620311</c:v>
                </c:pt>
                <c:pt idx="4" formatCode="General">
                  <c:v>7.1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454080"/>
        <c:axId val="113464064"/>
      </c:barChart>
      <c:catAx>
        <c:axId val="113454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3464064"/>
        <c:crosses val="autoZero"/>
        <c:auto val="1"/>
        <c:lblAlgn val="ctr"/>
        <c:lblOffset val="100"/>
        <c:noMultiLvlLbl val="0"/>
      </c:catAx>
      <c:valAx>
        <c:axId val="113464064"/>
        <c:scaling>
          <c:orientation val="minMax"/>
          <c:max val="19"/>
          <c:min val="0"/>
        </c:scaling>
        <c:delete val="1"/>
        <c:axPos val="l"/>
        <c:majorGridlines/>
        <c:numFmt formatCode="0.0" sourceLinked="1"/>
        <c:majorTickMark val="out"/>
        <c:minorTickMark val="none"/>
        <c:tickLblPos val="none"/>
        <c:crossAx val="113454080"/>
        <c:crosses val="autoZero"/>
        <c:crossBetween val="between"/>
        <c:majorUnit val="20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1720118909161142E-2"/>
          <c:y val="4.0244062636114755E-2"/>
          <c:w val="0.94698795180722328"/>
          <c:h val="0.779995465718796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'9. Пермь, ПК, РФ'!$A$52</c:f>
              <c:strCache>
                <c:ptCount val="1"/>
                <c:pt idx="0">
                  <c:v>Пермь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 b="1">
                    <a:solidFill>
                      <a:srgbClr val="0070C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РФ'!$D$51:$H$51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РФ'!$D$52:$H$52</c:f>
              <c:numCache>
                <c:formatCode>0.0</c:formatCode>
                <c:ptCount val="5"/>
                <c:pt idx="0">
                  <c:v>19.158999999999999</c:v>
                </c:pt>
                <c:pt idx="1">
                  <c:v>19.967999999999989</c:v>
                </c:pt>
                <c:pt idx="2">
                  <c:v>22.678999999999988</c:v>
                </c:pt>
                <c:pt idx="3">
                  <c:v>25.68669999999992</c:v>
                </c:pt>
                <c:pt idx="4" formatCode="General">
                  <c:v>29.5</c:v>
                </c:pt>
              </c:numCache>
            </c:numRef>
          </c:val>
        </c:ser>
        <c:ser>
          <c:idx val="1"/>
          <c:order val="1"/>
          <c:tx>
            <c:strRef>
              <c:f>'9. Пермь, ПК, РФ'!$A$53</c:f>
              <c:strCache>
                <c:ptCount val="1"/>
                <c:pt idx="0">
                  <c:v>Пермский край</c:v>
                </c:pt>
              </c:strCache>
            </c:strRef>
          </c:tx>
          <c:invertIfNegative val="0"/>
          <c:dLbls>
            <c:dLbl>
              <c:idx val="3"/>
              <c:layout>
                <c:manualLayout>
                  <c:x val="2.4096385542168681E-3"/>
                  <c:y val="-8.24742268041236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4097048414854229E-3"/>
                  <c:y val="-3.2472327638911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4096385542168681E-3"/>
                  <c:y val="-2.06185567010309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РФ'!$D$51:$H$51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РФ'!$D$53:$H$53</c:f>
              <c:numCache>
                <c:formatCode>0.0</c:formatCode>
                <c:ptCount val="5"/>
                <c:pt idx="0">
                  <c:v>14.774000000000001</c:v>
                </c:pt>
                <c:pt idx="1">
                  <c:v>15.227999999999998</c:v>
                </c:pt>
                <c:pt idx="2">
                  <c:v>17.437000000000001</c:v>
                </c:pt>
                <c:pt idx="3">
                  <c:v>19.746699999999908</c:v>
                </c:pt>
                <c:pt idx="4" formatCode="General">
                  <c:v>21.8</c:v>
                </c:pt>
              </c:numCache>
            </c:numRef>
          </c:val>
        </c:ser>
        <c:ser>
          <c:idx val="2"/>
          <c:order val="2"/>
          <c:tx>
            <c:strRef>
              <c:f>'9. Пермь, ПК, РФ'!$A$54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 b="1">
                    <a:solidFill>
                      <a:srgbClr val="00B05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РФ'!$D$51:$H$51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РФ'!$D$54:$H$54</c:f>
              <c:numCache>
                <c:formatCode>0.0</c:formatCode>
                <c:ptCount val="5"/>
                <c:pt idx="0">
                  <c:v>17.290099999999935</c:v>
                </c:pt>
                <c:pt idx="1">
                  <c:v>18.637499999999999</c:v>
                </c:pt>
                <c:pt idx="2">
                  <c:v>20.952000000000002</c:v>
                </c:pt>
                <c:pt idx="3">
                  <c:v>23.532</c:v>
                </c:pt>
                <c:pt idx="4">
                  <c:v>26.69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494656"/>
        <c:axId val="113508736"/>
      </c:barChart>
      <c:catAx>
        <c:axId val="113494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3508736"/>
        <c:crosses val="autoZero"/>
        <c:auto val="1"/>
        <c:lblAlgn val="ctr"/>
        <c:lblOffset val="100"/>
        <c:noMultiLvlLbl val="0"/>
      </c:catAx>
      <c:valAx>
        <c:axId val="113508736"/>
        <c:scaling>
          <c:orientation val="minMax"/>
          <c:max val="30"/>
          <c:min val="5"/>
        </c:scaling>
        <c:delete val="1"/>
        <c:axPos val="l"/>
        <c:majorGridlines/>
        <c:numFmt formatCode="0.0" sourceLinked="1"/>
        <c:majorTickMark val="out"/>
        <c:minorTickMark val="none"/>
        <c:tickLblPos val="none"/>
        <c:crossAx val="113494656"/>
        <c:crosses val="autoZero"/>
        <c:crossBetween val="between"/>
        <c:majorUnit val="30"/>
      </c:valAx>
    </c:plotArea>
    <c:legend>
      <c:legendPos val="b"/>
      <c:layout>
        <c:manualLayout>
          <c:xMode val="edge"/>
          <c:yMode val="edge"/>
          <c:x val="0.23989621478038284"/>
          <c:y val="0.91788212160133753"/>
          <c:w val="0.52743648610188787"/>
          <c:h val="7.0273323120643411E-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1720118909161142E-2"/>
          <c:y val="4.0244062636114755E-2"/>
          <c:w val="0.94698795180722306"/>
          <c:h val="0.750418126825094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'9. Пермь, ПК, РФ'!$A$69</c:f>
              <c:strCache>
                <c:ptCount val="1"/>
                <c:pt idx="0">
                  <c:v>Пермь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 b="1">
                    <a:solidFill>
                      <a:srgbClr val="0070C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РФ'!$B$68:$F$68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РФ'!$B$69:$F$69</c:f>
              <c:numCache>
                <c:formatCode>0.0</c:formatCode>
                <c:ptCount val="5"/>
                <c:pt idx="0">
                  <c:v>434.6</c:v>
                </c:pt>
                <c:pt idx="1">
                  <c:v>294.60000000000002</c:v>
                </c:pt>
                <c:pt idx="2">
                  <c:v>367.5</c:v>
                </c:pt>
                <c:pt idx="3">
                  <c:v>406.6</c:v>
                </c:pt>
                <c:pt idx="4">
                  <c:v>461.7</c:v>
                </c:pt>
              </c:numCache>
            </c:numRef>
          </c:val>
        </c:ser>
        <c:ser>
          <c:idx val="1"/>
          <c:order val="1"/>
          <c:tx>
            <c:strRef>
              <c:f>'9. Пермь, ПК, РФ'!$A$70</c:f>
              <c:strCache>
                <c:ptCount val="1"/>
                <c:pt idx="0">
                  <c:v>Пермский край</c:v>
                </c:pt>
              </c:strCache>
            </c:strRef>
          </c:tx>
          <c:invertIfNegative val="0"/>
          <c:dLbls>
            <c:dLbl>
              <c:idx val="3"/>
              <c:layout>
                <c:manualLayout>
                  <c:x val="2.4096385542168681E-3"/>
                  <c:y val="-8.247422680412367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4097048414854251E-3"/>
                  <c:y val="-3.2472327638911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4096385542168681E-3"/>
                  <c:y val="-2.06185567010309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РФ'!$B$68:$F$68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РФ'!$B$70:$F$70</c:f>
              <c:numCache>
                <c:formatCode>0.0</c:formatCode>
                <c:ptCount val="5"/>
                <c:pt idx="0">
                  <c:v>306.89999999999969</c:v>
                </c:pt>
                <c:pt idx="1">
                  <c:v>257</c:v>
                </c:pt>
                <c:pt idx="2">
                  <c:v>288.39999999999969</c:v>
                </c:pt>
                <c:pt idx="3">
                  <c:v>277.89999999999969</c:v>
                </c:pt>
                <c:pt idx="4" formatCode="General">
                  <c:v>312.60000000000002</c:v>
                </c:pt>
              </c:numCache>
            </c:numRef>
          </c:val>
        </c:ser>
        <c:ser>
          <c:idx val="2"/>
          <c:order val="2"/>
          <c:tx>
            <c:strRef>
              <c:f>'9. Пермь, ПК, РФ'!$A$71</c:f>
              <c:strCache>
                <c:ptCount val="1"/>
                <c:pt idx="0">
                  <c:v>РФ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 b="1">
                    <a:solidFill>
                      <a:srgbClr val="00B05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РФ'!$B$68:$F$68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РФ'!$B$71:$F$71</c:f>
              <c:numCache>
                <c:formatCode>0.0</c:formatCode>
                <c:ptCount val="5"/>
                <c:pt idx="0">
                  <c:v>451.4</c:v>
                </c:pt>
                <c:pt idx="1">
                  <c:v>422.1</c:v>
                </c:pt>
                <c:pt idx="2">
                  <c:v>408.8</c:v>
                </c:pt>
                <c:pt idx="3">
                  <c:v>435.5</c:v>
                </c:pt>
                <c:pt idx="4">
                  <c:v>434.8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3539712"/>
        <c:axId val="113566080"/>
      </c:barChart>
      <c:catAx>
        <c:axId val="113539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3566080"/>
        <c:crosses val="autoZero"/>
        <c:auto val="1"/>
        <c:lblAlgn val="ctr"/>
        <c:lblOffset val="100"/>
        <c:noMultiLvlLbl val="0"/>
      </c:catAx>
      <c:valAx>
        <c:axId val="113566080"/>
        <c:scaling>
          <c:orientation val="minMax"/>
          <c:max val="475"/>
          <c:min val="5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13539712"/>
        <c:crosses val="autoZero"/>
        <c:crossBetween val="between"/>
        <c:majorUnit val="100"/>
      </c:valAx>
    </c:plotArea>
    <c:legend>
      <c:legendPos val="b"/>
      <c:layout>
        <c:manualLayout>
          <c:xMode val="edge"/>
          <c:yMode val="edge"/>
          <c:x val="0.23989621478038292"/>
          <c:y val="0.90068901696566284"/>
          <c:w val="0.52743648610188787"/>
          <c:h val="7.4568714993100901E-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'9. Пермь, ПК, РФ'!$A$69</c:f>
              <c:strCache>
                <c:ptCount val="1"/>
                <c:pt idx="0">
                  <c:v>Пермь</c:v>
                </c:pt>
              </c:strCache>
            </c:strRef>
          </c:tx>
          <c:dLbls>
            <c:dLbl>
              <c:idx val="2"/>
              <c:layout>
                <c:manualLayout>
                  <c:x val="-9.7222222222222224E-2"/>
                  <c:y val="1.8532814025400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66666666666664E-2"/>
                  <c:y val="4.6332035063500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rgbClr val="0070C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РФ'!$B$68:$F$68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РФ'!$B$69:$F$69</c:f>
              <c:numCache>
                <c:formatCode>General</c:formatCode>
                <c:ptCount val="5"/>
                <c:pt idx="0">
                  <c:v>0.60000000000000064</c:v>
                </c:pt>
                <c:pt idx="1">
                  <c:v>2.2000000000000002</c:v>
                </c:pt>
                <c:pt idx="2" formatCode="0.0">
                  <c:v>1.22</c:v>
                </c:pt>
                <c:pt idx="3" formatCode="0.0">
                  <c:v>0.98</c:v>
                </c:pt>
                <c:pt idx="4">
                  <c:v>0.61000000000000065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'9. Пермь, ПК, РФ'!$A$70</c:f>
              <c:strCache>
                <c:ptCount val="1"/>
                <c:pt idx="0">
                  <c:v>Пермский край</c:v>
                </c:pt>
              </c:strCache>
            </c:strRef>
          </c:tx>
          <c:dLbls>
            <c:dLbl>
              <c:idx val="0"/>
              <c:layout>
                <c:manualLayout>
                  <c:x val="-4.1666666666666692E-2"/>
                  <c:y val="-5.5598442076200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4.63320350635004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22222222222332E-2"/>
                  <c:y val="4.6332035063500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3.2432424544450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018506752641615E-16"/>
                  <c:y val="-2.3166017531750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РФ'!$B$68:$F$68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РФ'!$B$70:$F$70</c:f>
              <c:numCache>
                <c:formatCode>General</c:formatCode>
                <c:ptCount val="5"/>
                <c:pt idx="0" formatCode="0.0">
                  <c:v>2</c:v>
                </c:pt>
                <c:pt idx="1">
                  <c:v>3.3</c:v>
                </c:pt>
                <c:pt idx="2" formatCode="0.0">
                  <c:v>2.36</c:v>
                </c:pt>
                <c:pt idx="3" formatCode="0.0">
                  <c:v>1.85</c:v>
                </c:pt>
                <c:pt idx="4">
                  <c:v>1.5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'9. Пермь, ПК, РФ'!$A$71</c:f>
              <c:strCache>
                <c:ptCount val="1"/>
                <c:pt idx="0">
                  <c:v>РФ</c:v>
                </c:pt>
              </c:strCache>
            </c:strRef>
          </c:tx>
          <c:dLbls>
            <c:dLbl>
              <c:idx val="0"/>
              <c:layout>
                <c:manualLayout>
                  <c:x val="-8.8888888888889767E-2"/>
                  <c:y val="2.77992210381002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88888888888889E-2"/>
                  <c:y val="4.6332035063500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6666666666666701E-2"/>
                  <c:y val="-4.169883155715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777777777778382E-3"/>
                  <c:y val="-4.63320350635004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018506752641615E-16"/>
                  <c:y val="4.6332035063500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rgbClr val="00B05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РФ'!$B$68:$F$68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РФ'!$B$71:$F$71</c:f>
              <c:numCache>
                <c:formatCode>General</c:formatCode>
                <c:ptCount val="5"/>
                <c:pt idx="0">
                  <c:v>1.8</c:v>
                </c:pt>
                <c:pt idx="1">
                  <c:v>2.8</c:v>
                </c:pt>
                <c:pt idx="2">
                  <c:v>2.5</c:v>
                </c:pt>
                <c:pt idx="3">
                  <c:v>1.9000000000000001</c:v>
                </c:pt>
                <c:pt idx="4">
                  <c:v>1.4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597056"/>
        <c:axId val="113619328"/>
      </c:lineChart>
      <c:catAx>
        <c:axId val="113597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3619328"/>
        <c:crosses val="autoZero"/>
        <c:auto val="1"/>
        <c:lblAlgn val="ctr"/>
        <c:lblOffset val="100"/>
        <c:noMultiLvlLbl val="0"/>
      </c:catAx>
      <c:valAx>
        <c:axId val="1136193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3597056"/>
        <c:crosses val="autoZero"/>
        <c:crossBetween val="between"/>
        <c:majorUnit val="1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'9. Пермь, ПК, РФ'!$A$85</c:f>
              <c:strCache>
                <c:ptCount val="1"/>
                <c:pt idx="0">
                  <c:v>Пермь</c:v>
                </c:pt>
              </c:strCache>
            </c:strRef>
          </c:tx>
          <c:dLbls>
            <c:dLbl>
              <c:idx val="0"/>
              <c:layout>
                <c:manualLayout>
                  <c:x val="-4.2179266532445817E-2"/>
                  <c:y val="-4.2105249198425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634449899334345E-2"/>
                  <c:y val="-4.2105249198425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634449899334401E-2"/>
                  <c:y val="-5.89476804151909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0615285899039464E-2"/>
                  <c:y val="-4.63157741182680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961339879201292E-2"/>
                  <c:y val="-5.05262990381111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2653779959733749E-2"/>
                  <c:y val="-3.78947242785829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rgbClr val="0070C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РФ'!$D$84:$H$84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РФ'!$D$85:$H$85</c:f>
              <c:numCache>
                <c:formatCode>General</c:formatCode>
                <c:ptCount val="5"/>
                <c:pt idx="0" formatCode="0.0">
                  <c:v>-2</c:v>
                </c:pt>
                <c:pt idx="1">
                  <c:v>-1.1000000000000001</c:v>
                </c:pt>
                <c:pt idx="2">
                  <c:v>-0.2</c:v>
                </c:pt>
                <c:pt idx="3">
                  <c:v>0.30000000000000032</c:v>
                </c:pt>
                <c:pt idx="4">
                  <c:v>1.5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'9. Пермь, ПК, РФ'!$A$86</c:f>
              <c:strCache>
                <c:ptCount val="1"/>
                <c:pt idx="0">
                  <c:v>Пермский край</c:v>
                </c:pt>
              </c:strCache>
            </c:strRef>
          </c:tx>
          <c:dLbls>
            <c:dLbl>
              <c:idx val="0"/>
              <c:layout>
                <c:manualLayout>
                  <c:x val="-6.3268899798668718E-2"/>
                  <c:y val="-2.52631495190554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544816633111421E-2"/>
                  <c:y val="-4.63157741182680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634449899334401E-2"/>
                  <c:y val="-5.05262990381108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3813716431780432E-2"/>
                  <c:y val="-1.26315747595277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1089633266223189E-2"/>
                  <c:y val="-3.78947242785829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4.217926653244582E-3"/>
                  <c:y val="-2.1052624599212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РФ'!$D$84:$H$84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РФ'!$D$86:$H$86</c:f>
              <c:numCache>
                <c:formatCode>General</c:formatCode>
                <c:ptCount val="5"/>
                <c:pt idx="0">
                  <c:v>-2.5</c:v>
                </c:pt>
                <c:pt idx="1">
                  <c:v>-1.7</c:v>
                </c:pt>
                <c:pt idx="2">
                  <c:v>-1.2</c:v>
                </c:pt>
                <c:pt idx="3">
                  <c:v>-0.70000000000000062</c:v>
                </c:pt>
                <c:pt idx="4">
                  <c:v>0.60000000000000064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'9. Пермь, ПК, РФ'!$A$87</c:f>
              <c:strCache>
                <c:ptCount val="1"/>
                <c:pt idx="0">
                  <c:v>РФ</c:v>
                </c:pt>
              </c:strCache>
            </c:strRef>
          </c:tx>
          <c:dLbls>
            <c:dLbl>
              <c:idx val="0"/>
              <c:layout>
                <c:manualLayout>
                  <c:x val="-6.1159936472046462E-2"/>
                  <c:y val="4.2105249198425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634449899334345E-2"/>
                  <c:y val="5.89473488777956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326889979866873E-3"/>
                  <c:y val="3.78947242785829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525486572712069E-2"/>
                  <c:y val="4.63157741182680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217926653244582E-3"/>
                  <c:y val="-2.9473674438897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0544816633111461E-2"/>
                  <c:y val="4.6315774118268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>
                    <a:solidFill>
                      <a:srgbClr val="00B05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РФ'!$D$84:$H$84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РФ'!$D$87:$H$87</c:f>
              <c:numCache>
                <c:formatCode>General</c:formatCode>
                <c:ptCount val="5"/>
                <c:pt idx="0">
                  <c:v>-2.5</c:v>
                </c:pt>
                <c:pt idx="1">
                  <c:v>-1.8</c:v>
                </c:pt>
                <c:pt idx="2">
                  <c:v>-1.7</c:v>
                </c:pt>
                <c:pt idx="3" formatCode="0.0">
                  <c:v>-1</c:v>
                </c:pt>
                <c:pt idx="4">
                  <c:v>-2.0000000000000011E-2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724416"/>
        <c:axId val="113742592"/>
      </c:lineChart>
      <c:catAx>
        <c:axId val="113724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3742592"/>
        <c:crosses val="autoZero"/>
        <c:auto val="1"/>
        <c:lblAlgn val="ctr"/>
        <c:lblOffset val="100"/>
        <c:noMultiLvlLbl val="0"/>
      </c:catAx>
      <c:valAx>
        <c:axId val="113742592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13724416"/>
        <c:crosses val="autoZero"/>
        <c:crossBetween val="between"/>
        <c:majorUnit val="1"/>
      </c:valAx>
    </c:plotArea>
    <c:legend>
      <c:legendPos val="b"/>
      <c:layout>
        <c:manualLayout>
          <c:xMode val="edge"/>
          <c:yMode val="edge"/>
          <c:x val="0.10730271216098022"/>
          <c:y val="0.88841896125765207"/>
          <c:w val="0.79928346456692856"/>
          <c:h val="8.3781817704236733E-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500353290040368E-2"/>
          <c:y val="4.6180183349103163E-2"/>
          <c:w val="0.90447194963072952"/>
          <c:h val="0.55442322915428255"/>
        </c:manualLayout>
      </c:layout>
      <c:lineChart>
        <c:grouping val="standard"/>
        <c:varyColors val="0"/>
        <c:ser>
          <c:idx val="0"/>
          <c:order val="0"/>
          <c:tx>
            <c:strRef>
              <c:f>'Эк. развитие'!$A$50</c:f>
              <c:strCache>
                <c:ptCount val="1"/>
                <c:pt idx="0">
                  <c:v>ИПП по виду "Добыча полезных ископаемых"</c:v>
                </c:pt>
              </c:strCache>
            </c:strRef>
          </c:tx>
          <c:cat>
            <c:numRef>
              <c:f>'Эк. развитие'!$E$49:$I$49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'Эк. развитие'!$E$50:$I$50</c:f>
              <c:numCache>
                <c:formatCode>General</c:formatCode>
                <c:ptCount val="5"/>
                <c:pt idx="0">
                  <c:v>97.1</c:v>
                </c:pt>
                <c:pt idx="1">
                  <c:v>27.7</c:v>
                </c:pt>
                <c:pt idx="2">
                  <c:v>89.4</c:v>
                </c:pt>
                <c:pt idx="3">
                  <c:v>126.9</c:v>
                </c:pt>
                <c:pt idx="4">
                  <c:v>90.3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'Эк. развитие'!$A$51</c:f>
              <c:strCache>
                <c:ptCount val="1"/>
                <c:pt idx="0">
                  <c:v>ИПП по виду "Обрабатывающие производства"</c:v>
                </c:pt>
              </c:strCache>
            </c:strRef>
          </c:tx>
          <c:cat>
            <c:numRef>
              <c:f>'Эк. развитие'!$E$49:$I$49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'Эк. развитие'!$E$51:$I$51</c:f>
              <c:numCache>
                <c:formatCode>General</c:formatCode>
                <c:ptCount val="5"/>
                <c:pt idx="0">
                  <c:v>104.5</c:v>
                </c:pt>
                <c:pt idx="1">
                  <c:v>88.1</c:v>
                </c:pt>
                <c:pt idx="2">
                  <c:v>109.3</c:v>
                </c:pt>
                <c:pt idx="3">
                  <c:v>115</c:v>
                </c:pt>
                <c:pt idx="4">
                  <c:v>97.6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'Эк. развитие'!$A$52</c:f>
              <c:strCache>
                <c:ptCount val="1"/>
                <c:pt idx="0">
                  <c:v>ИПП по виду "Производство и распределение электроэнергии, газа и воды"</c:v>
                </c:pt>
              </c:strCache>
            </c:strRef>
          </c:tx>
          <c:cat>
            <c:numRef>
              <c:f>'Эк. развитие'!$E$49:$I$49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'Эк. развитие'!$E$52:$I$52</c:f>
              <c:numCache>
                <c:formatCode>General</c:formatCode>
                <c:ptCount val="5"/>
                <c:pt idx="0">
                  <c:v>97.9</c:v>
                </c:pt>
                <c:pt idx="1">
                  <c:v>97.3</c:v>
                </c:pt>
                <c:pt idx="2">
                  <c:v>92.8</c:v>
                </c:pt>
                <c:pt idx="3">
                  <c:v>101</c:v>
                </c:pt>
                <c:pt idx="4">
                  <c:v>101.9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'Эк. развитие'!$A$53</c:f>
              <c:strCache>
                <c:ptCount val="1"/>
                <c:pt idx="0">
                  <c:v>Индекс промышленного производства</c:v>
                </c:pt>
              </c:strCache>
            </c:strRef>
          </c:tx>
          <c:cat>
            <c:numRef>
              <c:f>'Эк. развитие'!$E$49:$I$49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'Эк. развитие'!$E$53:$I$53</c:f>
              <c:numCache>
                <c:formatCode>General</c:formatCode>
                <c:ptCount val="5"/>
                <c:pt idx="0">
                  <c:v>103.6</c:v>
                </c:pt>
                <c:pt idx="1">
                  <c:v>88.3</c:v>
                </c:pt>
                <c:pt idx="2">
                  <c:v>107.7</c:v>
                </c:pt>
                <c:pt idx="3">
                  <c:v>114.8</c:v>
                </c:pt>
                <c:pt idx="4">
                  <c:v>97.8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0467328"/>
        <c:axId val="110473216"/>
      </c:lineChart>
      <c:catAx>
        <c:axId val="110467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0473216"/>
        <c:crosses val="autoZero"/>
        <c:auto val="1"/>
        <c:lblAlgn val="ctr"/>
        <c:lblOffset val="100"/>
        <c:noMultiLvlLbl val="0"/>
      </c:catAx>
      <c:valAx>
        <c:axId val="110473216"/>
        <c:scaling>
          <c:orientation val="minMax"/>
          <c:min val="2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046732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3267320880699374"/>
          <c:y val="0.730085042140181"/>
          <c:w val="0.73465340328014483"/>
          <c:h val="0.23603311490055229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'9. Пермь, ПК, РФ'!$A$102</c:f>
              <c:strCache>
                <c:ptCount val="1"/>
                <c:pt idx="0">
                  <c:v>Пермь</c:v>
                </c:pt>
              </c:strCache>
            </c:strRef>
          </c:tx>
          <c:dLbls>
            <c:dLbl>
              <c:idx val="0"/>
              <c:layout>
                <c:manualLayout>
                  <c:x val="-9.3771675679281227E-2"/>
                  <c:y val="-2.40470792628561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909298372923279E-2"/>
                  <c:y val="5.84835178588802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788081312803787E-2"/>
                  <c:y val="6.1735459203114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0380622271714995E-2"/>
                  <c:y val="-2.7540972230397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2303080821563321E-3"/>
                  <c:y val="3.0260062368375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8.3333333333332708E-3"/>
                  <c:y val="-1.8532814025400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solidFill>
                      <a:srgbClr val="0070C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РФ'!$D$101:$H$101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РФ'!$D$102:$H$102</c:f>
              <c:numCache>
                <c:formatCode>General</c:formatCode>
                <c:ptCount val="5"/>
                <c:pt idx="0">
                  <c:v>103.6</c:v>
                </c:pt>
                <c:pt idx="1">
                  <c:v>88.3</c:v>
                </c:pt>
                <c:pt idx="2">
                  <c:v>107.7</c:v>
                </c:pt>
                <c:pt idx="3">
                  <c:v>114.8</c:v>
                </c:pt>
                <c:pt idx="4">
                  <c:v>97.8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'9. Пермь, ПК, РФ'!$A$103</c:f>
              <c:strCache>
                <c:ptCount val="1"/>
                <c:pt idx="0">
                  <c:v>Пермский край</c:v>
                </c:pt>
              </c:strCache>
            </c:strRef>
          </c:tx>
          <c:dLbls>
            <c:dLbl>
              <c:idx val="0"/>
              <c:layout>
                <c:manualLayout>
                  <c:x val="-8.9619426770595048E-2"/>
                  <c:y val="8.2622916691192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651826572660187E-3"/>
                  <c:y val="2.1586050203257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9.4329123268990525E-2"/>
                  <c:y val="2.5778845683192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195349579306887E-2"/>
                  <c:y val="-4.30206095693880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4790341672869159E-3"/>
                  <c:y val="-1.66946620081427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0185067526416327E-16"/>
                  <c:y val="-1.8532814025400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РФ'!$D$101:$H$101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РФ'!$D$103:$H$103</c:f>
              <c:numCache>
                <c:formatCode>General</c:formatCode>
                <c:ptCount val="5"/>
                <c:pt idx="0">
                  <c:v>100.3</c:v>
                </c:pt>
                <c:pt idx="1">
                  <c:v>85.5</c:v>
                </c:pt>
                <c:pt idx="2">
                  <c:v>117.8</c:v>
                </c:pt>
                <c:pt idx="3">
                  <c:v>108.9</c:v>
                </c:pt>
                <c:pt idx="4">
                  <c:v>98.9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'9. Пермь, ПК, РФ'!$A$104</c:f>
              <c:strCache>
                <c:ptCount val="1"/>
                <c:pt idx="0">
                  <c:v>РФ</c:v>
                </c:pt>
              </c:strCache>
            </c:strRef>
          </c:tx>
          <c:dLbls>
            <c:dLbl>
              <c:idx val="0"/>
              <c:layout>
                <c:manualLayout>
                  <c:x val="-9.0849734852750774E-2"/>
                  <c:y val="1.31248687234310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444444444444502E-2"/>
                  <c:y val="-6.94980525952506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849628594413073E-2"/>
                  <c:y val="-4.2838139010966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596842296442115E-2"/>
                  <c:y val="6.6809317956651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841592684979843E-2"/>
                  <c:y val="-4.4600265558170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b="1">
                    <a:solidFill>
                      <a:srgbClr val="00B05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'9. Пермь, ПК, РФ'!$D$101:$H$101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'9. Пермь, ПК, РФ'!$D$104:$H$104</c:f>
              <c:numCache>
                <c:formatCode>General</c:formatCode>
                <c:ptCount val="5"/>
                <c:pt idx="0">
                  <c:v>100.6</c:v>
                </c:pt>
                <c:pt idx="1">
                  <c:v>90.7</c:v>
                </c:pt>
                <c:pt idx="2">
                  <c:v>108.2</c:v>
                </c:pt>
                <c:pt idx="3">
                  <c:v>104.7</c:v>
                </c:pt>
                <c:pt idx="4">
                  <c:v>102.6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642496"/>
        <c:axId val="113668864"/>
      </c:lineChart>
      <c:catAx>
        <c:axId val="113642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3668864"/>
        <c:crosses val="autoZero"/>
        <c:auto val="1"/>
        <c:lblAlgn val="ctr"/>
        <c:lblOffset val="100"/>
        <c:noMultiLvlLbl val="0"/>
      </c:catAx>
      <c:valAx>
        <c:axId val="113668864"/>
        <c:scaling>
          <c:orientation val="minMax"/>
          <c:max val="119"/>
          <c:min val="83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364249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20673430155809977"/>
          <c:y val="0.89256697944934815"/>
          <c:w val="0.6192797567398427"/>
          <c:h val="8.066723382970635E-2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'Эк. развитие'!$A$68</c:f>
              <c:strCache>
                <c:ptCount val="1"/>
                <c:pt idx="0">
                  <c:v>СДЕ, млрд. руб.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2.924668136596738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-1.731601731601732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-3.1287338482194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7.455431707400212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0185067526416387E-16"/>
                  <c:y val="1.29870129870129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'Эк. развитие'!$E$67:$I$67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'Эк. развитие'!$E$68:$I$68</c:f>
              <c:numCache>
                <c:formatCode>0.0</c:formatCode>
                <c:ptCount val="5"/>
                <c:pt idx="0">
                  <c:v>340.03809999999919</c:v>
                </c:pt>
                <c:pt idx="1">
                  <c:v>306.04375399999969</c:v>
                </c:pt>
                <c:pt idx="2">
                  <c:v>370.09729999999945</c:v>
                </c:pt>
                <c:pt idx="3">
                  <c:v>501.77639999999906</c:v>
                </c:pt>
                <c:pt idx="4">
                  <c:v>532.51189999999997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0480000"/>
        <c:axId val="110489984"/>
      </c:barChart>
      <c:catAx>
        <c:axId val="110480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0489984"/>
        <c:crosses val="autoZero"/>
        <c:auto val="1"/>
        <c:lblAlgn val="ctr"/>
        <c:lblOffset val="100"/>
        <c:noMultiLvlLbl val="0"/>
      </c:catAx>
      <c:valAx>
        <c:axId val="110489984"/>
        <c:scaling>
          <c:orientation val="minMax"/>
          <c:max val="600"/>
          <c:min val="100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0480000"/>
        <c:crosses val="autoZero"/>
        <c:crossBetween val="between"/>
        <c:majorUnit val="100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6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0555555555555582E-2"/>
          <c:y val="5.0925925925925923E-2"/>
          <c:w val="0.61479308836395463"/>
          <c:h val="0.89814814814814814"/>
        </c:manualLayout>
      </c:layout>
      <c:pie3DChart>
        <c:varyColors val="1"/>
        <c:ser>
          <c:idx val="0"/>
          <c:order val="0"/>
          <c:tx>
            <c:strRef>
              <c:f>'Эк. развитие'!$B$81</c:f>
              <c:strCache>
                <c:ptCount val="1"/>
                <c:pt idx="0">
                  <c:v>2012</c:v>
                </c:pt>
              </c:strCache>
            </c:strRef>
          </c:tx>
          <c:dLbls>
            <c:dLbl>
              <c:idx val="4"/>
              <c:layout>
                <c:manualLayout>
                  <c:x val="-2.5444335083115145E-2"/>
                  <c:y val="-2.759623797025409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8692038495188099E-4"/>
                  <c:y val="-3.036563137941090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'Эк. развитие'!$A$82:$A$88</c:f>
              <c:strCache>
                <c:ptCount val="7"/>
                <c:pt idx="0">
                  <c:v>Машиностроение </c:v>
                </c:pt>
                <c:pt idx="1">
                  <c:v>Пищевая</c:v>
                </c:pt>
                <c:pt idx="2">
                  <c:v>Производство кокса и нефтепродуктов</c:v>
                </c:pt>
                <c:pt idx="3">
                  <c:v>Химическая</c:v>
                </c:pt>
                <c:pt idx="4">
                  <c:v>Лесопромышленный коплекс</c:v>
                </c:pt>
                <c:pt idx="5">
                  <c:v>Металлургия</c:v>
                </c:pt>
                <c:pt idx="6">
                  <c:v>Прочие</c:v>
                </c:pt>
              </c:strCache>
            </c:strRef>
          </c:cat>
          <c:val>
            <c:numRef>
              <c:f>'Эк. развитие'!$B$82:$B$88</c:f>
              <c:numCache>
                <c:formatCode>0.0</c:formatCode>
                <c:ptCount val="7"/>
                <c:pt idx="0">
                  <c:v>18.600000000000001</c:v>
                </c:pt>
                <c:pt idx="1">
                  <c:v>4.8</c:v>
                </c:pt>
                <c:pt idx="2">
                  <c:v>56.6</c:v>
                </c:pt>
                <c:pt idx="3">
                  <c:v>7.7</c:v>
                </c:pt>
                <c:pt idx="4">
                  <c:v>4.0999999999999996</c:v>
                </c:pt>
                <c:pt idx="5">
                  <c:v>2.9</c:v>
                </c:pt>
                <c:pt idx="6">
                  <c:v>5.2999999999999936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84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  <a:effectLst>
      <a:outerShdw dist="50800" sx="1000" sy="1000" algn="ctr" rotWithShape="0">
        <a:srgbClr val="000000"/>
      </a:outerShdw>
    </a:effectLst>
    <a:scene3d>
      <a:camera prst="orthographicFront"/>
      <a:lightRig rig="threePt" dir="t"/>
    </a:scene3d>
    <a:sp3d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'Эк. развитие'!$X$34</c:f>
              <c:strCache>
                <c:ptCount val="1"/>
                <c:pt idx="0">
                  <c:v>Пермь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rgbClr val="0070C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'Эк. развитие'!$Y$33:$AC$33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'Эк. развитие'!$Y$34:$AC$34</c:f>
              <c:numCache>
                <c:formatCode>0.0</c:formatCode>
                <c:ptCount val="5"/>
                <c:pt idx="0">
                  <c:v>66.2</c:v>
                </c:pt>
                <c:pt idx="1">
                  <c:v>56.594000000000001</c:v>
                </c:pt>
                <c:pt idx="2">
                  <c:v>60.291000000000011</c:v>
                </c:pt>
                <c:pt idx="3">
                  <c:v>63.974000000000004</c:v>
                </c:pt>
                <c:pt idx="4">
                  <c:v>80</c:v>
                </c:pt>
              </c:numCache>
            </c:numRef>
          </c:val>
        </c:ser>
        <c:ser>
          <c:idx val="1"/>
          <c:order val="1"/>
          <c:tx>
            <c:strRef>
              <c:f>'Эк. развитие'!$X$35</c:f>
              <c:strCache>
                <c:ptCount val="1"/>
                <c:pt idx="0">
                  <c:v>Пермский край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rgbClr val="C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'Эк. развитие'!$Y$33:$AC$33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'Эк. развитие'!$Y$35:$AC$35</c:f>
              <c:numCache>
                <c:formatCode>General</c:formatCode>
                <c:ptCount val="5"/>
                <c:pt idx="0">
                  <c:v>56.2</c:v>
                </c:pt>
                <c:pt idx="1">
                  <c:v>48.9</c:v>
                </c:pt>
                <c:pt idx="2">
                  <c:v>49.3</c:v>
                </c:pt>
                <c:pt idx="3">
                  <c:v>50.9</c:v>
                </c:pt>
                <c:pt idx="4">
                  <c:v>60.2</c:v>
                </c:pt>
              </c:numCache>
            </c:numRef>
          </c:val>
        </c:ser>
        <c:ser>
          <c:idx val="2"/>
          <c:order val="2"/>
          <c:tx>
            <c:strRef>
              <c:f>'Эк. развитие'!$X$36</c:f>
              <c:strCache>
                <c:ptCount val="1"/>
                <c:pt idx="0">
                  <c:v>Российская Федерация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b="1">
                    <a:solidFill>
                      <a:srgbClr val="00B05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'Эк. развитие'!$Y$33:$AC$33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'Эк. развитие'!$Y$36:$AC$36</c:f>
              <c:numCache>
                <c:formatCode>General</c:formatCode>
                <c:ptCount val="5"/>
                <c:pt idx="0">
                  <c:v>61.8</c:v>
                </c:pt>
                <c:pt idx="1">
                  <c:v>56.2</c:v>
                </c:pt>
                <c:pt idx="2">
                  <c:v>64.099999999999994</c:v>
                </c:pt>
                <c:pt idx="3">
                  <c:v>75.3</c:v>
                </c:pt>
                <c:pt idx="4">
                  <c:v>85.7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1022080"/>
        <c:axId val="111023616"/>
      </c:barChart>
      <c:catAx>
        <c:axId val="111022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1023616"/>
        <c:crosses val="autoZero"/>
        <c:auto val="1"/>
        <c:lblAlgn val="ctr"/>
        <c:lblOffset val="100"/>
        <c:noMultiLvlLbl val="0"/>
      </c:catAx>
      <c:valAx>
        <c:axId val="111023616"/>
        <c:scaling>
          <c:orientation val="minMax"/>
          <c:max val="90"/>
          <c:min val="30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11022080"/>
        <c:crosses val="autoZero"/>
        <c:crossBetween val="between"/>
        <c:majorUnit val="20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autoTitleDeleted val="0"/>
    <c:view3D>
      <c:rotX val="20"/>
      <c:rotY val="4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957944558512906E-2"/>
          <c:y val="9.7017430583136055E-2"/>
          <c:w val="0.85104048418421885"/>
          <c:h val="0.81563184175148862"/>
        </c:manualLayout>
      </c:layout>
      <c:pie3DChart>
        <c:varyColors val="1"/>
        <c:ser>
          <c:idx val="0"/>
          <c:order val="0"/>
          <c:spPr>
            <a:solidFill>
              <a:schemeClr val="accent6">
                <a:lumMod val="75000"/>
              </a:schemeClr>
            </a:solidFill>
          </c:spPr>
          <c:explosion val="25"/>
          <c:dPt>
            <c:idx val="0"/>
            <c:bubble3D val="0"/>
            <c:spPr>
              <a:solidFill>
                <a:srgbClr val="92D050"/>
              </a:solidFill>
            </c:spPr>
          </c:dPt>
          <c:dPt>
            <c:idx val="1"/>
            <c:bubble3D val="0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Pt>
            <c:idx val="3"/>
            <c:bubble3D val="0"/>
            <c:spPr>
              <a:solidFill>
                <a:srgbClr val="C00000"/>
              </a:solidFill>
            </c:spPr>
          </c:dPt>
          <c:dPt>
            <c:idx val="4"/>
            <c:bubble3D val="0"/>
            <c:spPr>
              <a:solidFill>
                <a:srgbClr val="FFFF00"/>
              </a:solidFill>
            </c:spPr>
          </c:dPt>
          <c:dLbls>
            <c:dLbl>
              <c:idx val="0"/>
              <c:layout>
                <c:manualLayout>
                  <c:x val="-2.3115781655400139E-2"/>
                  <c:y val="0.1451437167915000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7.3680533296169817E-2"/>
                  <c:y val="3.480711713361463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6.1598494878406769E-3"/>
                  <c:y val="-2.5452298113898552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3.9526454986625714E-2"/>
                  <c:y val="-0.1200899430254145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1.7106914733003506E-2"/>
                  <c:y val="-5.331746322407453E-4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'Эк. развитие'!$A$172:$A$176</c:f>
              <c:strCache>
                <c:ptCount val="5"/>
                <c:pt idx="0">
                  <c:v>Розничная торговля</c:v>
                </c:pt>
                <c:pt idx="1">
                  <c:v>Нестационарная торговая сеть</c:v>
                </c:pt>
                <c:pt idx="2">
                  <c:v>Рынки</c:v>
                </c:pt>
                <c:pt idx="3">
                  <c:v>Общественное питание</c:v>
                </c:pt>
                <c:pt idx="4">
                  <c:v>Бытовое обслуживание</c:v>
                </c:pt>
              </c:strCache>
            </c:strRef>
          </c:cat>
          <c:val>
            <c:numRef>
              <c:f>'Эк. развитие'!$B$172:$B$176</c:f>
              <c:numCache>
                <c:formatCode>General</c:formatCode>
                <c:ptCount val="5"/>
                <c:pt idx="0">
                  <c:v>3211</c:v>
                </c:pt>
                <c:pt idx="1">
                  <c:v>1308</c:v>
                </c:pt>
                <c:pt idx="2">
                  <c:v>12</c:v>
                </c:pt>
                <c:pt idx="3">
                  <c:v>1530</c:v>
                </c:pt>
                <c:pt idx="4">
                  <c:v>1752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5400">
          <a:noFill/>
        </a:ln>
      </c:spPr>
    </c:plotArea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'Эк. развитие'!$B$258</c:f>
              <c:strCache>
                <c:ptCount val="1"/>
                <c:pt idx="0">
                  <c:v>Индекс потребительских цен, в % декабрь к декабрю предыдущего года</c:v>
                </c:pt>
              </c:strCache>
            </c:strRef>
          </c:tx>
          <c:dLbls>
            <c:dLbl>
              <c:idx val="0"/>
              <c:layout>
                <c:manualLayout>
                  <c:x val="-4.3905257076834202E-2"/>
                  <c:y val="-6.0185185185185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3864818024263585E-2"/>
                  <c:y val="-2.7777777777778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08030040439029E-2"/>
                  <c:y val="-4.1666666666666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2391681109186595E-2"/>
                  <c:y val="4.1666666666666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5459272097053716E-2"/>
                  <c:y val="3.7037037037037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905257076834202E-2"/>
                  <c:y val="4.1666666666666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6175621028307361E-2"/>
                  <c:y val="3.2407407407407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6.470248411323079E-2"/>
                  <c:y val="-3.2407407407407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418833044482957E-2"/>
                  <c:y val="-4.1666666666666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662045060658585E-2"/>
                  <c:y val="3.7037037037037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351242056615291E-2"/>
                  <c:y val="-4.1666666666666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800893071390078E-2"/>
                  <c:y val="7.668340252705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0544818384185247E-2"/>
                  <c:y val="-3.4710739284084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'Эк. развитие'!$A$267:$A$271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'Эк. развитие'!$B$267:$B$271</c:f>
              <c:numCache>
                <c:formatCode>General</c:formatCode>
                <c:ptCount val="5"/>
                <c:pt idx="0">
                  <c:v>115.34</c:v>
                </c:pt>
                <c:pt idx="1">
                  <c:v>108.88</c:v>
                </c:pt>
                <c:pt idx="2">
                  <c:v>110.23</c:v>
                </c:pt>
                <c:pt idx="3">
                  <c:v>106.66</c:v>
                </c:pt>
                <c:pt idx="4" formatCode="0.00">
                  <c:v>107.3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101056"/>
        <c:axId val="111102592"/>
      </c:lineChart>
      <c:catAx>
        <c:axId val="111101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1102592"/>
        <c:crosses val="autoZero"/>
        <c:auto val="1"/>
        <c:lblAlgn val="ctr"/>
        <c:lblOffset val="100"/>
        <c:noMultiLvlLbl val="0"/>
      </c:catAx>
      <c:valAx>
        <c:axId val="1111025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1101056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796560859134937E-4"/>
          <c:y val="0.11569034068761218"/>
          <c:w val="0.98257449473501457"/>
          <c:h val="0.66543073204958414"/>
        </c:manualLayout>
      </c:layout>
      <c:barChart>
        <c:barDir val="col"/>
        <c:grouping val="clustered"/>
        <c:varyColors val="0"/>
        <c:ser>
          <c:idx val="1"/>
          <c:order val="0"/>
          <c:spPr>
            <a:gradFill rotWithShape="1">
              <a:gsLst>
                <a:gs pos="0">
                  <a:srgbClr val="9BBB59">
                    <a:shade val="51000"/>
                    <a:satMod val="130000"/>
                  </a:srgbClr>
                </a:gs>
                <a:gs pos="80000">
                  <a:srgbClr val="9BBB59">
                    <a:shade val="93000"/>
                    <a:satMod val="130000"/>
                  </a:srgbClr>
                </a:gs>
                <a:gs pos="100000">
                  <a:srgbClr val="9BBB59">
                    <a:shade val="94000"/>
                    <a:satMod val="135000"/>
                  </a:srgbClr>
                </a:gs>
              </a:gsLst>
              <a:lin ang="16200000" scaled="0"/>
            </a:gradFill>
            <a:ln w="9525" cap="flat" cmpd="sng" algn="ctr">
              <a:solidFill>
                <a:srgbClr val="9BBB59">
                  <a:shade val="95000"/>
                  <a:satMod val="105000"/>
                </a:srgbClr>
              </a:solidFill>
              <a:prstDash val="solid"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Pt>
            <c:idx val="3"/>
            <c:invertIfNegative val="0"/>
            <c:bubble3D val="0"/>
            <c:spPr>
              <a:gradFill rotWithShape="1">
                <a:gsLst>
                  <a:gs pos="0">
                    <a:srgbClr val="C0504D">
                      <a:shade val="51000"/>
                      <a:satMod val="130000"/>
                    </a:srgbClr>
                  </a:gs>
                  <a:gs pos="80000">
                    <a:srgbClr val="C0504D">
                      <a:shade val="93000"/>
                      <a:satMod val="130000"/>
                    </a:srgbClr>
                  </a:gs>
                  <a:gs pos="100000">
                    <a:srgbClr val="C0504D">
                      <a:shade val="94000"/>
                      <a:satMod val="135000"/>
                    </a:srgbClr>
                  </a:gs>
                </a:gsLst>
                <a:lin ang="16200000" scaled="0"/>
              </a:gradFill>
              <a:ln w="9525" cap="flat" cmpd="sng" algn="ctr">
                <a:solidFill>
                  <a:srgbClr val="C0504D">
                    <a:shade val="95000"/>
                    <a:satMod val="105000"/>
                  </a:srgbClr>
                </a:solidFill>
                <a:prstDash val="solid"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</c:spPr>
          </c:dPt>
          <c:dLbls>
            <c:dLbl>
              <c:idx val="0"/>
              <c:layout>
                <c:manualLayout>
                  <c:x val="6.655100879771449E-3"/>
                  <c:y val="-1.8741379643787696E-2"/>
                </c:manualLayout>
              </c:layout>
              <c:numFmt formatCode="#,##0.00" sourceLinked="0"/>
              <c:spPr>
                <a:noFill/>
                <a:ln>
                  <a:noFill/>
                </a:ln>
              </c:spPr>
              <c:txPr>
                <a:bodyPr/>
                <a:lstStyle/>
                <a:p>
                  <a:pPr algn="ctr" rtl="0">
                    <a:defRPr lang="en-US" sz="1000" b="0" i="0" u="none" strike="noStrike" kern="1200" baseline="0">
                      <a:solidFill>
                        <a:srgbClr val="1B6F2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7043364244161377E-3"/>
                  <c:y val="-1.74806165736161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6176925018010561E-3"/>
                  <c:y val="-2.16444807771236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3.9356100771819691E-3"/>
                  <c:y val="-2.326103259780124E-2"/>
                </c:manualLayout>
              </c:layout>
              <c:numFmt formatCode="#,##0.00" sourceLinked="0"/>
              <c:spPr>
                <a:noFill/>
                <a:ln>
                  <a:noFill/>
                </a:ln>
              </c:spPr>
              <c:txPr>
                <a:bodyPr/>
                <a:lstStyle/>
                <a:p>
                  <a:pPr>
                    <a:defRPr u="none" baseline="0">
                      <a:solidFill>
                        <a:schemeClr val="accent2">
                          <a:lumMod val="75000"/>
                        </a:schemeClr>
                      </a:solidFill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2007991544107121E-2"/>
                  <c:y val="-2.01995302606160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1280455305837284E-2"/>
                  <c:y val="-1.9493171403916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2965994597813365E-2"/>
                  <c:y val="1.5594537123133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0805052064392501E-2"/>
                  <c:y val="1.169590284234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0799112611850497E-2"/>
                  <c:y val="1.16959028423500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07758638976147E-2"/>
                  <c:y val="7.79726856156670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1.5086209456660581E-2"/>
                  <c:y val="1.5594537123133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1.07758638976147E-2"/>
                  <c:y val="3.898634280783359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0" sourceLinked="0"/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u="none" baseline="0">
                    <a:solidFill>
                      <a:srgbClr val="1B6F25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'Труд и безработица'!$F$84:$K$84</c:f>
              <c:strCache>
                <c:ptCount val="6"/>
                <c:pt idx="0">
                  <c:v>Екатеринбург</c:v>
                </c:pt>
                <c:pt idx="1">
                  <c:v>Самара</c:v>
                </c:pt>
                <c:pt idx="2">
                  <c:v>Н.Новгород</c:v>
                </c:pt>
                <c:pt idx="3">
                  <c:v>Пермь</c:v>
                </c:pt>
                <c:pt idx="4">
                  <c:v>Челябинск</c:v>
                </c:pt>
                <c:pt idx="5">
                  <c:v>Казань</c:v>
                </c:pt>
              </c:strCache>
            </c:strRef>
          </c:cat>
          <c:val>
            <c:numRef>
              <c:f>'Труд и безработица'!$F$85:$K$85</c:f>
              <c:numCache>
                <c:formatCode>0.00</c:formatCode>
                <c:ptCount val="6"/>
                <c:pt idx="0">
                  <c:v>0.49000000000000032</c:v>
                </c:pt>
                <c:pt idx="1">
                  <c:v>0.52</c:v>
                </c:pt>
                <c:pt idx="2">
                  <c:v>0.58000000000000007</c:v>
                </c:pt>
                <c:pt idx="3">
                  <c:v>0.61000000000000065</c:v>
                </c:pt>
                <c:pt idx="4">
                  <c:v>0.79</c:v>
                </c:pt>
                <c:pt idx="5">
                  <c:v>0.85000000000000064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668672"/>
        <c:axId val="112670208"/>
      </c:barChart>
      <c:catAx>
        <c:axId val="112668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2670208"/>
        <c:crosses val="autoZero"/>
        <c:auto val="1"/>
        <c:lblAlgn val="ctr"/>
        <c:lblOffset val="100"/>
        <c:noMultiLvlLbl val="0"/>
      </c:catAx>
      <c:valAx>
        <c:axId val="112670208"/>
        <c:scaling>
          <c:orientation val="minMax"/>
          <c:max val="1"/>
          <c:min val="0"/>
        </c:scaling>
        <c:delete val="1"/>
        <c:axPos val="l"/>
        <c:numFmt formatCode="0.00" sourceLinked="1"/>
        <c:majorTickMark val="out"/>
        <c:minorTickMark val="none"/>
        <c:tickLblPos val="none"/>
        <c:crossAx val="1126686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0429687148671413E-3"/>
          <c:y val="0.20621380908541556"/>
          <c:w val="0.98257449473501457"/>
          <c:h val="0.6484579017528165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'Труд и безработица'!$A$47</c:f>
              <c:strCache>
                <c:ptCount val="1"/>
              </c:strCache>
            </c:strRef>
          </c:tx>
          <c:spPr>
            <a:gradFill rotWithShape="1">
              <a:gsLst>
                <a:gs pos="0">
                  <a:srgbClr val="9BBB59">
                    <a:shade val="51000"/>
                    <a:satMod val="130000"/>
                  </a:srgbClr>
                </a:gs>
                <a:gs pos="80000">
                  <a:srgbClr val="9BBB59">
                    <a:shade val="93000"/>
                    <a:satMod val="130000"/>
                  </a:srgbClr>
                </a:gs>
                <a:gs pos="100000">
                  <a:srgbClr val="9BBB59">
                    <a:shade val="94000"/>
                    <a:satMod val="135000"/>
                  </a:srgbClr>
                </a:gs>
              </a:gsLst>
              <a:lin ang="16200000" scaled="0"/>
            </a:gradFill>
            <a:ln w="9525" cap="flat" cmpd="sng" algn="ctr">
              <a:solidFill>
                <a:srgbClr val="9BBB59">
                  <a:shade val="95000"/>
                  <a:satMod val="105000"/>
                </a:srgbClr>
              </a:solidFill>
              <a:prstDash val="solid"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0"/>
              <c:layout>
                <c:manualLayout>
                  <c:x val="1.3111935431702321E-2"/>
                  <c:y val="-1.09441110822209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2402800960296694E-3"/>
                  <c:y val="-1.7480709648136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92223954397564E-2"/>
                  <c:y val="-2.55431150579070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4696977682618307E-2"/>
                  <c:y val="-2.3261032597801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2007991544107121E-2"/>
                  <c:y val="-2.01995302606160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128037796639594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2965994597813365E-2"/>
                  <c:y val="1.5594537123133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0805052064392501E-2"/>
                  <c:y val="1.169590284234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0799112611850497E-2"/>
                  <c:y val="1.16959028423500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07758638976147E-2"/>
                  <c:y val="7.79726856156670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1.5086209456660581E-2"/>
                  <c:y val="1.5594537123133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1.07758638976147E-2"/>
                  <c:y val="3.898634280783359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1200" baseline="0">
                    <a:solidFill>
                      <a:srgbClr val="1A7432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'Труд и безработица'!$I$46:$M$46</c:f>
              <c:numCache>
                <c:formatCode>General</c:formatCode>
                <c:ptCount val="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</c:numCache>
            </c:numRef>
          </c:cat>
          <c:val>
            <c:numRef>
              <c:f>'Труд и безработица'!$I$47:$M$47</c:f>
              <c:numCache>
                <c:formatCode>#,##0.0</c:formatCode>
                <c:ptCount val="5"/>
                <c:pt idx="0" formatCode="General">
                  <c:v>3.4949999999999997</c:v>
                </c:pt>
                <c:pt idx="1">
                  <c:v>12.047000000000001</c:v>
                </c:pt>
                <c:pt idx="2">
                  <c:v>6.7249999999999899</c:v>
                </c:pt>
                <c:pt idx="3">
                  <c:v>5.1829999999999945</c:v>
                </c:pt>
                <c:pt idx="4" formatCode="0.0">
                  <c:v>3.2530000000000001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714880"/>
        <c:axId val="112716416"/>
      </c:barChart>
      <c:catAx>
        <c:axId val="112714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baseline="0"/>
            </a:pPr>
            <a:endParaRPr lang="ru-RU"/>
          </a:p>
        </c:txPr>
        <c:crossAx val="112716416"/>
        <c:crosses val="autoZero"/>
        <c:auto val="1"/>
        <c:lblAlgn val="ctr"/>
        <c:lblOffset val="100"/>
        <c:noMultiLvlLbl val="0"/>
      </c:catAx>
      <c:valAx>
        <c:axId val="112716416"/>
        <c:scaling>
          <c:orientation val="minMax"/>
          <c:max val="16"/>
          <c:min val="1.5"/>
        </c:scaling>
        <c:delete val="1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тыс. человек</a:t>
                </a:r>
              </a:p>
            </c:rich>
          </c:tx>
          <c:layout>
            <c:manualLayout>
              <c:xMode val="edge"/>
              <c:yMode val="edge"/>
              <c:x val="5.9894556717295594E-3"/>
              <c:y val="0.3659248734259094"/>
            </c:manualLayout>
          </c:layout>
          <c:overlay val="0"/>
        </c:title>
        <c:numFmt formatCode="General" sourceLinked="1"/>
        <c:majorTickMark val="out"/>
        <c:minorTickMark val="none"/>
        <c:tickLblPos val="none"/>
        <c:crossAx val="11271488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0BDED-B732-4848-B0D5-68F96E05C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35</Pages>
  <Words>8389</Words>
  <Characters>47820</Characters>
  <Application>Microsoft Office Word</Application>
  <DocSecurity>8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макроэкономики Администрации Губернатора Пермского края</vt:lpstr>
    </vt:vector>
  </TitlesOfParts>
  <Company>АГ</Company>
  <LinksUpToDate>false</LinksUpToDate>
  <CharactersWithSpaces>56097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макроэкономики Администрации Губернатора Пермского края</dc:title>
  <dc:creator>158b</dc:creator>
  <cp:lastModifiedBy>Салмина Светлана Викторовна</cp:lastModifiedBy>
  <cp:revision>21</cp:revision>
  <cp:lastPrinted>2014-03-31T11:43:00Z</cp:lastPrinted>
  <dcterms:created xsi:type="dcterms:W3CDTF">2014-02-20T10:01:00Z</dcterms:created>
  <dcterms:modified xsi:type="dcterms:W3CDTF">2014-03-31T11:46:00Z</dcterms:modified>
</cp:coreProperties>
</file>